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版本号：SYCG-CS-2602720260708001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《三原县总体城市设计》(含风貌色彩)编制项目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SYCG-CS-26027</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《三原县总体城市设计》(含风貌色彩)编制项目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《三原县总体城市设计》(含风貌色彩)编制项目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项目为《三原县总体城市设计》(含风貌色彩)编制项目(以下简称《总体城市设计》)，本次《总体城市设计》范围以三原县中心城区城镇开发边界范围为核心，面积约为23平方公里，适度拓展研究范围，包括中心城区外围的城郊融合区域和各镇区所在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采购包1（《三原县总体城市设计》(含风貌色彩)编制项目）：属于专门面向中小企业采购。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资格证明：供应商须具备行政主管部门颁发的城乡规划编制资质证书甲级;拟派项目负责人须具备注册城乡规划师执业资格并持有城乡规划专业高级工程师及以上技术职称，提供开标截止时间前6个月内任意一个月供应商为其缴纳的社会保险缴纳证明；</w:t>
      </w:r>
    </w:p>
    <w:p>
      <w:pPr>
        <w:pStyle w:val="null3"/>
      </w:pPr>
      <w:r>
        <w:rPr>
          <w:rFonts w:ascii="仿宋_GB2312" w:hAnsi="仿宋_GB2312" w:cs="仿宋_GB2312" w:eastAsia="仿宋_GB2312"/>
        </w:rPr>
        <w:t>3、法定代表人授权委托书：法定代表人或负责人参加投标时，提供本人身份证，并与营业执照中法定代表人或负责人信息相符；授权代表参加投标时，提供授权书和被授权人身份证；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4、财务状况报告：提供2024年度或2025年度经审计的财务报告（成立时间至提交响应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5、税收缴纳证明：提供开标截止时间前6个月内至少已缴纳1个月的完税证明，完税证明上应有代收机构或税务机关的公章或业务专用章。依法免税或新成立的供应商应提供相关文件证明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6、社会保障资金缴纳证明：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7、信用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8、非联合体声明：本项目不接受联合体投标，单位负责人为同一人或者存在直接控股、管理关系的不同投标人，不得参加同一合同项下的政府采购活动（提供非联合体投标声明，包括控股管理声明）</w:t>
      </w:r>
    </w:p>
    <w:p>
      <w:pPr>
        <w:pStyle w:val="null3"/>
      </w:pPr>
      <w:r>
        <w:rPr>
          <w:rFonts w:ascii="仿宋_GB2312" w:hAnsi="仿宋_GB2312" w:cs="仿宋_GB2312" w:eastAsia="仿宋_GB2312"/>
        </w:rPr>
        <w:t>9、重大违法声明：供应商参加采购活动近3年内经营活动中没有重大违法记录声明，以及未被列入失信被执行人、重大税收违法失信主体、政府采购严重违法失信行为记录名单的书面声明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三原县自然资源局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029-32285720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项目为《三原县总体城市设计》(含风貌色彩)编制项目(以下简称《总体城市设计》)，本次《总体城市设计》范围以三原县中心城区城镇开发边界范围为核心，面积约为23平方公里，适度拓展研究范围，包括中心城区外围的城郊融合区域和各镇区所在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《三原县总体城市设计》(含风貌色彩)编制项目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标的名称：《三原县总体城市设计》(含风貌色彩)编制项目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21"/>
                <w:b/>
              </w:rPr>
              <w:t>一、上位规划衔接与本地基底研判适配性能</w:t>
            </w:r>
          </w:p>
          <w:p>
            <w:pPr>
              <w:pStyle w:val="null3"/>
            </w:pPr>
            <w:r>
              <w:rPr>
                <w:rFonts w:ascii="仿宋_GB2312" w:hAnsi="仿宋_GB2312" w:cs="仿宋_GB2312" w:eastAsia="仿宋_GB2312"/>
              </w:rPr>
              <w:t>该指标衡量编制方案对各级法定规划、行业技术规范的承接匹配程度，同时检验对三原县自然山水肌理、历史文化遗存、城乡建设现状、地域民俗特质的深度挖掘能力。技术方案需完整传导国土空间总体规划管控逻辑，同步统筹各类交通、生态、文旅专项规划约束条件，避免设计内容与法定管控要求出现冲突偏差；针对本地独有的历史建筑、台塬地貌、老城街巷格局开展系统性基底梳理，区分不同片区资源禀赋差异形成差异化设计逻辑，杜绝通用模板化套用，保障总体城市设计框架贴合县域发展实际，风貌色彩专项溯源本地传统建筑材质、乡土色系形成专属文化底色，实现宏观规划约束与本土空间特色双向兼容。</w:t>
            </w:r>
          </w:p>
          <w:p>
            <w:pPr>
              <w:pStyle w:val="null3"/>
            </w:pPr>
            <w:r>
              <w:rPr>
                <w:rFonts w:ascii="仿宋_GB2312" w:hAnsi="仿宋_GB2312" w:cs="仿宋_GB2312" w:eastAsia="仿宋_GB2312"/>
                <w:sz w:val="21"/>
              </w:rPr>
              <w:t>二、全域风貌体系与分层色彩管控落地性能</w:t>
            </w:r>
          </w:p>
          <w:p>
            <w:pPr>
              <w:pStyle w:val="null3"/>
            </w:pPr>
            <w:r>
              <w:rPr>
                <w:rFonts w:ascii="仿宋_GB2312" w:hAnsi="仿宋_GB2312" w:cs="仿宋_GB2312" w:eastAsia="仿宋_GB2312"/>
              </w:rPr>
              <w:t>该指标侧重评估风貌结构搭建、色彩管控体系的系统性与实操落地能力，覆盖全域城镇建成区、滨水廊道、老城片区、产业园区、乡村交界地带全部空间单元。技术路径需构建完整城市风貌骨架，统筹天际轮廓、街巷界面、建筑形制、景观设施、街道家具全要素引导规则；配套独立完整的城市色彩专项体系，区分基底主色调、辅助调和色、局部点缀色、限制禁用色形成分级管控逻辑，针对不同功能分区、风貌单元制定差异化色彩引导准则，兼顾历史片区风貌保护与新城现代化形象塑造，形成可直接用于规划审批、地块方案审查的管控指引，规避全域色彩杂乱、风貌风格割裂、管控条文空泛难以执行等技术缺陷。</w:t>
            </w:r>
          </w:p>
          <w:p>
            <w:pPr>
              <w:pStyle w:val="null3"/>
            </w:pPr>
            <w:r>
              <w:rPr>
                <w:rFonts w:ascii="仿宋_GB2312" w:hAnsi="仿宋_GB2312" w:cs="仿宋_GB2312" w:eastAsia="仿宋_GB2312"/>
                <w:sz w:val="21"/>
              </w:rPr>
              <w:t>三、多维度空间统筹与重点片区精细化设计性能</w:t>
            </w:r>
          </w:p>
          <w:p>
            <w:pPr>
              <w:pStyle w:val="null3"/>
            </w:pPr>
            <w:r>
              <w:rPr>
                <w:rFonts w:ascii="仿宋_GB2312" w:hAnsi="仿宋_GB2312" w:cs="仿宋_GB2312" w:eastAsia="仿宋_GB2312"/>
              </w:rPr>
              <w:t>该指标评判整体空间系统统筹水平与核心节点深化设计深度，统筹生态开放空间、慢行交通网络、公共服务节点、城市景观视廊、产业生活界面各类空间要素协同组织。在全域整体框架稳定前提下，对城市门户通道、滨水核心区段、老城历史街区、行政商业核心、城乡交融节点开展精细化深化设计，同步匹配对应风貌色彩细化管控细则；技术手段兼顾宏观结构统筹与微观场景营造，平衡生态保护、民生服务、产业发展、风貌塑造多重目标，建立空间形态、开发界面、景观色彩之间的联动管控逻辑，保障全域空间秩序统一且重点片区具备辨识度与地域特色。</w:t>
            </w:r>
          </w:p>
          <w:p>
            <w:pPr>
              <w:pStyle w:val="null3"/>
            </w:pPr>
            <w:r>
              <w:rPr>
                <w:rFonts w:ascii="仿宋_GB2312" w:hAnsi="仿宋_GB2312" w:cs="仿宋_GB2312" w:eastAsia="仿宋_GB2312"/>
                <w:sz w:val="21"/>
              </w:rPr>
              <w:t>四、数字化技术支撑与成果合规入库适配性能</w:t>
            </w:r>
          </w:p>
          <w:p>
            <w:pPr>
              <w:pStyle w:val="null3"/>
            </w:pPr>
            <w:r>
              <w:rPr>
                <w:rFonts w:ascii="仿宋_GB2312" w:hAnsi="仿宋_GB2312" w:cs="仿宋_GB2312" w:eastAsia="仿宋_GB2312"/>
              </w:rPr>
              <w:t>该指标考核项目全流程数字化技术应用能力与最终成果标准化适配水平，全过程依托地理信息平台开展现状基底分析、空间模拟推演、风貌色彩视觉校核工作，依托三维空间模型校验天际线、建筑色彩、街巷尺度视觉效果，提前规避视觉冲突与风貌失衡问题。全部规划文本、图纸、色彩图谱、管控附表遵循国土空间规划成果标准规范编制，配套标准化空间矢量数据库，成果格式、图层分类、要素编码完全适配自然资源国土空间一张图平台入库要求；风貌色彩专项配套标准化色卡、材质示意图、分区管控图则，形成文本、图集、数据库、专项导则成套合规成果，满足主管部门报批、入库、日常规划管理全流程使用需求。</w:t>
            </w:r>
          </w:p>
          <w:p>
            <w:pPr>
              <w:pStyle w:val="null3"/>
            </w:pPr>
            <w:r>
              <w:rPr>
                <w:rFonts w:ascii="仿宋_GB2312" w:hAnsi="仿宋_GB2312" w:cs="仿宋_GB2312" w:eastAsia="仿宋_GB2312"/>
                <w:sz w:val="21"/>
              </w:rPr>
              <w:t>五、全周期实施管控与动态更新技术服务性能</w:t>
            </w:r>
          </w:p>
          <w:p>
            <w:pPr>
              <w:pStyle w:val="null3"/>
            </w:pPr>
            <w:r>
              <w:rPr>
                <w:rFonts w:ascii="仿宋_GB2312" w:hAnsi="仿宋_GB2312" w:cs="仿宋_GB2312" w:eastAsia="仿宋_GB2312"/>
              </w:rPr>
              <w:t>该指标衡量方案后续落地、长效管理的技术支撑能力，区别于仅完成静态规划图纸的基础编制工作。技术方案同步搭建完整的规划实施传导机制，明确总体城市设计风貌色彩要求向控规、地块规划条件、建筑方案审查逐层传导路径，配套建设项目风貌色彩审查技术流程；同步制定阶段性城市风貌体检、动态更新调整技术方案，针对城市更新、新区开发、老旧街区改造提供分场景技术指引，项目完成后持续提供规委会汇报、方案技术答疑、条文修订完善、管理人员业务技术辅导配套服务，形成编制 — 报批 — 实施 — 动态优化全链条闭环技术保障，保障总体城市设计及风貌色彩管控长期稳定落地执行。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三原县国土空间规划事务中心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符合项目要求及甲方要求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进度款，完成初步方案，并进行汇报后，达到付款条件起7个工作日内，支付合同总金额的40.0%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其他，完成规划成果并经专项评审通过后，达到付款条件起15个工作日内，支付合同总金额的40.0%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其他，方案批复完成后，达到付款条件起30个工作日内，支付合同总金额的20.0%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在履行过程中发生的与之有关的任何争议，双方友好协商解决，协商不成的，由采购人所在地仲裁机构裁决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供应商须具备行政主管部门颁发的城乡规划编制资质证书甲级;拟派项目负责人须具备注册城乡规划师执业资格并持有城乡规划专业高级工程师及以上技术职称，提供开标截止时间前6个月内任意一个月供应商为其缴纳的社会保险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提供开标截止时间前6个月内至少已缴纳1个月的完税证明，完税证明上应有代收机构或税务机关的公章或业务专用章。依法免税或新成立的供应商应提供相关文件证明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技术方案科学性</w:t>
            </w:r>
          </w:p>
        </w:tc>
        <w:tc>
          <w:tcPr>
            <w:tcW w:type="dxa" w:w="2492"/>
          </w:tcPr>
          <w:p>
            <w:pPr>
              <w:pStyle w:val="null3"/>
            </w:pPr>
            <w:r>
              <w:rPr>
                <w:rFonts w:ascii="仿宋_GB2312" w:hAnsi="仿宋_GB2312" w:cs="仿宋_GB2312" w:eastAsia="仿宋_GB2312"/>
              </w:rPr>
              <w:t>针对本项目技术方案科学性，内容包括但不限于①遵循法规与标准的严谨性②基础资料的真实性与完整性③分析方法的适用性与科学性④评价内容的全面性与针对性⑤合理性与依据性⑥成果输出的准确性与实用性⑦不确定性分析的客观性⑧技术创新的适用性与成熟度等内容，方案内容详细完整、针对性强、可行性高，符合项目实际要求。每项满分1分，缺项不得分，每项内容存在缺陷，扣0.5分。缺陷是指内容不合理、虽有内容但不完善、内容表述前后不一致、套用其他项目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针对本项目的理解，内容包括但不限于①对本项目的背景及意义理解②项目需求理解③项目功能定位④项目内容全面认知等。对本项目的理解内容详细完整、针对性强、可行性高，符合项目实际要求。每项满分1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针对本项目的实施方案，包括①规划思路清晰性②需求匹配度③实施可行性④现状调研⑤功能布局规划⑥绿色环保⑦可持续发展等。方案内容详细完整、针对性强、可行性高，符合项目实际要求。每项满分1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 保障 措施</w:t>
            </w:r>
          </w:p>
        </w:tc>
        <w:tc>
          <w:tcPr>
            <w:tcW w:type="dxa" w:w="2492"/>
          </w:tcPr>
          <w:p>
            <w:pPr>
              <w:pStyle w:val="null3"/>
            </w:pPr>
            <w:r>
              <w:rPr>
                <w:rFonts w:ascii="仿宋_GB2312" w:hAnsi="仿宋_GB2312" w:cs="仿宋_GB2312" w:eastAsia="仿宋_GB2312"/>
              </w:rPr>
              <w:t>供应商应提供完善的质量保障措施，包括但不限于①质量管理制度及保障措施②后续服务保障措施及服务承诺③项目管理机构职责分工④档案管理措施⑤验收管理措施。方案内容详细完整、针对性强、可行性高，符合项目实际要求。每项满分1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 进度</w:t>
            </w:r>
          </w:p>
        </w:tc>
        <w:tc>
          <w:tcPr>
            <w:tcW w:type="dxa" w:w="2492"/>
          </w:tcPr>
          <w:p>
            <w:pPr>
              <w:pStyle w:val="null3"/>
            </w:pPr>
            <w:r>
              <w:rPr>
                <w:rFonts w:ascii="仿宋_GB2312" w:hAnsi="仿宋_GB2312" w:cs="仿宋_GB2312" w:eastAsia="仿宋_GB2312"/>
              </w:rPr>
              <w:t>针对本项目提供的项目进度计划，内容包括但不限于①进度安排合理性②进度保障措施等内容。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 配备</w:t>
            </w:r>
          </w:p>
        </w:tc>
        <w:tc>
          <w:tcPr>
            <w:tcW w:type="dxa" w:w="2492"/>
          </w:tcPr>
          <w:p>
            <w:pPr>
              <w:pStyle w:val="null3"/>
            </w:pPr>
            <w:r>
              <w:rPr>
                <w:rFonts w:ascii="仿宋_GB2312" w:hAnsi="仿宋_GB2312" w:cs="仿宋_GB2312" w:eastAsia="仿宋_GB2312"/>
              </w:rPr>
              <w:t>项目组配备高级及以上职称人员，每配备 1 名得 3 分，本项最高 15 分；配备中级职称人员，每配备 1 名得 2 分，本项最高 10 分。 注：投标时须提供对应人员职称证书、身份证复印件并加盖投标人公章，未按要求提供有效佐证材料的人员不计分（同一人员同时具备高级、中级职称的，仅按高级职称计分，不重复累加分）。所有参与计分的职称人员，均须提供开标前半年内任意一个月的社保缴纳证明，无有效社保佐证的人员不予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本项目进度计划、质量管控及服务承诺，内容包括但不限于①成果交付后的答疑与修改服务②项目质保期及质保期内维护服务③技术支持与培训服务④长期技术支持与应急响应机制等内容，方案内容详细完整、针对性强、可行性高，符合项目实际要求。每项满分1分，缺项不得分,每项内容存在缺陷，扣0.5分。缺陷是指内容不合理、虽有内容但 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针对本项目的重难点分析，包括但不限于①重点难点识别全面性②应对措施针对性③技术衔接与兼容性问题④建议可行性等。方案内容详细完整、针对性强、可行性高，符合项目实际要求。每项满分1分，缺项不得分,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方案完整性</w:t>
            </w:r>
          </w:p>
        </w:tc>
        <w:tc>
          <w:tcPr>
            <w:tcW w:type="dxa" w:w="2492"/>
          </w:tcPr>
          <w:p>
            <w:pPr>
              <w:pStyle w:val="null3"/>
            </w:pPr>
            <w:r>
              <w:rPr>
                <w:rFonts w:ascii="仿宋_GB2312" w:hAnsi="仿宋_GB2312" w:cs="仿宋_GB2312" w:eastAsia="仿宋_GB2312"/>
              </w:rPr>
              <w:t>针对本项目的理解，内容包括但不限于①现状分析②回顾性评价③制约因素及解决方案④规划趋势分析等。方案内容详细完整、针对性强、可行性高，符合项目实际要求。 每项满分1分，缺项不得分，每项内容存在 缺陷，扣0.5分。缺陷是指内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近三年内（2023年1月-至今）有类似项目业绩的，每份计5分，计满25分为止。注：业绩以中标通知书或合同为准，时间以中标通知书发出时间或合同签订时间为准。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印发《政府采购竞争性磋商采购方式管理暂行办法》的通知财库〔2014〕214号的有关规定：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