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2492C">
      <w:pPr>
        <w:pStyle w:val="4"/>
        <w:jc w:val="center"/>
        <w:rPr>
          <w:rFonts w:ascii="仿宋_GB2312" w:hAnsi="仿宋_GB2312" w:eastAsia="仿宋_GB2312" w:cs="仿宋_GB2312"/>
          <w:b/>
          <w:color w:val="auto"/>
          <w:sz w:val="28"/>
          <w:szCs w:val="28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8"/>
          <w:szCs w:val="28"/>
          <w:highlight w:val="none"/>
        </w:rPr>
        <w:t>采购需求</w:t>
      </w:r>
      <w:bookmarkStart w:id="0" w:name="_GoBack"/>
      <w:bookmarkEnd w:id="0"/>
    </w:p>
    <w:p w14:paraId="22E2D164">
      <w:pPr>
        <w:pStyle w:val="4"/>
        <w:jc w:val="center"/>
        <w:rPr>
          <w:rFonts w:ascii="仿宋_GB2312" w:hAnsi="仿宋_GB2312" w:eastAsia="仿宋_GB2312" w:cs="仿宋_GB2312"/>
          <w:b/>
          <w:color w:val="auto"/>
          <w:sz w:val="28"/>
          <w:szCs w:val="28"/>
          <w:highlight w:val="none"/>
        </w:rPr>
      </w:pPr>
    </w:p>
    <w:p w14:paraId="11436497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一、项目概况</w:t>
      </w:r>
    </w:p>
    <w:p w14:paraId="6EDFF4AB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第二十一届中国国际中小企业博览会（简称中博会）由工业和信息化部主办，中国国际中小企业博览会事务局承办，于2026年9月3日至6日在广州市中国进出口商品交易展馆D区举行。大会组委会在省（区、市）馆分配我省展示面积450平方米，要求整体装修。项目预算49.694万元，其中展位租赁费19万元，展位搭建费30.694万元。</w:t>
      </w:r>
    </w:p>
    <w:p w14:paraId="2C6C31D9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附：展位平面图（详见附件）</w:t>
      </w:r>
    </w:p>
    <w:p w14:paraId="23EC26C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二、采购内容和需求</w:t>
      </w:r>
    </w:p>
    <w:p w14:paraId="541CE212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（一）展会主场规划</w:t>
      </w:r>
    </w:p>
    <w:p w14:paraId="25E9DD28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按照展示面积的规划进行设计，方案要彰显出陕西特色，包括各展位的单独设计和整体规划设计。</w:t>
      </w:r>
    </w:p>
    <w:p w14:paraId="26D82E9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（二）展会现场管理</w:t>
      </w:r>
    </w:p>
    <w:p w14:paraId="49D9985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1.在展会布展、开展、撤展期间，组织专人进行现场施工和消防安全检查。</w:t>
      </w:r>
    </w:p>
    <w:p w14:paraId="152C526A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2.配合公安消防部门及场馆管理单位在展会期间的治安、消防、施工安全检查工作。</w:t>
      </w:r>
    </w:p>
    <w:p w14:paraId="08F5C609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（三）展会展位搭建</w:t>
      </w:r>
    </w:p>
    <w:p w14:paraId="06539B58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1.负责展会展位标识系统制作。</w:t>
      </w:r>
    </w:p>
    <w:p w14:paraId="397D6FC3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2.负责展馆公共区域及通道铺设专用展览地毯。</w:t>
      </w:r>
    </w:p>
    <w:p w14:paraId="63DF0CF1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（四）展会现场服务</w:t>
      </w:r>
    </w:p>
    <w:p w14:paraId="671D48CE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1.负责为特装展位承建单位办理进场手续和加班申请。</w:t>
      </w:r>
    </w:p>
    <w:p w14:paraId="6FFCDE4A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2.负责展会现场参展施工咨询、水电安装及展具租赁等服务工作。</w:t>
      </w:r>
    </w:p>
    <w:p w14:paraId="08E547DB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3.负责垫付展位保证金等相关费用。所有搭建产生的费用及手续，由搭建方负责，不再另行支付费用。</w:t>
      </w:r>
    </w:p>
    <w:p w14:paraId="0A1222C6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4.负责与展馆接洽，办理相关手续。</w:t>
      </w:r>
    </w:p>
    <w:p w14:paraId="2F41CFC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三、项目要求</w:t>
      </w:r>
    </w:p>
    <w:p w14:paraId="4EB6D2DC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1.项目完成期限：2026年9月1日前完成布展搭建，按采购人验收意见调整等所有工作。具体的阶段性工期由供应商根据项目要求在响应文件中详细列出。</w:t>
      </w:r>
    </w:p>
    <w:p w14:paraId="5BAE0279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成交供应商需按本项目完工期限要求的基础上，根据本项目的实际情况和需要，在响应文件中自行拟定本项目的进度计划安排。本项目合同签署后，成交供应商将进度安排计划深化后融入项目的设计中，并送采购人审查，双方协商一致时将按此进度计划执行。</w:t>
      </w:r>
    </w:p>
    <w:p w14:paraId="1957847E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3.维护服务期：从布展完成至展览结束。展览结束后，由成交供应商负责项目的清拆、撤场工作。</w:t>
      </w:r>
    </w:p>
    <w:p w14:paraId="09655593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四、验收要求</w:t>
      </w:r>
    </w:p>
    <w:p w14:paraId="461D08D5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1.应对遵守国家有关法律、法规和有关规定，并遵循安全、美观的基本原则，在设计与会展中必须贯彻有关安全、防火、环保、建筑、电器等现行标准和技术规范。</w:t>
      </w:r>
    </w:p>
    <w:p w14:paraId="39E3392F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2.材料应符合产品有关标准的质量要求和设计要求。</w:t>
      </w:r>
    </w:p>
    <w:p w14:paraId="297191E6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3.对使用特殊规定材料制品和设备应按其产品说明书的规定进行。</w:t>
      </w:r>
    </w:p>
    <w:p w14:paraId="5261B74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4.项目验收不合格，由成交人返工直至合格，有关返工、再行验收，以及给采购人造成的损失等费用由成交人承担。连续两次项目验收不合格的，采购人可终止合同，另行按规定选择其他供应商采购，由此带来的一切损失由成交人承担。</w:t>
      </w:r>
    </w:p>
    <w:p w14:paraId="7A36C891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五、其他要求及说明</w:t>
      </w:r>
    </w:p>
    <w:p w14:paraId="3699377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1.交货时间及地点</w:t>
      </w:r>
    </w:p>
    <w:p w14:paraId="281CFBB2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交付时间：博览会开始前一天搭建及装修完成，并验收通过。</w:t>
      </w:r>
    </w:p>
    <w:p w14:paraId="3AA8A84C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交付地点：广州市中国进出口商品交易展馆。</w:t>
      </w:r>
    </w:p>
    <w:p w14:paraId="2A2B4E4D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2.结算方法</w:t>
      </w:r>
    </w:p>
    <w:p w14:paraId="4424D002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付款人：陕西省工业和信息化厅（国库集中支付）</w:t>
      </w:r>
    </w:p>
    <w:p w14:paraId="33312BF3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付款方式：合同签订后一周内支付合同金额的60%；经验收合格后一周内支付合同金额剩余的40%。</w:t>
      </w:r>
    </w:p>
    <w:p w14:paraId="2B56670B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发票要求：增值税普通发票。</w:t>
      </w:r>
    </w:p>
    <w:p w14:paraId="1AE40895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3.供应商可以根据项目实际情况提供高于市场平均档次的设备和设施。</w:t>
      </w:r>
    </w:p>
    <w:p w14:paraId="1C7D1F02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4.对于上述项目要求，供应商应在响应文件中进行回应，作出承诺及说明。</w:t>
      </w:r>
    </w:p>
    <w:p w14:paraId="52B35145">
      <w:pPr>
        <w:pStyle w:val="4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</w:rPr>
        <w:t>六、服务期限</w:t>
      </w:r>
    </w:p>
    <w:p w14:paraId="1349121C">
      <w:r>
        <w:rPr>
          <w:rFonts w:hint="eastAsia" w:ascii="仿宋_GB2312" w:hAnsi="仿宋_GB2312" w:eastAsia="仿宋_GB2312" w:cs="仿宋_GB2312"/>
          <w:color w:val="auto"/>
          <w:highlight w:val="none"/>
        </w:rPr>
        <w:t>签订合同之日起至项目实施完毕。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31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2026-08-06T13:16:46Z</dcterms:created>
  <dc:creator>15000</dc:creator>
  <cp:lastModifiedBy>15000</cp:lastModifiedBy>
  <dcterms:modified xsi:type="dcterms:W3CDTF">2026-08-06T13:17:25Z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eyJoZGlkIjoiYjAzYWJlZjVmY2E1Zjg2ZTU1Y2E2OTQ4YmNlODA1ZjAiLCJ1c2VySWQiOiIyNTY5NzM0MDQifQ==</vt:lpwstr>
  </property>
  <property fmtid="{D5CDD505-2E9C-101B-9397-08002B2CF9AE}" pid="4" name="ICV">
    <vt:lpwstr>E7192086A9A845408CDC5FD5E64682F0_12</vt:lpwstr>
  </property>
</Properties>
</file>