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版本号：HRC-ZBDL-2026-0067320260529001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教学综合楼项目设计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HRC-ZBDL-2026-00673</w:t>
      </w:r>
      <w:r>
        <w:br/>
      </w:r>
      <w:r>
        <w:br/>
      </w:r>
      <w:r>
        <w:br/>
      </w:r>
    </w:p>
    <w:p>
      <w:pPr>
        <w:pStyle w:val="null3"/>
        <w:jc w:val="center"/>
        <w:outlineLvl w:val="2"/>
      </w:pPr>
      <w:r>
        <w:rPr>
          <w:rFonts w:ascii="仿宋_GB2312" w:hAnsi="仿宋_GB2312" w:cs="仿宋_GB2312" w:eastAsia="仿宋_GB2312"/>
          <w:sz w:val="28"/>
          <w:b/>
        </w:rPr>
        <w:t>西安市第三十一中学</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西安市第三十一中学</w:t>
      </w:r>
      <w:r>
        <w:rPr>
          <w:rFonts w:ascii="仿宋_GB2312" w:hAnsi="仿宋_GB2312" w:cs="仿宋_GB2312" w:eastAsia="仿宋_GB2312"/>
        </w:rPr>
        <w:t>委托，拟对</w:t>
      </w:r>
      <w:r>
        <w:rPr>
          <w:rFonts w:ascii="仿宋_GB2312" w:hAnsi="仿宋_GB2312" w:cs="仿宋_GB2312" w:eastAsia="仿宋_GB2312"/>
        </w:rPr>
        <w:t>教学综合楼项目设计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HRC-ZBDL-2026-00673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教学综合楼项目设计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西安市第三十一中学是西安市莲湖区一所公立初级中学，学校位于西安市莲湖区人民西巷2号，始建于1953年，占地面积约50亩，目前共有14个教学班，在校学生664人，教职工54人。 为改善学校环境、提升办学质量、满足区域学位需求，拟在学校内新建教学综合楼及配套设备用房。 本项目需完成招标文件服务内容中所有项目设计工作。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采购包1（西安市第三十一中学教学综合楼项目设计）：属于专门面向中小企业采购。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1、供应商主体资格：具有独立承担民事责任能力的法人、其他组织 或自然人，提供合法有效的营业执照、事业单位法人证书、专业服务机构执业许可证或民办 非企业单位登记证书等相关证明， 自然人参与 的提供其身份证明；</w:t>
      </w:r>
    </w:p>
    <w:p>
      <w:pPr>
        <w:pStyle w:val="null3"/>
      </w:pPr>
      <w:r>
        <w:rPr>
          <w:rFonts w:ascii="仿宋_GB2312" w:hAnsi="仿宋_GB2312" w:cs="仿宋_GB2312" w:eastAsia="仿宋_GB2312"/>
        </w:rPr>
        <w:t>2、授权委托书：法定代表人授权书（附法定代表人、被授权人身份证复印件及被授权人磋商前三个月内任意一个月在本单位的社保缴纳证明），法定代表人直接参加磋商，须提供法定代表人身份证明；</w:t>
      </w:r>
    </w:p>
    <w:p>
      <w:pPr>
        <w:pStyle w:val="null3"/>
      </w:pPr>
      <w:r>
        <w:rPr>
          <w:rFonts w:ascii="仿宋_GB2312" w:hAnsi="仿宋_GB2312" w:cs="仿宋_GB2312" w:eastAsia="仿宋_GB2312"/>
        </w:rPr>
        <w:t>3、没有重大违法记录的书面声明：参加政府采购活动前3年内，在经营活动中没有 重大违法记录的书面声明；</w:t>
      </w:r>
    </w:p>
    <w:p>
      <w:pPr>
        <w:pStyle w:val="null3"/>
      </w:pPr>
      <w:r>
        <w:rPr>
          <w:rFonts w:ascii="仿宋_GB2312" w:hAnsi="仿宋_GB2312" w:cs="仿宋_GB2312" w:eastAsia="仿宋_GB2312"/>
        </w:rPr>
        <w:t>4、供应商资质：供应商具有建设行政主管部门颁发的工程设计综合甲级资质或建筑行业设计乙级及以上资质或建筑行业（建筑工程）乙级及以上资质；</w:t>
      </w:r>
    </w:p>
    <w:p>
      <w:pPr>
        <w:pStyle w:val="null3"/>
      </w:pPr>
      <w:r>
        <w:rPr>
          <w:rFonts w:ascii="仿宋_GB2312" w:hAnsi="仿宋_GB2312" w:cs="仿宋_GB2312" w:eastAsia="仿宋_GB2312"/>
        </w:rPr>
        <w:t>5、项目负责人：拟派设计负责人须具备国家二级注册建筑师执业资格且在本单位注册；</w:t>
      </w:r>
    </w:p>
    <w:p>
      <w:pPr>
        <w:pStyle w:val="null3"/>
      </w:pPr>
      <w:r>
        <w:rPr>
          <w:rFonts w:ascii="仿宋_GB2312" w:hAnsi="仿宋_GB2312" w:cs="仿宋_GB2312" w:eastAsia="仿宋_GB2312"/>
        </w:rPr>
        <w:t>6、财务状况报告：提供2024年度或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7、税收缴纳证明：提供投标截止日前六个月内任意一个月的纳税证明或完税证明（增值税、印花税、城市维护建设费、企业所得税等一种或多种税种），依法免税的单位提供相关证明材料；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8、社会保障资金缴纳证明：提供投标截止日前六个月内任意一个月的社保资金交纳证明，依法不需要缴纳社保资金的单位提供相关证明材料；</w:t>
      </w:r>
    </w:p>
    <w:p>
      <w:pPr>
        <w:pStyle w:val="null3"/>
      </w:pPr>
      <w:r>
        <w:rPr>
          <w:rFonts w:ascii="仿宋_GB2312" w:hAnsi="仿宋_GB2312" w:cs="仿宋_GB2312" w:eastAsia="仿宋_GB2312"/>
        </w:rPr>
        <w:t>9、信誉截图：供应商不得为“信用中国”网站（www.creditch ina.gov.cn）中列入严重失信主体名单，供应 商不得为“中国执行信息公开网”（http://zxgk. court.gov.cn/shixin/） 中列入严重失信被执 行人，供应商不得为政府采购严重违法失信行 为记录名单的供应商，（提供查询结果网页截图）；</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11、联合体投标：本项目不接受联合体投标。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西安市第三十一中学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西安市莲湖区西关街道西门外人民西巷2号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西安市第三十一中学经办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13363913780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18066891049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文件收费标准计取，由成交人在领取成交通知书前向代理机构支付。 2、招标代理服务费以转账或现金形式缴纳至以下账户： 开户名称：华睿诚项目管理有限公司 开户银行：西安银行小寨东路支行 账号：816011580000101224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西安市第三十一中学</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西安市第三十一中学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西安市第三十一中学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设计服务需按照国家、省、市设计规范和设计条件应达到国家、地方、行业质量评定标准。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联系人：周泉</w:t>
      </w:r>
    </w:p>
    <w:p>
      <w:pPr>
        <w:pStyle w:val="null3"/>
      </w:pPr>
      <w:r>
        <w:rPr>
          <w:rFonts w:ascii="仿宋_GB2312" w:hAnsi="仿宋_GB2312" w:cs="仿宋_GB2312" w:eastAsia="仿宋_GB2312"/>
        </w:rPr>
        <w:t>联系电话：18066891049</w:t>
      </w:r>
    </w:p>
    <w:p>
      <w:pPr>
        <w:pStyle w:val="null3"/>
      </w:pPr>
      <w:r>
        <w:rPr>
          <w:rFonts w:ascii="仿宋_GB2312" w:hAnsi="仿宋_GB2312" w:cs="仿宋_GB2312" w:eastAsia="仿宋_GB2312"/>
        </w:rPr>
        <w:t>地址：西安市曲江新城区雁翔路3269号【旺座·曲江】E座29层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西安市第三十一中学是西安市莲湖区一所公立初级中学，学校位于西安市莲湖区人民西巷2号，始建于1953年，占地面积约50亩，目前共有14个教学班，在校学生664人，教职工54人。 为改善学校环境、提升办学质量、满足区域学位需求，拟在学校内新建教学综合楼及配套设备用房。 本项目需完成招标文件服务内容中所有项目设计工作。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498,000.00</w:t>
      </w:r>
    </w:p>
    <w:p>
      <w:pPr>
        <w:pStyle w:val="null3"/>
      </w:pPr>
      <w:r>
        <w:rPr>
          <w:rFonts w:ascii="仿宋_GB2312" w:hAnsi="仿宋_GB2312" w:cs="仿宋_GB2312" w:eastAsia="仿宋_GB2312"/>
        </w:rPr>
        <w:t>采购包最高限价（元）: 498,000.00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西安市第三十一中学教学综合楼项目设计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标的名称：西安市第三十一中学教学综合楼项目设计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一、项目概况：西安市第三十一中学是西安市莲湖区一所公立初级中学，学校位于西安市莲湖区人民西巷</w:t>
                  </w:r>
                  <w:r>
                    <w:rPr>
                      <w:rFonts w:ascii="仿宋_GB2312" w:hAnsi="仿宋_GB2312" w:cs="仿宋_GB2312" w:eastAsia="仿宋_GB2312"/>
                      <w:sz w:val="20"/>
                    </w:rPr>
                    <w:t>2号，始建于1953年，占地面积约50亩，目前共有14个教学班，在校学生664人，教职工54人。</w:t>
                  </w:r>
                </w:p>
                <w:p>
                  <w:pPr>
                    <w:pStyle w:val="null3"/>
                    <w:ind w:firstLine="400"/>
                    <w:jc w:val="left"/>
                  </w:pPr>
                  <w:r>
                    <w:rPr>
                      <w:rFonts w:ascii="仿宋_GB2312" w:hAnsi="仿宋_GB2312" w:cs="仿宋_GB2312" w:eastAsia="仿宋_GB2312"/>
                      <w:sz w:val="20"/>
                    </w:rPr>
                    <w:t>为改善学校环境、提升办学质量、满足区域学位需求，拟在学校内新建教学综合楼及配套设备用房。</w:t>
                  </w:r>
                </w:p>
                <w:p>
                  <w:pPr>
                    <w:pStyle w:val="null3"/>
                    <w:ind w:firstLine="400"/>
                    <w:jc w:val="both"/>
                  </w:pPr>
                  <w:r>
                    <w:rPr>
                      <w:rFonts w:ascii="仿宋_GB2312" w:hAnsi="仿宋_GB2312" w:cs="仿宋_GB2312" w:eastAsia="仿宋_GB2312"/>
                      <w:sz w:val="20"/>
                    </w:rPr>
                    <w:t>本项目需完成招标文件服务内容中所有项目设计工作。</w:t>
                  </w:r>
                </w:p>
                <w:p>
                  <w:pPr>
                    <w:pStyle w:val="null3"/>
                    <w:jc w:val="both"/>
                  </w:pPr>
                  <w:r>
                    <w:rPr>
                      <w:rFonts w:ascii="仿宋_GB2312" w:hAnsi="仿宋_GB2312" w:cs="仿宋_GB2312" w:eastAsia="仿宋_GB2312"/>
                      <w:sz w:val="20"/>
                    </w:rPr>
                    <w:t>二、服务内容（包括工作区域、工作内容等）</w:t>
                  </w:r>
                </w:p>
                <w:p>
                  <w:pPr>
                    <w:pStyle w:val="null3"/>
                    <w:jc w:val="left"/>
                  </w:pPr>
                  <w:r>
                    <w:rPr>
                      <w:rFonts w:ascii="仿宋_GB2312" w:hAnsi="仿宋_GB2312" w:cs="仿宋_GB2312" w:eastAsia="仿宋_GB2312"/>
                      <w:sz w:val="20"/>
                    </w:rPr>
                    <w:t>项目名称：西安市第三十一中学教学综合楼项目设计</w:t>
                  </w:r>
                </w:p>
                <w:p>
                  <w:pPr>
                    <w:pStyle w:val="null3"/>
                    <w:jc w:val="left"/>
                  </w:pPr>
                  <w:r>
                    <w:rPr>
                      <w:rFonts w:ascii="仿宋_GB2312" w:hAnsi="仿宋_GB2312" w:cs="仿宋_GB2312" w:eastAsia="仿宋_GB2312"/>
                      <w:sz w:val="20"/>
                    </w:rPr>
                    <w:t>项目建设单位：西安市第三十一中学</w:t>
                  </w:r>
                </w:p>
                <w:p>
                  <w:pPr>
                    <w:pStyle w:val="null3"/>
                    <w:jc w:val="left"/>
                  </w:pPr>
                  <w:r>
                    <w:rPr>
                      <w:rFonts w:ascii="仿宋_GB2312" w:hAnsi="仿宋_GB2312" w:cs="仿宋_GB2312" w:eastAsia="仿宋_GB2312"/>
                      <w:sz w:val="20"/>
                    </w:rPr>
                    <w:t>项目建设地点：西安市莲湖区西关街道西安市第三十一中学校园内西北角</w:t>
                  </w:r>
                </w:p>
                <w:p>
                  <w:pPr>
                    <w:pStyle w:val="null3"/>
                    <w:jc w:val="left"/>
                  </w:pPr>
                  <w:r>
                    <w:rPr>
                      <w:rFonts w:ascii="仿宋_GB2312" w:hAnsi="仿宋_GB2312" w:cs="仿宋_GB2312" w:eastAsia="仿宋_GB2312"/>
                      <w:sz w:val="20"/>
                    </w:rPr>
                    <w:t>项目建设性质：新建</w:t>
                  </w:r>
                </w:p>
                <w:p>
                  <w:pPr>
                    <w:pStyle w:val="null3"/>
                    <w:jc w:val="left"/>
                  </w:pPr>
                  <w:r>
                    <w:rPr>
                      <w:rFonts w:ascii="仿宋_GB2312" w:hAnsi="仿宋_GB2312" w:cs="仿宋_GB2312" w:eastAsia="仿宋_GB2312"/>
                      <w:sz w:val="20"/>
                    </w:rPr>
                    <w:t>项目服务内容与规模：</w:t>
                  </w:r>
                </w:p>
                <w:p>
                  <w:pPr>
                    <w:pStyle w:val="null3"/>
                    <w:jc w:val="left"/>
                  </w:pPr>
                  <w:r>
                    <w:rPr>
                      <w:rFonts w:ascii="仿宋_GB2312" w:hAnsi="仿宋_GB2312" w:cs="仿宋_GB2312" w:eastAsia="仿宋_GB2312"/>
                      <w:sz w:val="20"/>
                    </w:rPr>
                    <w:t>1、设计新建工程：在校园内新建一栋地上五层教学综合楼，地上五层，局部四层，总建筑面积约为12000㎡。新建配套设备用房，新建250m环形跑道操场及配套运动场地。</w:t>
                  </w:r>
                </w:p>
                <w:p>
                  <w:pPr>
                    <w:pStyle w:val="null3"/>
                    <w:ind w:firstLine="400"/>
                    <w:jc w:val="left"/>
                  </w:pPr>
                  <w:r>
                    <w:rPr>
                      <w:rFonts w:ascii="仿宋_GB2312" w:hAnsi="仿宋_GB2312" w:cs="仿宋_GB2312" w:eastAsia="仿宋_GB2312"/>
                      <w:sz w:val="20"/>
                    </w:rPr>
                    <w:t>教学综合楼功能配置：</w:t>
                  </w:r>
                  <w:r>
                    <w:rPr>
                      <w:rFonts w:ascii="仿宋_GB2312" w:hAnsi="仿宋_GB2312" w:cs="仿宋_GB2312" w:eastAsia="仿宋_GB2312"/>
                      <w:sz w:val="20"/>
                    </w:rPr>
                    <w:t>36间普通教室，语言教室、计算机教室、物理、化学、生物实验室各两间，音乐、美术、书法、史地、舞蹈教室各一间，图书室、250座合班教室各一间、同时每层设教师办公室、卫生间等。</w:t>
                  </w:r>
                </w:p>
                <w:p>
                  <w:pPr>
                    <w:pStyle w:val="null3"/>
                    <w:ind w:firstLine="400"/>
                    <w:jc w:val="left"/>
                  </w:pPr>
                  <w:r>
                    <w:rPr>
                      <w:rFonts w:ascii="仿宋_GB2312" w:hAnsi="仿宋_GB2312" w:cs="仿宋_GB2312" w:eastAsia="仿宋_GB2312"/>
                      <w:sz w:val="20"/>
                    </w:rPr>
                    <w:t>配套设备用房功能配置：消防控制室、消防泵房、消防水池、发电机房、换热站等。</w:t>
                  </w:r>
                </w:p>
                <w:p>
                  <w:pPr>
                    <w:pStyle w:val="null3"/>
                    <w:ind w:firstLine="400"/>
                    <w:jc w:val="left"/>
                  </w:pPr>
                  <w:r>
                    <w:rPr>
                      <w:rFonts w:ascii="仿宋_GB2312" w:hAnsi="仿宋_GB2312" w:cs="仿宋_GB2312" w:eastAsia="仿宋_GB2312"/>
                      <w:sz w:val="20"/>
                    </w:rPr>
                    <w:t>配套工程：楼内给排水、电气、照明、弱电、消防、通风、无障碍设施，以及室外道路、室外管网、场地恢复等。</w:t>
                  </w:r>
                </w:p>
                <w:p>
                  <w:pPr>
                    <w:pStyle w:val="null3"/>
                    <w:ind w:firstLine="400"/>
                    <w:jc w:val="left"/>
                  </w:pPr>
                  <w:r>
                    <w:rPr>
                      <w:rFonts w:ascii="仿宋_GB2312" w:hAnsi="仿宋_GB2312" w:cs="仿宋_GB2312" w:eastAsia="仿宋_GB2312"/>
                      <w:sz w:val="20"/>
                    </w:rPr>
                    <w:t>2、配合完成本项目建筑、结构、水电暖等专业的方案设计、初步设计、施工图设计及后续技术服务。</w:t>
                  </w:r>
                </w:p>
                <w:p>
                  <w:pPr>
                    <w:pStyle w:val="null3"/>
                    <w:jc w:val="left"/>
                  </w:pPr>
                  <w:r>
                    <w:rPr>
                      <w:rFonts w:ascii="仿宋_GB2312" w:hAnsi="仿宋_GB2312" w:cs="仿宋_GB2312" w:eastAsia="仿宋_GB2312"/>
                      <w:sz w:val="20"/>
                    </w:rPr>
                    <w:t>三、技术要求（如有，一般适合于技术服务项目）</w:t>
                  </w:r>
                </w:p>
                <w:p>
                  <w:pPr>
                    <w:pStyle w:val="null3"/>
                    <w:ind w:firstLine="400"/>
                    <w:jc w:val="both"/>
                  </w:pPr>
                  <w:r>
                    <w:rPr>
                      <w:rFonts w:ascii="仿宋_GB2312" w:hAnsi="仿宋_GB2312" w:cs="仿宋_GB2312" w:eastAsia="仿宋_GB2312"/>
                      <w:sz w:val="20"/>
                    </w:rPr>
                    <w:t>设计服务需按照国家、省、市设计规范和设计条件应达到国家、地方、行业质量评定标准。</w:t>
                  </w:r>
                </w:p>
                <w:p>
                  <w:pPr>
                    <w:pStyle w:val="null3"/>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符合项目实际需求，提供与本项目相适应的专业设施和设备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在合同执行过程中需要设计服务单位应执行国家、省、市的相关服务标准和应当履行的相关义务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自签订合同之日起45个日历日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陕西省西安市莲湖区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详见竞争性磋商文件和服务合同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进度款，合同签订后一周内，达到付款条件起10个工作日内，支付合同总金额的40.0%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进度款，施工图（审图通过）交付后一周内，达到付款条件起10个工作日内，支付合同总金额的40.0%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进度款，投入使用后结算，达到付款条件起10个工作日内，支付合同总金额的20.0%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详见竞争性磋商文件和服务合同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投标文件，同时，线下提交本项目在开标前各供应商应将纸质版（一正二副）投标文件及电子版U盘1个送达至代理机构（西安市雁塔区曲江新区雁翔路3269号旺座曲江E座29层第一会议室），未按照要求提供纸质版文件的按照无效响应处理。 2、依据财政部、国务院国资委、金融监管总局印发&lt;&lt;关于加强审计报告查验工作的通知&gt;&gt;(财会(2023]15号)报告须在注册会计师行业统一监管平台备案并由该平台赋予二维码； 3、网上引用图片时，需标注来源出处如网址等。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商务应答表 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具有独立承担民事责任能力的法人、其他组织 或自然人，提供合法有效的营业执照、事业单位法人证书、专业服务机构执业许可证或民办 非企业单位登记证书等相关证明， 自然人参与 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 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供应商具有建设行政主管部门颁发的工程设计综合甲级资质或建筑行业设计乙级及以上资质或建筑行业（建筑工程）乙级及以上资质；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拟派设计负责人须具备国家二级注册建筑师执业资格且在本单位注册；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供应商不得为“信用中国”网站（www.creditch ina.gov.cn）中列入严重失信主体名单，供应 商不得为“中国执行信息公开网”（http://zxgk. court.gov.cn/shixin/） 中列入严重失信被执 行人，供应商不得为政府采购严重违法失信行 为记录名单的供应商，（提供查询结果网页截图）；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投标函签字盖章</w:t>
            </w:r>
          </w:p>
        </w:tc>
        <w:tc>
          <w:tcPr>
            <w:tcW w:type="dxa" w:w="3322"/>
          </w:tcPr>
          <w:p>
            <w:pPr>
              <w:pStyle w:val="null3"/>
            </w:pPr>
            <w:r>
              <w:rPr>
                <w:rFonts w:ascii="仿宋_GB2312" w:hAnsi="仿宋_GB2312" w:cs="仿宋_GB2312" w:eastAsia="仿宋_GB2312"/>
              </w:rPr>
              <w:t>有法定代表人或其委托代理人签字（或盖章） 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符合竞争性磋商响应文件格式的要求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符合采购人招标规定</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符合采购人招标规定</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符合采购人招标规定</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符合采购人招标规定</w:t>
            </w:r>
          </w:p>
        </w:tc>
        <w:tc>
          <w:tcPr>
            <w:tcW w:type="dxa" w:w="1661"/>
          </w:tcPr>
          <w:p>
            <w:pPr>
              <w:pStyle w:val="null3"/>
            </w:pPr>
            <w:r>
              <w:rPr>
                <w:rFonts w:ascii="仿宋_GB2312" w:hAnsi="仿宋_GB2312" w:cs="仿宋_GB2312" w:eastAsia="仿宋_GB2312"/>
              </w:rPr>
              <w:t>响应文件封面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整体工作方案</w:t>
            </w:r>
          </w:p>
        </w:tc>
        <w:tc>
          <w:tcPr>
            <w:tcW w:type="dxa" w:w="2492"/>
          </w:tcPr>
          <w:p>
            <w:pPr>
              <w:pStyle w:val="null3"/>
            </w:pPr>
            <w:r>
              <w:rPr>
                <w:rFonts w:ascii="仿宋_GB2312" w:hAnsi="仿宋_GB2312" w:cs="仿宋_GB2312" w:eastAsia="仿宋_GB2312"/>
              </w:rPr>
              <w:t>根据供应商对制定的总体工作方案进行评分： 1.全部响应采购要求与技术要求，方案详细、科学合理得10分； 2.响应采购要求与技术要求，方案较为详细、科学合理得8分， 3.响应采购要求与技术要求，比较齐全、合理可行得6分； 4.基本响应采购要求与技术要求得4分； 5.合理性一般，可行性一般的得2分； 未提供或方案偏差过大得0分。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根据供应商对本项目的关键性技术、重点难点的解决方案进行评分： 1.针对本项目关键技术、重点、难点的解决方案科学合理、完善、全面、具体、有亮点、可行性强，得6分； 2.针对本项目关键技术、重点、难点的解决方案科学合理、完善、全面、具体，得4分； 3.针对本项目关键技术、重点、难点的解决方案全面但不具体、可行性一般，得2分； 4.针对本项目关键技术、重点、难点的解决方案不够完善、无亮点、可行性较差，得1分。 5.未提供或方案偏差过大得0分。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根据供应商对制定的设计方案进行评分（1）评审内容： 供应商针对本项目有完善的设计方案，包含但不限于：①设计整体思路架构、②设计依据及原则、③工作任务分解、④经济性与资源节约方案。 （2）评审依据： 以上四项评审内容无缺项，工作组织科学合理，制定的质量保障体系完整，措施具有针对性和可操作性，能够保障项目顺利实施的得16分。 每有一项内容缺失或者内容非针对于本项目扣4分。以上服务内容每有一项缺陷扣1分，扣完为止。 （缺陷是指：内容不完整、缺少关键点、针对性不强、内容表述前后不一致、现有技术条件下不可能出现的及其他不利于项目实施的情形等任意一种情形）。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根据供应商对制定的服务质量保证措施工作方案进行评分（1）评审内容： 供应商提供针对本项目的服务质量保证措施，包含但不限于：①设计质量控制措施、②造价控制措施、③设计进度保证措施、④后续工作配合的服务承诺。 （2）评审依据： 以上四项评审内容无缺项，保证措施及承诺概述完整、科学合理，专门针对本项目编制，符合本项目实际情况，能够保障项目顺利实施的得16分。 每有一项内容缺失或者内容非针对于本项目扣4分。以上服务内容每有一项缺陷扣1分，扣完为止。 （缺陷是指：内容不完整、缺少关键点、针对性不强、内容表述前后不一致、现有技术条件下不可能出现的及其他不利于项目实施的情形等任意一种情形）。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根据供应商提供的对成果文件的准确性、服务时限内团队稳定性、人员到位情况、服务质量等相关内容做出的承诺进行赋分。 1.承诺全面、详实，服务质量配合承诺清晰明确，得6分； 2.承诺较为详实全面，服务质量配合承诺基本完善，得4分； 3.承诺不全面，服务质量配合承诺较为简略，得2分； 4.无相关的承诺得0分。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服务团队岗位设置</w:t>
            </w:r>
          </w:p>
        </w:tc>
        <w:tc>
          <w:tcPr>
            <w:tcW w:type="dxa" w:w="2492"/>
          </w:tcPr>
          <w:p>
            <w:pPr>
              <w:pStyle w:val="null3"/>
            </w:pPr>
            <w:r>
              <w:rPr>
                <w:rFonts w:ascii="仿宋_GB2312" w:hAnsi="仿宋_GB2312" w:cs="仿宋_GB2312" w:eastAsia="仿宋_GB2312"/>
              </w:rPr>
              <w:t>根据服务团队岗位的人员设置进行评分1.组织结构健全，有完善的岗位制度和岗位职责，人员安排合理、分工明确，可操作性强，得6分； 2.供应商组织结构较为健全，有较为完善的岗位制度和岗位职责，人员安排及分工较为合理，具有一定的操作性，得4分； 3.供应商组织结构不够健全，岗位制度和岗位职责不够完善，得2分； 4.未提供或方案偏差过大得0分。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w:t>
            </w:r>
          </w:p>
        </w:tc>
        <w:tc>
          <w:tcPr>
            <w:tcW w:type="dxa" w:w="2492"/>
          </w:tcPr>
          <w:p>
            <w:pPr>
              <w:pStyle w:val="null3"/>
            </w:pPr>
            <w:r>
              <w:rPr>
                <w:rFonts w:ascii="仿宋_GB2312" w:hAnsi="仿宋_GB2312" w:cs="仿宋_GB2312" w:eastAsia="仿宋_GB2312"/>
              </w:rPr>
              <w:t>根据拟派服务团队的人员数量、专业技术能力、从业经历等赋分。 1.人员经验丰富、配备合理充足，证明材料齐全得6分； 2.人员有一定经验、人员配备无严重缺漏，但有证明材料得4分； 3.人员缺乏经验、配备情况无法充分完成服务工作，且证明材料不足得2分； 4.未提供或人员配备完全无法胜任本项目工作的得0分。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应急方案编制合理、清晰、明确、有效。 1.应急方案详尽、全面、有效、合理，措施可实施性强，得6分； 2.应急方案有效、合理，措施具有一定实施性，得4分； 3.应急方案具有实施性，得2分。 4.应急措施不合理或未提供，得0分。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特色服务</w:t>
            </w:r>
          </w:p>
        </w:tc>
        <w:tc>
          <w:tcPr>
            <w:tcW w:type="dxa" w:w="2492"/>
          </w:tcPr>
          <w:p>
            <w:pPr>
              <w:pStyle w:val="null3"/>
            </w:pPr>
            <w:r>
              <w:rPr>
                <w:rFonts w:ascii="仿宋_GB2312" w:hAnsi="仿宋_GB2312" w:cs="仿宋_GB2312" w:eastAsia="仿宋_GB2312"/>
              </w:rPr>
              <w:t>供应商提供实质性的特色服务方案。 1.特色服务内容合理、能够根据采购人特质具备针对性的得6分； 2.供应商提供特色服务方案内容较基本完善可行，但针对性不足的得4分； 3.供应商提供特色服务方案内容较少，但基本可行得2分； 4.供应商未提供得0分。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供应商可根据自身情况及项目特征，做出本项目的合理化建议。 1.合理化建议详尽、全面、有效、合理，可实施性强，得6分； 2.合理化建议有效、合理、可实施，得4分； 3.合理化建议基本有效，但可实施性有所欠缺，得2分； 4.不合理或未提供得0分。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2023年1月1日至今同类项目的业绩，提供合同复印件并加盖公章，每提供1份有效业绩得2分，共6分，未提供的不得分。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1.满足磋商文件实质性要求且最后报价最低的供应商磋商报价为投标基准价，其价格分为满分10分。 2.报价得分=（评审基准价/磋商报价）×10。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