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AF4A5">
      <w:pPr>
        <w:autoSpaceDE w:val="0"/>
        <w:autoSpaceDN w:val="0"/>
        <w:adjustRightInd w:val="0"/>
        <w:snapToGrid w:val="0"/>
        <w:spacing w:line="360" w:lineRule="auto"/>
        <w:jc w:val="center"/>
        <w:outlineLvl w:val="0"/>
        <w:rPr>
          <w:rFonts w:hint="eastAsia" w:ascii="宋体" w:hAnsi="宋体" w:eastAsia="宋体" w:cs="宋体"/>
          <w:b/>
          <w:bCs/>
          <w:sz w:val="44"/>
          <w:szCs w:val="44"/>
        </w:rPr>
      </w:pPr>
      <w:r>
        <w:rPr>
          <w:rFonts w:hint="eastAsia" w:ascii="宋体" w:hAnsi="宋体" w:eastAsia="宋体" w:cs="宋体"/>
          <w:b/>
          <w:bCs/>
          <w:sz w:val="44"/>
          <w:szCs w:val="44"/>
        </w:rPr>
        <w:t>拟签订的合同文本</w:t>
      </w:r>
    </w:p>
    <w:p w14:paraId="06C00EC0">
      <w:pPr>
        <w:tabs>
          <w:tab w:val="left" w:pos="735"/>
        </w:tabs>
        <w:autoSpaceDE w:val="0"/>
        <w:autoSpaceDN w:val="0"/>
        <w:adjustRightInd w:val="0"/>
        <w:snapToGrid w:val="0"/>
        <w:spacing w:line="420" w:lineRule="exact"/>
        <w:ind w:firstLine="470" w:firstLineChars="196"/>
        <w:rPr>
          <w:rFonts w:hint="eastAsia" w:ascii="宋体" w:hAnsi="宋体" w:eastAsia="宋体" w:cs="宋体"/>
          <w:b w:val="0"/>
          <w:bCs/>
          <w:sz w:val="24"/>
          <w:lang w:val="zh-CN"/>
        </w:rPr>
      </w:pPr>
      <w:r>
        <w:rPr>
          <w:rFonts w:hint="eastAsia" w:ascii="宋体" w:hAnsi="宋体" w:eastAsia="宋体" w:cs="宋体"/>
          <w:b w:val="0"/>
          <w:bCs/>
          <w:sz w:val="24"/>
          <w:lang w:val="zh-CN"/>
        </w:rPr>
        <w:t>（此合同草案条款，</w:t>
      </w:r>
      <w:r>
        <w:rPr>
          <w:rFonts w:hint="eastAsia" w:ascii="宋体" w:hAnsi="宋体" w:eastAsia="宋体" w:cs="宋体"/>
          <w:b w:val="0"/>
          <w:bCs/>
          <w:sz w:val="24"/>
        </w:rPr>
        <w:t>采购人和中标单位</w:t>
      </w:r>
      <w:r>
        <w:rPr>
          <w:rFonts w:hint="eastAsia" w:ascii="宋体" w:hAnsi="宋体" w:eastAsia="宋体" w:cs="宋体"/>
          <w:b w:val="0"/>
          <w:bCs/>
          <w:sz w:val="24"/>
          <w:lang w:val="zh-CN"/>
        </w:rPr>
        <w:t>所签订的合同</w:t>
      </w:r>
      <w:r>
        <w:rPr>
          <w:rFonts w:hint="eastAsia" w:ascii="宋体" w:hAnsi="宋体" w:eastAsia="宋体" w:cs="宋体"/>
          <w:b w:val="0"/>
          <w:bCs/>
          <w:sz w:val="24"/>
        </w:rPr>
        <w:t>不得对</w:t>
      </w:r>
      <w:r>
        <w:rPr>
          <w:rFonts w:hint="eastAsia" w:ascii="宋体" w:hAnsi="宋体" w:eastAsia="宋体" w:cs="宋体"/>
          <w:b w:val="0"/>
          <w:bCs/>
          <w:sz w:val="24"/>
          <w:lang w:val="zh-CN"/>
        </w:rPr>
        <w:t>招标文件确定的事项和中标投标人的投标文件做实质性修改，最终签订的合同以采购人确定的合同内容为准。）</w:t>
      </w:r>
    </w:p>
    <w:p w14:paraId="352D0817">
      <w:pPr>
        <w:autoSpaceDE w:val="0"/>
        <w:autoSpaceDN w:val="0"/>
        <w:adjustRightInd w:val="0"/>
        <w:spacing w:line="360" w:lineRule="auto"/>
        <w:ind w:firstLine="480" w:firstLineChars="200"/>
        <w:rPr>
          <w:rFonts w:hint="eastAsia" w:ascii="宋体" w:hAnsi="宋体" w:eastAsia="宋体" w:cs="宋体"/>
          <w:bCs/>
          <w:sz w:val="24"/>
        </w:rPr>
      </w:pPr>
    </w:p>
    <w:p w14:paraId="017DBD43">
      <w:pPr>
        <w:spacing w:line="360" w:lineRule="auto"/>
        <w:jc w:val="both"/>
        <w:outlineLvl w:val="9"/>
        <w:rPr>
          <w:rFonts w:hint="eastAsia" w:ascii="宋体" w:hAnsi="宋体" w:eastAsia="宋体" w:cs="宋体"/>
          <w:b/>
          <w:color w:val="000000"/>
          <w:sz w:val="36"/>
          <w:szCs w:val="52"/>
        </w:rPr>
      </w:pPr>
    </w:p>
    <w:p w14:paraId="02FBF9A9">
      <w:pPr>
        <w:spacing w:line="360" w:lineRule="auto"/>
        <w:jc w:val="center"/>
        <w:outlineLvl w:val="9"/>
        <w:rPr>
          <w:rFonts w:hint="eastAsia" w:ascii="宋体" w:hAnsi="宋体" w:eastAsia="宋体" w:cs="宋体"/>
          <w:b/>
          <w:color w:val="000000"/>
          <w:sz w:val="36"/>
          <w:szCs w:val="52"/>
        </w:rPr>
      </w:pPr>
    </w:p>
    <w:p w14:paraId="09B560A6">
      <w:pPr>
        <w:rPr>
          <w:rFonts w:hint="eastAsia" w:ascii="宋体" w:hAnsi="宋体" w:eastAsia="宋体" w:cs="宋体"/>
          <w:color w:val="000000"/>
        </w:rPr>
      </w:pPr>
    </w:p>
    <w:p w14:paraId="59448887">
      <w:pPr>
        <w:pStyle w:val="5"/>
        <w:jc w:val="center"/>
        <w:rPr>
          <w:rFonts w:hint="eastAsia" w:ascii="宋体" w:hAnsi="宋体" w:eastAsia="宋体" w:cs="宋体"/>
          <w:highlight w:val="none"/>
        </w:rPr>
      </w:pPr>
      <w:r>
        <w:rPr>
          <w:rFonts w:hint="eastAsia" w:ascii="宋体" w:hAnsi="宋体" w:eastAsia="宋体" w:cs="宋体"/>
          <w:highlight w:val="none"/>
        </w:rPr>
        <w:t>（参考格式）</w:t>
      </w:r>
    </w:p>
    <w:p w14:paraId="64D2A5DA">
      <w:pPr>
        <w:tabs>
          <w:tab w:val="left" w:pos="7815"/>
        </w:tabs>
        <w:spacing w:line="1100" w:lineRule="exact"/>
        <w:jc w:val="center"/>
        <w:rPr>
          <w:rFonts w:hint="eastAsia" w:ascii="宋体" w:hAnsi="宋体" w:eastAsia="宋体" w:cs="宋体"/>
          <w:b/>
          <w:sz w:val="52"/>
          <w:szCs w:val="52"/>
          <w:highlight w:val="none"/>
        </w:rPr>
      </w:pPr>
      <w:r>
        <w:rPr>
          <w:rFonts w:hint="eastAsia" w:ascii="宋体" w:hAnsi="宋体" w:eastAsia="宋体" w:cs="宋体"/>
          <w:b/>
          <w:sz w:val="52"/>
          <w:szCs w:val="52"/>
          <w:highlight w:val="none"/>
        </w:rPr>
        <w:t>供 货 合 同</w:t>
      </w:r>
    </w:p>
    <w:p w14:paraId="6D01144D">
      <w:pPr>
        <w:spacing w:line="360" w:lineRule="auto"/>
        <w:jc w:val="center"/>
        <w:outlineLvl w:val="9"/>
        <w:rPr>
          <w:rFonts w:hint="eastAsia" w:ascii="宋体" w:hAnsi="宋体" w:eastAsia="宋体" w:cs="宋体"/>
          <w:bCs/>
          <w:color w:val="000000"/>
          <w:sz w:val="48"/>
          <w:szCs w:val="48"/>
        </w:rPr>
      </w:pPr>
    </w:p>
    <w:p w14:paraId="78A67228">
      <w:pPr>
        <w:spacing w:line="360" w:lineRule="auto"/>
        <w:outlineLvl w:val="9"/>
        <w:rPr>
          <w:rFonts w:hint="eastAsia" w:ascii="宋体" w:hAnsi="宋体" w:eastAsia="宋体" w:cs="宋体"/>
          <w:bCs/>
          <w:color w:val="000000"/>
          <w:sz w:val="48"/>
          <w:szCs w:val="48"/>
        </w:rPr>
      </w:pPr>
    </w:p>
    <w:p w14:paraId="776CDD0D">
      <w:pPr>
        <w:pStyle w:val="2"/>
        <w:outlineLvl w:val="9"/>
        <w:rPr>
          <w:rFonts w:hint="eastAsia" w:ascii="宋体" w:hAnsi="宋体" w:eastAsia="宋体" w:cs="宋体"/>
        </w:rPr>
      </w:pPr>
    </w:p>
    <w:p w14:paraId="197A4F0F">
      <w:pPr>
        <w:spacing w:line="360" w:lineRule="auto"/>
        <w:jc w:val="center"/>
        <w:outlineLvl w:val="9"/>
        <w:rPr>
          <w:rFonts w:hint="eastAsia" w:ascii="宋体" w:hAnsi="宋体" w:eastAsia="宋体" w:cs="宋体"/>
          <w:bCs/>
          <w:color w:val="000000"/>
          <w:sz w:val="48"/>
          <w:szCs w:val="48"/>
        </w:rPr>
      </w:pPr>
    </w:p>
    <w:p w14:paraId="531DE264">
      <w:pPr>
        <w:spacing w:line="600" w:lineRule="auto"/>
        <w:jc w:val="left"/>
        <w:outlineLvl w:val="9"/>
        <w:rPr>
          <w:rFonts w:hint="eastAsia" w:ascii="宋体" w:hAnsi="宋体" w:eastAsia="宋体" w:cs="宋体"/>
          <w:b/>
          <w:bCs/>
          <w:color w:val="000000"/>
          <w:sz w:val="36"/>
          <w:szCs w:val="36"/>
        </w:rPr>
      </w:pPr>
      <w:bookmarkStart w:id="0" w:name="_Toc4761"/>
      <w:bookmarkStart w:id="1" w:name="_Toc3502"/>
      <w:bookmarkStart w:id="2" w:name="_Toc1015"/>
      <w:r>
        <w:rPr>
          <w:rFonts w:hint="eastAsia" w:ascii="宋体" w:hAnsi="宋体" w:eastAsia="宋体" w:cs="宋体"/>
          <w:b/>
          <w:bCs/>
          <w:color w:val="000000"/>
          <w:sz w:val="36"/>
          <w:szCs w:val="36"/>
        </w:rPr>
        <w:t>甲方：</w:t>
      </w:r>
      <w:bookmarkEnd w:id="0"/>
      <w:bookmarkEnd w:id="1"/>
      <w:bookmarkEnd w:id="2"/>
      <w:r>
        <w:rPr>
          <w:rFonts w:hint="eastAsia" w:ascii="宋体" w:hAnsi="宋体" w:cs="宋体"/>
          <w:b/>
          <w:bCs/>
          <w:color w:val="000000"/>
          <w:sz w:val="36"/>
          <w:szCs w:val="36"/>
          <w:lang w:eastAsia="zh-CN"/>
        </w:rPr>
        <w:t>西安市鄠邑区教育</w:t>
      </w:r>
    </w:p>
    <w:p w14:paraId="39D7E868">
      <w:pPr>
        <w:adjustRightInd w:val="0"/>
        <w:snapToGrid w:val="0"/>
        <w:spacing w:line="360" w:lineRule="auto"/>
        <w:ind w:firstLine="716" w:firstLineChars="198"/>
        <w:jc w:val="center"/>
        <w:rPr>
          <w:rFonts w:hint="eastAsia" w:ascii="宋体" w:hAnsi="宋体" w:eastAsia="宋体" w:cs="宋体"/>
          <w:b/>
          <w:bCs/>
          <w:color w:val="000000"/>
          <w:sz w:val="36"/>
          <w:szCs w:val="36"/>
          <w:highlight w:val="none"/>
        </w:rPr>
      </w:pPr>
      <w:r>
        <w:rPr>
          <w:rFonts w:hint="eastAsia" w:ascii="宋体" w:hAnsi="宋体" w:eastAsia="宋体" w:cs="宋体"/>
          <w:b/>
          <w:bCs/>
          <w:color w:val="000000"/>
          <w:sz w:val="36"/>
          <w:szCs w:val="36"/>
        </w:rPr>
        <w:t>二</w:t>
      </w:r>
      <w:r>
        <w:rPr>
          <w:rFonts w:hint="eastAsia" w:ascii="宋体" w:hAnsi="宋体" w:eastAsia="宋体" w:cs="宋体"/>
          <w:b/>
          <w:bCs/>
          <w:color w:val="000000"/>
          <w:sz w:val="36"/>
          <w:szCs w:val="36"/>
          <w:highlight w:val="none"/>
        </w:rPr>
        <w:t>〇</w:t>
      </w:r>
      <w:r>
        <w:rPr>
          <w:rFonts w:hint="eastAsia" w:ascii="宋体" w:hAnsi="宋体" w:eastAsia="宋体" w:cs="宋体"/>
          <w:b/>
          <w:bCs/>
          <w:color w:val="000000"/>
          <w:sz w:val="36"/>
          <w:szCs w:val="36"/>
          <w:highlight w:val="none"/>
          <w:lang w:val="en-US" w:eastAsia="zh-CN"/>
        </w:rPr>
        <w:t>二</w:t>
      </w:r>
      <w:r>
        <w:rPr>
          <w:rFonts w:hint="eastAsia" w:ascii="宋体" w:hAnsi="宋体" w:cs="宋体"/>
          <w:b/>
          <w:bCs/>
          <w:color w:val="000000"/>
          <w:sz w:val="36"/>
          <w:szCs w:val="36"/>
          <w:highlight w:val="none"/>
          <w:lang w:val="en-US" w:eastAsia="zh-CN"/>
        </w:rPr>
        <w:t>四</w:t>
      </w:r>
      <w:r>
        <w:rPr>
          <w:rFonts w:hint="eastAsia" w:ascii="宋体" w:hAnsi="宋体" w:eastAsia="宋体" w:cs="宋体"/>
          <w:b/>
          <w:bCs/>
          <w:color w:val="000000"/>
          <w:sz w:val="36"/>
          <w:szCs w:val="36"/>
          <w:highlight w:val="none"/>
        </w:rPr>
        <w:t>年   月</w:t>
      </w:r>
    </w:p>
    <w:p w14:paraId="7685F710">
      <w:pPr>
        <w:widowControl/>
        <w:jc w:val="left"/>
        <w:rPr>
          <w:rStyle w:val="10"/>
          <w:rFonts w:hint="eastAsia" w:ascii="宋体" w:hAnsi="宋体" w:eastAsia="宋体" w:cs="宋体"/>
          <w:szCs w:val="30"/>
          <w:highlight w:val="none"/>
        </w:rPr>
      </w:pPr>
      <w:r>
        <w:rPr>
          <w:rStyle w:val="10"/>
          <w:rFonts w:hint="eastAsia" w:ascii="宋体" w:hAnsi="宋体" w:eastAsia="宋体" w:cs="宋体"/>
          <w:szCs w:val="30"/>
          <w:highlight w:val="none"/>
        </w:rPr>
        <w:br w:type="page"/>
      </w:r>
    </w:p>
    <w:p w14:paraId="21006B01">
      <w:pPr>
        <w:spacing w:line="480" w:lineRule="exact"/>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供货合同</w:t>
      </w:r>
    </w:p>
    <w:p w14:paraId="1F43F63B">
      <w:pPr>
        <w:spacing w:line="400" w:lineRule="exact"/>
        <w:jc w:val="center"/>
        <w:rPr>
          <w:rFonts w:hint="eastAsia" w:ascii="宋体" w:hAnsi="宋体" w:eastAsia="宋体" w:cs="宋体"/>
          <w:b/>
          <w:bCs/>
          <w:sz w:val="44"/>
          <w:szCs w:val="44"/>
          <w:highlight w:val="none"/>
        </w:rPr>
      </w:pPr>
    </w:p>
    <w:p w14:paraId="53BD68A8">
      <w:pPr>
        <w:tabs>
          <w:tab w:val="center" w:pos="4698"/>
        </w:tabs>
        <w:spacing w:line="360" w:lineRule="auto"/>
        <w:jc w:val="left"/>
        <w:rPr>
          <w:rFonts w:hint="eastAsia" w:ascii="宋体" w:hAnsi="宋体" w:eastAsia="宋体" w:cs="宋体"/>
          <w:sz w:val="24"/>
          <w:szCs w:val="24"/>
          <w:highlight w:val="none"/>
        </w:rPr>
      </w:pPr>
      <w:r>
        <w:rPr>
          <w:rFonts w:hint="eastAsia" w:ascii="宋体" w:hAnsi="宋体" w:eastAsia="宋体" w:cs="宋体"/>
          <w:sz w:val="28"/>
          <w:szCs w:val="28"/>
          <w:highlight w:val="non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000000"/>
          <w:kern w:val="0"/>
          <w:sz w:val="24"/>
          <w:szCs w:val="24"/>
          <w:highlight w:val="none"/>
        </w:rPr>
        <w:t>项目</w:t>
      </w:r>
      <w:r>
        <w:rPr>
          <w:rFonts w:hint="eastAsia" w:ascii="宋体" w:hAnsi="宋体" w:eastAsia="宋体" w:cs="宋体"/>
          <w:color w:val="000000"/>
          <w:kern w:val="0"/>
          <w:sz w:val="24"/>
          <w:szCs w:val="24"/>
          <w:highlight w:val="none"/>
          <w:lang w:val="en-US" w:eastAsia="zh-CN"/>
        </w:rPr>
        <w:t>名称</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(项目编号：</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sz w:val="24"/>
          <w:szCs w:val="24"/>
          <w:highlight w:val="none"/>
        </w:rPr>
        <w:t>)，在</w:t>
      </w:r>
      <w:r>
        <w:rPr>
          <w:rFonts w:hint="eastAsia" w:ascii="宋体" w:hAnsi="宋体" w:eastAsia="宋体" w:cs="宋体"/>
          <w:sz w:val="24"/>
          <w:szCs w:val="24"/>
          <w:highlight w:val="none"/>
          <w:lang w:val="en-US" w:eastAsia="zh-CN"/>
        </w:rPr>
        <w:t>政府采购监督管理机构</w:t>
      </w:r>
      <w:r>
        <w:rPr>
          <w:rFonts w:hint="eastAsia" w:ascii="宋体" w:hAnsi="宋体" w:eastAsia="宋体" w:cs="宋体"/>
          <w:sz w:val="24"/>
          <w:szCs w:val="24"/>
          <w:highlight w:val="none"/>
        </w:rPr>
        <w:t>的监督管理下，由</w:t>
      </w:r>
      <w:bookmarkStart w:id="3" w:name="_GoBack"/>
      <w:bookmarkEnd w:id="3"/>
      <w:r>
        <w:rPr>
          <w:rFonts w:hint="eastAsia" w:ascii="宋体" w:hAnsi="宋体" w:cs="宋体"/>
          <w:sz w:val="24"/>
          <w:szCs w:val="24"/>
          <w:highlight w:val="none"/>
          <w:lang w:eastAsia="zh-CN"/>
        </w:rPr>
        <w:t>陕西易道源项目管理有限公司</w:t>
      </w:r>
      <w:r>
        <w:rPr>
          <w:rFonts w:hint="eastAsia" w:ascii="宋体" w:hAnsi="宋体" w:eastAsia="宋体" w:cs="宋体"/>
          <w:sz w:val="24"/>
          <w:szCs w:val="24"/>
          <w:highlight w:val="none"/>
        </w:rPr>
        <w:t>组织进行</w:t>
      </w:r>
      <w:r>
        <w:rPr>
          <w:rFonts w:hint="eastAsia" w:ascii="宋体" w:hAnsi="宋体" w:eastAsia="宋体" w:cs="宋体"/>
          <w:sz w:val="24"/>
          <w:szCs w:val="24"/>
          <w:highlight w:val="none"/>
          <w:lang w:val="en-US" w:eastAsia="zh-CN"/>
        </w:rPr>
        <w:t>公开招标</w:t>
      </w:r>
      <w:r>
        <w:rPr>
          <w:rFonts w:hint="eastAsia" w:ascii="宋体" w:hAnsi="宋体" w:eastAsia="宋体" w:cs="宋体"/>
          <w:sz w:val="24"/>
          <w:szCs w:val="24"/>
          <w:highlight w:val="none"/>
        </w:rPr>
        <w:t>。依据</w:t>
      </w:r>
      <w:r>
        <w:rPr>
          <w:rFonts w:hint="eastAsia" w:ascii="宋体" w:hAnsi="宋体" w:eastAsia="宋体" w:cs="宋体"/>
          <w:sz w:val="24"/>
          <w:szCs w:val="24"/>
          <w:highlight w:val="none"/>
          <w:lang w:val="en-US" w:eastAsia="zh-CN"/>
        </w:rPr>
        <w:t>评标委员会</w:t>
      </w:r>
      <w:r>
        <w:rPr>
          <w:rFonts w:hint="eastAsia" w:ascii="宋体" w:hAnsi="宋体" w:eastAsia="宋体" w:cs="宋体"/>
          <w:sz w:val="24"/>
          <w:szCs w:val="24"/>
          <w:highlight w:val="none"/>
        </w:rPr>
        <w:t>评审结果，</w:t>
      </w:r>
      <w:r>
        <w:rPr>
          <w:rFonts w:hint="eastAsia" w:ascii="宋体" w:hAnsi="宋体" w:cs="宋体"/>
          <w:sz w:val="24"/>
          <w:szCs w:val="24"/>
          <w:highlight w:val="none"/>
          <w:u w:val="single"/>
          <w:lang w:eastAsia="zh-CN"/>
        </w:rPr>
        <w:t>西安市鄠邑区教育</w:t>
      </w:r>
      <w:r>
        <w:rPr>
          <w:rFonts w:hint="eastAsia" w:ascii="宋体" w:hAnsi="宋体" w:eastAsia="宋体" w:cs="宋体"/>
          <w:sz w:val="24"/>
          <w:szCs w:val="24"/>
          <w:highlight w:val="none"/>
        </w:rPr>
        <w:t>(以下简称“甲方”)确定</w:t>
      </w:r>
      <w:r>
        <w:rPr>
          <w:rFonts w:hint="eastAsia" w:ascii="宋体" w:hAnsi="宋体" w:eastAsia="宋体" w:cs="宋体"/>
          <w:b/>
          <w:bCs/>
          <w:sz w:val="24"/>
          <w:szCs w:val="24"/>
          <w:highlight w:val="none"/>
          <w:u w:val="single"/>
        </w:rPr>
        <w:t xml:space="preserve">           </w:t>
      </w:r>
      <w:r>
        <w:rPr>
          <w:rFonts w:hint="eastAsia" w:ascii="宋体" w:hAnsi="宋体" w:eastAsia="宋体" w:cs="宋体"/>
          <w:sz w:val="24"/>
          <w:szCs w:val="24"/>
          <w:highlight w:val="none"/>
        </w:rPr>
        <w:t>（以下简称“乙方”）为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单位。</w:t>
      </w:r>
    </w:p>
    <w:p w14:paraId="16129DA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依据《中华人民共和国民法典》和《中华人民共和国政府采购法》，经双方协商按下述条款和条件签署本合同。</w:t>
      </w:r>
    </w:p>
    <w:p w14:paraId="5898A1BA">
      <w:pPr>
        <w:widowControl/>
        <w:spacing w:line="360" w:lineRule="auto"/>
        <w:jc w:val="left"/>
        <w:rPr>
          <w:rFonts w:hint="eastAsia" w:ascii="宋体" w:hAnsi="宋体" w:eastAsia="宋体" w:cs="宋体"/>
          <w:b/>
          <w:color w:val="000000"/>
          <w:kern w:val="0"/>
          <w:sz w:val="24"/>
          <w:szCs w:val="24"/>
          <w:highlight w:val="none"/>
        </w:rPr>
      </w:pPr>
      <w:r>
        <w:rPr>
          <w:rFonts w:hint="eastAsia" w:ascii="宋体" w:hAnsi="宋体" w:eastAsia="宋体" w:cs="宋体"/>
          <w:color w:val="000000"/>
          <w:sz w:val="24"/>
          <w:szCs w:val="24"/>
          <w:highlight w:val="none"/>
        </w:rPr>
        <w:t xml:space="preserve">    一、</w:t>
      </w:r>
      <w:r>
        <w:rPr>
          <w:rFonts w:hint="eastAsia" w:ascii="宋体" w:hAnsi="宋体" w:eastAsia="宋体" w:cs="宋体"/>
          <w:b/>
          <w:color w:val="000000"/>
          <w:kern w:val="0"/>
          <w:sz w:val="24"/>
          <w:szCs w:val="24"/>
          <w:highlight w:val="none"/>
        </w:rPr>
        <w:t>合同价款</w:t>
      </w:r>
      <w:r>
        <w:rPr>
          <w:rFonts w:hint="eastAsia" w:ascii="宋体" w:hAnsi="宋体" w:eastAsia="宋体" w:cs="宋体"/>
          <w:b/>
          <w:color w:val="000000"/>
          <w:kern w:val="0"/>
          <w:sz w:val="24"/>
          <w:szCs w:val="24"/>
          <w:highlight w:val="none"/>
        </w:rPr>
        <w:br w:type="textWrapping"/>
      </w:r>
      <w:r>
        <w:rPr>
          <w:rFonts w:hint="eastAsia" w:ascii="宋体" w:hAnsi="宋体" w:eastAsia="宋体" w:cs="宋体"/>
          <w:b/>
          <w:color w:val="000000"/>
          <w:kern w:val="0"/>
          <w:sz w:val="24"/>
          <w:szCs w:val="24"/>
          <w:highlight w:val="none"/>
        </w:rPr>
        <w:t xml:space="preserve">    </w:t>
      </w:r>
      <w:r>
        <w:rPr>
          <w:rFonts w:hint="eastAsia" w:ascii="宋体" w:hAnsi="宋体" w:eastAsia="宋体" w:cs="宋体"/>
          <w:color w:val="000000"/>
          <w:kern w:val="0"/>
          <w:sz w:val="24"/>
          <w:szCs w:val="24"/>
          <w:highlight w:val="none"/>
        </w:rPr>
        <w:t xml:space="preserve">1、合同总价款：人民币(大写)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b/>
          <w:bCs/>
          <w:sz w:val="24"/>
          <w:szCs w:val="24"/>
          <w:highlight w:val="none"/>
          <w:u w:val="single"/>
        </w:rPr>
        <w:t>（￥        元）</w:t>
      </w:r>
      <w:r>
        <w:rPr>
          <w:rFonts w:hint="eastAsia" w:ascii="宋体" w:hAnsi="宋体" w:eastAsia="宋体" w:cs="宋体"/>
          <w:color w:val="000000"/>
          <w:kern w:val="0"/>
          <w:sz w:val="24"/>
          <w:szCs w:val="24"/>
          <w:highlight w:val="none"/>
        </w:rPr>
        <w:t>。</w:t>
      </w:r>
    </w:p>
    <w:p w14:paraId="4690327F">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2、合同总价包括：设备价、运输费、保险费、安装费、调试费、培训费、产品辅材费、售后服务费、验收费、税费、其他伴随费用。 </w:t>
      </w:r>
    </w:p>
    <w:p w14:paraId="5EB2695A">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3、合同总价一次性包死，不受市场价格变化因素的影响。</w:t>
      </w:r>
    </w:p>
    <w:p w14:paraId="7A5896E7">
      <w:pPr>
        <w:widowControl/>
        <w:spacing w:line="360" w:lineRule="auto"/>
        <w:ind w:firstLine="482" w:firstLineChars="200"/>
        <w:jc w:val="left"/>
        <w:rPr>
          <w:rFonts w:hint="eastAsia" w:ascii="宋体" w:hAnsi="宋体" w:eastAsia="宋体" w:cs="宋体"/>
          <w:bCs/>
          <w:color w:val="000000"/>
          <w:kern w:val="0"/>
          <w:sz w:val="24"/>
          <w:szCs w:val="24"/>
          <w:highlight w:val="none"/>
        </w:rPr>
      </w:pPr>
      <w:r>
        <w:rPr>
          <w:rFonts w:hint="eastAsia" w:ascii="宋体" w:hAnsi="宋体" w:eastAsia="宋体" w:cs="宋体"/>
          <w:b/>
          <w:color w:val="000000"/>
          <w:kern w:val="0"/>
          <w:sz w:val="24"/>
          <w:szCs w:val="24"/>
          <w:highlight w:val="none"/>
        </w:rPr>
        <w:t>二、设备清单</w:t>
      </w:r>
      <w:r>
        <w:rPr>
          <w:rFonts w:hint="eastAsia" w:ascii="宋体" w:hAnsi="宋体" w:eastAsia="宋体" w:cs="宋体"/>
          <w:bCs/>
          <w:color w:val="000000"/>
          <w:kern w:val="0"/>
          <w:sz w:val="24"/>
          <w:szCs w:val="24"/>
          <w:highlight w:val="none"/>
        </w:rPr>
        <w:t>（附后）</w:t>
      </w:r>
    </w:p>
    <w:p w14:paraId="5AF4E99C">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三、交货条件</w:t>
      </w:r>
    </w:p>
    <w:p w14:paraId="1A819CB2">
      <w:pPr>
        <w:widowControl/>
        <w:spacing w:line="360" w:lineRule="auto"/>
        <w:ind w:left="567"/>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1、交货地点：甲方指定地点</w:t>
      </w:r>
    </w:p>
    <w:p w14:paraId="4C1514E7">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bCs/>
          <w:color w:val="000000"/>
          <w:kern w:val="0"/>
          <w:sz w:val="24"/>
          <w:szCs w:val="24"/>
          <w:highlight w:val="none"/>
        </w:rPr>
        <w:t>2、</w:t>
      </w:r>
      <w:r>
        <w:rPr>
          <w:rFonts w:hint="eastAsia" w:ascii="宋体" w:hAnsi="宋体" w:eastAsia="宋体" w:cs="宋体"/>
          <w:color w:val="000000"/>
          <w:kern w:val="0"/>
          <w:sz w:val="24"/>
          <w:szCs w:val="24"/>
          <w:highlight w:val="none"/>
        </w:rPr>
        <w:t>交货安装期：合同签订后</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个日历日内完成货物的交货、安装、调试并正常运行。每延误一天，甲方按合同总价的1%对乙方处以罚金，罚金最多不超过合同总价的10%。若乙方延迟交货晚于合同规定时间</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天以上，甲方有权取消其供货合同，</w:t>
      </w:r>
      <w:r>
        <w:rPr>
          <w:rFonts w:hint="eastAsia" w:ascii="宋体" w:hAnsi="宋体" w:eastAsia="宋体" w:cs="宋体"/>
          <w:sz w:val="24"/>
          <w:szCs w:val="24"/>
          <w:highlight w:val="none"/>
        </w:rPr>
        <w:t>由此造成的后果由乙方承担</w:t>
      </w:r>
      <w:r>
        <w:rPr>
          <w:rFonts w:hint="eastAsia" w:ascii="宋体" w:hAnsi="宋体" w:eastAsia="宋体" w:cs="宋体"/>
          <w:color w:val="000000"/>
          <w:kern w:val="0"/>
          <w:sz w:val="24"/>
          <w:szCs w:val="24"/>
          <w:highlight w:val="none"/>
        </w:rPr>
        <w:t>。</w:t>
      </w:r>
    </w:p>
    <w:p w14:paraId="6A4F9583">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四、运输</w:t>
      </w:r>
    </w:p>
    <w:p w14:paraId="034403F6">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1、运输由乙方负责，运杂费已包含在合同总价内，包括从货物供应地点所含的运输费、装卸费、仓储费、保险费等。</w:t>
      </w:r>
    </w:p>
    <w:p w14:paraId="7B2F4B7C">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2、运输方式由乙方自行选择，但必须保证按时交货。</w:t>
      </w:r>
    </w:p>
    <w:p w14:paraId="6D020207">
      <w:pPr>
        <w:pStyle w:val="6"/>
        <w:spacing w:line="360" w:lineRule="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rPr>
        <w:t>五、验收</w:t>
      </w:r>
    </w:p>
    <w:p w14:paraId="29AE7BAA">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1、验收依据：</w:t>
      </w:r>
      <w:r>
        <w:rPr>
          <w:rFonts w:hint="eastAsia" w:ascii="宋体" w:hAnsi="宋体" w:eastAsia="宋体" w:cs="宋体"/>
          <w:color w:val="000000"/>
          <w:kern w:val="0"/>
          <w:sz w:val="24"/>
          <w:szCs w:val="24"/>
          <w:highlight w:val="none"/>
          <w:lang w:val="en-US" w:eastAsia="zh-CN"/>
        </w:rPr>
        <w:t>竞争性磋商</w:t>
      </w:r>
      <w:r>
        <w:rPr>
          <w:rFonts w:hint="eastAsia" w:ascii="宋体" w:hAnsi="宋体" w:eastAsia="宋体" w:cs="宋体"/>
          <w:color w:val="000000"/>
          <w:kern w:val="0"/>
          <w:sz w:val="24"/>
          <w:szCs w:val="24"/>
          <w:highlight w:val="none"/>
        </w:rPr>
        <w:t>文件、</w:t>
      </w:r>
      <w:r>
        <w:rPr>
          <w:rFonts w:hint="eastAsia" w:ascii="宋体" w:hAnsi="宋体" w:eastAsia="宋体" w:cs="宋体"/>
          <w:color w:val="000000"/>
          <w:kern w:val="0"/>
          <w:sz w:val="24"/>
          <w:szCs w:val="24"/>
          <w:highlight w:val="none"/>
          <w:lang w:val="en-US" w:eastAsia="zh-CN"/>
        </w:rPr>
        <w:t>响应</w:t>
      </w:r>
      <w:r>
        <w:rPr>
          <w:rFonts w:hint="eastAsia" w:ascii="宋体" w:hAnsi="宋体" w:eastAsia="宋体" w:cs="宋体"/>
          <w:color w:val="000000"/>
          <w:kern w:val="0"/>
          <w:sz w:val="24"/>
          <w:szCs w:val="24"/>
          <w:highlight w:val="none"/>
        </w:rPr>
        <w:t>文件、澄清表（函）；本合同及附件文本；国家相应的标准、规范。</w:t>
      </w:r>
    </w:p>
    <w:p w14:paraId="452B9875">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2、乙方提供的设备必须完全满足</w:t>
      </w:r>
      <w:r>
        <w:rPr>
          <w:rFonts w:hint="eastAsia" w:ascii="宋体" w:hAnsi="宋体" w:eastAsia="宋体" w:cs="宋体"/>
          <w:color w:val="000000"/>
          <w:kern w:val="0"/>
          <w:sz w:val="24"/>
          <w:szCs w:val="24"/>
          <w:highlight w:val="none"/>
          <w:lang w:val="en-US" w:eastAsia="zh-CN"/>
        </w:rPr>
        <w:t>竞争性磋商</w:t>
      </w:r>
      <w:r>
        <w:rPr>
          <w:rFonts w:hint="eastAsia" w:ascii="宋体" w:hAnsi="宋体" w:eastAsia="宋体" w:cs="宋体"/>
          <w:color w:val="000000"/>
          <w:kern w:val="0"/>
          <w:sz w:val="24"/>
          <w:szCs w:val="24"/>
          <w:highlight w:val="none"/>
        </w:rPr>
        <w:t>文件技术需求及</w:t>
      </w:r>
      <w:r>
        <w:rPr>
          <w:rFonts w:hint="eastAsia" w:ascii="宋体" w:hAnsi="宋体" w:eastAsia="宋体" w:cs="宋体"/>
          <w:color w:val="000000"/>
          <w:kern w:val="0"/>
          <w:sz w:val="24"/>
          <w:szCs w:val="24"/>
          <w:highlight w:val="none"/>
          <w:lang w:val="en-US" w:eastAsia="zh-CN"/>
        </w:rPr>
        <w:t>磋商</w:t>
      </w:r>
      <w:r>
        <w:rPr>
          <w:rFonts w:hint="eastAsia" w:ascii="宋体" w:hAnsi="宋体" w:eastAsia="宋体" w:cs="宋体"/>
          <w:color w:val="000000"/>
          <w:kern w:val="0"/>
          <w:sz w:val="24"/>
          <w:szCs w:val="24"/>
          <w:highlight w:val="none"/>
        </w:rPr>
        <w:t>响应文件。</w:t>
      </w:r>
    </w:p>
    <w:p w14:paraId="7C0C5E6E">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3、验收不合格，乙方必须在接到甲方通知后</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个日历日内确保货物通过验收。若接到通知后</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个日历日内验收仍不合格，甲方有权取消其供货合同，并按合同总额的10%对乙方处以罚金。</w:t>
      </w:r>
    </w:p>
    <w:p w14:paraId="3F5658D2">
      <w:pPr>
        <w:widowControl/>
        <w:spacing w:line="360" w:lineRule="auto"/>
        <w:ind w:firstLine="482" w:firstLineChars="200"/>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六、质量保证</w:t>
      </w:r>
    </w:p>
    <w:p w14:paraId="73313336">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1、自验收合格之日起，质保期</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w:t>
      </w:r>
    </w:p>
    <w:p w14:paraId="3E7E8460">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2、所有产品质量符合国家、行业相关规范和标准要求。所有设备及辅材是未使用过的新产品，质量优良、渠道正当，配置合理。</w:t>
      </w:r>
    </w:p>
    <w:p w14:paraId="32247BDB">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3、质保期内出现的质量问题由乙方负责解决并承担所有费用。质保期后如需更换零部件，乙方以成本价提供。</w:t>
      </w:r>
    </w:p>
    <w:p w14:paraId="7892B17B">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七、技术培训</w:t>
      </w:r>
    </w:p>
    <w:p w14:paraId="0DEDC292">
      <w:pPr>
        <w:pStyle w:val="6"/>
        <w:spacing w:line="360" w:lineRule="auto"/>
        <w:ind w:firstLine="537" w:firstLineChars="224"/>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1、技术资料：</w:t>
      </w:r>
    </w:p>
    <w:p w14:paraId="4BB19F2C">
      <w:pPr>
        <w:adjustRightInd w:val="0"/>
        <w:snapToGrid w:val="0"/>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（1）产品合格证；</w:t>
      </w:r>
    </w:p>
    <w:p w14:paraId="24804069">
      <w:pPr>
        <w:adjustRightInd w:val="0"/>
        <w:snapToGrid w:val="0"/>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（2）产品使用说明书；</w:t>
      </w:r>
    </w:p>
    <w:p w14:paraId="553C0134">
      <w:pPr>
        <w:adjustRightInd w:val="0"/>
        <w:snapToGrid w:val="0"/>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（3）厂家对该产品的出厂配置清单</w:t>
      </w:r>
    </w:p>
    <w:p w14:paraId="295392AC">
      <w:pPr>
        <w:adjustRightInd w:val="0"/>
        <w:snapToGrid w:val="0"/>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（4）其它相关资料。</w:t>
      </w:r>
    </w:p>
    <w:p w14:paraId="5D68BC5E">
      <w:pPr>
        <w:pStyle w:val="6"/>
        <w:spacing w:line="360" w:lineRule="auto"/>
        <w:ind w:firstLine="537" w:firstLineChars="224"/>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2、乙方负责为使用单位的设备管理人员提供设备操作和使用维护等方面的培训，确保其了解设备工作原理，熟悉设备的使用、维护方法，掌握各种设备的初始化及故障诊断、定位和排除技能。</w:t>
      </w:r>
    </w:p>
    <w:p w14:paraId="109A426C">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八、售后服务</w:t>
      </w:r>
    </w:p>
    <w:p w14:paraId="3E6B89C2">
      <w:pPr>
        <w:widowControl/>
        <w:spacing w:line="360" w:lineRule="auto"/>
        <w:ind w:firstLine="480" w:firstLineChars="200"/>
        <w:jc w:val="left"/>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1、乙方按照国家有关法律法规和“三包”规定以及招标文件要求和投标文件的“服务承诺”提供服务。</w:t>
      </w:r>
    </w:p>
    <w:p w14:paraId="401346E2">
      <w:pPr>
        <w:widowControl/>
        <w:spacing w:line="360" w:lineRule="auto"/>
        <w:ind w:firstLine="480" w:firstLineChars="200"/>
        <w:jc w:val="left"/>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2、若设备发生故障，乙方</w:t>
      </w:r>
      <w:r>
        <w:rPr>
          <w:rFonts w:hint="eastAsia" w:ascii="宋体" w:hAnsi="宋体" w:eastAsia="宋体" w:cs="宋体"/>
          <w:bCs/>
          <w:color w:val="000000"/>
          <w:kern w:val="0"/>
          <w:sz w:val="24"/>
          <w:szCs w:val="24"/>
          <w:highlight w:val="none"/>
          <w:lang w:val="en-US" w:eastAsia="zh-CN"/>
        </w:rPr>
        <w:t>2</w:t>
      </w:r>
      <w:r>
        <w:rPr>
          <w:rFonts w:hint="eastAsia" w:ascii="宋体" w:hAnsi="宋体" w:eastAsia="宋体" w:cs="宋体"/>
          <w:bCs/>
          <w:color w:val="000000"/>
          <w:kern w:val="0"/>
          <w:sz w:val="24"/>
          <w:szCs w:val="24"/>
          <w:highlight w:val="none"/>
        </w:rPr>
        <w:t>分钟内响应，</w:t>
      </w:r>
      <w:r>
        <w:rPr>
          <w:rFonts w:hint="eastAsia" w:ascii="宋体" w:hAnsi="宋体" w:eastAsia="宋体" w:cs="宋体"/>
          <w:bCs/>
          <w:color w:val="000000"/>
          <w:kern w:val="0"/>
          <w:sz w:val="24"/>
          <w:szCs w:val="24"/>
          <w:highlight w:val="none"/>
          <w:lang w:val="en-US" w:eastAsia="zh-CN"/>
        </w:rPr>
        <w:t>8</w:t>
      </w:r>
      <w:r>
        <w:rPr>
          <w:rFonts w:hint="eastAsia" w:ascii="宋体" w:hAnsi="宋体" w:eastAsia="宋体" w:cs="宋体"/>
          <w:bCs/>
          <w:color w:val="000000"/>
          <w:kern w:val="0"/>
          <w:sz w:val="24"/>
          <w:szCs w:val="24"/>
          <w:highlight w:val="none"/>
        </w:rPr>
        <w:t>小时内到达现场,12小时内解决问题。</w:t>
      </w:r>
    </w:p>
    <w:p w14:paraId="3D0D5381">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九、违约责任</w:t>
      </w:r>
    </w:p>
    <w:p w14:paraId="743DDF73">
      <w:pPr>
        <w:widowControl/>
        <w:spacing w:line="360" w:lineRule="auto"/>
        <w:ind w:firstLine="480" w:firstLineChars="200"/>
        <w:jc w:val="left"/>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1、按《中华人民共和国民法典》中的相关条款执行。</w:t>
      </w:r>
    </w:p>
    <w:p w14:paraId="110C68DC">
      <w:pPr>
        <w:widowControl/>
        <w:spacing w:line="360" w:lineRule="auto"/>
        <w:ind w:firstLine="480" w:firstLineChars="200"/>
        <w:jc w:val="left"/>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乙方未按合同要求提供产品或设备质量不能满足要求，乙方必须无条件更换产品或设备，提高技术，完善质量，否则，甲方会同鉴证方有权终止合同，并对乙方的违约行为进行追究，同时按《政府采购法》和西安市政府采购</w:t>
      </w:r>
      <w:r>
        <w:rPr>
          <w:rFonts w:hint="eastAsia" w:ascii="宋体" w:hAnsi="宋体" w:eastAsia="宋体" w:cs="宋体"/>
          <w:bCs/>
          <w:color w:val="000000"/>
          <w:kern w:val="0"/>
          <w:sz w:val="24"/>
          <w:szCs w:val="24"/>
          <w:highlight w:val="none"/>
          <w:lang w:eastAsia="zh-CN"/>
        </w:rPr>
        <w:t>投标人</w:t>
      </w:r>
      <w:r>
        <w:rPr>
          <w:rFonts w:hint="eastAsia" w:ascii="宋体" w:hAnsi="宋体" w:eastAsia="宋体" w:cs="宋体"/>
          <w:bCs/>
          <w:color w:val="000000"/>
          <w:kern w:val="0"/>
          <w:sz w:val="24"/>
          <w:szCs w:val="24"/>
          <w:highlight w:val="none"/>
        </w:rPr>
        <w:t>管理办法进行相应的处罚。</w:t>
      </w:r>
    </w:p>
    <w:p w14:paraId="1291D679">
      <w:pPr>
        <w:widowControl/>
        <w:spacing w:line="360" w:lineRule="auto"/>
        <w:ind w:firstLine="482"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十、货款结算</w:t>
      </w:r>
    </w:p>
    <w:p w14:paraId="544909A7">
      <w:pPr>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r>
        <w:rPr>
          <w:rFonts w:hint="eastAsia" w:ascii="宋体" w:hAnsi="宋体" w:eastAsia="宋体" w:cs="宋体"/>
          <w:bCs/>
          <w:sz w:val="24"/>
          <w:highlight w:val="none"/>
        </w:rPr>
        <w:t>合同签订，付</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rPr>
        <w:t>%预付款，</w:t>
      </w:r>
      <w:r>
        <w:rPr>
          <w:rFonts w:hint="eastAsia" w:ascii="宋体" w:hAnsi="宋体" w:eastAsia="宋体" w:cs="宋体"/>
          <w:color w:val="000000"/>
          <w:kern w:val="0"/>
          <w:sz w:val="24"/>
          <w:szCs w:val="24"/>
          <w:highlight w:val="none"/>
        </w:rPr>
        <w:t>所有货物到达甲方指定地点，安装、调试完毕，验收合格并完成操作人员培训后，支付合同总价款的</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rPr>
        <w:t>%</w:t>
      </w:r>
      <w:r>
        <w:rPr>
          <w:rFonts w:hint="eastAsia" w:ascii="宋体" w:hAnsi="宋体" w:eastAsia="宋体" w:cs="宋体"/>
          <w:color w:val="000000"/>
          <w:kern w:val="0"/>
          <w:sz w:val="24"/>
          <w:szCs w:val="24"/>
          <w:highlight w:val="none"/>
        </w:rPr>
        <w:t>。</w:t>
      </w:r>
    </w:p>
    <w:p w14:paraId="572588A0">
      <w:pPr>
        <w:snapToGrid w:val="0"/>
        <w:spacing w:line="360" w:lineRule="auto"/>
        <w:ind w:left="420"/>
        <w:textAlignment w:val="baseline"/>
        <w:rPr>
          <w:rFonts w:hint="eastAsia" w:ascii="宋体" w:hAnsi="宋体" w:eastAsia="宋体" w:cs="宋体"/>
          <w:bCs/>
          <w:sz w:val="24"/>
          <w:highlight w:val="none"/>
        </w:rPr>
      </w:pPr>
      <w:r>
        <w:rPr>
          <w:rFonts w:hint="eastAsia" w:ascii="宋体" w:hAnsi="宋体" w:eastAsia="宋体" w:cs="宋体"/>
          <w:bCs/>
          <w:color w:val="000000"/>
          <w:kern w:val="0"/>
          <w:sz w:val="24"/>
          <w:szCs w:val="24"/>
          <w:highlight w:val="none"/>
        </w:rPr>
        <w:t>2、</w:t>
      </w:r>
      <w:r>
        <w:rPr>
          <w:rFonts w:hint="eastAsia" w:ascii="宋体" w:hAnsi="宋体" w:eastAsia="宋体" w:cs="宋体"/>
          <w:bCs/>
          <w:sz w:val="24"/>
          <w:highlight w:val="none"/>
        </w:rPr>
        <w:t>履约保证金：合同签订前，由中标</w:t>
      </w:r>
      <w:r>
        <w:rPr>
          <w:rFonts w:hint="eastAsia" w:ascii="宋体" w:hAnsi="宋体" w:eastAsia="宋体" w:cs="宋体"/>
          <w:bCs/>
          <w:sz w:val="24"/>
          <w:highlight w:val="none"/>
          <w:lang w:eastAsia="zh-CN"/>
        </w:rPr>
        <w:t>投标人</w:t>
      </w:r>
      <w:r>
        <w:rPr>
          <w:rFonts w:hint="eastAsia" w:ascii="宋体" w:hAnsi="宋体" w:eastAsia="宋体" w:cs="宋体"/>
          <w:bCs/>
          <w:sz w:val="24"/>
          <w:highlight w:val="none"/>
        </w:rPr>
        <w:t>支付</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rPr>
        <w:t>%的履约保证金，项目完成履约保证金转为质保金，质保期满无质量问题无息退还。</w:t>
      </w:r>
    </w:p>
    <w:p w14:paraId="63F8E921">
      <w:pPr>
        <w:widowControl/>
        <w:tabs>
          <w:tab w:val="left" w:pos="3150"/>
        </w:tabs>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3、支付方式：银行转账。</w:t>
      </w:r>
    </w:p>
    <w:p w14:paraId="0C21D773">
      <w:pPr>
        <w:widowControl/>
        <w:tabs>
          <w:tab w:val="left" w:pos="3150"/>
        </w:tabs>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4、结算方式：付款时，乙方持发票、项目验收单，到甲方办理资金结算。</w:t>
      </w:r>
    </w:p>
    <w:p w14:paraId="0CE4ED4B">
      <w:pPr>
        <w:widowControl/>
        <w:spacing w:line="360" w:lineRule="auto"/>
        <w:jc w:val="left"/>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 xml:space="preserve">    十一、争议的解决 </w:t>
      </w:r>
    </w:p>
    <w:p w14:paraId="5F1EBE31">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本合同发生纠纷，甲乙双方应当及时协商解决，协商不成时，任何一方均可向合同签订地人民法院提起诉讼。</w:t>
      </w:r>
    </w:p>
    <w:p w14:paraId="73CD663B">
      <w:pPr>
        <w:widowControl/>
        <w:spacing w:line="360" w:lineRule="auto"/>
        <w:ind w:firstLine="482" w:firstLineChars="200"/>
        <w:jc w:val="left"/>
        <w:rPr>
          <w:rFonts w:hint="eastAsia" w:ascii="宋体" w:hAnsi="宋体" w:eastAsia="宋体" w:cs="宋体"/>
          <w:color w:val="000000"/>
          <w:kern w:val="0"/>
          <w:sz w:val="24"/>
          <w:szCs w:val="24"/>
          <w:highlight w:val="none"/>
        </w:rPr>
      </w:pPr>
      <w:r>
        <w:rPr>
          <w:rFonts w:hint="eastAsia" w:ascii="宋体" w:hAnsi="宋体" w:eastAsia="宋体" w:cs="宋体"/>
          <w:b/>
          <w:color w:val="000000"/>
          <w:kern w:val="0"/>
          <w:sz w:val="24"/>
          <w:szCs w:val="24"/>
          <w:highlight w:val="none"/>
        </w:rPr>
        <w:t xml:space="preserve">十二、其他事项 </w:t>
      </w:r>
      <w:r>
        <w:rPr>
          <w:rFonts w:hint="eastAsia" w:ascii="宋体" w:hAnsi="宋体" w:eastAsia="宋体" w:cs="宋体"/>
          <w:b/>
          <w:color w:val="000000"/>
          <w:kern w:val="0"/>
          <w:sz w:val="24"/>
          <w:szCs w:val="24"/>
          <w:highlight w:val="none"/>
        </w:rPr>
        <w:br w:type="textWrapping"/>
      </w:r>
      <w:r>
        <w:rPr>
          <w:rFonts w:hint="eastAsia" w:ascii="宋体" w:hAnsi="宋体" w:eastAsia="宋体" w:cs="宋体"/>
          <w:color w:val="000000"/>
          <w:kern w:val="0"/>
          <w:sz w:val="24"/>
          <w:szCs w:val="24"/>
          <w:highlight w:val="none"/>
        </w:rPr>
        <w:t xml:space="preserve">    1、合同未尽事宜，由甲、乙双方协商，经鉴证方确认后，作为合同补充，与原合同具有同等法律效力。</w:t>
      </w:r>
    </w:p>
    <w:p w14:paraId="7D51D801">
      <w:pPr>
        <w:widowControl/>
        <w:spacing w:line="360" w:lineRule="auto"/>
        <w:ind w:firstLine="480" w:firstLineChars="200"/>
        <w:jc w:val="left"/>
        <w:rPr>
          <w:rFonts w:hint="eastAsia" w:ascii="宋体" w:hAnsi="宋体" w:eastAsia="宋体" w:cs="宋体"/>
          <w:b/>
          <w:color w:val="000000"/>
          <w:kern w:val="0"/>
          <w:sz w:val="24"/>
          <w:szCs w:val="24"/>
          <w:highlight w:val="none"/>
        </w:rPr>
      </w:pPr>
      <w:r>
        <w:rPr>
          <w:rFonts w:hint="eastAsia" w:ascii="宋体" w:hAnsi="宋体" w:eastAsia="宋体" w:cs="宋体"/>
          <w:color w:val="000000"/>
          <w:kern w:val="0"/>
          <w:sz w:val="24"/>
          <w:szCs w:val="24"/>
          <w:highlight w:val="none"/>
        </w:rPr>
        <w:t>2、本合同一式肆份，甲方贰份，乙方壹份，代理公司壹份，鉴证方壹份，甲、乙方签字盖章后生效，合同执行完毕后，自动失效（合同的服务承诺则长期有效）。</w:t>
      </w:r>
    </w:p>
    <w:p w14:paraId="41369757">
      <w:pPr>
        <w:widowControl/>
        <w:tabs>
          <w:tab w:val="left" w:pos="1980"/>
          <w:tab w:val="left" w:pos="2880"/>
          <w:tab w:val="left" w:pos="3420"/>
        </w:tabs>
        <w:spacing w:line="360" w:lineRule="auto"/>
        <w:ind w:right="-153" w:rightChars="-73"/>
        <w:jc w:val="left"/>
        <w:rPr>
          <w:rFonts w:hint="eastAsia" w:ascii="宋体" w:hAnsi="宋体" w:eastAsia="宋体" w:cs="宋体"/>
          <w:color w:val="000000"/>
          <w:kern w:val="0"/>
          <w:sz w:val="24"/>
          <w:szCs w:val="24"/>
          <w:highlight w:val="none"/>
        </w:rPr>
      </w:pPr>
    </w:p>
    <w:p w14:paraId="7A1A6B69">
      <w:pPr>
        <w:pStyle w:val="5"/>
        <w:rPr>
          <w:rFonts w:hint="eastAsia" w:ascii="宋体" w:hAnsi="宋体" w:eastAsia="宋体" w:cs="宋体"/>
          <w:color w:val="000000"/>
          <w:kern w:val="0"/>
          <w:sz w:val="24"/>
          <w:szCs w:val="24"/>
          <w:highlight w:val="none"/>
        </w:rPr>
      </w:pPr>
    </w:p>
    <w:p w14:paraId="09BB5ED2">
      <w:pPr>
        <w:rPr>
          <w:rFonts w:hint="eastAsia" w:ascii="宋体" w:hAnsi="宋体" w:eastAsia="宋体" w:cs="宋体"/>
          <w:color w:val="000000"/>
          <w:kern w:val="0"/>
          <w:sz w:val="24"/>
          <w:szCs w:val="24"/>
          <w:highlight w:val="none"/>
        </w:rPr>
      </w:pPr>
    </w:p>
    <w:p w14:paraId="3A24934D">
      <w:pPr>
        <w:pStyle w:val="5"/>
        <w:rPr>
          <w:rFonts w:hint="eastAsia" w:ascii="宋体" w:hAnsi="宋体" w:eastAsia="宋体" w:cs="宋体"/>
          <w:highlight w:val="none"/>
        </w:rPr>
      </w:pPr>
    </w:p>
    <w:p w14:paraId="5A7EA501">
      <w:pPr>
        <w:widowControl/>
        <w:tabs>
          <w:tab w:val="left" w:pos="1980"/>
          <w:tab w:val="left" w:pos="4545"/>
        </w:tabs>
        <w:spacing w:line="360" w:lineRule="auto"/>
        <w:ind w:left="178" w:leftChars="85" w:right="-153" w:rightChars="-73"/>
        <w:jc w:val="left"/>
        <w:rPr>
          <w:rFonts w:hint="eastAsia" w:ascii="宋体" w:hAnsi="宋体" w:eastAsia="宋体" w:cs="宋体"/>
          <w:b/>
          <w:bCs/>
          <w:color w:val="000000"/>
          <w:kern w:val="0"/>
          <w:sz w:val="24"/>
          <w:szCs w:val="24"/>
          <w:highlight w:val="none"/>
        </w:rPr>
      </w:pPr>
      <w:r>
        <w:rPr>
          <w:rFonts w:hint="eastAsia" w:ascii="宋体" w:hAnsi="宋体" w:eastAsia="宋体" w:cs="宋体"/>
          <w:color w:val="000000"/>
          <w:kern w:val="0"/>
          <w:sz w:val="24"/>
          <w:szCs w:val="24"/>
          <w:highlight w:val="none"/>
        </w:rPr>
        <w:t xml:space="preserve"> </w:t>
      </w:r>
      <w:r>
        <w:rPr>
          <w:rFonts w:hint="eastAsia" w:ascii="宋体" w:hAnsi="宋体" w:eastAsia="宋体" w:cs="宋体"/>
          <w:b/>
          <w:bCs/>
          <w:color w:val="000000"/>
          <w:kern w:val="0"/>
          <w:sz w:val="24"/>
          <w:szCs w:val="24"/>
          <w:highlight w:val="none"/>
        </w:rPr>
        <w:t xml:space="preserve">甲  方：                        </w:t>
      </w:r>
      <w:r>
        <w:rPr>
          <w:rFonts w:hint="eastAsia" w:ascii="宋体" w:hAnsi="宋体" w:eastAsia="宋体" w:cs="宋体"/>
          <w:b/>
          <w:bCs/>
          <w:sz w:val="24"/>
          <w:szCs w:val="24"/>
          <w:highlight w:val="none"/>
        </w:rPr>
        <w:t xml:space="preserve">  </w:t>
      </w:r>
      <w:r>
        <w:rPr>
          <w:rFonts w:hint="eastAsia" w:ascii="宋体" w:hAnsi="宋体" w:eastAsia="宋体" w:cs="宋体"/>
          <w:b/>
          <w:bCs/>
          <w:color w:val="000000"/>
          <w:kern w:val="0"/>
          <w:sz w:val="24"/>
          <w:szCs w:val="24"/>
          <w:highlight w:val="none"/>
        </w:rPr>
        <w:t xml:space="preserve">乙  方: </w:t>
      </w:r>
    </w:p>
    <w:p w14:paraId="2386B2AD">
      <w:pPr>
        <w:widowControl/>
        <w:tabs>
          <w:tab w:val="left" w:pos="1980"/>
          <w:tab w:val="left" w:pos="4545"/>
        </w:tabs>
        <w:spacing w:line="360" w:lineRule="auto"/>
        <w:ind w:left="178" w:leftChars="85" w:right="-153" w:rightChars="-73" w:firstLine="118" w:firstLineChars="49"/>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盖  章：                          盖  章：</w:t>
      </w:r>
    </w:p>
    <w:p w14:paraId="1C8F4556">
      <w:pPr>
        <w:widowControl/>
        <w:tabs>
          <w:tab w:val="left" w:pos="1980"/>
          <w:tab w:val="left" w:pos="4545"/>
        </w:tabs>
        <w:spacing w:line="360" w:lineRule="auto"/>
        <w:ind w:left="178" w:leftChars="85" w:right="-153" w:rightChars="-73" w:firstLine="118" w:firstLineChars="49"/>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法  人：                          法  人：</w:t>
      </w:r>
    </w:p>
    <w:p w14:paraId="7B213053">
      <w:pPr>
        <w:widowControl/>
        <w:tabs>
          <w:tab w:val="left" w:pos="1980"/>
          <w:tab w:val="left" w:pos="4545"/>
        </w:tabs>
        <w:spacing w:line="360" w:lineRule="auto"/>
        <w:ind w:left="178" w:leftChars="85" w:right="-153" w:rightChars="-73" w:firstLine="118" w:firstLineChars="49"/>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代表人：</w:t>
      </w:r>
      <w:r>
        <w:rPr>
          <w:rFonts w:hint="eastAsia" w:ascii="宋体" w:hAnsi="宋体" w:eastAsia="宋体" w:cs="宋体"/>
          <w:b/>
          <w:bCs/>
          <w:color w:val="000000"/>
          <w:kern w:val="0"/>
          <w:sz w:val="24"/>
          <w:szCs w:val="24"/>
          <w:highlight w:val="none"/>
        </w:rPr>
        <w:tab/>
      </w:r>
      <w:r>
        <w:rPr>
          <w:rFonts w:hint="eastAsia" w:ascii="宋体" w:hAnsi="宋体" w:eastAsia="宋体" w:cs="宋体"/>
          <w:b/>
          <w:bCs/>
          <w:color w:val="000000"/>
          <w:kern w:val="0"/>
          <w:sz w:val="24"/>
          <w:szCs w:val="24"/>
          <w:highlight w:val="none"/>
        </w:rPr>
        <w:t xml:space="preserve">                    代表人：  </w:t>
      </w:r>
    </w:p>
    <w:p w14:paraId="3CECCBE6">
      <w:pPr>
        <w:widowControl/>
        <w:tabs>
          <w:tab w:val="left" w:pos="1980"/>
          <w:tab w:val="left" w:pos="4545"/>
        </w:tabs>
        <w:spacing w:line="360" w:lineRule="auto"/>
        <w:ind w:left="178" w:leftChars="85" w:right="-153" w:rightChars="-73"/>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电  话：                          电  话：                </w:t>
      </w:r>
    </w:p>
    <w:p w14:paraId="65402ADB">
      <w:pPr>
        <w:widowControl/>
        <w:tabs>
          <w:tab w:val="left" w:pos="1980"/>
          <w:tab w:val="left" w:pos="4545"/>
        </w:tabs>
        <w:spacing w:line="360" w:lineRule="auto"/>
        <w:ind w:left="178" w:leftChars="85" w:right="-153" w:rightChars="-73"/>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地  址：                          地  址：                           </w:t>
      </w:r>
    </w:p>
    <w:p w14:paraId="5588BF4B">
      <w:pPr>
        <w:widowControl/>
        <w:tabs>
          <w:tab w:val="left" w:pos="1980"/>
          <w:tab w:val="left" w:pos="4545"/>
        </w:tabs>
        <w:spacing w:line="360" w:lineRule="auto"/>
        <w:ind w:left="325" w:leftChars="155" w:right="-153" w:rightChars="-73" w:firstLine="0" w:firstLineChars="0"/>
        <w:jc w:val="left"/>
        <w:rPr>
          <w:rFonts w:hint="eastAsia" w:ascii="宋体" w:hAnsi="宋体" w:eastAsia="宋体" w:cs="宋体"/>
          <w:b/>
          <w:sz w:val="36"/>
          <w:szCs w:val="36"/>
        </w:rPr>
      </w:pPr>
      <w:r>
        <w:rPr>
          <w:rFonts w:hint="eastAsia" w:ascii="宋体" w:hAnsi="宋体" w:eastAsia="宋体" w:cs="宋体"/>
          <w:b/>
          <w:bCs/>
          <w:color w:val="000000"/>
          <w:kern w:val="0"/>
          <w:sz w:val="24"/>
          <w:szCs w:val="24"/>
          <w:highlight w:val="none"/>
        </w:rPr>
        <w:t xml:space="preserve">日  期：    年   月   日          日  期：    年   月   日   </w:t>
      </w:r>
    </w:p>
    <w:p w14:paraId="77373019">
      <w:r>
        <w:rPr>
          <w:rFonts w:hint="eastAsia" w:ascii="宋体" w:hAnsi="宋体" w:eastAsia="宋体" w:cs="宋体"/>
          <w:sz w:val="44"/>
          <w:szCs w:val="4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3MmIyODY1OGQyZjI5MjEzN2NhZGM1ZmE1ZTFiNTIifQ=="/>
  </w:docVars>
  <w:rsids>
    <w:rsidRoot w:val="0AE969D1"/>
    <w:rsid w:val="0A522C68"/>
    <w:rsid w:val="0AE969D1"/>
    <w:rsid w:val="7E18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6" w:lineRule="auto"/>
      <w:outlineLvl w:val="0"/>
    </w:pPr>
    <w:rPr>
      <w:b/>
      <w:kern w:val="44"/>
      <w:sz w:val="32"/>
      <w:szCs w:val="20"/>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autoRedefine/>
    <w:unhideWhenUsed/>
    <w:qFormat/>
    <w:uiPriority w:val="31"/>
    <w:pPr>
      <w:ind w:left="1275"/>
      <w:jc w:val="both"/>
    </w:pPr>
    <w:rPr>
      <w:rFonts w:ascii="Calibri" w:hAnsi="Calibri" w:eastAsia="宋体" w:cs="Times New Roman"/>
      <w:sz w:val="21"/>
      <w:szCs w:val="21"/>
      <w:lang w:val="en-US" w:eastAsia="zh-CN" w:bidi="ar-SA"/>
    </w:rPr>
  </w:style>
  <w:style w:type="paragraph" w:styleId="5">
    <w:name w:val="Body Text"/>
    <w:basedOn w:val="1"/>
    <w:next w:val="1"/>
    <w:autoRedefine/>
    <w:qFormat/>
    <w:uiPriority w:val="0"/>
    <w:pPr>
      <w:jc w:val="center"/>
    </w:pPr>
  </w:style>
  <w:style w:type="paragraph" w:styleId="6">
    <w:name w:val="Body Text Indent"/>
    <w:basedOn w:val="1"/>
    <w:next w:val="7"/>
    <w:autoRedefine/>
    <w:qFormat/>
    <w:uiPriority w:val="0"/>
    <w:pPr>
      <w:ind w:firstLine="630"/>
    </w:pPr>
    <w:rPr>
      <w:sz w:val="32"/>
      <w:szCs w:val="20"/>
    </w:rPr>
  </w:style>
  <w:style w:type="paragraph" w:styleId="7">
    <w:name w:val="Intense Quote"/>
    <w:basedOn w:val="1"/>
    <w:next w:val="1"/>
    <w:autoRedefine/>
    <w:qFormat/>
    <w:uiPriority w:val="30"/>
    <w:pPr>
      <w:widowControl/>
      <w:pBdr>
        <w:bottom w:val="single" w:color="4F81BD" w:sz="4" w:space="4"/>
      </w:pBdr>
      <w:autoSpaceDE/>
      <w:autoSpaceDN/>
      <w:adjustRightInd/>
      <w:spacing w:before="200" w:after="280" w:line="276" w:lineRule="auto"/>
      <w:ind w:left="936" w:right="936"/>
    </w:pPr>
    <w:rPr>
      <w:b/>
      <w:bCs/>
      <w:i/>
      <w:iCs/>
      <w:color w:val="4F81BD"/>
      <w:sz w:val="20"/>
      <w:szCs w:val="20"/>
    </w:rPr>
  </w:style>
  <w:style w:type="character" w:customStyle="1" w:styleId="10">
    <w:name w:val="标题 2 Char Char"/>
    <w:autoRedefine/>
    <w:qFormat/>
    <w:uiPriority w:val="0"/>
    <w:rPr>
      <w:rFonts w:hint="default" w:ascii="Arial" w:hAnsi="Arial" w:eastAsia="宋体" w:cs="Arial"/>
      <w:b/>
      <w:kern w:val="2"/>
      <w:sz w:val="3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1707</Words>
  <Characters>1714</Characters>
  <Lines>0</Lines>
  <Paragraphs>0</Paragraphs>
  <TotalTime>0</TotalTime>
  <ScaleCrop>false</ScaleCrop>
  <LinksUpToDate>false</LinksUpToDate>
  <CharactersWithSpaces>2102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2023-09-26T03:37:00Z</dcterms:created>
  <dc:creator>北海朝南</dc:creator>
  <cp:lastModifiedBy>- Nanshan South ゜</cp:lastModifiedBy>
  <dcterms:modified xsi:type="dcterms:W3CDTF">2026-07-07T08:47:40Z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92DAE9DCEE8847EDA1A0D36B54ED6103_13</vt:lpwstr>
  </property>
  <property fmtid="{D5CDD505-2E9C-101B-9397-08002B2CF9AE}" pid="4" name="KSOTemplateDocerSaveRecord">
    <vt:lpwstr>eyJoZGlkIjoiMWY3MmIyODY1OGQyZjI5MjEzN2NhZGM1ZmE1ZTFiNTIiLCJ1c2VySWQiOiIyNDU0OTk0MzAifQ==</vt:lpwstr>
  </property>
</Properties>
</file>