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版本号：HJ-ZBDL-2026-018020260626001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2026秦岭文化展演展示系列市级主题活动</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HJ-ZBDL-2026-0180</w:t>
      </w:r>
      <w:r>
        <w:br/>
      </w:r>
      <w:r>
        <w:br/>
      </w:r>
      <w:r>
        <w:br/>
      </w:r>
    </w:p>
    <w:p>
      <w:pPr>
        <w:pStyle w:val="null3"/>
        <w:jc w:val="center"/>
        <w:outlineLvl w:val="2"/>
      </w:pPr>
      <w:r>
        <w:rPr>
          <w:rFonts w:ascii="仿宋_GB2312" w:hAnsi="仿宋_GB2312" w:cs="仿宋_GB2312" w:eastAsia="仿宋_GB2312"/>
          <w:sz w:val="28"/>
          <w:b/>
        </w:rPr>
        <w:t>西安市文化和旅游局（本级）</w:t>
      </w:r>
    </w:p>
    <w:p>
      <w:pPr>
        <w:pStyle w:val="null3"/>
        <w:jc w:val="center"/>
        <w:outlineLvl w:val="2"/>
      </w:pPr>
      <w:r>
        <w:rPr>
          <w:rFonts w:ascii="仿宋_GB2312" w:hAnsi="仿宋_GB2312" w:cs="仿宋_GB2312" w:eastAsia="仿宋_GB2312"/>
          <w:sz w:val="28"/>
          <w:b/>
        </w:rPr>
        <w:t>陕西华简项目管理有限公司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陕西华简项目管理有限公司</w:t>
      </w:r>
      <w:r>
        <w:rPr>
          <w:rFonts w:ascii="仿宋_GB2312" w:hAnsi="仿宋_GB2312" w:cs="仿宋_GB2312" w:eastAsia="仿宋_GB2312"/>
        </w:rPr>
        <w:t>（以下简称“代理机构”）受</w:t>
      </w:r>
      <w:r>
        <w:rPr>
          <w:rFonts w:ascii="仿宋_GB2312" w:hAnsi="仿宋_GB2312" w:cs="仿宋_GB2312" w:eastAsia="仿宋_GB2312"/>
        </w:rPr>
        <w:t>西安市文化和旅游局（本级）</w:t>
      </w:r>
      <w:r>
        <w:rPr>
          <w:rFonts w:ascii="仿宋_GB2312" w:hAnsi="仿宋_GB2312" w:cs="仿宋_GB2312" w:eastAsia="仿宋_GB2312"/>
        </w:rPr>
        <w:t>委托，拟对</w:t>
      </w:r>
      <w:r>
        <w:rPr>
          <w:rFonts w:ascii="仿宋_GB2312" w:hAnsi="仿宋_GB2312" w:cs="仿宋_GB2312" w:eastAsia="仿宋_GB2312"/>
        </w:rPr>
        <w:t>2026秦岭文化展演展示系列市级主题活动</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HJ-ZBDL-2026-0180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2026秦岭文化展演展示系列市级主题活动</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深入贯彻落实总书记关于秦岭生态保护重要讲话重要指示批示精神，落实省委省政府关于加强秦岭区域生态环境保护推动高质量发展的实施意见，持续推动秦岭生态和人文价值深度保护、挖掘利用工作，进一步做好汇聚秦岭文化资源、挖掘秦岭文化价值、叫响秦岭文化品牌工作。拟开展2026秦岭文化展演展示系列市级主题活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采购包1（2026秦岭文化展演展示系列市级主题活动）：属于专门面向中小企业采购。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1、具有独立承担民事责任能力的法人、其他组织或自然人：法人或者其他组织提供营业执照等证明文件，自然人提供身份证件，供应商需在项目电子化交易系统中按要求上传相应证明文件并进行电子签章；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税收缴纳凭证及社会保险缴纳的凭证：：供应商在本项目投标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w:t>
      </w:r>
    </w:p>
    <w:p>
      <w:pPr>
        <w:pStyle w:val="null3"/>
      </w:pPr>
      <w:r>
        <w:rPr>
          <w:rFonts w:ascii="仿宋_GB2312" w:hAnsi="仿宋_GB2312" w:cs="仿宋_GB2312" w:eastAsia="仿宋_GB2312"/>
        </w:rPr>
        <w:t>3、财务状况报告：供应商提供2024年度或2025年度经审计的财务审计报告（事业法人可提供部门决算报告），经审计的财务报告应满足以下要求：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提供供应商基本账户银行出具的递交投标文件截止时间前六个月内的资信证明及供应商基本存款账户开户许可证（或基本存款账户信息））；供应商需在项目电子化交易系统中按要求上传相应证明文件</w:t>
      </w:r>
    </w:p>
    <w:p>
      <w:pPr>
        <w:pStyle w:val="null3"/>
      </w:pPr>
      <w:r>
        <w:rPr>
          <w:rFonts w:ascii="仿宋_GB2312" w:hAnsi="仿宋_GB2312" w:cs="仿宋_GB2312" w:eastAsia="仿宋_GB2312"/>
        </w:rPr>
        <w:t>4、参加政府采购活动前3年内在经营活动中没有重大违法记录的书面声明：参加政府采购活动前3年内在经营活动中没有重大违法记录的书面声明； 其中：重大违法记录是指供应商因违法经营受到刑事处罚或者责令停产停业、吊销许可证或者执照、较大数额罚款等行政处罚。供应商需在项目电子化交易系统中按要求上传相应证明文件并进行电子签章；</w:t>
      </w:r>
    </w:p>
    <w:p>
      <w:pPr>
        <w:pStyle w:val="null3"/>
      </w:pPr>
      <w:r>
        <w:rPr>
          <w:rFonts w:ascii="仿宋_GB2312" w:hAnsi="仿宋_GB2312" w:cs="仿宋_GB2312" w:eastAsia="仿宋_GB2312"/>
        </w:rPr>
        <w:t>5、具有履行合同所必需的设备和专业技术能力书面声明函：提供具有履行合同所必需的设备和专业技术能力书面声明函，供应商需在项目电子化交易系统中按要求上传相应证明文件并进行电子签章；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6、信誉要求：供应商不得被列入【信用中国（www.creditchina.gov.cn）】“失信被执行人”、“重大税收违法案件当事人名单”，【中国政府采购网（www.ccgp.gov.cn）】“政府采购严重违法失信行为记录名单”，栏目中有失信等负面信息的供应商，将拒绝其参加本项目（供应商无需提供相关信息查询截图，在资格审查时通过互联网或者相关信息系统查询）；</w:t>
      </w:r>
    </w:p>
    <w:p>
      <w:pPr>
        <w:pStyle w:val="null3"/>
      </w:pPr>
      <w:r>
        <w:rPr>
          <w:rFonts w:ascii="仿宋_GB2312" w:hAnsi="仿宋_GB2312" w:cs="仿宋_GB2312" w:eastAsia="仿宋_GB2312"/>
        </w:rPr>
        <w:t>7、法定代表人授权委托书：供应商应授权合法的人员参加磋商全过程，其中法定代表人直接参加磋商的，须出具法定代表人身份证，并与营业执照上信息一致。法定代表人授权代表参加磋商的，须出具法定代表人授权书及授权代表身份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西安市文化和旅游局（本级）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闫建党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029-86788948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陕西华简项目管理有限公司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西安市雁塔区高新三路九号广场蓝溪国际大厦20层2002室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贺工、韩工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17319986312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规定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西安市文化和旅游局（本级）</w:t>
      </w:r>
      <w:r>
        <w:rPr>
          <w:rFonts w:ascii="仿宋_GB2312" w:hAnsi="仿宋_GB2312" w:cs="仿宋_GB2312" w:eastAsia="仿宋_GB2312"/>
        </w:rPr>
        <w:t>和</w:t>
      </w:r>
      <w:r>
        <w:rPr>
          <w:rFonts w:ascii="仿宋_GB2312" w:hAnsi="仿宋_GB2312" w:cs="仿宋_GB2312" w:eastAsia="仿宋_GB2312"/>
        </w:rPr>
        <w:t>陕西华简项目管理有限公司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西安市文化和旅游局（本级）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陕西华简项目管理有限公司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西安市文化和旅游局（本级）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陕西华简项目管理有限公司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供应商需拥有活动演出中所涉及，包括但不限于台本、音乐、舞蹈、服装设计等方面的完全知识产权或相关授权，如有纠纷，由此产生的一切经济责任和法律后果由供应商承担。</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活动开始前验收：2026年7-10月期间，由采购人和成交供应商共同分别对3场主题活动筹备工作进行验收，检查各项筹备工作落实情况，验收合格后，填写筹备工作验收单。 2026年10月，活动完成后，由采购人和成交供应商共同对项目进行整体验收。其内容包括是否按照采购人要求进行服务、是否在规定时间内服务完毕、服务工作是否存在失误。验收合格后，填写政府采购项目验收单作为对本服务的最终认可。服务商向采购人提供服务过程中的所有相关资料，以便采购人日后管理。验收依据为竞争性磋商文件、磋商响应文件、澄清表（函）、政府采购合同及附件文本、国家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陕西华简项目管理有限公司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陕西华简项目管理有限公司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陕西华简项目管理有限公司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联系人：贺娜</w:t>
      </w:r>
    </w:p>
    <w:p>
      <w:pPr>
        <w:pStyle w:val="null3"/>
      </w:pPr>
      <w:r>
        <w:rPr>
          <w:rFonts w:ascii="仿宋_GB2312" w:hAnsi="仿宋_GB2312" w:cs="仿宋_GB2312" w:eastAsia="仿宋_GB2312"/>
        </w:rPr>
        <w:t>联系电话：17319986312</w:t>
      </w:r>
    </w:p>
    <w:p>
      <w:pPr>
        <w:pStyle w:val="null3"/>
      </w:pPr>
      <w:r>
        <w:rPr>
          <w:rFonts w:ascii="仿宋_GB2312" w:hAnsi="仿宋_GB2312" w:cs="仿宋_GB2312" w:eastAsia="仿宋_GB2312"/>
        </w:rPr>
        <w:t>地址：西安市雁塔区高新三路九号广场蓝溪国际大厦20层2002室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深入贯彻落实总书记关于秦岭生态保护重要讲话重要指示批示精神，落实省委省政府关于加强秦岭区域生态环境保护推动高质量发展的实施意见，持续推动秦岭生态和人文价值深度保护、挖掘利用工作，进一步做好汇聚秦岭文化资源、挖掘秦岭文化价值、叫响秦岭文化品牌工作。拟开展2026秦岭文化展演展示系列市级主题活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 秦岭文化展演展示系列市级主题活动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 秦岭文化展演展示系列市级主题活动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一、项目概况</w:t>
            </w:r>
          </w:p>
          <w:p>
            <w:pPr>
              <w:pStyle w:val="null3"/>
              <w:ind w:firstLine="640"/>
              <w:jc w:val="both"/>
            </w:pPr>
            <w:r>
              <w:rPr>
                <w:rFonts w:ascii="仿宋_GB2312" w:hAnsi="仿宋_GB2312" w:cs="仿宋_GB2312" w:eastAsia="仿宋_GB2312"/>
                <w:sz w:val="24"/>
              </w:rPr>
              <w:t>为深入贯彻落实总书记关于秦岭生态保护重要讲话重要指示批示精神，落实省委省政府关于加强秦岭区域生态环境保护推动高质量发展的实施意见，持续推动秦岭生态和人文价值深度保护、挖掘利用工作，进一步做好汇聚秦岭文化资源、挖掘秦岭文化价值、叫响秦岭文化品牌工作。拟开展</w:t>
            </w:r>
            <w:r>
              <w:rPr>
                <w:rFonts w:ascii="仿宋_GB2312" w:hAnsi="仿宋_GB2312" w:cs="仿宋_GB2312" w:eastAsia="仿宋_GB2312"/>
                <w:sz w:val="24"/>
              </w:rPr>
              <w:t>2026秦岭文化展演展示系列市级主题活动。</w:t>
            </w:r>
            <w:r>
              <w:rPr>
                <w:rFonts w:ascii="仿宋_GB2312" w:hAnsi="仿宋_GB2312" w:cs="仿宋_GB2312" w:eastAsia="仿宋_GB2312"/>
                <w:sz w:val="24"/>
              </w:rPr>
              <w:t>活动时间：2026年7月—10月（具体时间以采购人通知为准）</w:t>
            </w:r>
          </w:p>
          <w:p>
            <w:pPr>
              <w:pStyle w:val="null3"/>
              <w:jc w:val="both"/>
            </w:pPr>
            <w:r>
              <w:rPr>
                <w:rFonts w:ascii="仿宋_GB2312" w:hAnsi="仿宋_GB2312" w:cs="仿宋_GB2312" w:eastAsia="仿宋_GB2312"/>
                <w:sz w:val="24"/>
              </w:rPr>
              <w:t>活动地点：周至县</w:t>
            </w:r>
          </w:p>
          <w:p>
            <w:pPr>
              <w:pStyle w:val="null3"/>
              <w:jc w:val="both"/>
            </w:pPr>
            <w:r>
              <w:rPr>
                <w:rFonts w:ascii="仿宋_GB2312" w:hAnsi="仿宋_GB2312" w:cs="仿宋_GB2312" w:eastAsia="仿宋_GB2312"/>
                <w:sz w:val="24"/>
              </w:rPr>
              <w:t>二、服务内容</w:t>
            </w:r>
          </w:p>
          <w:p>
            <w:pPr>
              <w:pStyle w:val="null3"/>
              <w:ind w:firstLine="640"/>
              <w:jc w:val="both"/>
            </w:pPr>
            <w:r>
              <w:rPr>
                <w:rFonts w:ascii="仿宋_GB2312" w:hAnsi="仿宋_GB2312" w:cs="仿宋_GB2312" w:eastAsia="仿宋_GB2312"/>
                <w:sz w:val="24"/>
              </w:rPr>
              <w:t>策划执行、节目编排、物料设计制作、设备租赁、场地租赁、</w:t>
            </w:r>
            <w:r>
              <w:rPr>
                <w:rFonts w:ascii="仿宋_GB2312" w:hAnsi="仿宋_GB2312" w:cs="仿宋_GB2312" w:eastAsia="仿宋_GB2312"/>
                <w:sz w:val="24"/>
              </w:rPr>
              <w:t>LED租赁搭建、舞台搭建、影音制作</w:t>
            </w:r>
            <w:r>
              <w:rPr>
                <w:rFonts w:ascii="仿宋_GB2312" w:hAnsi="仿宋_GB2312" w:cs="仿宋_GB2312" w:eastAsia="仿宋_GB2312"/>
                <w:sz w:val="24"/>
              </w:rPr>
              <w:t>、</w:t>
            </w:r>
            <w:r>
              <w:rPr>
                <w:rFonts w:ascii="仿宋_GB2312" w:hAnsi="仿宋_GB2312" w:cs="仿宋_GB2312" w:eastAsia="仿宋_GB2312"/>
                <w:sz w:val="24"/>
              </w:rPr>
              <w:t>专题篇的制作和宣发</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三、服务要求</w:t>
            </w:r>
          </w:p>
          <w:p>
            <w:pPr>
              <w:pStyle w:val="null3"/>
              <w:ind w:firstLine="640"/>
              <w:jc w:val="both"/>
            </w:pPr>
            <w:r>
              <w:rPr>
                <w:rFonts w:ascii="仿宋_GB2312" w:hAnsi="仿宋_GB2312" w:cs="仿宋_GB2312" w:eastAsia="仿宋_GB2312"/>
                <w:sz w:val="24"/>
              </w:rPr>
              <w:t>在服务范围内按工作内容和要求制定科学、合理、可靠详细的服务方案。针对本项目成立专项服务小组，项目负责人、工作人员分工明确（应有具体成员名单，包括姓名、工作职责等）。有市级以上知名导演（编导）进行主题演出编排，有各类突发事件的应急预案和措施，有明确具体的承诺。供应商所拟派的工作人员，若在服务期间发生任何伤害，采购人概不负责，由供应商自行处理。具体服务要求如下：</w:t>
            </w:r>
          </w:p>
          <w:p>
            <w:pPr>
              <w:pStyle w:val="null3"/>
              <w:ind w:firstLine="640"/>
              <w:jc w:val="both"/>
            </w:pPr>
            <w:r>
              <w:rPr>
                <w:rFonts w:ascii="仿宋_GB2312" w:hAnsi="仿宋_GB2312" w:cs="仿宋_GB2312" w:eastAsia="仿宋_GB2312"/>
                <w:sz w:val="24"/>
              </w:rPr>
              <w:t>2026秦岭文化展演展示系列活动总体安排为“一个主题演出+两个专项活动”模式。主题演出以“和美·秦岭”为主题，统筹挖掘利用区域优秀生态文化资源，通过诗意气质的艺术化演绎方式，彰显秦岭生态文化特色；两个专项活动分别以“秦腔·秦岭”和“非遗·秦岭”为主题，围绕秦腔文化、非遗文化开展特色活动，持续营造浓厚氛围，激发秦岭文化活力，助力区域高质量发展和高水平保护。</w:t>
            </w:r>
          </w:p>
          <w:p>
            <w:pPr>
              <w:pStyle w:val="null3"/>
              <w:jc w:val="both"/>
            </w:pPr>
            <w:r>
              <w:rPr>
                <w:rFonts w:ascii="仿宋_GB2312" w:hAnsi="仿宋_GB2312" w:cs="仿宋_GB2312" w:eastAsia="仿宋_GB2312"/>
                <w:sz w:val="24"/>
              </w:rPr>
              <w:t>（一）</w:t>
            </w:r>
            <w:r>
              <w:rPr>
                <w:rFonts w:ascii="仿宋_GB2312" w:hAnsi="仿宋_GB2312" w:cs="仿宋_GB2312" w:eastAsia="仿宋_GB2312"/>
                <w:sz w:val="24"/>
              </w:rPr>
              <w:t>“和美·秦岭”市级主题演出活动</w:t>
            </w:r>
          </w:p>
          <w:p>
            <w:pPr>
              <w:pStyle w:val="null3"/>
              <w:jc w:val="both"/>
            </w:pPr>
            <w:r>
              <w:rPr>
                <w:rFonts w:ascii="仿宋_GB2312" w:hAnsi="仿宋_GB2312" w:cs="仿宋_GB2312" w:eastAsia="仿宋_GB2312"/>
                <w:sz w:val="24"/>
              </w:rPr>
              <w:t>活动时间：</w:t>
            </w:r>
            <w:r>
              <w:rPr>
                <w:rFonts w:ascii="仿宋_GB2312" w:hAnsi="仿宋_GB2312" w:cs="仿宋_GB2312" w:eastAsia="仿宋_GB2312"/>
                <w:sz w:val="24"/>
              </w:rPr>
              <w:t>2026年7月（暂定）</w:t>
            </w:r>
          </w:p>
          <w:p>
            <w:pPr>
              <w:pStyle w:val="null3"/>
              <w:jc w:val="both"/>
            </w:pPr>
            <w:r>
              <w:rPr>
                <w:rFonts w:ascii="仿宋_GB2312" w:hAnsi="仿宋_GB2312" w:cs="仿宋_GB2312" w:eastAsia="仿宋_GB2312"/>
                <w:sz w:val="24"/>
              </w:rPr>
              <w:t>活动地点：周至县</w:t>
            </w:r>
          </w:p>
          <w:p>
            <w:pPr>
              <w:pStyle w:val="null3"/>
              <w:jc w:val="both"/>
            </w:pPr>
            <w:r>
              <w:rPr>
                <w:rFonts w:ascii="仿宋_GB2312" w:hAnsi="仿宋_GB2312" w:cs="仿宋_GB2312" w:eastAsia="仿宋_GB2312"/>
                <w:sz w:val="24"/>
              </w:rPr>
              <w:t>活动内容：活动以</w:t>
            </w:r>
            <w:r>
              <w:rPr>
                <w:rFonts w:ascii="仿宋_GB2312" w:hAnsi="仿宋_GB2312" w:cs="仿宋_GB2312" w:eastAsia="仿宋_GB2312"/>
                <w:sz w:val="24"/>
              </w:rPr>
              <w:t>“和美·秦岭”为主题，借助秦岭山水实景，做整体氛围融入式设计，通过适当的声光电手段赋能节目展现秦岭的生态之美。整场演出分为“生态和美、文化和美、生活和美”三大篇章，通过多种文艺形式的创演，展现秦岭生态文化价值的丰富层次。</w:t>
            </w:r>
          </w:p>
          <w:p>
            <w:pPr>
              <w:pStyle w:val="null3"/>
              <w:jc w:val="both"/>
            </w:pPr>
            <w:r>
              <w:rPr>
                <w:rFonts w:ascii="仿宋_GB2312" w:hAnsi="仿宋_GB2312" w:cs="仿宋_GB2312" w:eastAsia="仿宋_GB2312"/>
                <w:sz w:val="24"/>
              </w:rPr>
              <w:t>（二）</w:t>
            </w:r>
            <w:r>
              <w:rPr>
                <w:rFonts w:ascii="仿宋_GB2312" w:hAnsi="仿宋_GB2312" w:cs="仿宋_GB2312" w:eastAsia="仿宋_GB2312"/>
                <w:sz w:val="24"/>
              </w:rPr>
              <w:t>“秦腔·秦岭”市级主题文化活动</w:t>
            </w:r>
          </w:p>
          <w:p>
            <w:pPr>
              <w:pStyle w:val="null3"/>
              <w:jc w:val="both"/>
            </w:pPr>
            <w:r>
              <w:rPr>
                <w:rFonts w:ascii="仿宋_GB2312" w:hAnsi="仿宋_GB2312" w:cs="仿宋_GB2312" w:eastAsia="仿宋_GB2312"/>
                <w:sz w:val="24"/>
              </w:rPr>
              <w:t>活动时间：</w:t>
            </w:r>
            <w:r>
              <w:rPr>
                <w:rFonts w:ascii="仿宋_GB2312" w:hAnsi="仿宋_GB2312" w:cs="仿宋_GB2312" w:eastAsia="仿宋_GB2312"/>
                <w:sz w:val="24"/>
              </w:rPr>
              <w:t>2026年9月（暂定）</w:t>
            </w:r>
          </w:p>
          <w:p>
            <w:pPr>
              <w:pStyle w:val="null3"/>
              <w:jc w:val="both"/>
            </w:pPr>
            <w:r>
              <w:rPr>
                <w:rFonts w:ascii="仿宋_GB2312" w:hAnsi="仿宋_GB2312" w:cs="仿宋_GB2312" w:eastAsia="仿宋_GB2312"/>
                <w:sz w:val="24"/>
              </w:rPr>
              <w:t>活动地点：周至县</w:t>
            </w:r>
          </w:p>
          <w:p>
            <w:pPr>
              <w:pStyle w:val="null3"/>
              <w:jc w:val="both"/>
            </w:pPr>
            <w:r>
              <w:rPr>
                <w:rFonts w:ascii="仿宋_GB2312" w:hAnsi="仿宋_GB2312" w:cs="仿宋_GB2312" w:eastAsia="仿宋_GB2312"/>
                <w:sz w:val="24"/>
              </w:rPr>
              <w:t>活动内容：深度挖掘秦岭北麓（西安段）人文价值，弘扬传承优秀戏曲文化，邀请具有代表性的戏曲表演团体，以惠民演出的方式开展，创新传统戏曲表现形式，促进秦腔文化在新时代下焕发出传统与时尚交融的活力，展现秦岭文化内涵。</w:t>
            </w:r>
          </w:p>
          <w:p>
            <w:pPr>
              <w:pStyle w:val="null3"/>
              <w:jc w:val="both"/>
            </w:pPr>
            <w:r>
              <w:rPr>
                <w:rFonts w:ascii="仿宋_GB2312" w:hAnsi="仿宋_GB2312" w:cs="仿宋_GB2312" w:eastAsia="仿宋_GB2312"/>
                <w:sz w:val="24"/>
              </w:rPr>
              <w:t>（三）</w:t>
            </w:r>
            <w:r>
              <w:rPr>
                <w:rFonts w:ascii="仿宋_GB2312" w:hAnsi="仿宋_GB2312" w:cs="仿宋_GB2312" w:eastAsia="仿宋_GB2312"/>
                <w:sz w:val="24"/>
              </w:rPr>
              <w:t>“非遗·秦岭”市级主题文化活动</w:t>
            </w:r>
          </w:p>
          <w:p>
            <w:pPr>
              <w:pStyle w:val="null3"/>
              <w:jc w:val="both"/>
            </w:pPr>
            <w:r>
              <w:rPr>
                <w:rFonts w:ascii="仿宋_GB2312" w:hAnsi="仿宋_GB2312" w:cs="仿宋_GB2312" w:eastAsia="仿宋_GB2312"/>
                <w:sz w:val="24"/>
              </w:rPr>
              <w:t>活动时间：</w:t>
            </w:r>
            <w:r>
              <w:rPr>
                <w:rFonts w:ascii="仿宋_GB2312" w:hAnsi="仿宋_GB2312" w:cs="仿宋_GB2312" w:eastAsia="仿宋_GB2312"/>
                <w:sz w:val="24"/>
              </w:rPr>
              <w:t>2026年10月“国庆”假期期间（暂定）</w:t>
            </w:r>
          </w:p>
          <w:p>
            <w:pPr>
              <w:pStyle w:val="null3"/>
              <w:jc w:val="both"/>
            </w:pPr>
            <w:r>
              <w:rPr>
                <w:rFonts w:ascii="仿宋_GB2312" w:hAnsi="仿宋_GB2312" w:cs="仿宋_GB2312" w:eastAsia="仿宋_GB2312"/>
                <w:sz w:val="24"/>
              </w:rPr>
              <w:t>活动地点：周至县</w:t>
            </w:r>
          </w:p>
          <w:p>
            <w:pPr>
              <w:pStyle w:val="null3"/>
            </w:pPr>
            <w:r>
              <w:rPr>
                <w:rFonts w:ascii="仿宋_GB2312" w:hAnsi="仿宋_GB2312" w:cs="仿宋_GB2312" w:eastAsia="仿宋_GB2312"/>
                <w:sz w:val="24"/>
              </w:rPr>
              <w:t>活动内容：深挖秦岭北麓（西安段）特色生产生活类非遗项目，以展演展示的方式开展。借助</w:t>
            </w:r>
            <w:r>
              <w:rPr>
                <w:rFonts w:ascii="仿宋_GB2312" w:hAnsi="仿宋_GB2312" w:cs="仿宋_GB2312" w:eastAsia="仿宋_GB2312"/>
                <w:sz w:val="24"/>
              </w:rPr>
              <w:t>“国庆”假期旅游旺季，组织沿山6区县市级以上非遗项目和传承人实地展演展示，讲述秦岭人文与生态故事，营造全社会共同参与非遗保护传承的浓厚氛围。</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供应商根据采购需求配备相关人员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按照采购文件及采购合同要求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2026年7-10月（具体时间以采购人通知为准）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周至县（具体以采购人指定地点为准）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项目完成后，由采购人和成交供应商共同对项目进行整体验收。其内容包括是否按照采购人要求进行服务、是否在规定时间内服务完毕、服务工作是否存在失误。验收合格后，填写政府采购项目验收单作为对本服务的最终认可。服务商向采购人提供服务过程中的所有相关资料,以便采购人日后管理。验收依据为竞争性磋商文件、磋商响应文件、澄清表（函）、政府采购合同及附件文本、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预付款，采购合同签订后预付款 ，乙方向甲方开具合规等额的增值税普通发票，甲方在收到乙方开具的发票后，达到付款条件起30个工作日内，支付合同总金额的50.0%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进度款，完成服务要求所列所有活动结束后且经甲方验收合格后，乙方向甲方开具合规等额的增值税普通发票，甲方在收到乙方开具的发票后，达到付款条件起30个工作日内，支付合同总金额的50.0%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1、违约责任按《中华人民共和国民法典》处理中的相关条款执行。 2、乙方应按合同约定时间完成各阶段合同义务，若发生延迟，乙方应向甲方支付合同总价款10%的违约金，且甲方有权单方解除本合同。但甲方书面同意延迟或因甲方原因导致延迟的，乙方不承担违约责任。 3.如甲方未能在本合同约定时间内支付款项，每延迟一天，甲方须向乙方承担迟延支付费用的0.5‰作为违约金，并将服务周期予以相应顺延。 4.本次活动因乙方原因导致侵害甲方或第三方合法权益的，应由乙方承担相应赔偿责任，并向甲方支付合同总价款10%的违约金。 5.若乙方未经甲方同意泄露本合同约定的任何秘密信息的，乙方应按照合同总价款的10%向甲方支付违约金，并赔偿因此给甲方造成的损失。 6.乙方保证向甲方开具发票的真实性、合法性，若乙方向甲方开具的发票存在真实性、合法性问题，给甲方造成损失的，乙方应按合同总价款的10%向甲方支付违约金，违约金不足以弥补损失的，乙方还应承担相应赔偿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供应商在领取成交通知书前，须向采购代理机构提供纸质版响应文件3套，且提供的响应文件必须与在陕西省政府采购综合管理平台的项目电子化交易系统中递交的电子响应文件内容一致，纸质版响应文件必须装订成册签字盖章。 2、如磋商文件中融资相关内容与新政策要求有出入，按照最新要求执行。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在本项目投标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年度或2025年度经审计的财务审计报告（事业法人可提供部门决算报告），经审计的财务报告应满足以下要求：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提供供应商基本账户银行出具的递交投标文件截止时间前六个月内的资信证明及供应商基本存款账户开户许可证（或基本存款账户信息））；供应商需在项目电子化交易系统中按要求上传相应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 其中：重大违法记录是指供应商因违法经营受到刑事处罚或者责令停产停业、吊销许可证或者执照、较大数额罚款等行政处罚。供应商需在项目电子化交易系统中按要求上传相应证明文件并进行电子签章；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具有履行合同所必需的设备和专业技术能力书面声明函</w:t>
            </w:r>
          </w:p>
        </w:tc>
        <w:tc>
          <w:tcPr>
            <w:tcW w:type="dxa" w:w="3322"/>
          </w:tcPr>
          <w:p>
            <w:pPr>
              <w:pStyle w:val="null3"/>
            </w:pPr>
            <w:r>
              <w:rPr>
                <w:rFonts w:ascii="仿宋_GB2312" w:hAnsi="仿宋_GB2312" w:cs="仿宋_GB2312" w:eastAsia="仿宋_GB2312"/>
              </w:rPr>
              <w:t>提供具有履行合同所必需的设备和专业技术能力书面声明函，供应商需在项目电子化交易系统中按要求上传相应证明文件并进行电子签章；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被列入【信用中国（www.creditchina.gov.cn）】“失信被执行人”、“重大税收违法案件当事人名单”，【中国政府采购网（www.ccgp.gov.cn）】“政府采购严重违法失信行为记录名单”，栏目中有失信等负面信息的供应商，将拒绝其参加本项目（供应商无需提供相关信息查询截图，在资格审查时通过互联网或者相关信息系统查询）；</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供应商应授权合法的人员参加磋商全过程，其中法定代表人直接参加磋商的，须出具法定代表人身份证，并与营业执照上信息一致。法定代表人授权代表参加磋商的，须出具法定代表人授权书及授权代表身份证。</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2、报价货币符合磋商文件要求 ; 3、未超出采购预算或磋商文件规定的最高限价。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与所投项目名称、项目编号一致，且符合磋商文件签署盖章要求</w:t>
            </w:r>
          </w:p>
        </w:tc>
        <w:tc>
          <w:tcPr>
            <w:tcW w:type="dxa" w:w="1661"/>
          </w:tcPr>
          <w:p>
            <w:pPr>
              <w:pStyle w:val="null3"/>
            </w:pPr>
            <w:r>
              <w:rPr>
                <w:rFonts w:ascii="仿宋_GB2312" w:hAnsi="仿宋_GB2312" w:cs="仿宋_GB2312" w:eastAsia="仿宋_GB2312"/>
              </w:rPr>
              <w:t>业绩.docx 中小企业声明函 商务应答表 报价表 其他.docx 响应文件封面 供应商应提交的相关资格证明材料.docx 残疾人福利性单位声明函 服务方案 标的清单 服务内容及服务要求应答表.docx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完全响应竞争性磋商文件要求的各项技术（服务）、商务实质性条款</w:t>
            </w:r>
          </w:p>
        </w:tc>
        <w:tc>
          <w:tcPr>
            <w:tcW w:type="dxa" w:w="1661"/>
          </w:tcPr>
          <w:p>
            <w:pPr>
              <w:pStyle w:val="null3"/>
            </w:pPr>
            <w:r>
              <w:rPr>
                <w:rFonts w:ascii="仿宋_GB2312" w:hAnsi="仿宋_GB2312" w:cs="仿宋_GB2312" w:eastAsia="仿宋_GB2312"/>
              </w:rPr>
              <w:t>响应文件封面 商务应答表 服务内容及服务要求应答表.docx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完全理解并接受法律法规和竞争性磋商文件对供应商合法经营的各类规约和责任义务要求，没有出现法律法规或竞争性磋商文件规定的其他无效情形</w:t>
            </w:r>
          </w:p>
        </w:tc>
        <w:tc>
          <w:tcPr>
            <w:tcW w:type="dxa" w:w="1661"/>
          </w:tcPr>
          <w:p>
            <w:pPr>
              <w:pStyle w:val="null3"/>
            </w:pPr>
            <w:r>
              <w:rPr>
                <w:rFonts w:ascii="仿宋_GB2312" w:hAnsi="仿宋_GB2312" w:cs="仿宋_GB2312" w:eastAsia="仿宋_GB2312"/>
              </w:rPr>
              <w:t>响应文件封面 其他.docx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本项目的理解</w:t>
            </w:r>
          </w:p>
        </w:tc>
        <w:tc>
          <w:tcPr>
            <w:tcW w:type="dxa" w:w="2492"/>
          </w:tcPr>
          <w:p>
            <w:pPr>
              <w:pStyle w:val="null3"/>
            </w:pPr>
            <w:r>
              <w:rPr>
                <w:rFonts w:ascii="仿宋_GB2312" w:hAnsi="仿宋_GB2312" w:cs="仿宋_GB2312" w:eastAsia="仿宋_GB2312"/>
              </w:rPr>
              <w:t>一、评审内容:供应商针对本项目得理解程度①项目需求理解②总体框架及工作计划③工作原则 二、评审标准 ①完整性:内容全面，有详细描述。 ②可行性:从项目实际情况出发，提出步骤清晰的方案。 ③针对性:紧扣项目需求，内容切实合理。 三、赋分标准:每项评审内容满分3分，共9分。每完全满足一个评审标准得1分，如不完整或不符合实际要求或基本满足评审标准得0.5分；方案内容与本项目无关或不满足评审标准或未提供得0分。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一、评审内容:供应商针对本项目实施方案①内容策划与创作方案②宣传推广方案③推送发布平台方案。 二、评审标准 ①完整性:内容全面，有详细描述。 ②可行性:从项目实际情况出发，提出步骤清晰的方案。 ③针对性:紧扣项目需求，内容切实合理。 三、赋分标准:每项评审内容满分3分，共9分。每完全满足一个评审标准得1分，如不完整或不符合实际要求或基本满足评审标准得0.5分；方案内容与本项目无关或不满足评审标准或未提供得0分。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场地规划及会场布置</w:t>
            </w:r>
          </w:p>
        </w:tc>
        <w:tc>
          <w:tcPr>
            <w:tcW w:type="dxa" w:w="2492"/>
          </w:tcPr>
          <w:p>
            <w:pPr>
              <w:pStyle w:val="null3"/>
            </w:pPr>
            <w:r>
              <w:rPr>
                <w:rFonts w:ascii="仿宋_GB2312" w:hAnsi="仿宋_GB2312" w:cs="仿宋_GB2312" w:eastAsia="仿宋_GB2312"/>
              </w:rPr>
              <w:t>场地规划及会场布置：①活动空间充足②场地规划合理③会场布置氛围贴合活动主题。 以上内容阐述条理清晰详尽、符合本项目采购需求得6分。以上分项每缺少一项内容扣2分；有某一项不完整或不符合实际要求或不满足实施要求或套用其他项目内容的每项得1分；未提供不得分。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材料设备投入计划</w:t>
            </w:r>
          </w:p>
        </w:tc>
        <w:tc>
          <w:tcPr>
            <w:tcW w:type="dxa" w:w="2492"/>
          </w:tcPr>
          <w:p>
            <w:pPr>
              <w:pStyle w:val="null3"/>
            </w:pPr>
            <w:r>
              <w:rPr>
                <w:rFonts w:ascii="仿宋_GB2312" w:hAnsi="仿宋_GB2312" w:cs="仿宋_GB2312" w:eastAsia="仿宋_GB2312"/>
              </w:rPr>
              <w:t>根据完成本项目须提供的相关物品（包括但不限于1.主背景板2.会场导视牌3.舞台及配套地毯，4.同时配备相应尺寸及规格的舞台踏步5.演讲台6.LED高清屏幕7.灯光8.音响等AV设备），以上每项得1分，共计8分，每增加一项其他设备加一分，最多加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进度保障方案</w:t>
            </w:r>
          </w:p>
        </w:tc>
        <w:tc>
          <w:tcPr>
            <w:tcW w:type="dxa" w:w="2492"/>
          </w:tcPr>
          <w:p>
            <w:pPr>
              <w:pStyle w:val="null3"/>
            </w:pPr>
            <w:r>
              <w:rPr>
                <w:rFonts w:ascii="仿宋_GB2312" w:hAnsi="仿宋_GB2312" w:cs="仿宋_GB2312" w:eastAsia="仿宋_GB2312"/>
              </w:rPr>
              <w:t>提供具有针对性的进度保障方案，方案内容包含①工作时间进度表②工作程序和步骤③关键步骤的思路 和要点。内容全面详细、阐述条理清晰详尽、符合本项目采购需求得6分。以上分项每缺少一项内容扣2分；有某一项不完整或不符合实际要求或不满足实施要求或套用其他项目内容的每项得1分；未提供不得分。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舞美及物料设计方案</w:t>
            </w:r>
          </w:p>
        </w:tc>
        <w:tc>
          <w:tcPr>
            <w:tcW w:type="dxa" w:w="2492"/>
          </w:tcPr>
          <w:p>
            <w:pPr>
              <w:pStyle w:val="null3"/>
            </w:pPr>
            <w:r>
              <w:rPr>
                <w:rFonts w:ascii="仿宋_GB2312" w:hAnsi="仿宋_GB2312" w:cs="仿宋_GB2312" w:eastAsia="仿宋_GB2312"/>
              </w:rPr>
              <w:t>根据服务内容及要求，提供①活动平面设计②舞美设计③电子邀请函设计④相关物料等设计方案。 方案内容完善，设计新颖独特，针对性及可行性强，得4分； 以上分项每缺少一项内容扣1分；有某一项不完整或不符合实际要求或不满足实施要求或套用其他项目内容的每项得0.5分；未提供不得分。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服务团队（导演）</w:t>
            </w:r>
          </w:p>
        </w:tc>
        <w:tc>
          <w:tcPr>
            <w:tcW w:type="dxa" w:w="2492"/>
          </w:tcPr>
          <w:p>
            <w:pPr>
              <w:pStyle w:val="null3"/>
            </w:pPr>
            <w:r>
              <w:rPr>
                <w:rFonts w:ascii="仿宋_GB2312" w:hAnsi="仿宋_GB2312" w:cs="仿宋_GB2312" w:eastAsia="仿宋_GB2312"/>
              </w:rPr>
              <w:t>1.聘请具备大型演出项目（预计参加人数达到500人以上的）经验总导演得3分。 2.聘请具有5年以上导演经验的总导演得2分。 注：需提供相关佐证资料。</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服务团队（演员）</w:t>
            </w:r>
          </w:p>
        </w:tc>
        <w:tc>
          <w:tcPr>
            <w:tcW w:type="dxa" w:w="2492"/>
          </w:tcPr>
          <w:p>
            <w:pPr>
              <w:pStyle w:val="null3"/>
            </w:pPr>
            <w:r>
              <w:rPr>
                <w:rFonts w:ascii="仿宋_GB2312" w:hAnsi="仿宋_GB2312" w:cs="仿宋_GB2312" w:eastAsia="仿宋_GB2312"/>
              </w:rPr>
              <w:t>配备1名国家一级演员得3分，每增加一名加1分，最多加2分。 注：需提供相关佐证资料。</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安全保障方案</w:t>
            </w:r>
          </w:p>
        </w:tc>
        <w:tc>
          <w:tcPr>
            <w:tcW w:type="dxa" w:w="2492"/>
          </w:tcPr>
          <w:p>
            <w:pPr>
              <w:pStyle w:val="null3"/>
            </w:pPr>
            <w:r>
              <w:rPr>
                <w:rFonts w:ascii="仿宋_GB2312" w:hAnsi="仿宋_GB2312" w:cs="仿宋_GB2312" w:eastAsia="仿宋_GB2312"/>
              </w:rPr>
              <w:t>针对本项目具体情况，供应商提供可靠的安全保障方案（至少包括活动现场的①治安②消防③观众进退场等）。 方案内容完善，措施针对性、合理性、可行性强，得6分；以上分项每缺少一项内容扣2分；有某一项不完整或不符合实际要求或不满足实施要求或套用其他项目内容的每项得1分；未提供不得分。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突发事件应急预案</w:t>
            </w:r>
          </w:p>
        </w:tc>
        <w:tc>
          <w:tcPr>
            <w:tcW w:type="dxa" w:w="2492"/>
          </w:tcPr>
          <w:p>
            <w:pPr>
              <w:pStyle w:val="null3"/>
            </w:pPr>
            <w:r>
              <w:rPr>
                <w:rFonts w:ascii="仿宋_GB2312" w:hAnsi="仿宋_GB2312" w:cs="仿宋_GB2312" w:eastAsia="仿宋_GB2312"/>
              </w:rPr>
              <w:t>供应商针对本项目应急方案包括①突发事件情况分析②应急响应时间③应对措施。每有一项得3分最多得9分。 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满足用户的服务要求，对完成项目所涉及的货物服务的①安全②质量③时间等方面具有详细的服务承诺；每有一项得3分最多得9分。 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供应商具有2023年6月1日至今（以合同签订时间为准）的类似项目业绩。每提供一项得2分，满分12分。 注：响应文件中提供合同复印件加盖供应商公章。</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其他.docx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满足磋商文件要求且磋商总报价最低为评审基准价，其价格分为满分。 报价得分=（评审基准价／磋商总报价）×权值×100。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详见附件：其他.docx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