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版本号：YMD-2026076F20260611001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通识课项目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YMD-2026076F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通识课项目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YMD-2026076F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通识课项目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通识教育近年来已成为我国高校普遍认可的高等教育中必不可少的重要环节。一方面， 国家出台了一系列的政策文件，要求高校开展美育、劳动教育、心理健康教育、中华传统文化等一系列非专业性质的课程，极大地提升了通识教育在高等教育中的重要性。另一方面，高校在人才培养过程中，为了避免学生仅学习专业课可能导致的人才口径过窄、视野不足的问题，也将注意力转向通识教育这种扩展学生视野、培养学生思维的教育方式，逐步将通识教育纳入了整体人才培养方案规划并给予了一定的重视。 基于我校实际需求，本项目计划引入通识教育相关资源、工具、服务三方面内容，全面支撑我校通识教育开展。其中资源主要包含课程资源、阅读资源、教辅资源，工具主要包含测评工具、教学工具、统计工具，服务主要指全流程课程运行服务支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采购包1（西安职业技术学院通识课程项目）：属于专门面向中小企业采购。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通识教育近年来已成为我国高校普遍认可的高等教育中必不可少的重要环节。一方面， 国家出台了一系列的政策文件，要求高校开展美育、劳动教育、心理健康教育、中华传统文化等一系列非专业性质的课程，极大地提升了通识教育在高等教育中的重要性。另一方面，高校在人才培养过程中，为了避免学生仅学习专业课可能导致的人才口径过窄、视野不足的问题，也将注意力转向通识教育这种扩展学生视野、培养学生思维的教育方式，逐步将通识教育纳入了整体人才培养方案规划并给予了一定的重视。 基于我校实际需求，本项目计划引入通识教育相关资源、工具、服务三方面内容，全面支撑我校通识教育开展。其中资源主要包含课程资源、阅读资源、教辅资源，工具主要包含测评工具、教学工具、统计工具，服务主要指全流程课程运行服务支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通识课项目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标的名称：通识课项目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、技术要求</w:t>
            </w:r>
          </w:p>
          <w:p>
            <w:pPr>
              <w:pStyle w:val="null3"/>
            </w:pPr>
            <w:r>
              <w:rPr>
                <w:rFonts w:ascii="仿宋_GB2312" w:hAnsi="仿宋_GB2312" w:cs="仿宋_GB2312" w:eastAsia="仿宋_GB2312"/>
              </w:rPr>
              <w:t>(一)通识课程与资源</w:t>
            </w:r>
          </w:p>
          <w:p>
            <w:pPr>
              <w:pStyle w:val="null3"/>
            </w:pPr>
            <w:r>
              <w:rPr>
                <w:rFonts w:ascii="仿宋_GB2312" w:hAnsi="仿宋_GB2312" w:cs="仿宋_GB2312" w:eastAsia="仿宋_GB2312"/>
              </w:rPr>
              <w:t>1.课程类型与数量</w:t>
            </w:r>
          </w:p>
          <w:p>
            <w:pPr>
              <w:pStyle w:val="null3"/>
            </w:pPr>
            <w:r>
              <w:rPr>
                <w:rFonts w:ascii="仿宋_GB2312" w:hAnsi="仿宋_GB2312" w:cs="仿宋_GB2312" w:eastAsia="仿宋_GB2312"/>
              </w:rPr>
              <w:t>(1)课程内容需覆盖综合知识类、个人能力类、个人成长类、创新创业类、公共必修类、考研辅导类、专业导学类、积分式学习类开学教育类等9个类型。</w:t>
            </w:r>
          </w:p>
          <w:p>
            <w:pPr>
              <w:pStyle w:val="null3"/>
            </w:pPr>
            <w:r>
              <w:rPr>
                <w:rFonts w:ascii="仿宋_GB2312" w:hAnsi="仿宋_GB2312" w:cs="仿宋_GB2312" w:eastAsia="仿宋_GB2312"/>
              </w:rPr>
              <w:t>(2)备选课程总量不低于550门。其中，综合知识类课程不低于350门，个人能力类课程不低于50门，个人成长类课程数量不低于20门，创新创业类课程数量不低于20门，公共必修类课程数量不低于20门，专业导学类课程数量不低于10门，积分式学习类不低于20门。需提供具体课程清单备查。</w:t>
            </w:r>
          </w:p>
          <w:p>
            <w:pPr>
              <w:pStyle w:val="null3"/>
            </w:pPr>
            <w:r>
              <w:rPr>
                <w:rFonts w:ascii="仿宋_GB2312" w:hAnsi="仿宋_GB2312" w:cs="仿宋_GB2312" w:eastAsia="仿宋_GB2312"/>
              </w:rPr>
              <w:t>(二)具体每个分类主要内容如下:</w:t>
            </w:r>
          </w:p>
          <w:p>
            <w:pPr>
              <w:pStyle w:val="null3"/>
            </w:pPr>
            <w:r>
              <w:rPr>
                <w:rFonts w:ascii="仿宋_GB2312" w:hAnsi="仿宋_GB2312" w:cs="仿宋_GB2312" w:eastAsia="仿宋_GB2312"/>
              </w:rPr>
              <w:t>1.综合知识类:以知识性内容讲授为主，包含中外历史、中西哲学、中外文学艺术、科学技术、经济管理与社会、国学等内容。</w:t>
            </w:r>
          </w:p>
          <w:p>
            <w:pPr>
              <w:pStyle w:val="null3"/>
            </w:pPr>
            <w:r>
              <w:rPr>
                <w:rFonts w:ascii="仿宋_GB2312" w:hAnsi="仿宋_GB2312" w:cs="仿宋_GB2312" w:eastAsia="仿宋_GB2312"/>
              </w:rPr>
              <w:t>2.个人能力类:以个人技能能力培养为主，包含自我管理能力、思维模式建立、人际沟通表达、团队组织管理、信息素养与外语、职业规划发展等内容。</w:t>
            </w:r>
          </w:p>
          <w:p>
            <w:pPr>
              <w:pStyle w:val="null3"/>
            </w:pPr>
            <w:r>
              <w:rPr>
                <w:rFonts w:ascii="仿宋_GB2312" w:hAnsi="仿宋_GB2312" w:cs="仿宋_GB2312" w:eastAsia="仿宋_GB2312"/>
              </w:rPr>
              <w:t>个人成长类</w:t>
            </w:r>
            <w:r>
              <w:rPr>
                <w:rFonts w:ascii="仿宋_GB2312" w:hAnsi="仿宋_GB2312" w:cs="仿宋_GB2312" w:eastAsia="仿宋_GB2312"/>
              </w:rPr>
              <w:t>:以大学生的身心健康发展为导向,包含安全意识、生理健康、心理健康、职业规划、公民素质等领域。</w:t>
            </w:r>
          </w:p>
          <w:p>
            <w:pPr>
              <w:pStyle w:val="null3"/>
            </w:pPr>
            <w:r>
              <w:rPr>
                <w:rFonts w:ascii="仿宋_GB2312" w:hAnsi="仿宋_GB2312" w:cs="仿宋_GB2312" w:eastAsia="仿宋_GB2312"/>
              </w:rPr>
              <w:t>3.创新创业类:紧扣国家政策，围绕提高大学生创新创业实战能力的目标，构建包括必修和选修、基础和进阶、理论与</w:t>
            </w:r>
            <w:r>
              <w:rPr>
                <w:rFonts w:ascii="仿宋_GB2312" w:hAnsi="仿宋_GB2312" w:cs="仿宋_GB2312" w:eastAsia="仿宋_GB2312"/>
              </w:rPr>
              <w:t>实践</w:t>
            </w:r>
            <w:r>
              <w:rPr>
                <w:rFonts w:ascii="仿宋_GB2312" w:hAnsi="仿宋_GB2312" w:cs="仿宋_GB2312" w:eastAsia="仿宋_GB2312"/>
              </w:rPr>
              <w:t>的创新创业课程体系。</w:t>
            </w:r>
          </w:p>
          <w:p>
            <w:pPr>
              <w:pStyle w:val="null3"/>
            </w:pPr>
            <w:r>
              <w:rPr>
                <w:rFonts w:ascii="仿宋_GB2312" w:hAnsi="仿宋_GB2312" w:cs="仿宋_GB2312" w:eastAsia="仿宋_GB2312"/>
              </w:rPr>
              <w:t>4.公共必修类:收录高校需要开设的必修科目，如公共基础课、军事理论、国家安全、劳动教育等。</w:t>
            </w:r>
          </w:p>
          <w:p>
            <w:pPr>
              <w:pStyle w:val="null3"/>
            </w:pPr>
            <w:r>
              <w:rPr>
                <w:rFonts w:ascii="仿宋_GB2312" w:hAnsi="仿宋_GB2312" w:cs="仿宋_GB2312" w:eastAsia="仿宋_GB2312"/>
              </w:rPr>
              <w:t>5.专业导学类:专业导学课主要针对入学新生，向学生介绍所在类型专业的基本介绍、学业规划、升学建议、就业指导、创业教育、经验分享等内容。</w:t>
            </w:r>
          </w:p>
          <w:p>
            <w:pPr>
              <w:pStyle w:val="null3"/>
            </w:pPr>
            <w:r>
              <w:rPr>
                <w:rFonts w:ascii="仿宋_GB2312" w:hAnsi="仿宋_GB2312" w:cs="仿宋_GB2312" w:eastAsia="仿宋_GB2312"/>
              </w:rPr>
              <w:t>6.积分式学习类:以知识大类为课程划分依据，以知识点为学习单元，以积分制为考核形式，覆盖历史、文学、艺术、科学、社会、技能等不同领域。</w:t>
            </w:r>
          </w:p>
          <w:p>
            <w:pPr>
              <w:pStyle w:val="null3"/>
            </w:pPr>
            <w:r>
              <w:rPr>
                <w:rFonts w:ascii="仿宋_GB2312" w:hAnsi="仿宋_GB2312" w:cs="仿宋_GB2312" w:eastAsia="仿宋_GB2312"/>
              </w:rPr>
              <w:t>7.开学教育类: 整合每学期开学前后一段时间内的热点问题及学生在大学阶段应该培养的态度与方法，以主题讲座的形式开展课程。</w:t>
            </w:r>
          </w:p>
          <w:p>
            <w:pPr>
              <w:pStyle w:val="null3"/>
            </w:pPr>
            <w:r>
              <w:rPr>
                <w:rFonts w:ascii="仿宋_GB2312" w:hAnsi="仿宋_GB2312" w:cs="仿宋_GB2312" w:eastAsia="仿宋_GB2312"/>
              </w:rPr>
              <w:t>8.重点课程类型要求</w:t>
            </w:r>
          </w:p>
          <w:p>
            <w:pPr>
              <w:pStyle w:val="null3"/>
            </w:pPr>
            <w:r>
              <w:rPr>
                <w:rFonts w:ascii="仿宋_GB2312" w:hAnsi="仿宋_GB2312" w:cs="仿宋_GB2312" w:eastAsia="仿宋_GB2312"/>
              </w:rPr>
              <w:t>为了满足学校开课需求，提供课程应包含以下所有重点课程类型供应商应提供具体课程清单备查，内容要求中明确提到需要其他证明材料的</w:t>
            </w:r>
            <w:r>
              <w:rPr>
                <w:rFonts w:ascii="仿宋_GB2312" w:hAnsi="仿宋_GB2312" w:cs="仿宋_GB2312" w:eastAsia="仿宋_GB2312"/>
              </w:rPr>
              <w:t>应一并</w:t>
            </w:r>
            <w:r>
              <w:rPr>
                <w:rFonts w:ascii="仿宋_GB2312" w:hAnsi="仿宋_GB2312" w:cs="仿宋_GB2312" w:eastAsia="仿宋_GB2312"/>
              </w:rPr>
              <w:t>提供。</w:t>
            </w:r>
          </w:p>
          <w:p>
            <w:pPr>
              <w:pStyle w:val="null3"/>
            </w:pPr>
            <w:r>
              <w:rPr>
                <w:rFonts w:ascii="仿宋_GB2312" w:hAnsi="仿宋_GB2312" w:cs="仿宋_GB2312" w:eastAsia="仿宋_GB2312"/>
              </w:rPr>
              <w:t>(1)美育课程:需包含中共中央办公厅、国务院办公厅《关于全面加强和改进新时代学校美育工作的意见》中规定的音乐、美术、书法、舞蹈、戏剧、戏曲、影视等7个主题的相关课程。</w:t>
            </w:r>
          </w:p>
          <w:p>
            <w:pPr>
              <w:pStyle w:val="null3"/>
            </w:pPr>
            <w:r>
              <w:rPr>
                <w:rFonts w:ascii="仿宋_GB2312" w:hAnsi="仿宋_GB2312" w:cs="仿宋_GB2312" w:eastAsia="仿宋_GB2312"/>
              </w:rPr>
              <w:t>(2)经典导读:覆盖哲学、历史、文学、社会、科学、国学</w:t>
            </w:r>
            <w:r>
              <w:rPr>
                <w:rFonts w:ascii="仿宋_GB2312" w:hAnsi="仿宋_GB2312" w:cs="仿宋_GB2312" w:eastAsia="仿宋_GB2312"/>
              </w:rPr>
              <w:t>各</w:t>
            </w:r>
            <w:r>
              <w:rPr>
                <w:rFonts w:ascii="仿宋_GB2312" w:hAnsi="仿宋_GB2312" w:cs="仿宋_GB2312" w:eastAsia="仿宋_GB2312"/>
              </w:rPr>
              <w:t>领域经典，每门课程只导读</w:t>
            </w:r>
            <w:r>
              <w:rPr>
                <w:rFonts w:ascii="仿宋_GB2312" w:hAnsi="仿宋_GB2312" w:cs="仿宋_GB2312" w:eastAsia="仿宋_GB2312"/>
              </w:rPr>
              <w:t>1本著作。总量不少于25门。</w:t>
            </w:r>
          </w:p>
          <w:p>
            <w:pPr>
              <w:pStyle w:val="null3"/>
            </w:pPr>
            <w:r>
              <w:rPr>
                <w:rFonts w:ascii="仿宋_GB2312" w:hAnsi="仿宋_GB2312" w:cs="仿宋_GB2312" w:eastAsia="仿宋_GB2312"/>
              </w:rPr>
              <w:t>(3)学术写作与学术道德:针对中文论文写作、学术道德设计课程。总量不少于5门。</w:t>
            </w:r>
          </w:p>
          <w:p>
            <w:pPr>
              <w:pStyle w:val="null3"/>
            </w:pPr>
            <w:r>
              <w:rPr>
                <w:rFonts w:ascii="仿宋_GB2312" w:hAnsi="仿宋_GB2312" w:cs="仿宋_GB2312" w:eastAsia="仿宋_GB2312"/>
              </w:rPr>
              <w:t>(4)信息检索与信息素养:应符合教科信函[2021]14号《教育部关于发布&lt;高等学校数字校园建设规范(试行)&gt;的通知》中对信息素养的要求。需提供课程大纲与教育部文件要求对比内容。</w:t>
            </w:r>
          </w:p>
          <w:p>
            <w:pPr>
              <w:pStyle w:val="null3"/>
            </w:pPr>
            <w:r>
              <w:rPr>
                <w:rFonts w:ascii="仿宋_GB2312" w:hAnsi="仿宋_GB2312" w:cs="仿宋_GB2312" w:eastAsia="仿宋_GB2312"/>
              </w:rPr>
              <w:t>(5)健康教育:符合教育部教体艺【2017]5号《普通高等学校健康教育指导纲要》内容要求，课程团队至少包含1名相关领域院士。需提供课程大纲与教育部文件要求对比内容。</w:t>
            </w:r>
          </w:p>
          <w:p>
            <w:pPr>
              <w:pStyle w:val="null3"/>
            </w:pPr>
            <w:r>
              <w:rPr>
                <w:rFonts w:ascii="仿宋_GB2312" w:hAnsi="仿宋_GB2312" w:cs="仿宋_GB2312" w:eastAsia="仿宋_GB2312"/>
              </w:rPr>
              <w:t>(6)心理健康:符合教育部教党〔2018]41号《高等学校学生心理健康教育指导纲要》内容要求。需提供课程大纲与教育部文件要求对比内容。</w:t>
            </w:r>
          </w:p>
          <w:p>
            <w:pPr>
              <w:pStyle w:val="null3"/>
            </w:pPr>
            <w:r>
              <w:rPr>
                <w:rFonts w:ascii="仿宋_GB2312" w:hAnsi="仿宋_GB2312" w:cs="仿宋_GB2312" w:eastAsia="仿宋_GB2312"/>
              </w:rPr>
              <w:t>(7)职业发展与就业指导:符合教育部教高厅[2007]7号《大学生职业发展与就业指导课程教学要求》内容要求，课程名称为《大学生职业发展与就业指导》。需提供课程大纲与教育部文件要求对比内容。</w:t>
            </w:r>
          </w:p>
          <w:p>
            <w:pPr>
              <w:pStyle w:val="null3"/>
            </w:pPr>
            <w:r>
              <w:rPr>
                <w:rFonts w:ascii="仿宋_GB2312" w:hAnsi="仿宋_GB2312" w:cs="仿宋_GB2312" w:eastAsia="仿宋_GB2312"/>
              </w:rPr>
              <w:t>(8)创新创业:包含以下类型课程并符合对应要求:创业理论基础类(至少1门课授课教师应有教育部高等学校创业教育指导委员会委员经历，符合教高厅[2012]4号文件中《普通本科学校创业教育教学基本要求(试行)》中的内容要求)、创业案例访谈类(2门及以上，访谈人数合计不少于10人)、创新创业大赛辅导类(内容需针对创新创业大赛参赛设计)、创业技能训练类(覆盖创业阶段法律、人力资源、商业计划书、专利申报主题，每个主题对应至少1门课程)。</w:t>
            </w:r>
          </w:p>
          <w:p>
            <w:pPr>
              <w:pStyle w:val="null3"/>
            </w:pPr>
            <w:r>
              <w:rPr>
                <w:rFonts w:ascii="仿宋_GB2312" w:hAnsi="仿宋_GB2312" w:cs="仿宋_GB2312" w:eastAsia="仿宋_GB2312"/>
              </w:rPr>
              <w:t>(9)劳动教育:至少2门课程来自中华全国总工会直属高校:以劳动知识、劳模精神、工匠精神为主。总量不少于5门。课单中需体现教师工作单位信息。</w:t>
            </w:r>
          </w:p>
          <w:p>
            <w:pPr>
              <w:pStyle w:val="null3"/>
            </w:pPr>
            <w:r>
              <w:rPr>
                <w:rFonts w:ascii="仿宋_GB2312" w:hAnsi="仿宋_GB2312" w:cs="仿宋_GB2312" w:eastAsia="仿宋_GB2312"/>
              </w:rPr>
              <w:t>(10)大学体育:在1门课程中介绍不低于15种运动项目，以运动项目的技术、战术、规则为主，教师应有省队及以上团队正式执教经历或取得过世界级比赛奖项。</w:t>
            </w:r>
          </w:p>
          <w:p>
            <w:pPr>
              <w:pStyle w:val="null3"/>
            </w:pPr>
            <w:r>
              <w:rPr>
                <w:rFonts w:ascii="仿宋_GB2312" w:hAnsi="仿宋_GB2312" w:cs="仿宋_GB2312" w:eastAsia="仿宋_GB2312"/>
              </w:rPr>
              <w:t>(11)军事理论与军事技能训练:需至少2门课程，分别对应教育部教体艺</w:t>
            </w:r>
            <w:r>
              <w:rPr>
                <w:rFonts w:ascii="仿宋_GB2312" w:hAnsi="仿宋_GB2312" w:cs="仿宋_GB2312" w:eastAsia="仿宋_GB2312"/>
              </w:rPr>
              <w:t>【</w:t>
            </w:r>
            <w:r>
              <w:rPr>
                <w:rFonts w:ascii="仿宋_GB2312" w:hAnsi="仿宋_GB2312" w:cs="仿宋_GB2312" w:eastAsia="仿宋_GB2312"/>
              </w:rPr>
              <w:t>2019</w:t>
            </w:r>
            <w:r>
              <w:rPr>
                <w:rFonts w:ascii="仿宋_GB2312" w:hAnsi="仿宋_GB2312" w:cs="仿宋_GB2312" w:eastAsia="仿宋_GB2312"/>
              </w:rPr>
              <w:t>】</w:t>
            </w:r>
            <w:r>
              <w:rPr>
                <w:rFonts w:ascii="仿宋_GB2312" w:hAnsi="仿宋_GB2312" w:cs="仿宋_GB2312" w:eastAsia="仿宋_GB2312"/>
              </w:rPr>
              <w:t>1号《普通高等学校军事课教学大纲》所有军事理论部分(文件第六条)内容与军事技能训练部分(文件第七条)内容。需提供课程大纲与教育部文件要求对比内容。</w:t>
            </w:r>
          </w:p>
          <w:p>
            <w:pPr>
              <w:pStyle w:val="null3"/>
            </w:pPr>
            <w:r>
              <w:rPr>
                <w:rFonts w:ascii="仿宋_GB2312" w:hAnsi="仿宋_GB2312" w:cs="仿宋_GB2312" w:eastAsia="仿宋_GB2312"/>
              </w:rPr>
              <w:t>(12)国家安全教育:符合教育部教材【2020</w:t>
            </w:r>
            <w:r>
              <w:rPr>
                <w:rFonts w:ascii="仿宋_GB2312" w:hAnsi="仿宋_GB2312" w:cs="仿宋_GB2312" w:eastAsia="仿宋_GB2312"/>
              </w:rPr>
              <w:t>】</w:t>
            </w:r>
            <w:r>
              <w:rPr>
                <w:rFonts w:ascii="仿宋_GB2312" w:hAnsi="仿宋_GB2312" w:cs="仿宋_GB2312" w:eastAsia="仿宋_GB2312"/>
              </w:rPr>
              <w:t>5号通知中《大中小学国家安全教育指导纲要》中相关内容。</w:t>
            </w:r>
          </w:p>
          <w:p>
            <w:pPr>
              <w:pStyle w:val="null3"/>
            </w:pPr>
            <w:r>
              <w:rPr>
                <w:rFonts w:ascii="仿宋_GB2312" w:hAnsi="仿宋_GB2312" w:cs="仿宋_GB2312" w:eastAsia="仿宋_GB2312"/>
              </w:rPr>
              <w:t>(13)新生专业导学:至少覆盖理工类、人文类、社科类专业各2个，要求单门课程内容针对具体专业学习内容、就业方向等内容进行讲解，非多专业通用介绍或大学阶段学习方法等内容。</w:t>
            </w:r>
          </w:p>
          <w:p>
            <w:pPr>
              <w:pStyle w:val="null3"/>
            </w:pPr>
            <w:r>
              <w:rPr>
                <w:rFonts w:ascii="仿宋_GB2312" w:hAnsi="仿宋_GB2312" w:cs="仿宋_GB2312" w:eastAsia="仿宋_GB2312"/>
              </w:rPr>
              <w:t>(14)积分式学习类课程:需包含历史文明、文学导读、经济管理、科学技术、哲学智慧、华夏文化、美育、劳动教育、身心健康、人际沟通、职场技能、高效管理、创造创新等主题，总数不少于15门。</w:t>
            </w:r>
          </w:p>
          <w:p>
            <w:pPr>
              <w:pStyle w:val="null3"/>
            </w:pPr>
            <w:r>
              <w:rPr>
                <w:rFonts w:ascii="仿宋_GB2312" w:hAnsi="仿宋_GB2312" w:cs="仿宋_GB2312" w:eastAsia="仿宋_GB2312"/>
              </w:rPr>
              <w:t>(15)开学教育:课程内容面向所有年级在校学生，以大学生在大学阶段应掌握的身心健康知识、国家重大政策方针、大学阶段必备能力技能为主。</w:t>
            </w:r>
          </w:p>
          <w:p>
            <w:pPr>
              <w:pStyle w:val="null3"/>
            </w:pPr>
            <w:r>
              <w:rPr>
                <w:rFonts w:ascii="仿宋_GB2312" w:hAnsi="仿宋_GB2312" w:cs="仿宋_GB2312" w:eastAsia="仿宋_GB2312"/>
              </w:rPr>
              <w:t>(三)课程资源要求</w:t>
            </w:r>
          </w:p>
          <w:p>
            <w:pPr>
              <w:pStyle w:val="null3"/>
            </w:pPr>
            <w:r>
              <w:rPr>
                <w:rFonts w:ascii="仿宋_GB2312" w:hAnsi="仿宋_GB2312" w:cs="仿宋_GB2312" w:eastAsia="仿宋_GB2312"/>
              </w:rPr>
              <w:t>1.阅读资源:每门课程需提供独立的拓展阅读功能模块，不得作为课程章节中插入的资料、文本形式提供。提供的阅读资源应包含片段阅读和全本阅读两种类型。课程主题不同时，应提供不同主题的阅读资源，每个主题下再根据具体内容细分为若干二级分类。每个主题不少于200条阅读资源，所有主题累计资源不少于4000条。需提供各主题下资源数量清单备查。</w:t>
            </w:r>
          </w:p>
          <w:p>
            <w:pPr>
              <w:pStyle w:val="null3"/>
            </w:pPr>
            <w:r>
              <w:rPr>
                <w:rFonts w:ascii="仿宋_GB2312" w:hAnsi="仿宋_GB2312" w:cs="仿宋_GB2312" w:eastAsia="仿宋_GB2312"/>
              </w:rPr>
              <w:t>2.配套题库:综合知识类、个人能力类、个人成长类、创新创业类、公共必修类课程中，题库应包括单选题、多选题、判断题、填空题、简答题等五种题型。课程视频数量多于20个的，每门课程配套题库题目数量应不少于100道。教育主管部门相关政策另有规定时以具体规定为准。如课程内容不适合出简答、填空等主观题的，可以暂不设置，但此类课程占总课程数量不得超过2%，此类课程题库总量不做要求。</w:t>
            </w:r>
          </w:p>
          <w:p>
            <w:pPr>
              <w:pStyle w:val="null3"/>
            </w:pPr>
            <w:r>
              <w:rPr>
                <w:rFonts w:ascii="仿宋_GB2312" w:hAnsi="仿宋_GB2312" w:cs="仿宋_GB2312" w:eastAsia="仿宋_GB2312"/>
              </w:rPr>
              <w:t>3.期末考试:需提供难、中、易三种难度期末试卷供用户选择难度为“易”的试卷需包括单选题、多选题、判断题三种题型;难度为“中”的试卷需包括单选题、多选题、判断题、填空题四种题型;难度为“难”的试卷需包括单选题、多选题、判断题、填空题、简答题。教育主管部门相关政策另有规定时以具体规定为准。如课程内容不适合出</w:t>
            </w:r>
            <w:r>
              <w:rPr>
                <w:rFonts w:ascii="仿宋_GB2312" w:hAnsi="仿宋_GB2312" w:cs="仿宋_GB2312" w:eastAsia="仿宋_GB2312"/>
              </w:rPr>
              <w:t>简答</w:t>
            </w:r>
            <w:r>
              <w:rPr>
                <w:rFonts w:ascii="仿宋_GB2312" w:hAnsi="仿宋_GB2312" w:cs="仿宋_GB2312" w:eastAsia="仿宋_GB2312"/>
              </w:rPr>
              <w:t>、填空等主观题的，可以暂不设置，但此类课程占总课程数量不得超过</w:t>
            </w:r>
            <w:r>
              <w:rPr>
                <w:rFonts w:ascii="仿宋_GB2312" w:hAnsi="仿宋_GB2312" w:cs="仿宋_GB2312" w:eastAsia="仿宋_GB2312"/>
              </w:rPr>
              <w:t>2%.</w:t>
            </w:r>
          </w:p>
          <w:p>
            <w:pPr>
              <w:pStyle w:val="null3"/>
            </w:pPr>
            <w:r>
              <w:rPr>
                <w:rFonts w:ascii="仿宋_GB2312" w:hAnsi="仿宋_GB2312" w:cs="仿宋_GB2312" w:eastAsia="仿宋_GB2312"/>
              </w:rPr>
              <w:t>4.积分式学习类课程应至少包含视频、测验题、阅读材料等三类学习资源。每个主题课程中知识点数量不低于180个，其中包含不少于150个视频、300道测验题，20个阅读材料。每门课视频累计时长不少于2000分钟，所有测验题应为客观题，每个阅读材料不少</w:t>
            </w:r>
            <w:r>
              <w:rPr>
                <w:rFonts w:ascii="仿宋_GB2312" w:hAnsi="仿宋_GB2312" w:cs="仿宋_GB2312" w:eastAsia="仿宋_GB2312"/>
              </w:rPr>
              <w:t>于</w:t>
            </w:r>
            <w:r>
              <w:rPr>
                <w:rFonts w:ascii="仿宋_GB2312" w:hAnsi="仿宋_GB2312" w:cs="仿宋_GB2312" w:eastAsia="仿宋_GB2312"/>
              </w:rPr>
              <w:t>10000字</w:t>
            </w:r>
            <w:r>
              <w:rPr>
                <w:rFonts w:ascii="仿宋_GB2312" w:hAnsi="仿宋_GB2312" w:cs="仿宋_GB2312" w:eastAsia="仿宋_GB2312"/>
              </w:rPr>
              <w:t>。</w:t>
            </w:r>
          </w:p>
          <w:p>
            <w:pPr>
              <w:pStyle w:val="null3"/>
            </w:pPr>
            <w:r>
              <w:rPr>
                <w:rFonts w:ascii="仿宋_GB2312" w:hAnsi="仿宋_GB2312" w:cs="仿宋_GB2312" w:eastAsia="仿宋_GB2312"/>
              </w:rPr>
              <w:t>5.开学教育要求内容每学期更新。课程以直播形式开展，每次直播只讲授一个主题，时长不少于40分钟。直播视频中应体现“开学教育”“开学第一课”或类似的意思表述，直播需要可以查看学生评论发言时间用于证明直播时间,供应商需准备3个往期的直播链接备查。</w:t>
            </w:r>
          </w:p>
          <w:p>
            <w:pPr>
              <w:pStyle w:val="null3"/>
            </w:pPr>
            <w:r>
              <w:rPr>
                <w:rFonts w:ascii="仿宋_GB2312" w:hAnsi="仿宋_GB2312" w:cs="仿宋_GB2312" w:eastAsia="仿宋_GB2312"/>
              </w:rPr>
              <w:t>6.</w:t>
            </w:r>
            <w:r>
              <w:rPr>
                <w:rFonts w:ascii="仿宋_GB2312" w:hAnsi="仿宋_GB2312" w:cs="仿宋_GB2312" w:eastAsia="仿宋_GB2312"/>
              </w:rPr>
              <w:t>大学生心理健康教育、劳动教育、创新创业基础、大学生健康教育、军事理论、大学生恋爱与性健康、大学生职业发展与就业指导大学生国家安全教育、工程伦理、垃圾分类等</w:t>
            </w:r>
            <w:r>
              <w:rPr>
                <w:rFonts w:ascii="仿宋_GB2312" w:hAnsi="仿宋_GB2312" w:cs="仿宋_GB2312" w:eastAsia="仿宋_GB2312"/>
              </w:rPr>
              <w:t>10个公共必修性质的课程，需提供混合式教学资料包，其中包含完整的教学视频、配套习题、教学PPT、校本教师提升培训视频等内容。PPT内容应符合教育部等主管部门公布的课程大纲要求，主管部门未公布课程大纲的，可参考相关领域权威高校课程内容。校本教师提升培训视频应由至少一名一线教师主讲或策划，结合具体课程内容，对观看者进行课程内容课程设计等方面的引导。培训视频内容应针对一门课程内容进行开发</w:t>
            </w:r>
            <w:r>
              <w:rPr>
                <w:rFonts w:ascii="仿宋_GB2312" w:hAnsi="仿宋_GB2312" w:cs="仿宋_GB2312" w:eastAsia="仿宋_GB2312"/>
              </w:rPr>
              <w:t>，</w:t>
            </w:r>
            <w:r>
              <w:rPr>
                <w:rFonts w:ascii="仿宋_GB2312" w:hAnsi="仿宋_GB2312" w:cs="仿宋_GB2312" w:eastAsia="仿宋_GB2312"/>
              </w:rPr>
              <w:t>非通用教学理论或技能。</w:t>
            </w:r>
          </w:p>
          <w:p>
            <w:pPr>
              <w:pStyle w:val="null3"/>
            </w:pPr>
            <w:r>
              <w:rPr>
                <w:rFonts w:ascii="仿宋_GB2312" w:hAnsi="仿宋_GB2312" w:cs="仿宋_GB2312" w:eastAsia="仿宋_GB2312"/>
              </w:rPr>
              <w:t>(四)课程其他要求</w:t>
            </w:r>
          </w:p>
          <w:p>
            <w:pPr>
              <w:pStyle w:val="null3"/>
            </w:pPr>
            <w:r>
              <w:rPr>
                <w:rFonts w:ascii="仿宋_GB2312" w:hAnsi="仿宋_GB2312" w:cs="仿宋_GB2312" w:eastAsia="仿宋_GB2312"/>
              </w:rPr>
              <w:t>1.师资情况:70%以上课程的教师团队应至少包含一名来自双一流高校、中国科学院、中国工程院、中国社会科学院等机构的教师。70%以上课程的教师团队应至少包含一名教授或同级别职称教师。需提供详细教师、对应职称、工作单位信息清单备查。</w:t>
            </w:r>
          </w:p>
          <w:p>
            <w:pPr>
              <w:pStyle w:val="null3"/>
            </w:pPr>
            <w:r>
              <w:rPr>
                <w:rFonts w:ascii="仿宋_GB2312" w:hAnsi="仿宋_GB2312" w:cs="仿宋_GB2312" w:eastAsia="仿宋_GB2312"/>
              </w:rPr>
              <w:t>2.课程清单:供应商需提供包含所有备选课程的课程清单、课程简介列表、课程大纲。</w:t>
            </w:r>
          </w:p>
          <w:p>
            <w:pPr>
              <w:pStyle w:val="null3"/>
            </w:pPr>
            <w:r>
              <w:rPr>
                <w:rFonts w:ascii="仿宋_GB2312" w:hAnsi="仿宋_GB2312" w:cs="仿宋_GB2312" w:eastAsia="仿宋_GB2312"/>
              </w:rPr>
              <w:t>3.供应商已解决课程版权事宜，不会给学校带来版权纠纷，不会因为相关争议影响学校正常使用，需提供投标课程的主讲教师授权协议或版权问题承诺书。</w:t>
            </w:r>
          </w:p>
          <w:p>
            <w:pPr>
              <w:pStyle w:val="null3"/>
            </w:pPr>
            <w:r>
              <w:rPr>
                <w:rFonts w:ascii="仿宋_GB2312" w:hAnsi="仿宋_GB2312" w:cs="仿宋_GB2312" w:eastAsia="仿宋_GB2312"/>
              </w:rPr>
              <w:t>4.辅学资源:综合知识类、个人能力类、个人成长类、创新创业类、公共必修类课程需另外提供包含与本门课程相关的图书，以丰富学生的课外学习。每门课相关电子版参考图书至少10册，放在课程首页上供学生查看。</w:t>
            </w:r>
          </w:p>
          <w:p>
            <w:pPr>
              <w:pStyle w:val="null3"/>
            </w:pPr>
            <w:r>
              <w:rPr>
                <w:rFonts w:ascii="仿宋_GB2312" w:hAnsi="仿宋_GB2312" w:cs="仿宋_GB2312" w:eastAsia="仿宋_GB2312"/>
              </w:rPr>
              <w:t>5.经典导读课配套纸质图书不少于2册,其他课程配套纸质图书不少于2册。图书均须为获得书号的正式出版物。供应商享有相关出版权利，图书封面、内页需明确体现供应商名称等信息。图书需提供出版社或网络书店销售链接证明图书出版情况。供应商需提供图书书名、版号、出版社等相关信息，供学校后续采购教材时参考选用。</w:t>
            </w:r>
          </w:p>
          <w:p>
            <w:pPr>
              <w:pStyle w:val="null3"/>
            </w:pPr>
            <w:r>
              <w:rPr>
                <w:rFonts w:ascii="仿宋_GB2312" w:hAnsi="仿宋_GB2312" w:cs="仿宋_GB2312" w:eastAsia="仿宋_GB2312"/>
              </w:rPr>
              <w:t>(五)通识素养测评体系要求</w:t>
            </w:r>
          </w:p>
          <w:p>
            <w:pPr>
              <w:pStyle w:val="null3"/>
            </w:pPr>
            <w:r>
              <w:rPr>
                <w:rFonts w:ascii="仿宋_GB2312" w:hAnsi="仿宋_GB2312" w:cs="仿宋_GB2312" w:eastAsia="仿宋_GB2312"/>
              </w:rPr>
              <w:t>1.测评体系应覆盖以下五个类别。</w:t>
            </w:r>
          </w:p>
          <w:p>
            <w:pPr>
              <w:pStyle w:val="null3"/>
            </w:pPr>
            <w:r>
              <w:rPr>
                <w:rFonts w:ascii="仿宋_GB2312" w:hAnsi="仿宋_GB2312" w:cs="仿宋_GB2312" w:eastAsia="仿宋_GB2312"/>
              </w:rPr>
              <w:t>国学基础</w:t>
            </w:r>
            <w:r>
              <w:rPr>
                <w:rFonts w:ascii="仿宋_GB2312" w:hAnsi="仿宋_GB2312" w:cs="仿宋_GB2312" w:eastAsia="仿宋_GB2312"/>
              </w:rPr>
              <w:t>:以经典国学作品为基础，综合考察中国传统国学相关知识。主要包括中国古代哲学思想解读、古代经典作品内容与分析、古代礼仪与文明实际应用等内容。</w:t>
            </w:r>
          </w:p>
          <w:p>
            <w:pPr>
              <w:pStyle w:val="null3"/>
            </w:pPr>
            <w:r>
              <w:rPr>
                <w:rFonts w:ascii="仿宋_GB2312" w:hAnsi="仿宋_GB2312" w:cs="仿宋_GB2312" w:eastAsia="仿宋_GB2312"/>
              </w:rPr>
              <w:t>科学技术</w:t>
            </w:r>
            <w:r>
              <w:rPr>
                <w:rFonts w:ascii="仿宋_GB2312" w:hAnsi="仿宋_GB2312" w:cs="仿宋_GB2312" w:eastAsia="仿宋_GB2312"/>
              </w:rPr>
              <w:t>:全方位剖析科学发展的历史及其精神内涵。考核数学、物理、化学、生物等领域的基础理论，以及神经、认知、材料、计算机、互联网等领域的最新进展情况。</w:t>
            </w:r>
          </w:p>
          <w:p>
            <w:pPr>
              <w:pStyle w:val="null3"/>
            </w:pPr>
            <w:r>
              <w:rPr>
                <w:rFonts w:ascii="仿宋_GB2312" w:hAnsi="仿宋_GB2312" w:cs="仿宋_GB2312" w:eastAsia="仿宋_GB2312"/>
              </w:rPr>
              <w:t>社会管理</w:t>
            </w:r>
            <w:r>
              <w:rPr>
                <w:rFonts w:ascii="仿宋_GB2312" w:hAnsi="仿宋_GB2312" w:cs="仿宋_GB2312" w:eastAsia="仿宋_GB2312"/>
              </w:rPr>
              <w:t>:揭示经济活动的一般规律，不仅仅关注经济活动的一般表象，更能够深入考察经济活动背后的理论与实际运作。同时兼顾社会管理领域，解读管理活动的理论与内涵。</w:t>
            </w:r>
          </w:p>
          <w:p>
            <w:pPr>
              <w:pStyle w:val="null3"/>
            </w:pPr>
            <w:r>
              <w:rPr>
                <w:rFonts w:ascii="仿宋_GB2312" w:hAnsi="仿宋_GB2312" w:cs="仿宋_GB2312" w:eastAsia="仿宋_GB2312"/>
              </w:rPr>
              <w:t>人类思想</w:t>
            </w:r>
            <w:r>
              <w:rPr>
                <w:rFonts w:ascii="仿宋_GB2312" w:hAnsi="仿宋_GB2312" w:cs="仿宋_GB2312" w:eastAsia="仿宋_GB2312"/>
              </w:rPr>
              <w:t>:探索人类信仰、法理、</w:t>
            </w:r>
            <w:r>
              <w:rPr>
                <w:rFonts w:ascii="仿宋_GB2312" w:hAnsi="仿宋_GB2312" w:cs="仿宋_GB2312" w:eastAsia="仿宋_GB2312"/>
              </w:rPr>
              <w:t>哲学</w:t>
            </w:r>
            <w:r>
              <w:rPr>
                <w:rFonts w:ascii="仿宋_GB2312" w:hAnsi="仿宋_GB2312" w:cs="仿宋_GB2312" w:eastAsia="仿宋_GB2312"/>
              </w:rPr>
              <w:t>等思想的发展历程及其产生的重大影响，能够从本质上揭示各种思想的异同。同时能够联结中西思想领域，以宏观视野对思想进行对比。</w:t>
            </w:r>
          </w:p>
          <w:p>
            <w:pPr>
              <w:pStyle w:val="null3"/>
            </w:pPr>
            <w:r>
              <w:rPr>
                <w:rFonts w:ascii="仿宋_GB2312" w:hAnsi="仿宋_GB2312" w:cs="仿宋_GB2312" w:eastAsia="仿宋_GB2312"/>
              </w:rPr>
              <w:t>文学艺术</w:t>
            </w:r>
            <w:r>
              <w:rPr>
                <w:rFonts w:ascii="仿宋_GB2312" w:hAnsi="仿宋_GB2312" w:cs="仿宋_GB2312" w:eastAsia="仿宋_GB2312"/>
              </w:rPr>
              <w:t>:对人类自古至今的文学与艺术进行全面而适当的考核囊括文学、音乐、绘画、建筑、雕塑、摄影等各个相关领域的主要作品、大师、事件。</w:t>
            </w:r>
          </w:p>
          <w:p>
            <w:pPr>
              <w:pStyle w:val="null3"/>
            </w:pPr>
            <w:r>
              <w:rPr>
                <w:rFonts w:ascii="仿宋_GB2312" w:hAnsi="仿宋_GB2312" w:cs="仿宋_GB2312" w:eastAsia="仿宋_GB2312"/>
              </w:rPr>
              <w:t>历史文明</w:t>
            </w:r>
            <w:r>
              <w:rPr>
                <w:rFonts w:ascii="仿宋_GB2312" w:hAnsi="仿宋_GB2312" w:cs="仿宋_GB2312" w:eastAsia="仿宋_GB2312"/>
              </w:rPr>
              <w:t>:多维度展现世界各种文化的兴起与衰亡，剖析人类历史进程的关键转折点，发掘个人、组织、事件、环境等各个要素对整个人类文明演变产生的深远影响。</w:t>
            </w:r>
          </w:p>
          <w:p>
            <w:pPr>
              <w:pStyle w:val="null3"/>
            </w:pPr>
            <w:r>
              <w:rPr>
                <w:rFonts w:ascii="仿宋_GB2312" w:hAnsi="仿宋_GB2312" w:cs="仿宋_GB2312" w:eastAsia="仿宋_GB2312"/>
              </w:rPr>
              <w:t>2.测评内容要求</w:t>
            </w:r>
          </w:p>
          <w:p>
            <w:pPr>
              <w:pStyle w:val="null3"/>
            </w:pPr>
            <w:r>
              <w:rPr>
                <w:rFonts w:ascii="仿宋_GB2312" w:hAnsi="仿宋_GB2312" w:cs="仿宋_GB2312" w:eastAsia="仿宋_GB2312"/>
              </w:rPr>
              <w:t>(1)系统提供难、中、易三组试卷，由用户自主选择发放试卷的组别。每组试卷包含20套试卷，学生随机从中抽取1套试卷作答。允许多次作答时，每次作答去重新抽取试卷。</w:t>
            </w:r>
          </w:p>
          <w:p>
            <w:pPr>
              <w:pStyle w:val="null3"/>
            </w:pPr>
            <w:r>
              <w:rPr>
                <w:rFonts w:ascii="仿宋_GB2312" w:hAnsi="仿宋_GB2312" w:cs="仿宋_GB2312" w:eastAsia="仿宋_GB2312"/>
              </w:rPr>
              <w:t>(2)用于组卷的测评题库不少于1000道单选题，包含文字题、图片题、音频题三个类型。其中测评体系中各门类不少于150道。测评题目每年更新数量需不低于200道。每道题目必须包含题目答案解析，能够明确解释题目考核相关知识点。需提供具体题目清单备查。</w:t>
            </w:r>
          </w:p>
          <w:p>
            <w:pPr>
              <w:pStyle w:val="null3"/>
            </w:pPr>
            <w:r>
              <w:rPr>
                <w:rFonts w:ascii="仿宋_GB2312" w:hAnsi="仿宋_GB2312" w:cs="仿宋_GB2312" w:eastAsia="仿宋_GB2312"/>
              </w:rPr>
              <w:t>(3)推荐:测评完成后，必须在成绩分析页面推荐相关学习资料，帮助学生提高通识素养水平。要求推荐不少于6门相关课程及6本相关图书。学生应能够直接在测评系统内试看推荐的课程及图书。推荐的相关图书应能够直接阅读全文。</w:t>
            </w:r>
          </w:p>
          <w:p>
            <w:pPr>
              <w:pStyle w:val="null3"/>
            </w:pPr>
            <w:r>
              <w:rPr>
                <w:rFonts w:ascii="仿宋_GB2312" w:hAnsi="仿宋_GB2312" w:cs="仿宋_GB2312" w:eastAsia="仿宋_GB2312"/>
              </w:rPr>
              <w:t>3.平台技术</w:t>
            </w:r>
          </w:p>
          <w:p>
            <w:pPr>
              <w:pStyle w:val="null3"/>
            </w:pPr>
            <w:r>
              <w:rPr>
                <w:rFonts w:ascii="仿宋_GB2312" w:hAnsi="仿宋_GB2312" w:cs="仿宋_GB2312" w:eastAsia="仿宋_GB2312"/>
              </w:rPr>
              <w:t>(1)供应商应提供校本化的通识教育电脑端门户网页，用于展示本校通识资源与教研成果，师生可在该页面登录系统并进行学习，门户应为本校通识教育相关工作专用的域名，不得与本校专业课课程平台共用同一域名或页</w:t>
            </w:r>
            <w:r>
              <w:rPr>
                <w:rFonts w:ascii="仿宋_GB2312" w:hAnsi="仿宋_GB2312" w:cs="仿宋_GB2312" w:eastAsia="仿宋_GB2312"/>
              </w:rPr>
              <w:t>面。</w:t>
            </w:r>
          </w:p>
          <w:p>
            <w:pPr>
              <w:pStyle w:val="null3"/>
            </w:pPr>
            <w:r>
              <w:rPr>
                <w:rFonts w:ascii="仿宋_GB2312" w:hAnsi="仿宋_GB2312" w:cs="仿宋_GB2312" w:eastAsia="仿宋_GB2312"/>
              </w:rPr>
              <w:t>(2)各站点数据支持独立存储、独立维护，保障各学校站点之间互不</w:t>
            </w:r>
          </w:p>
          <w:p>
            <w:pPr>
              <w:pStyle w:val="null3"/>
            </w:pPr>
            <w:r>
              <w:rPr>
                <w:rFonts w:ascii="仿宋_GB2312" w:hAnsi="仿宋_GB2312" w:cs="仿宋_GB2312" w:eastAsia="仿宋_GB2312"/>
              </w:rPr>
              <w:t>冲突，所有数据实时备份，保障数据安全。</w:t>
            </w:r>
          </w:p>
          <w:p>
            <w:pPr>
              <w:pStyle w:val="null3"/>
            </w:pPr>
            <w:r>
              <w:rPr>
                <w:rFonts w:ascii="仿宋_GB2312" w:hAnsi="仿宋_GB2312" w:cs="仿宋_GB2312" w:eastAsia="仿宋_GB2312"/>
              </w:rPr>
              <w:t>(3)设置管理员、教师、学生三个用户角色并赋予不同用户权限:管理员可以添加、编辑、锁定、删除二级管理员、教师和学生账号;可以模拟教师和学生登录;教师可以在课程下添加和删除学生，后台数据同步更新</w:t>
            </w:r>
          </w:p>
          <w:p>
            <w:pPr>
              <w:pStyle w:val="null3"/>
            </w:pPr>
            <w:r>
              <w:rPr>
                <w:rFonts w:ascii="仿宋_GB2312" w:hAnsi="仿宋_GB2312" w:cs="仿宋_GB2312" w:eastAsia="仿宋_GB2312"/>
              </w:rPr>
              <w:t>(4)根据用户需求，教学平台应支持批量导入和直接选课两种模式。批量导入时，教务处根据学生在教务系统选课情况生成选课清单，由供应商导入学习系统中。直接选课时，学校可以根据需要限定每人选课门数、学分数上限以及每门课程选课人数上限;支持学生选课前试听课程;教师可设置是否自主选课，是否允许退选。</w:t>
            </w:r>
          </w:p>
          <w:p>
            <w:pPr>
              <w:pStyle w:val="null3"/>
            </w:pPr>
            <w:r>
              <w:rPr>
                <w:rFonts w:ascii="仿宋_GB2312" w:hAnsi="仿宋_GB2312" w:cs="仿宋_GB2312" w:eastAsia="仿宋_GB2312"/>
              </w:rPr>
              <w:t>(5)在任何运行模式下，管理员、教师均应有权自主设置本校课程开课、结课时间。开课后仍可以根据教学计划把变动随时修改。供应商不得规定统一的教学计划安排。</w:t>
            </w:r>
          </w:p>
          <w:p>
            <w:pPr>
              <w:pStyle w:val="null3"/>
            </w:pPr>
            <w:r>
              <w:rPr>
                <w:rFonts w:ascii="仿宋_GB2312" w:hAnsi="仿宋_GB2312" w:cs="仿宋_GB2312" w:eastAsia="仿宋_GB2312"/>
              </w:rPr>
              <w:t>(6)平台支持学生信息数据的统一导入与学习成绩的统一导出，提供数据模板。</w:t>
            </w:r>
          </w:p>
          <w:p>
            <w:pPr>
              <w:pStyle w:val="null3"/>
            </w:pPr>
            <w:r>
              <w:rPr>
                <w:rFonts w:ascii="仿宋_GB2312" w:hAnsi="仿宋_GB2312" w:cs="仿宋_GB2312" w:eastAsia="仿宋_GB2312"/>
              </w:rPr>
              <w:t>(7)考核维度要求能根据学校需要统一设置，也能根据不同课程分别设置。积分式学习类课程可以考核以下所有操作行为:登录、视频观看时长、阅读时长、测验题、讨论、学习笔记、线下活动。其他课程考核应包含但不限于签到、音频/视频、作业、考试、阅读、直播、登录(访问)、线下成绩等维度。考核维度所占权重支持用户自定义设置，支持在整个学习流程中随时修改。其中，直播支持实时直播及回看功能，观看时长可来自实时直播或回看;阅读时将以正常翻页频率阅读的材料所消耗的时间记为学生的阅读时长。</w:t>
            </w:r>
          </w:p>
          <w:p>
            <w:pPr>
              <w:pStyle w:val="null3"/>
            </w:pPr>
            <w:r>
              <w:rPr>
                <w:rFonts w:ascii="仿宋_GB2312" w:hAnsi="仿宋_GB2312" w:cs="仿宋_GB2312" w:eastAsia="仿宋_GB2312"/>
              </w:rPr>
              <w:t>(8)积分式学习类课程中，支持在专用后台设置总积分、视频观看时长总积分、阅读时长总积分、测验题答题总积分的最低值，以及每日获得总积分、笔记每日积分、讨论每日积分的最大值。</w:t>
            </w:r>
          </w:p>
          <w:p>
            <w:pPr>
              <w:pStyle w:val="null3"/>
            </w:pPr>
            <w:r>
              <w:rPr>
                <w:rFonts w:ascii="仿宋_GB2312" w:hAnsi="仿宋_GB2312" w:cs="仿宋_GB2312" w:eastAsia="仿宋_GB2312"/>
              </w:rPr>
              <w:t>(9)采用多种手段对某一课程的教学效果进行在线实时统计，对班级成绩进行统计分析，对教师、学生行为进行统计分析，支持表单和图表样式显示结果，可以导出统计结果。</w:t>
            </w:r>
          </w:p>
          <w:p>
            <w:pPr>
              <w:pStyle w:val="null3"/>
            </w:pPr>
            <w:r>
              <w:rPr>
                <w:rFonts w:ascii="仿宋_GB2312" w:hAnsi="仿宋_GB2312" w:cs="仿宋_GB2312" w:eastAsia="仿宋_GB2312"/>
              </w:rPr>
              <w:t>4.课程教学相关功能要求</w:t>
            </w:r>
          </w:p>
          <w:p>
            <w:pPr>
              <w:pStyle w:val="null3"/>
            </w:pPr>
            <w:r>
              <w:rPr>
                <w:rFonts w:ascii="仿宋_GB2312" w:hAnsi="仿宋_GB2312" w:cs="仿宋_GB2312" w:eastAsia="仿宋_GB2312"/>
              </w:rPr>
              <w:t>(1)课程视频需支持开启或关闭闯关式教学。开启状态下，学生必须完成当前任务后方可进入下一章节，在取消闯关模式后学生可自由进行学习。</w:t>
            </w:r>
          </w:p>
          <w:p>
            <w:pPr>
              <w:pStyle w:val="null3"/>
            </w:pPr>
            <w:r>
              <w:rPr>
                <w:rFonts w:ascii="仿宋_GB2312" w:hAnsi="仿宋_GB2312" w:cs="仿宋_GB2312" w:eastAsia="仿宋_GB2312"/>
              </w:rPr>
              <w:t>(2)课程支持复习模式，允许学生自由学习课程内容。复习模式下观看视频、作答测验不记录学习成绩。</w:t>
            </w:r>
          </w:p>
          <w:p>
            <w:pPr>
              <w:pStyle w:val="null3"/>
            </w:pPr>
            <w:r>
              <w:rPr>
                <w:rFonts w:ascii="仿宋_GB2312" w:hAnsi="仿宋_GB2312" w:cs="仿宋_GB2312" w:eastAsia="仿宋_GB2312"/>
              </w:rPr>
              <w:t>(3)平台支持在线学习监控功能。进入课程时要求学生拍照留存本次学习人员图像。视频观看过程中，按照预先设置开启摄像头并抓拍学习者图像。所有图像储存于系统后台，用于教师及校方调取图片确认是否为学生本人学习。系统可支持辅助判定功能，在教师或校方允许的情况下对比不同时间抓拍图像，并给出相似度分析，辅助提升判断效率。</w:t>
            </w:r>
          </w:p>
          <w:p>
            <w:pPr>
              <w:pStyle w:val="null3"/>
            </w:pPr>
            <w:r>
              <w:rPr>
                <w:rFonts w:ascii="仿宋_GB2312" w:hAnsi="仿宋_GB2312" w:cs="仿宋_GB2312" w:eastAsia="仿宋_GB2312"/>
              </w:rPr>
              <w:t>(4)学生在线学习课程时需支持进度记忆，支持防止拖拽、倍速观看支持当前活动窗口探测、防止观看课程时进行其他活动。系统支持取消防拖拽、禁止倍速、当前窗口探测等功能。</w:t>
            </w:r>
          </w:p>
          <w:p>
            <w:pPr>
              <w:pStyle w:val="null3"/>
            </w:pPr>
            <w:r>
              <w:rPr>
                <w:rFonts w:ascii="仿宋_GB2312" w:hAnsi="仿宋_GB2312" w:cs="仿宋_GB2312" w:eastAsia="仿宋_GB2312"/>
              </w:rPr>
              <w:t>(5)支持课程视频中插入考题，学生必需回答正确才可继续观看，否则 视频暂停播放。</w:t>
            </w:r>
          </w:p>
          <w:p>
            <w:pPr>
              <w:pStyle w:val="null3"/>
            </w:pPr>
            <w:r>
              <w:rPr>
                <w:rFonts w:ascii="仿宋_GB2312" w:hAnsi="仿宋_GB2312" w:cs="仿宋_GB2312" w:eastAsia="仿宋_GB2312"/>
              </w:rPr>
              <w:t>(6)需支持教师自主出题并批量上传至课程题库，支持批量下载。教师在编辑课程内容时可直接调取题库内容。</w:t>
            </w:r>
          </w:p>
          <w:p>
            <w:pPr>
              <w:pStyle w:val="null3"/>
            </w:pPr>
            <w:r>
              <w:rPr>
                <w:rFonts w:ascii="仿宋_GB2312" w:hAnsi="仿宋_GB2312" w:cs="仿宋_GB2312" w:eastAsia="仿宋_GB2312"/>
              </w:rPr>
              <w:t>(7)课程章节测验应支持高级设置功能，允许用户自主决定是否允许学生提交作业后查看答案、查看分数、查看对错情况，支持将题目设置为随机乱序，支持从指定题库中抽选特定数量题目要求学生作答。</w:t>
            </w:r>
          </w:p>
          <w:p>
            <w:pPr>
              <w:pStyle w:val="null3"/>
            </w:pPr>
            <w:r>
              <w:rPr>
                <w:rFonts w:ascii="仿宋_GB2312" w:hAnsi="仿宋_GB2312" w:cs="仿宋_GB2312" w:eastAsia="仿宋_GB2312"/>
              </w:rPr>
              <w:t>(8)在线考试支持网页端考试、手机端考试、电脑客户端考试。电脑客户端需提供非公开下载软件客户端，并设置客户端有效期。</w:t>
            </w:r>
          </w:p>
          <w:p>
            <w:pPr>
              <w:pStyle w:val="null3"/>
            </w:pPr>
            <w:r>
              <w:rPr>
                <w:rFonts w:ascii="仿宋_GB2312" w:hAnsi="仿宋_GB2312" w:cs="仿宋_GB2312" w:eastAsia="仿宋_GB2312"/>
              </w:rPr>
              <w:t>(9)考试过程中提供考试纪律监控相关技术支持，包括通过人像比对确保考生本人考试、通过摄像头抓拍实现过程监控、对学生切出考试页面进行提醒、题目及选项乱序等。</w:t>
            </w:r>
          </w:p>
          <w:p>
            <w:pPr>
              <w:pStyle w:val="null3"/>
            </w:pPr>
            <w:r>
              <w:rPr>
                <w:rFonts w:ascii="仿宋_GB2312" w:hAnsi="仿宋_GB2312" w:cs="仿宋_GB2312" w:eastAsia="仿宋_GB2312"/>
              </w:rPr>
              <w:t>(10)章节测验、考试中，客观题支持系统自动批阅;填空题可选自动批阅或人工自主批阅;除填空题以外的主观题由人工批阅。</w:t>
            </w:r>
          </w:p>
          <w:p>
            <w:pPr>
              <w:pStyle w:val="null3"/>
            </w:pPr>
            <w:r>
              <w:rPr>
                <w:rFonts w:ascii="仿宋_GB2312" w:hAnsi="仿宋_GB2312" w:cs="仿宋_GB2312" w:eastAsia="仿宋_GB2312"/>
              </w:rPr>
              <w:t>(11)拓展阅读功能模块，允许教师对阅读资源进行自定义分类、自主添加或删除阅读资源。自主添加的阅读资源考核办法应与系统默认资源考核办法一致。</w:t>
            </w:r>
          </w:p>
          <w:p>
            <w:pPr>
              <w:pStyle w:val="null3"/>
            </w:pPr>
            <w:r>
              <w:rPr>
                <w:rFonts w:ascii="仿宋_GB2312" w:hAnsi="仿宋_GB2312" w:cs="仿宋_GB2312" w:eastAsia="仿宋_GB2312"/>
              </w:rPr>
              <w:t>(12)积分式学习类课程中，日常学习考核以积分制模式进行。学生从课程内的知识点中任意选择知识点进行学习，学生在系统内发生学习行为时，系统可以根据校方预先设置的分数值，自动记录其行为对应的分数</w:t>
            </w:r>
            <w:r>
              <w:rPr>
                <w:rFonts w:ascii="仿宋_GB2312" w:hAnsi="仿宋_GB2312" w:cs="仿宋_GB2312" w:eastAsia="仿宋_GB2312"/>
              </w:rPr>
              <w:t>。</w:t>
            </w:r>
          </w:p>
          <w:p>
            <w:pPr>
              <w:pStyle w:val="null3"/>
            </w:pPr>
            <w:r>
              <w:rPr>
                <w:rFonts w:ascii="仿宋_GB2312" w:hAnsi="仿宋_GB2312" w:cs="仿宋_GB2312" w:eastAsia="仿宋_GB2312"/>
              </w:rPr>
              <w:t>(13)积分式学习类课程中，用户可自主选择是否设置期末考试。期末考试采取百分制形式，根据预先选定的知识点随机组卷进行考核。考核后分数与日常积分综合汇算为学生最终成绩。若不设置期末考试，积分达到预设条件后即可视为课程通过。无论是否有期末考试，学生是否学习过课程内所有知识点与学生是否可得满分无关。</w:t>
            </w:r>
          </w:p>
          <w:p>
            <w:pPr>
              <w:pStyle w:val="null3"/>
            </w:pPr>
            <w:r>
              <w:rPr>
                <w:rFonts w:ascii="仿宋_GB2312" w:hAnsi="仿宋_GB2312" w:cs="仿宋_GB2312" w:eastAsia="仿宋_GB2312"/>
              </w:rPr>
              <w:t>(14)积分式学习类课程中，需支持搜索知识点功能，允许学生根据自身需求对知识点进行搜索，也可查看预先设置的推荐知识点、必学知识点。教师可根据实际教学需求，将特定知识点设置为推荐知识点或必学知识点，引导学生学习。</w:t>
            </w:r>
          </w:p>
          <w:p>
            <w:pPr>
              <w:pStyle w:val="null3"/>
            </w:pPr>
            <w:r>
              <w:rPr>
                <w:rFonts w:ascii="仿宋_GB2312" w:hAnsi="仿宋_GB2312" w:cs="仿宋_GB2312" w:eastAsia="仿宋_GB2312"/>
              </w:rPr>
              <w:t>(15)积分式学习类课程中，积分情况及计分规则需允许学生随时查看。支持学生查看个人学习记录，包括该次学习记录对应的知识点名称、学习时间、学习进度，方便学生随时继续学习或进行复习。</w:t>
            </w:r>
          </w:p>
          <w:p>
            <w:pPr>
              <w:pStyle w:val="null3"/>
            </w:pPr>
            <w:r>
              <w:rPr>
                <w:rFonts w:ascii="仿宋_GB2312" w:hAnsi="仿宋_GB2312" w:cs="仿宋_GB2312" w:eastAsia="仿宋_GB2312"/>
              </w:rPr>
              <w:t>(16)积分式学习类课程中，学习完一个知识点后，系统应根据学生所学知识点内容，推荐2个以上相关知识点供学生选择学习。</w:t>
            </w:r>
          </w:p>
          <w:p>
            <w:pPr>
              <w:pStyle w:val="null3"/>
            </w:pPr>
            <w:r>
              <w:rPr>
                <w:rFonts w:ascii="仿宋_GB2312" w:hAnsi="仿宋_GB2312" w:cs="仿宋_GB2312" w:eastAsia="仿宋_GB2312"/>
              </w:rPr>
              <w:t>(17)课程结束后，支持将班级、课程归档，归档后学生无法继续查看课程内容及数据。班级、课程归档后可随时恢复或彻底删除。</w:t>
            </w:r>
          </w:p>
          <w:p>
            <w:pPr>
              <w:pStyle w:val="null3"/>
            </w:pPr>
            <w:r>
              <w:rPr>
                <w:rFonts w:ascii="仿宋_GB2312" w:hAnsi="仿宋_GB2312" w:cs="仿宋_GB2312" w:eastAsia="仿宋_GB2312"/>
              </w:rPr>
              <w:t>(18)混合式教学资料包，需支持用户在统一的页面上预览10门课程分别包含的视频、题库、教学PPT、校本教师提升培训视频，并能够以课程为单位一键将所有资料引用到个人账号下，用于进行个性化修改及混合式教学。</w:t>
            </w:r>
          </w:p>
          <w:p>
            <w:pPr>
              <w:pStyle w:val="null3"/>
            </w:pPr>
            <w:r>
              <w:rPr>
                <w:rFonts w:ascii="仿宋_GB2312" w:hAnsi="仿宋_GB2312" w:cs="仿宋_GB2312" w:eastAsia="仿宋_GB2312"/>
              </w:rPr>
              <w:t>5.测评功能要求</w:t>
            </w:r>
          </w:p>
          <w:p>
            <w:pPr>
              <w:pStyle w:val="null3"/>
            </w:pPr>
            <w:r>
              <w:rPr>
                <w:rFonts w:ascii="仿宋_GB2312" w:hAnsi="仿宋_GB2312" w:cs="仿宋_GB2312" w:eastAsia="仿宋_GB2312"/>
              </w:rPr>
              <w:t>(1)测评功能应和课程学习功能整合在同一个APP内。测评首页上应包含测评入口及个人数据查看入口。</w:t>
            </w:r>
          </w:p>
          <w:p>
            <w:pPr>
              <w:pStyle w:val="null3"/>
            </w:pPr>
            <w:r>
              <w:rPr>
                <w:rFonts w:ascii="仿宋_GB2312" w:hAnsi="仿宋_GB2312" w:cs="仿宋_GB2312" w:eastAsia="仿宋_GB2312"/>
              </w:rPr>
              <w:t>(2)测评完成后，需允许学生在线查看个人测评报告。报告中需要包括测评内容体系各门类的详细分数、成绩评价、全校对比情况，要能够回看学生历次测评结果。</w:t>
            </w:r>
          </w:p>
          <w:p>
            <w:pPr>
              <w:pStyle w:val="null3"/>
            </w:pPr>
            <w:r>
              <w:rPr>
                <w:rFonts w:ascii="仿宋_GB2312" w:hAnsi="仿宋_GB2312" w:cs="仿宋_GB2312" w:eastAsia="仿宋_GB2312"/>
              </w:rPr>
              <w:t>(3)学校测评报告:测评结束后，需向学校提供详尽完整的《通识素养提升解决方案》。该解决方案需要分年级、学院、内容体系维度等方面对学生数据进行分析，并且针对学校的开课清单、通识资源建设、教学改革方面提出合理化建议。</w:t>
            </w:r>
          </w:p>
          <w:p>
            <w:pPr>
              <w:pStyle w:val="null3"/>
            </w:pPr>
            <w:r>
              <w:rPr>
                <w:rFonts w:ascii="仿宋_GB2312" w:hAnsi="仿宋_GB2312" w:cs="仿宋_GB2312" w:eastAsia="仿宋_GB2312"/>
              </w:rPr>
              <w:t>(4)测评应提供本校专用的后台功能模块配置在课程平台的管理后台中。后台具体功能应包含题库管理、组卷与发放、测评情况管理、参与数据分析查询、成绩数据导出等功能。</w:t>
            </w:r>
          </w:p>
          <w:p>
            <w:pPr>
              <w:pStyle w:val="null3"/>
            </w:pPr>
            <w:r>
              <w:rPr>
                <w:rFonts w:ascii="仿宋_GB2312" w:hAnsi="仿宋_GB2312" w:cs="仿宋_GB2312" w:eastAsia="仿宋_GB2312"/>
              </w:rPr>
              <w:t>(5)系统支持用户根据实际需求自建测评。用户可在管理后台通过相应模块创建题库、试卷。创建测评题库时，支持用户自定义测评内容维度、题库内容。创建测评试卷时，可自定义抽取题目数量、抽取题目难易度配比、答题时间。</w:t>
            </w:r>
          </w:p>
          <w:p>
            <w:pPr>
              <w:pStyle w:val="null3"/>
            </w:pPr>
            <w:r>
              <w:rPr>
                <w:rFonts w:ascii="仿宋_GB2312" w:hAnsi="仿宋_GB2312" w:cs="仿宋_GB2312" w:eastAsia="仿宋_GB2312"/>
              </w:rPr>
              <w:t>(6)后台数据导出功能需支持导出学生每次测评的提交时间、最终成绩、每道题目的答题情况等详细数据。</w:t>
            </w:r>
          </w:p>
          <w:p>
            <w:pPr>
              <w:pStyle w:val="null3"/>
            </w:pPr>
            <w:r>
              <w:rPr>
                <w:rFonts w:ascii="仿宋_GB2312" w:hAnsi="仿宋_GB2312" w:cs="仿宋_GB2312" w:eastAsia="仿宋_GB2312"/>
              </w:rPr>
              <w:t>(7)如自定义了测评维度,学生测评报告页面应显示自定义后的维度;校方测评报告中相应的分析也要进行同步修改。</w:t>
            </w:r>
          </w:p>
          <w:p>
            <w:pPr>
              <w:pStyle w:val="null3"/>
            </w:pPr>
            <w:r>
              <w:rPr>
                <w:rFonts w:ascii="仿宋_GB2312" w:hAnsi="仿宋_GB2312" w:cs="仿宋_GB2312" w:eastAsia="仿宋_GB2312"/>
              </w:rPr>
              <w:t>6.平台拓展功能要求</w:t>
            </w:r>
          </w:p>
          <w:p>
            <w:pPr>
              <w:pStyle w:val="null3"/>
            </w:pPr>
            <w:r>
              <w:rPr>
                <w:rFonts w:ascii="仿宋_GB2312" w:hAnsi="仿宋_GB2312" w:cs="仿宋_GB2312" w:eastAsia="仿宋_GB2312"/>
              </w:rPr>
              <w:t>(1)APP端需支持i0S和安卓两个平台，实现在线移动教学功能。移动端与PC端学习进度、学习数据、教学管控功能保持一致，教师可以对课程和学生进行统一管理。</w:t>
            </w:r>
          </w:p>
          <w:p>
            <w:pPr>
              <w:pStyle w:val="null3"/>
            </w:pPr>
            <w:r>
              <w:rPr>
                <w:rFonts w:ascii="仿宋_GB2312" w:hAnsi="仿宋_GB2312" w:cs="仿宋_GB2312" w:eastAsia="仿宋_GB2312"/>
              </w:rPr>
              <w:t>(2)教师可发布各种通知，并实时推送到学生的各个终端;系统记录通知阅读情况，教师可在线查看。学生可在收件箱中查看所有通知。</w:t>
            </w:r>
          </w:p>
          <w:p>
            <w:pPr>
              <w:pStyle w:val="null3"/>
            </w:pPr>
            <w:r>
              <w:rPr>
                <w:rFonts w:ascii="仿宋_GB2312" w:hAnsi="仿宋_GB2312" w:cs="仿宋_GB2312" w:eastAsia="仿宋_GB2312"/>
              </w:rPr>
              <w:t>(3)电脑端学习空间、APP端首页可集成供应商及第三方个性化信息与应用。学校可根据本校需要配置首页展示的应用及个人空间中的应用，</w:t>
            </w:r>
          </w:p>
          <w:p>
            <w:pPr>
              <w:pStyle w:val="null3"/>
            </w:pPr>
            <w:r>
              <w:rPr>
                <w:rFonts w:ascii="仿宋_GB2312" w:hAnsi="仿宋_GB2312" w:cs="仿宋_GB2312" w:eastAsia="仿宋_GB2312"/>
              </w:rPr>
              <w:t>(4)支持云盘功能，可以将文件上传至云盘中，随时随地进行下载，并可以在课程建设时引用云盘的资源。提供PC版客户端，可以设定一个文件夹，文件夹内容自动与云盘内容保持同步，方便批量上传资源，并且可以实现断点续传，保证每份上传资源的完整性。</w:t>
            </w:r>
          </w:p>
          <w:p>
            <w:pPr>
              <w:pStyle w:val="null3"/>
            </w:pPr>
            <w:r>
              <w:rPr>
                <w:rFonts w:ascii="仿宋_GB2312" w:hAnsi="仿宋_GB2312" w:cs="仿宋_GB2312" w:eastAsia="仿宋_GB2312"/>
              </w:rPr>
              <w:t>(5)支持混合式教学，APP端或电脑端需提供的教学工具包括以下所有功能:投票、选人、抢答、讨论、测验、问卷、评分、分组任务、计时器、直播、白板。支持通过APP端投屏功能把课程相关图片、视频资源直接在投屏上展示，主题讨论支持学生添加图片、支持学生答案投屏显示、支持对学生答案进行语义分析并提取关键词在屏幕上以词云形式展现结果</w:t>
            </w:r>
            <w:r>
              <w:rPr>
                <w:rFonts w:ascii="仿宋_GB2312" w:hAnsi="仿宋_GB2312" w:cs="仿宋_GB2312" w:eastAsia="仿宋_GB2312"/>
              </w:rPr>
              <w:t>。</w:t>
            </w:r>
          </w:p>
          <w:p>
            <w:pPr>
              <w:pStyle w:val="null3"/>
            </w:pPr>
            <w:r>
              <w:rPr>
                <w:rFonts w:ascii="仿宋_GB2312" w:hAnsi="仿宋_GB2312" w:cs="仿宋_GB2312" w:eastAsia="仿宋_GB2312"/>
              </w:rPr>
              <w:t>(6)允许教师发放签到，统计上课学生数。签到需包含普通签到、位置签到、手势签到、二维码签到等4种签到模式。</w:t>
            </w:r>
          </w:p>
          <w:p>
            <w:pPr>
              <w:pStyle w:val="null3"/>
            </w:pPr>
            <w:r>
              <w:rPr>
                <w:rFonts w:ascii="仿宋_GB2312" w:hAnsi="仿宋_GB2312" w:cs="仿宋_GB2312" w:eastAsia="仿宋_GB2312"/>
              </w:rPr>
              <w:t>(7)支持用户基于学习进行社交，支持学习动态分享，支持跨校交流支持用户自由组建基于学习或兴趣的小组或社区。</w:t>
            </w:r>
          </w:p>
          <w:p>
            <w:pPr>
              <w:pStyle w:val="null3"/>
            </w:pPr>
            <w:r>
              <w:rPr>
                <w:rFonts w:ascii="仿宋_GB2312" w:hAnsi="仿宋_GB2312" w:cs="仿宋_GB2312" w:eastAsia="仿宋_GB2312"/>
              </w:rPr>
              <w:t>(8)支持学习笔记管理、编辑、分享，支持笔记文件夹共享，支持相互评论和转发。</w:t>
            </w:r>
          </w:p>
          <w:p>
            <w:pPr>
              <w:pStyle w:val="null3"/>
            </w:pPr>
            <w:r>
              <w:rPr>
                <w:rFonts w:ascii="仿宋_GB2312" w:hAnsi="仿宋_GB2312" w:cs="仿宋_GB2312" w:eastAsia="仿宋_GB2312"/>
              </w:rPr>
              <w:t>7.技术服务支持</w:t>
            </w:r>
          </w:p>
          <w:p>
            <w:pPr>
              <w:pStyle w:val="null3"/>
            </w:pPr>
            <w:r>
              <w:rPr>
                <w:rFonts w:ascii="仿宋_GB2312" w:hAnsi="仿宋_GB2312" w:cs="仿宋_GB2312" w:eastAsia="仿宋_GB2312"/>
              </w:rPr>
              <w:t>(1)具备保障本校校内10000人同时在线学习的运营服务能力。供应商应提供承诺书。</w:t>
            </w:r>
          </w:p>
          <w:p>
            <w:pPr>
              <w:pStyle w:val="null3"/>
            </w:pPr>
            <w:r>
              <w:rPr>
                <w:rFonts w:ascii="仿宋_GB2312" w:hAnsi="仿宋_GB2312" w:cs="仿宋_GB2312" w:eastAsia="仿宋_GB2312"/>
              </w:rPr>
              <w:t>(2)支持云服务、混合部署等部署方式，确保视频访问时提供校园网与公网切换服务:平台远程访问、视频数据本地安装、公网访问。</w:t>
            </w:r>
          </w:p>
          <w:p>
            <w:pPr>
              <w:pStyle w:val="null3"/>
            </w:pPr>
            <w:r>
              <w:rPr>
                <w:rFonts w:ascii="仿宋_GB2312" w:hAnsi="仿宋_GB2312" w:cs="仿宋_GB2312" w:eastAsia="仿宋_GB2312"/>
              </w:rPr>
              <w:t>(3)供应商需提供软件系统更新维护服务。供应商应提供承诺书。</w:t>
            </w:r>
          </w:p>
          <w:p>
            <w:pPr>
              <w:pStyle w:val="null3"/>
            </w:pPr>
            <w:r>
              <w:rPr>
                <w:rFonts w:ascii="仿宋_GB2312" w:hAnsi="仿宋_GB2312" w:cs="仿宋_GB2312" w:eastAsia="仿宋_GB2312"/>
              </w:rPr>
              <w:t>(4)提供学生学习进度监控、课程访问统计分析、学习诚信监控，可根据学校需求提供教学运行数据和学习数据异常名单。供应商应提供承诺书</w:t>
            </w:r>
          </w:p>
          <w:p>
            <w:pPr>
              <w:pStyle w:val="null3"/>
            </w:pPr>
            <w:r>
              <w:rPr>
                <w:rFonts w:ascii="仿宋_GB2312" w:hAnsi="仿宋_GB2312" w:cs="仿宋_GB2312" w:eastAsia="仿宋_GB2312"/>
              </w:rPr>
              <w:t>(5)支持与学校教学平台、智慧校园进行对接，对接到教学平台个人空间，在</w:t>
            </w:r>
            <w:r>
              <w:rPr>
                <w:rFonts w:ascii="仿宋_GB2312" w:hAnsi="仿宋_GB2312" w:cs="仿宋_GB2312" w:eastAsia="仿宋_GB2312"/>
              </w:rPr>
              <w:t>个人空间</w:t>
            </w:r>
            <w:r>
              <w:rPr>
                <w:rFonts w:ascii="仿宋_GB2312" w:hAnsi="仿宋_GB2312" w:cs="仿宋_GB2312" w:eastAsia="仿宋_GB2312"/>
              </w:rPr>
              <w:t>里嵌入课程模块，教师和学生只需要登陆教学平台就可以操作相关模块。</w:t>
            </w:r>
          </w:p>
          <w:p>
            <w:pPr>
              <w:pStyle w:val="null3"/>
            </w:pPr>
            <w:r>
              <w:rPr>
                <w:rFonts w:ascii="仿宋_GB2312" w:hAnsi="仿宋_GB2312" w:cs="仿宋_GB2312" w:eastAsia="仿宋_GB2312"/>
              </w:rPr>
              <w:t>8.人员服务支持</w:t>
            </w:r>
          </w:p>
          <w:p>
            <w:pPr>
              <w:pStyle w:val="null3"/>
            </w:pPr>
            <w:r>
              <w:rPr>
                <w:rFonts w:ascii="仿宋_GB2312" w:hAnsi="仿宋_GB2312" w:cs="仿宋_GB2312" w:eastAsia="仿宋_GB2312"/>
              </w:rPr>
              <w:t>(1)供应商提供教学和教务全程服务，包括开课/结课的所有数据运行服务，学生信息、学习成绩及学分的导入/导出等。供应商应提供承诺书。</w:t>
            </w:r>
          </w:p>
          <w:p>
            <w:pPr>
              <w:pStyle w:val="null3"/>
            </w:pPr>
            <w:r>
              <w:rPr>
                <w:rFonts w:ascii="仿宋_GB2312" w:hAnsi="仿宋_GB2312" w:cs="仿宋_GB2312" w:eastAsia="仿宋_GB2312"/>
              </w:rPr>
              <w:t>(2)结课后提供针对学校的课程运行报告</w:t>
            </w:r>
            <w:r>
              <w:rPr>
                <w:rFonts w:ascii="仿宋_GB2312" w:hAnsi="仿宋_GB2312" w:cs="仿宋_GB2312" w:eastAsia="仿宋_GB2312"/>
              </w:rPr>
              <w:t>。</w:t>
            </w:r>
            <w:r>
              <w:rPr>
                <w:rFonts w:ascii="仿宋_GB2312" w:hAnsi="仿宋_GB2312" w:cs="仿宋_GB2312" w:eastAsia="仿宋_GB2312"/>
              </w:rPr>
              <w:t>报告需包含数据展示部分及数据分析部分，能够展示数据对应含义。供应商需提供</w:t>
            </w:r>
            <w:r>
              <w:rPr>
                <w:rFonts w:ascii="仿宋_GB2312" w:hAnsi="仿宋_GB2312" w:cs="仿宋_GB2312" w:eastAsia="仿宋_GB2312"/>
              </w:rPr>
              <w:t>不少于</w:t>
            </w:r>
            <w:r>
              <w:rPr>
                <w:rFonts w:ascii="仿宋_GB2312" w:hAnsi="仿宋_GB2312" w:cs="仿宋_GB2312" w:eastAsia="仿宋_GB2312"/>
              </w:rPr>
              <w:t>三所学校的课程运行报告作为证明。</w:t>
            </w:r>
          </w:p>
          <w:p>
            <w:pPr>
              <w:pStyle w:val="null3"/>
            </w:pPr>
            <w:r>
              <w:rPr>
                <w:rFonts w:ascii="仿宋_GB2312" w:hAnsi="仿宋_GB2312" w:cs="仿宋_GB2312" w:eastAsia="仿宋_GB2312"/>
              </w:rPr>
              <w:t>(3)可以为用户开展通识教育相关活动提供师资、活动方案、人力支持。供应商需提供辅助其他高校开展名师讲座类、知识竞赛类活动的新闻报导网址或公众号链接各3场。网址或公众号应为其他高校官方网站或公众号。</w:t>
            </w:r>
          </w:p>
          <w:p>
            <w:pPr>
              <w:pStyle w:val="null3"/>
            </w:pPr>
            <w:r>
              <w:rPr>
                <w:rFonts w:ascii="仿宋_GB2312" w:hAnsi="仿宋_GB2312" w:cs="仿宋_GB2312" w:eastAsia="仿宋_GB2312"/>
              </w:rPr>
              <w:t>(4)提供在线客服、电话客服、邮箱客服解决学生、管理员、辅导老师使用问题;学生学习的导学、督学服务。</w:t>
            </w:r>
          </w:p>
          <w:p>
            <w:pPr>
              <w:pStyle w:val="null3"/>
            </w:pPr>
            <w:r>
              <w:rPr>
                <w:rFonts w:ascii="仿宋_GB2312" w:hAnsi="仿宋_GB2312" w:cs="仿宋_GB2312" w:eastAsia="仿宋_GB2312"/>
              </w:rPr>
              <w:t>(5)为了保障产品正常运行，有效保障产品咨询、运行辅助、资源开发等通识课相关服务顺利开展，供应商</w:t>
            </w:r>
            <w:r>
              <w:rPr>
                <w:rFonts w:ascii="仿宋_GB2312" w:hAnsi="仿宋_GB2312" w:cs="仿宋_GB2312" w:eastAsia="仿宋_GB2312"/>
              </w:rPr>
              <w:t>有</w:t>
            </w:r>
            <w:r>
              <w:rPr>
                <w:rFonts w:ascii="仿宋_GB2312" w:hAnsi="仿宋_GB2312" w:cs="仿宋_GB2312" w:eastAsia="仿宋_GB2312"/>
              </w:rPr>
              <w:t>不少于</w:t>
            </w:r>
            <w:r>
              <w:rPr>
                <w:rFonts w:ascii="仿宋_GB2312" w:hAnsi="仿宋_GB2312" w:cs="仿宋_GB2312" w:eastAsia="仿宋_GB2312"/>
              </w:rPr>
              <w:t>30人服务团队，</w:t>
            </w:r>
            <w:r>
              <w:rPr>
                <w:rFonts w:ascii="仿宋_GB2312" w:hAnsi="仿宋_GB2312" w:cs="仿宋_GB2312" w:eastAsia="仿宋_GB2312"/>
              </w:rPr>
              <w:t>可提供</w:t>
            </w:r>
            <w:r>
              <w:rPr>
                <w:rFonts w:ascii="仿宋_GB2312" w:hAnsi="仿宋_GB2312" w:cs="仿宋_GB2312" w:eastAsia="仿宋_GB2312"/>
              </w:rPr>
              <w:t>本地化服务团队。</w:t>
            </w:r>
          </w:p>
          <w:p>
            <w:pPr>
              <w:pStyle w:val="null3"/>
            </w:pPr>
            <w:r>
              <w:rPr>
                <w:rFonts w:ascii="仿宋_GB2312" w:hAnsi="仿宋_GB2312" w:cs="仿宋_GB2312" w:eastAsia="仿宋_GB2312"/>
              </w:rPr>
              <w:t>(6)供应商应提供上门用户培训服务，且时间、地点、规模由学校制定，每学年承诺培训不少于2次;供应商应提供操作手册、常见问题列表和操作视频等参考资料。</w:t>
            </w:r>
          </w:p>
          <w:p>
            <w:pPr>
              <w:pStyle w:val="null3"/>
            </w:pPr>
            <w:r>
              <w:rPr>
                <w:rFonts w:ascii="仿宋_GB2312" w:hAnsi="仿宋_GB2312" w:cs="仿宋_GB2312" w:eastAsia="仿宋_GB2312"/>
              </w:rPr>
              <w:t>(7)如本校在考试过程中加入主观题，供应商需组织助教批阅，。</w:t>
            </w:r>
          </w:p>
          <w:p>
            <w:pPr>
              <w:pStyle w:val="null3"/>
            </w:pPr>
            <w:r>
              <w:rPr>
                <w:rFonts w:ascii="仿宋_GB2312" w:hAnsi="仿宋_GB2312" w:cs="仿宋_GB2312" w:eastAsia="仿宋_GB2312"/>
              </w:rPr>
              <w:t>二</w:t>
            </w:r>
            <w:r>
              <w:rPr>
                <w:rFonts w:ascii="仿宋_GB2312" w:hAnsi="仿宋_GB2312" w:cs="仿宋_GB2312" w:eastAsia="仿宋_GB2312"/>
              </w:rPr>
              <w:t>、服务要求</w:t>
            </w:r>
          </w:p>
          <w:p>
            <w:pPr>
              <w:pStyle w:val="null3"/>
            </w:pPr>
            <w:r>
              <w:rPr>
                <w:rFonts w:ascii="仿宋_GB2312" w:hAnsi="仿宋_GB2312" w:cs="仿宋_GB2312" w:eastAsia="仿宋_GB2312"/>
              </w:rPr>
              <w:t>1.团队成员至少包括项目负责人、技术支持人员、培训师、客服人员等</w:t>
            </w:r>
          </w:p>
          <w:p>
            <w:pPr>
              <w:pStyle w:val="null3"/>
            </w:pPr>
            <w:r>
              <w:rPr>
                <w:rFonts w:ascii="仿宋_GB2312" w:hAnsi="仿宋_GB2312" w:cs="仿宋_GB2312" w:eastAsia="仿宋_GB2312"/>
              </w:rPr>
              <w:t>2.投标供应商</w:t>
            </w:r>
            <w:r>
              <w:rPr>
                <w:rFonts w:ascii="仿宋_GB2312" w:hAnsi="仿宋_GB2312" w:cs="仿宋_GB2312" w:eastAsia="仿宋_GB2312"/>
              </w:rPr>
              <w:t>应</w:t>
            </w:r>
            <w:r>
              <w:rPr>
                <w:rFonts w:ascii="仿宋_GB2312" w:hAnsi="仿宋_GB2312" w:cs="仿宋_GB2312" w:eastAsia="仿宋_GB2312"/>
              </w:rPr>
              <w:t>有长期固定的制作团队，确保后期运行的稳定性，确保服务的效率及效果，满足采购方的质量和效率要求，实施过程中不得无故更换实施人员。</w:t>
            </w:r>
          </w:p>
          <w:p>
            <w:pPr>
              <w:pStyle w:val="null3"/>
            </w:pPr>
            <w:r>
              <w:rPr>
                <w:rFonts w:ascii="仿宋_GB2312" w:hAnsi="仿宋_GB2312" w:cs="仿宋_GB2312" w:eastAsia="仿宋_GB2312"/>
              </w:rPr>
              <w:t>3.根据甲方的开课时间，技术的按学期提供相应的学期报告。</w:t>
            </w:r>
          </w:p>
          <w:p>
            <w:pPr>
              <w:pStyle w:val="null3"/>
            </w:pPr>
            <w:r>
              <w:rPr>
                <w:rFonts w:ascii="仿宋_GB2312" w:hAnsi="仿宋_GB2312" w:cs="仿宋_GB2312" w:eastAsia="仿宋_GB2312"/>
                <w:sz w:val="21"/>
              </w:rPr>
              <w:t>4.定制化，特色活动支持。</w:t>
            </w:r>
          </w:p>
          <w:p>
            <w:pPr>
              <w:pStyle w:val="null3"/>
            </w:pPr>
            <w:r>
              <w:rPr>
                <w:rFonts w:ascii="仿宋_GB2312" w:hAnsi="仿宋_GB2312" w:cs="仿宋_GB2312" w:eastAsia="仿宋_GB2312"/>
              </w:rPr>
              <w:t>三</w:t>
            </w:r>
            <w:r>
              <w:rPr>
                <w:rFonts w:ascii="仿宋_GB2312" w:hAnsi="仿宋_GB2312" w:cs="仿宋_GB2312" w:eastAsia="仿宋_GB2312"/>
              </w:rPr>
              <w:t>、商务要求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1.交付期:自合同签订之日起1个月内。</w:t>
            </w:r>
          </w:p>
          <w:p>
            <w:pPr>
              <w:pStyle w:val="null3"/>
            </w:pPr>
            <w:r>
              <w:rPr>
                <w:rFonts w:ascii="仿宋_GB2312" w:hAnsi="仿宋_GB2312" w:cs="仿宋_GB2312" w:eastAsia="仿宋_GB2312"/>
              </w:rPr>
              <w:t>2.服务期限:自合同签订之日起1年。</w:t>
            </w:r>
          </w:p>
          <w:p>
            <w:pPr>
              <w:pStyle w:val="null3"/>
            </w:pPr>
            <w:r>
              <w:rPr>
                <w:rFonts w:ascii="仿宋_GB2312" w:hAnsi="仿宋_GB2312" w:cs="仿宋_GB2312" w:eastAsia="仿宋_GB2312"/>
                <w:sz w:val="21"/>
              </w:rPr>
              <w:t>3.服务地点: 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预付款，成交后，达到付款条件起10个工作日内，支付合同总金额的40.0%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进度款，最终通过验收后，达到付款条件起10个工作日内，支付合同总金额的60.0%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(一)进度要求 自合同签订之日起 30个日历日内，完成项目中包含的所有服务内容。 (二)成果交付要求 项目所有课程视频的知识产权归属供应商方所有， (三)质量验收标准或规范 必须满足采购方的各项技术指标要求，服务要求，未满足质量要求标准不予验收。 (四)违约责任 延迟交付的，每逾期一天，乙方向甲方承担合同中标金额1%的违约金;逾期累计30天的，甲方有权单方解除本协议，乙方还应向甲方赔偿由此造成的经济损失。 (五)成交供应商在领取中标通知书时提供纸质版响应文件一正两副。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服务内容及服务邀请应答表.docx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评审得分相同的，按照最后报价由低到高的顺序推荐。评审得分且最后报价相同的，按照技术要求响应优劣顺序推荐。评审得分且最后报价且技术要求响应得分均相同的，成交候选供应商并列。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针对“3.2.2中第三条 服务要求中的“一、技术要求”中的内容逐条响应，完全满足得26分,每负偏离一项扣0.3分。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对项目背景理解</w:t>
            </w:r>
          </w:p>
        </w:tc>
        <w:tc>
          <w:tcPr>
            <w:tcW w:type="dxa" w:w="2492"/>
          </w:tcPr>
          <w:p>
            <w:pPr>
              <w:pStyle w:val="null3"/>
            </w:pPr>
            <w:r>
              <w:rPr>
                <w:rFonts w:ascii="仿宋_GB2312" w:hAnsi="仿宋_GB2312" w:cs="仿宋_GB2312" w:eastAsia="仿宋_GB2312"/>
              </w:rPr>
              <w:t>根据供应商对通识课项目的项目背景、项目需求，项目目标等进行理解及分析描述。 1、供应商需对项目的背景具有深刻的理解，对项目服务目标和服务内容进行完整、合理的阐述得10分； 2、供应商对项目背景的理解基本准确到位，满足采购人基本服务要求得8分； 3、供应商对于本项目的背景理解较差，不能完全满足采购人实际需求得6分。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供应商针对本项目服务内容及技术要求编制具体服务方案，包括但不限于：①服务流程； ②工作思路； ③认知深度和专业性； ④对本项目工作重点、难点分析； ⑤定制化，特色活动支持。 1.方案内容完整详细，结构清晰，能充分结合采购人需求现状，完全满足本项目要求得10分； 2.方案内容较完整，结构较清晰，部分内容结合采购人需求现状，基本满足本项目要求得8分； 3.方案内容不完整，结构不清晰，未能充分结合采购人需求现状，无法满足本项目要求得6分；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技能培训及售后</w:t>
            </w:r>
          </w:p>
        </w:tc>
        <w:tc>
          <w:tcPr>
            <w:tcW w:type="dxa" w:w="2492"/>
          </w:tcPr>
          <w:p>
            <w:pPr>
              <w:pStyle w:val="null3"/>
            </w:pPr>
            <w:r>
              <w:rPr>
                <w:rFonts w:ascii="仿宋_GB2312" w:hAnsi="仿宋_GB2312" w:cs="仿宋_GB2312" w:eastAsia="仿宋_GB2312"/>
              </w:rPr>
              <w:t>供应商针对本项目提供详尽的培训方案及培训计划，并列出培训的具体内容及方式包括但不限于：①培训人数及规模； ②培训时间； ③培训内容及相关资料；④培训老师的专业技术能力。 1.方案详细、合理性强、可操作性强得10分； 2.方案较为详细、合理性较好、可操作性较好得8分； 3.方案合理性一般、可操作性一般得6分；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项目演示</w:t>
            </w:r>
          </w:p>
        </w:tc>
        <w:tc>
          <w:tcPr>
            <w:tcW w:type="dxa" w:w="2492"/>
          </w:tcPr>
          <w:p>
            <w:pPr>
              <w:pStyle w:val="null3"/>
            </w:pPr>
            <w:r>
              <w:rPr>
                <w:rFonts w:ascii="仿宋_GB2312" w:hAnsi="仿宋_GB2312" w:cs="仿宋_GB2312" w:eastAsia="仿宋_GB2312"/>
              </w:rPr>
              <w:t>演示必须是真实系统，原型、PPT或视频等替代不得分。 演示方式：现场演示，演示所需设备由供应商自行准备（演示人员须提供介绍信及身份证复印件加盖公章）。 演示地点：陕西省西安市旺座曲江招商中心M座25楼。 演示时间：时间同响应文件提交时间，请各供应商按时到场，过时不候。 演示时长:每个投标人演示开始前的调试准备时间不超过5分钟，演示时间不超过15分钟，不包含评委提问解答时间。 供应商根据下述内容进行演示，每项2分，完全满足文件要求的此项得2分，有缺失得此项1分，未演示此项内容不得分。 1、演示通识课课程运行报告，包含课程使用情况，数据分析。 2、演示2025年或2026年的选课手册，课程库的分类，每门课程有详细介绍等相关内容。 3、测评功能应和课程学习功能整合在同一个APP内。测评首页上应包含测评入口及个人数据查看入口。 4、测评完成后，需允许学生在线查看个人测评报告。报告中需要包括测评内容体系各门类的详细分数、成绩评价、全校对比情况，能够回看学生历次测评结果。 5、学校测评报告：测评结束后，需向学校提供详尽完整的《通识素养提升解决方案》。该解决方案需要分年级、学院、内容体系维度等方面对学生数据进行分析，并且针对学校的开课清单、通识资源建设、教学改革方面提出合理化建议。 6、在课程平台的管理后台中提供测评专用的后台功能模块配置。后台具体功能应包含题库管理、组卷与发放、测评情况管理、参与数据分析查询、成绩数据导出等功能。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供应商针对本项目制定的应急方案，包括但不限于项目使用过程中可能出现突发系统问题或课程内容损坏等问题的应急处置和解决方案。 1.方案内容完整详细，能充分结合采购人需求现状，完全满足本项目要求得10分； 2.方案内容较完整，部分内容结合采购人需求现状，基本满足本项目要求得8分； 3.方案内容不完整，未能充分结合采购人需求现状，无法满足本项目要求得6分；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企业能力1</w:t>
            </w:r>
          </w:p>
        </w:tc>
        <w:tc>
          <w:tcPr>
            <w:tcW w:type="dxa" w:w="2492"/>
          </w:tcPr>
          <w:p>
            <w:pPr>
              <w:pStyle w:val="null3"/>
            </w:pPr>
            <w:r>
              <w:rPr>
                <w:rFonts w:ascii="仿宋_GB2312" w:hAnsi="仿宋_GB2312" w:cs="仿宋_GB2312" w:eastAsia="仿宋_GB2312"/>
              </w:rPr>
              <w:t>供应商提供的电子图书、学术视频等拓展资源的著作权证书或著作权授权（提供加盖公章的有效证明文件），每提供一个计0.5分，满分2.5分。未提供本项内容计0分。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企业能力2</w:t>
            </w:r>
          </w:p>
        </w:tc>
        <w:tc>
          <w:tcPr>
            <w:tcW w:type="dxa" w:w="2492"/>
          </w:tcPr>
          <w:p>
            <w:pPr>
              <w:pStyle w:val="null3"/>
            </w:pPr>
            <w:r>
              <w:rPr>
                <w:rFonts w:ascii="仿宋_GB2312" w:hAnsi="仿宋_GB2312" w:cs="仿宋_GB2312" w:eastAsia="仿宋_GB2312"/>
              </w:rPr>
              <w:t>供应商提供广播电视节目制作、网络教学综合服务平台、移动学习 APP 系统、试题库系统、电子图书或教辅资料数据库系统等相关证明材料。每提供一个计0.5分，满分2.5分。未提供本项内容计0分。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按照采购人需求建立专项服务团队，包括专职项目负责人、技术支持人员、培训师、客服人员，每个岗位至少配备1人。 1.满足服务团队4人的基础上，每增加一名服务人员得1分，最高得2分； 2.服务团队4人及以下得0分； 未提供本项内容计0分。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供应商具备2023年1月1日至今，同类服务项目业绩，业绩以合同或中标（成交）通知书扫描件为依据，以签订或落款时间为准，每提供一个计1分，满分5分。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 本项目专门面向中小企业采购，故不再进行价格优惠扣除。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