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ascii="仿宋" w:hAnsi="仿宋" w:eastAsia="仿宋" w:cs="仿宋"/>
          <w:b/>
          <w:bCs w:val="0"/>
          <w:sz w:val="32"/>
          <w:szCs w:val="32"/>
          <w:lang w:val="en-US" w:eastAsia="zh-CN"/>
        </w:rPr>
      </w:pPr>
      <w:r>
        <w:rPr>
          <w:rFonts w:hint="eastAsia" w:ascii="仿宋" w:hAnsi="仿宋" w:eastAsia="仿宋" w:cs="仿宋"/>
          <w:b/>
          <w:bCs w:val="0"/>
          <w:sz w:val="32"/>
          <w:szCs w:val="32"/>
          <w:lang w:val="en-US" w:eastAsia="zh-CN"/>
        </w:rPr>
        <w:t>采购需求</w:t>
      </w:r>
    </w:p>
    <w:p w14:paraId="65AF887C">
      <w:pPr>
        <w:wordWrap w:val="0"/>
        <w:adjustRightInd w:val="0"/>
        <w:snapToGrid w:val="0"/>
        <w:spacing w:line="360" w:lineRule="auto"/>
        <w:jc w:val="left"/>
        <w:rPr>
          <w:rFonts w:ascii="仿宋" w:hAnsi="仿宋" w:eastAsia="仿宋" w:cs="仿宋"/>
          <w:b w:val="0"/>
          <w:bCs/>
          <w:sz w:val="28"/>
          <w:szCs w:val="28"/>
          <w:lang w:val="zh-CN"/>
        </w:rPr>
      </w:pPr>
      <w:r>
        <w:rPr>
          <w:rFonts w:hint="eastAsia" w:ascii="仿宋" w:hAnsi="仿宋" w:eastAsia="仿宋" w:cs="仿宋"/>
          <w:b w:val="0"/>
          <w:bCs/>
          <w:sz w:val="28"/>
          <w:szCs w:val="28"/>
        </w:rPr>
        <w:t>一、</w:t>
      </w:r>
      <w:r>
        <w:rPr>
          <w:rFonts w:hint="eastAsia" w:ascii="仿宋" w:hAnsi="仿宋" w:eastAsia="仿宋" w:cs="仿宋"/>
          <w:b w:val="0"/>
          <w:bCs/>
          <w:sz w:val="28"/>
          <w:szCs w:val="28"/>
          <w:lang w:val="zh-CN"/>
        </w:rPr>
        <w:t>项目简介</w:t>
      </w:r>
      <w:bookmarkStart w:id="8" w:name="_GoBack"/>
      <w:bookmarkEnd w:id="8"/>
    </w:p>
    <w:p w14:paraId="1A13DE75">
      <w:pPr>
        <w:wordWrap w:val="0"/>
        <w:adjustRightInd w:val="0"/>
        <w:snapToGrid w:val="0"/>
        <w:spacing w:line="360" w:lineRule="auto"/>
        <w:jc w:val="left"/>
        <w:rPr>
          <w:rFonts w:ascii="仿宋" w:hAnsi="仿宋" w:eastAsia="仿宋" w:cs="仿宋"/>
          <w:b w:val="0"/>
          <w:bCs/>
          <w:sz w:val="28"/>
          <w:szCs w:val="28"/>
          <w:lang w:val="zh-CN"/>
        </w:rPr>
      </w:pPr>
      <w:r>
        <w:rPr>
          <w:rFonts w:hint="eastAsia" w:ascii="仿宋" w:hAnsi="仿宋" w:eastAsia="仿宋" w:cs="仿宋"/>
          <w:b w:val="0"/>
          <w:bCs/>
          <w:sz w:val="28"/>
          <w:szCs w:val="28"/>
        </w:rPr>
        <w:t>1.</w:t>
      </w:r>
      <w:r>
        <w:rPr>
          <w:rFonts w:hint="eastAsia" w:ascii="仿宋" w:hAnsi="仿宋" w:eastAsia="仿宋" w:cs="仿宋"/>
          <w:b w:val="0"/>
          <w:bCs/>
          <w:sz w:val="28"/>
          <w:szCs w:val="28"/>
          <w:lang w:val="zh-CN"/>
        </w:rPr>
        <w:t>项目建设必要性</w:t>
      </w:r>
    </w:p>
    <w:p w14:paraId="0749E714">
      <w:pPr>
        <w:adjustRightInd w:val="0"/>
        <w:snapToGrid w:val="0"/>
        <w:spacing w:line="360" w:lineRule="auto"/>
        <w:ind w:firstLine="548" w:firstLineChars="196"/>
        <w:rPr>
          <w:rFonts w:ascii="仿宋" w:hAnsi="仿宋" w:eastAsia="仿宋" w:cs="仿宋"/>
          <w:b w:val="0"/>
          <w:bCs/>
          <w:sz w:val="28"/>
          <w:szCs w:val="28"/>
        </w:rPr>
      </w:pPr>
      <w:bookmarkStart w:id="0" w:name="_Toc26473"/>
      <w:r>
        <w:rPr>
          <w:rFonts w:hint="eastAsia" w:ascii="仿宋" w:hAnsi="仿宋" w:eastAsia="仿宋" w:cs="仿宋"/>
          <w:b w:val="0"/>
          <w:bCs/>
          <w:sz w:val="28"/>
          <w:szCs w:val="28"/>
        </w:rPr>
        <w:t>（1）政策背景</w:t>
      </w:r>
      <w:bookmarkEnd w:id="0"/>
    </w:p>
    <w:p w14:paraId="3932A310">
      <w:pPr>
        <w:adjustRightInd w:val="0"/>
        <w:snapToGrid w:val="0"/>
        <w:spacing w:line="360" w:lineRule="auto"/>
        <w:ind w:firstLine="548" w:firstLineChars="196"/>
        <w:rPr>
          <w:rFonts w:ascii="仿宋" w:hAnsi="仿宋" w:eastAsia="仿宋" w:cs="仿宋"/>
          <w:b w:val="0"/>
          <w:bCs/>
          <w:sz w:val="28"/>
          <w:szCs w:val="28"/>
        </w:rPr>
      </w:pPr>
      <w:r>
        <w:rPr>
          <w:rFonts w:hint="eastAsia" w:ascii="仿宋" w:hAnsi="仿宋" w:eastAsia="仿宋" w:cs="仿宋"/>
          <w:b w:val="0"/>
          <w:bCs/>
          <w:sz w:val="28"/>
          <w:szCs w:val="28"/>
        </w:rPr>
        <w:t>普通高等学校本科教育教学审核评估实施方案（2021—2025年）明确提出了对教学质量保障的高要求，体现质量持续改进机制建设与改进效果。</w:t>
      </w:r>
    </w:p>
    <w:p w14:paraId="66A66A83">
      <w:pPr>
        <w:adjustRightInd w:val="0"/>
        <w:snapToGrid w:val="0"/>
        <w:spacing w:line="360" w:lineRule="auto"/>
        <w:ind w:firstLine="548" w:firstLineChars="196"/>
        <w:rPr>
          <w:rFonts w:ascii="仿宋" w:hAnsi="仿宋" w:eastAsia="仿宋" w:cs="仿宋"/>
          <w:b w:val="0"/>
          <w:bCs/>
          <w:sz w:val="28"/>
          <w:szCs w:val="28"/>
        </w:rPr>
      </w:pPr>
      <w:r>
        <w:rPr>
          <w:rFonts w:hint="eastAsia" w:ascii="仿宋" w:hAnsi="仿宋" w:eastAsia="仿宋" w:cs="仿宋"/>
          <w:b w:val="0"/>
          <w:bCs/>
          <w:sz w:val="28"/>
          <w:szCs w:val="28"/>
        </w:rPr>
        <w:t>教育部在《关于深化本科教育教学改革全面提高人才培养质量的意见》中提出“六卓越一拔尖”计划2.0，要求学校构建OBE的人才培养机制，提升现有专业竞争力和人才培养质量。《教育信息化2.0行动计划》指出要促进教育信息化从融合应用向创新发展的高阶演进，信息技术和智能技术深度融合教育全过程，推动改进教学、优化管理、提升绩效。</w:t>
      </w:r>
    </w:p>
    <w:p w14:paraId="19510B4B">
      <w:pPr>
        <w:adjustRightInd w:val="0"/>
        <w:snapToGrid w:val="0"/>
        <w:spacing w:line="360" w:lineRule="auto"/>
        <w:ind w:firstLine="548" w:firstLineChars="196"/>
        <w:rPr>
          <w:rFonts w:ascii="仿宋" w:hAnsi="仿宋" w:eastAsia="仿宋" w:cs="仿宋"/>
          <w:b w:val="0"/>
          <w:bCs/>
          <w:sz w:val="28"/>
          <w:szCs w:val="28"/>
        </w:rPr>
      </w:pPr>
      <w:r>
        <w:rPr>
          <w:rFonts w:hint="eastAsia" w:ascii="仿宋" w:hAnsi="仿宋" w:eastAsia="仿宋" w:cs="仿宋"/>
          <w:b w:val="0"/>
          <w:bCs/>
          <w:sz w:val="28"/>
          <w:szCs w:val="28"/>
        </w:rPr>
        <w:t>（2）内涵建设的现实需要</w:t>
      </w:r>
    </w:p>
    <w:p w14:paraId="552AFEB5">
      <w:pPr>
        <w:adjustRightInd w:val="0"/>
        <w:snapToGrid w:val="0"/>
        <w:spacing w:line="360" w:lineRule="auto"/>
        <w:ind w:firstLine="548" w:firstLineChars="196"/>
        <w:rPr>
          <w:rFonts w:ascii="仿宋" w:hAnsi="仿宋" w:eastAsia="仿宋" w:cs="仿宋"/>
          <w:b w:val="0"/>
          <w:bCs/>
          <w:sz w:val="28"/>
          <w:szCs w:val="28"/>
        </w:rPr>
      </w:pPr>
      <w:r>
        <w:rPr>
          <w:rFonts w:hint="eastAsia" w:ascii="仿宋" w:hAnsi="仿宋" w:eastAsia="仿宋" w:cs="仿宋"/>
          <w:b w:val="0"/>
          <w:bCs/>
          <w:sz w:val="28"/>
          <w:szCs w:val="28"/>
        </w:rPr>
        <w:t>学校目前没有教学质量保障监测系统，教学质量保障监测环节基本都是通过人工线下的方式进行，内部监控以听课评价为主，数据汇总周期长、效率较低，问题反馈、工作协同困难、数据应用价值较少且持续改进跟踪困难。</w:t>
      </w:r>
    </w:p>
    <w:p w14:paraId="6D7A4403">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rPr>
        <w:t>2025年学</w:t>
      </w:r>
      <w:r>
        <w:rPr>
          <w:rFonts w:hint="eastAsia" w:ascii="仿宋" w:hAnsi="仿宋" w:eastAsia="仿宋" w:cs="仿宋"/>
          <w:b w:val="0"/>
          <w:bCs/>
          <w:sz w:val="28"/>
          <w:szCs w:val="28"/>
          <w:highlight w:val="none"/>
        </w:rPr>
        <w:t>校完成了新一轮教育教学审核评估工作，评估专家组反馈指出学校在教育教学质量保障体系建设方面需要加强，尤其是要加强日常教学监控数智赋，大力推进质量保障信息化建设，通过信息化工具提高工作效率，丰富评价方式，帮助形成评价、反馈、改进的闭环价机制。</w:t>
      </w:r>
    </w:p>
    <w:p w14:paraId="06901444">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（3）</w:t>
      </w:r>
      <w:r>
        <w:rPr>
          <w:rFonts w:hint="eastAsia" w:ascii="仿宋" w:hAnsi="仿宋" w:eastAsia="仿宋" w:cs="仿宋"/>
          <w:b w:val="0"/>
          <w:bCs/>
          <w:sz w:val="28"/>
          <w:szCs w:val="28"/>
          <w:highlight w:val="none"/>
          <w:lang w:val="en-US" w:eastAsia="zh-CN"/>
        </w:rPr>
        <w:t>学</w:t>
      </w:r>
      <w:r>
        <w:rPr>
          <w:rFonts w:hint="eastAsia" w:ascii="仿宋" w:hAnsi="仿宋" w:eastAsia="仿宋" w:cs="仿宋"/>
          <w:b w:val="0"/>
          <w:bCs/>
          <w:sz w:val="28"/>
          <w:szCs w:val="28"/>
          <w:highlight w:val="none"/>
        </w:rPr>
        <w:t>校实际工作安排</w:t>
      </w:r>
    </w:p>
    <w:p w14:paraId="60661AD7">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为完成新一轮教育教学审核评估工作整改工作，提高学校质量保障信息化水平，计划分阶段性实施教学质量保障信息化建设。本次建设需要利用现代化信息技术手段，将学校相关教学质量监测与保障工作整合到一个平台上，对接教务、研究生、人事、学生等校内系统数据，构建教学质量保障监测一体化平台。以审核评估整改和专业画像等工作为契机，同时满足专业以评估认证相关指标要求和理念为依托对标建设。</w:t>
      </w:r>
    </w:p>
    <w:p w14:paraId="48209567">
      <w:pPr>
        <w:wordWrap w:val="0"/>
        <w:adjustRightInd w:val="0"/>
        <w:snapToGrid w:val="0"/>
        <w:spacing w:line="360" w:lineRule="auto"/>
        <w:jc w:val="left"/>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2.项目建设可行性</w:t>
      </w:r>
    </w:p>
    <w:p w14:paraId="25106E74">
      <w:pPr>
        <w:adjustRightInd w:val="0"/>
        <w:snapToGrid w:val="0"/>
        <w:spacing w:line="360" w:lineRule="auto"/>
        <w:ind w:firstLine="548" w:firstLineChars="196"/>
        <w:rPr>
          <w:rFonts w:ascii="仿宋" w:hAnsi="仿宋" w:eastAsia="仿宋" w:cs="仿宋"/>
          <w:b w:val="0"/>
          <w:bCs/>
          <w:sz w:val="28"/>
          <w:szCs w:val="28"/>
          <w:highlight w:val="none"/>
        </w:rPr>
      </w:pPr>
      <w:bookmarkStart w:id="1" w:name="_Toc28255"/>
      <w:bookmarkStart w:id="2" w:name="_Toc29179"/>
      <w:bookmarkStart w:id="3" w:name="_Toc6288"/>
      <w:r>
        <w:rPr>
          <w:rFonts w:hint="eastAsia" w:ascii="仿宋" w:hAnsi="仿宋" w:eastAsia="仿宋" w:cs="仿宋"/>
          <w:b w:val="0"/>
          <w:bCs/>
          <w:sz w:val="28"/>
          <w:szCs w:val="28"/>
          <w:highlight w:val="none"/>
        </w:rPr>
        <w:t>（1）技术可行性</w:t>
      </w:r>
    </w:p>
    <w:p w14:paraId="026A3069">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解决方案成熟：市场上已形成成熟的教学质量保障体系解决方案，省属高校相关建设案例已验证了技术方案的可行性；</w:t>
      </w:r>
    </w:p>
    <w:p w14:paraId="3ECFDE92">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（2）预算经费投放的结构现实性与合理性</w:t>
      </w:r>
      <w:bookmarkEnd w:id="1"/>
      <w:bookmarkEnd w:id="2"/>
      <w:bookmarkEnd w:id="3"/>
    </w:p>
    <w:p w14:paraId="479A6A3F">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本次预算经费主要用于系统平台的功能采购，省内外大部分高校已经建设，本次预算略能保证此项目的有效实施。</w:t>
      </w:r>
    </w:p>
    <w:p w14:paraId="09EAD040">
      <w:pPr>
        <w:adjustRightInd w:val="0"/>
        <w:snapToGrid w:val="0"/>
        <w:spacing w:line="360" w:lineRule="auto"/>
        <w:ind w:firstLine="548" w:firstLineChars="196"/>
        <w:rPr>
          <w:rFonts w:ascii="仿宋" w:hAnsi="仿宋" w:eastAsia="仿宋" w:cs="仿宋"/>
          <w:b w:val="0"/>
          <w:bCs/>
          <w:sz w:val="28"/>
          <w:szCs w:val="28"/>
          <w:highlight w:val="none"/>
        </w:rPr>
      </w:pPr>
      <w:bookmarkStart w:id="4" w:name="_Toc230"/>
      <w:r>
        <w:rPr>
          <w:rFonts w:hint="eastAsia" w:ascii="仿宋" w:hAnsi="仿宋" w:eastAsia="仿宋" w:cs="仿宋"/>
          <w:b w:val="0"/>
          <w:bCs/>
          <w:sz w:val="28"/>
          <w:szCs w:val="28"/>
          <w:highlight w:val="none"/>
        </w:rPr>
        <w:t>（3）其他高校建设情况</w:t>
      </w:r>
      <w:bookmarkEnd w:id="4"/>
    </w:p>
    <w:p w14:paraId="1043E72B">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近几年高校进行教学质量保障相关信息化平台建设与实践案例众多，</w:t>
      </w:r>
      <w:r>
        <w:rPr>
          <w:rFonts w:hint="eastAsia" w:ascii="仿宋" w:hAnsi="仿宋" w:eastAsia="仿宋" w:cs="仿宋"/>
          <w:b w:val="0"/>
          <w:bCs/>
          <w:sz w:val="28"/>
          <w:szCs w:val="28"/>
          <w:highlight w:val="none"/>
          <w:lang w:val="en-US" w:eastAsia="zh-CN"/>
        </w:rPr>
        <w:t>符合</w:t>
      </w:r>
      <w:r>
        <w:rPr>
          <w:rFonts w:hint="eastAsia" w:ascii="仿宋" w:hAnsi="仿宋" w:eastAsia="仿宋" w:cs="仿宋"/>
          <w:b w:val="0"/>
          <w:bCs/>
          <w:sz w:val="28"/>
          <w:szCs w:val="28"/>
          <w:highlight w:val="none"/>
        </w:rPr>
        <w:t>国家的政策和高等教育发展的趋势。而据实地和电话调研目前全国大部分高校均已建设此类平台</w:t>
      </w: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rPr>
        <w:t>在校内自我评估和日常质量保障信息化辅助中作用显著。</w:t>
      </w:r>
    </w:p>
    <w:p w14:paraId="18080DC7">
      <w:pPr>
        <w:wordWrap w:val="0"/>
        <w:adjustRightInd w:val="0"/>
        <w:snapToGrid w:val="0"/>
        <w:spacing w:line="360" w:lineRule="auto"/>
        <w:jc w:val="left"/>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3.项目建设目标</w:t>
      </w:r>
    </w:p>
    <w:p w14:paraId="080544C4">
      <w:pPr>
        <w:adjustRightInd w:val="0"/>
        <w:snapToGrid w:val="0"/>
        <w:spacing w:line="360" w:lineRule="auto"/>
        <w:ind w:firstLine="548" w:firstLineChars="196"/>
        <w:rPr>
          <w:rFonts w:ascii="仿宋" w:hAnsi="仿宋" w:eastAsia="仿宋" w:cs="仿宋"/>
          <w:b w:val="0"/>
          <w:bCs/>
          <w:sz w:val="28"/>
          <w:szCs w:val="28"/>
          <w:highlight w:val="none"/>
        </w:rPr>
      </w:pPr>
      <w:bookmarkStart w:id="5" w:name="_Toc26398"/>
      <w:r>
        <w:rPr>
          <w:rFonts w:hint="eastAsia" w:ascii="仿宋" w:hAnsi="仿宋" w:eastAsia="仿宋" w:cs="仿宋"/>
          <w:b w:val="0"/>
          <w:bCs/>
          <w:sz w:val="28"/>
          <w:szCs w:val="28"/>
          <w:highlight w:val="none"/>
        </w:rPr>
        <w:t>（1）总体目标</w:t>
      </w:r>
      <w:bookmarkEnd w:id="5"/>
    </w:p>
    <w:p w14:paraId="4D2BD2E4">
      <w:pPr>
        <w:adjustRightInd w:val="0"/>
        <w:snapToGrid w:val="0"/>
        <w:spacing w:line="360" w:lineRule="auto"/>
        <w:ind w:firstLine="548" w:firstLineChars="196"/>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到2026年，建成基本满足我校需求的基于新审核评估背景下的教学质量保障系统，满足</w:t>
      </w:r>
      <w:r>
        <w:rPr>
          <w:rFonts w:hint="eastAsia" w:ascii="仿宋" w:hAnsi="仿宋" w:eastAsia="仿宋" w:cs="仿宋"/>
          <w:b w:val="0"/>
          <w:bCs/>
          <w:sz w:val="28"/>
          <w:szCs w:val="28"/>
          <w:highlight w:val="none"/>
          <w:lang w:val="en-US" w:eastAsia="zh-CN"/>
        </w:rPr>
        <w:t>学</w:t>
      </w:r>
      <w:r>
        <w:rPr>
          <w:rFonts w:hint="eastAsia" w:ascii="仿宋" w:hAnsi="仿宋" w:eastAsia="仿宋" w:cs="仿宋"/>
          <w:b w:val="0"/>
          <w:bCs/>
          <w:sz w:val="28"/>
          <w:szCs w:val="28"/>
          <w:highlight w:val="none"/>
        </w:rPr>
        <w:t>校学生评教、教师评学、督导同行领导听评课、教师教学质量考核、学生信息员、教学质量问卷、数据大屏、教育教学审核评估整改等工作需要。更好地服务决策，推动我校顺应高等教育改革发展的新形势，积极探索，不断提高人才培养质量和办学效益。</w:t>
      </w:r>
    </w:p>
    <w:p w14:paraId="25465DCE">
      <w:pPr>
        <w:adjustRightInd w:val="0"/>
        <w:snapToGrid w:val="0"/>
        <w:spacing w:line="360" w:lineRule="auto"/>
        <w:ind w:firstLine="548" w:firstLineChars="196"/>
        <w:rPr>
          <w:rFonts w:ascii="仿宋" w:hAnsi="仿宋" w:eastAsia="仿宋" w:cs="仿宋"/>
          <w:b w:val="0"/>
          <w:bCs/>
          <w:sz w:val="28"/>
          <w:szCs w:val="28"/>
          <w:highlight w:val="none"/>
        </w:rPr>
      </w:pPr>
      <w:bookmarkStart w:id="6" w:name="_Toc30596"/>
      <w:r>
        <w:rPr>
          <w:rFonts w:hint="eastAsia" w:ascii="仿宋" w:hAnsi="仿宋" w:eastAsia="仿宋" w:cs="仿宋"/>
          <w:b w:val="0"/>
          <w:bCs/>
          <w:sz w:val="28"/>
          <w:szCs w:val="28"/>
          <w:highlight w:val="none"/>
        </w:rPr>
        <w:t>（2）具体目标</w:t>
      </w:r>
      <w:bookmarkEnd w:id="6"/>
    </w:p>
    <w:p w14:paraId="17896DAC">
      <w:pPr>
        <w:adjustRightInd w:val="0"/>
        <w:snapToGrid w:val="0"/>
        <w:spacing w:line="360" w:lineRule="auto"/>
        <w:ind w:firstLine="548" w:firstLineChars="196"/>
        <w:rPr>
          <w:rFonts w:ascii="仿宋" w:hAnsi="仿宋" w:eastAsia="仿宋" w:cs="仿宋"/>
          <w:b w:val="0"/>
          <w:bCs/>
          <w:sz w:val="28"/>
          <w:szCs w:val="28"/>
          <w:lang w:val="zh-CN"/>
        </w:rPr>
      </w:pPr>
      <w:r>
        <w:rPr>
          <w:rFonts w:hint="eastAsia" w:ascii="仿宋" w:hAnsi="仿宋" w:eastAsia="仿宋" w:cs="仿宋"/>
          <w:b w:val="0"/>
          <w:bCs/>
          <w:sz w:val="28"/>
          <w:szCs w:val="28"/>
        </w:rPr>
        <w:t>支持教学质量过程监控。平台应涵盖学生评教、教师评学、督导听课、随堂评教、问卷调查、学生信息员等主要过程监控手段，可在线评价、追溯、跟踪、反馈、分析。定期分析教学行为、评价效果，为学校教学质量改进提供依据，帮助学校构建课堂教学质量评价、反馈、问题整改、持续改进的跟踪评价机制。</w:t>
      </w:r>
    </w:p>
    <w:p w14:paraId="0E411E0E">
      <w:pPr>
        <w:wordWrap w:val="0"/>
        <w:adjustRightInd w:val="0"/>
        <w:snapToGrid w:val="0"/>
        <w:spacing w:line="360" w:lineRule="auto"/>
        <w:jc w:val="left"/>
        <w:rPr>
          <w:rFonts w:ascii="仿宋" w:hAnsi="仿宋" w:eastAsia="仿宋" w:cs="仿宋"/>
          <w:b w:val="0"/>
          <w:bCs/>
          <w:sz w:val="28"/>
          <w:szCs w:val="28"/>
        </w:rPr>
      </w:pPr>
      <w:r>
        <w:rPr>
          <w:rFonts w:hint="eastAsia" w:ascii="仿宋" w:hAnsi="仿宋" w:eastAsia="仿宋" w:cs="仿宋"/>
          <w:b w:val="0"/>
          <w:bCs/>
          <w:sz w:val="28"/>
          <w:szCs w:val="28"/>
        </w:rPr>
        <w:t>二</w:t>
      </w:r>
      <w:r>
        <w:rPr>
          <w:rFonts w:hint="eastAsia" w:ascii="仿宋" w:hAnsi="仿宋" w:eastAsia="仿宋" w:cs="仿宋"/>
          <w:b w:val="0"/>
          <w:bCs/>
          <w:sz w:val="28"/>
          <w:szCs w:val="28"/>
          <w:lang w:val="zh-CN"/>
        </w:rPr>
        <w:t>、</w:t>
      </w:r>
      <w:r>
        <w:rPr>
          <w:rFonts w:hint="eastAsia" w:ascii="仿宋" w:hAnsi="仿宋" w:eastAsia="仿宋" w:cs="仿宋"/>
          <w:b w:val="0"/>
          <w:bCs/>
          <w:sz w:val="28"/>
          <w:szCs w:val="28"/>
        </w:rPr>
        <w:t>服务内容及服务要求</w:t>
      </w:r>
    </w:p>
    <w:p w14:paraId="732AA5E5">
      <w:pPr>
        <w:wordWrap w:val="0"/>
        <w:adjustRightInd w:val="0"/>
        <w:snapToGrid w:val="0"/>
        <w:spacing w:line="360" w:lineRule="auto"/>
        <w:jc w:val="left"/>
        <w:rPr>
          <w:rFonts w:ascii="仿宋" w:hAnsi="仿宋" w:eastAsia="仿宋" w:cs="仿宋"/>
          <w:b w:val="0"/>
          <w:bCs/>
          <w:sz w:val="28"/>
          <w:szCs w:val="28"/>
        </w:rPr>
      </w:pPr>
      <w:r>
        <w:rPr>
          <w:rFonts w:hint="eastAsia" w:ascii="仿宋" w:hAnsi="仿宋" w:eastAsia="仿宋" w:cs="仿宋"/>
          <w:b w:val="0"/>
          <w:bCs/>
          <w:sz w:val="28"/>
          <w:szCs w:val="28"/>
        </w:rPr>
        <w:t>1.项目建设及服务内容</w:t>
      </w:r>
    </w:p>
    <w:p w14:paraId="462B45D7">
      <w:pPr>
        <w:wordWrap w:val="0"/>
        <w:adjustRightInd w:val="0"/>
        <w:snapToGrid w:val="0"/>
        <w:spacing w:line="360" w:lineRule="auto"/>
        <w:jc w:val="left"/>
        <w:rPr>
          <w:rFonts w:ascii="仿宋" w:hAnsi="仿宋" w:eastAsia="仿宋" w:cs="仿宋"/>
          <w:b w:val="0"/>
          <w:bCs/>
          <w:sz w:val="28"/>
          <w:szCs w:val="28"/>
        </w:rPr>
      </w:pPr>
      <w:r>
        <w:rPr>
          <w:rFonts w:hint="eastAsia" w:ascii="仿宋" w:hAnsi="仿宋" w:eastAsia="仿宋" w:cs="仿宋"/>
          <w:b w:val="0"/>
          <w:bCs/>
          <w:sz w:val="28"/>
          <w:szCs w:val="28"/>
        </w:rPr>
        <w:t>（一）教学质量评价系统</w:t>
      </w:r>
    </w:p>
    <w:p w14:paraId="0523287E">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1.基本要求：</w:t>
      </w:r>
    </w:p>
    <w:p w14:paraId="30D52604">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（1）具备快速入口功能，各角色能够按照自身需求自由添加。同时具有政策文献上传、发布新闻动态，消息提醒功能，方便日常管理。</w:t>
      </w:r>
    </w:p>
    <w:p w14:paraId="7C2042CA">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（2）系统主页能够实时展示听课评价、学生评教、教师评学等内容概况，能够直观的了解各类质量活动开展的概况，工作完成情况等。</w:t>
      </w:r>
    </w:p>
    <w:p w14:paraId="7CAF2954">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为方便使用，要求能够将系统页面全屏显示，调整字体大小，更换主题风格，支持采购人根据身份方便切换角色和任务。且具备报告自定义设置功能，可以在报告中插入标题、文本、数据源和图表，并对各模块进行编辑。</w:t>
      </w:r>
    </w:p>
    <w:p w14:paraId="66D175B9">
      <w:pPr>
        <w:spacing w:line="360" w:lineRule="auto"/>
        <w:ind w:firstLine="560" w:firstLineChars="200"/>
        <w:rPr>
          <w:rFonts w:ascii="仿宋" w:hAnsi="仿宋" w:eastAsia="仿宋" w:cs="仿宋"/>
          <w:b w:val="0"/>
          <w:bCs/>
          <w:sz w:val="28"/>
          <w:szCs w:val="28"/>
          <w:highlight w:val="none"/>
        </w:rPr>
      </w:pPr>
      <w:r>
        <w:rPr>
          <w:rFonts w:hint="eastAsia" w:ascii="仿宋" w:hAnsi="仿宋" w:eastAsia="仿宋" w:cs="仿宋"/>
          <w:b w:val="0"/>
          <w:bCs/>
          <w:sz w:val="28"/>
          <w:szCs w:val="28"/>
          <w:highlight w:val="none"/>
        </w:rPr>
        <w:t>（4）数据对接：必须与教务系统、人事系统、学生系统</w:t>
      </w: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可视化教学督导平台和学校数据中心</w:t>
      </w:r>
      <w:r>
        <w:rPr>
          <w:rFonts w:hint="eastAsia" w:ascii="仿宋" w:hAnsi="仿宋" w:eastAsia="仿宋" w:cs="仿宋"/>
          <w:b w:val="0"/>
          <w:bCs/>
          <w:sz w:val="28"/>
          <w:szCs w:val="28"/>
          <w:highlight w:val="none"/>
        </w:rPr>
        <w:t>对接，对接教师、学生、开课、排课、选课等相关信息，设置时间段定时同步，自动更新。</w:t>
      </w:r>
    </w:p>
    <w:p w14:paraId="0C9E1DF1">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（5）此系统应支持校院两级管理，即学院可以自主建立评价指标，发起和管理评价任务，查阅评价结果。</w:t>
      </w:r>
    </w:p>
    <w:p w14:paraId="28EF50F6">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（6）能够自定义角色和设置权限，在设置不同角色时可根据需求修改菜单名称，管理员可以直接模拟登录其他身份账号，便于日常管理。</w:t>
      </w:r>
    </w:p>
    <w:p w14:paraId="0001BFDE">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2.评价标准：</w:t>
      </w:r>
    </w:p>
    <w:p w14:paraId="5E2A5A99">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通过建立“指标库”将各类指标统一管理，在开展各类评价或专项检查活动（听评课，学生评教，教师评学、自评自建等）时可以根据不同任务进行引用指标体系，也可引用不同指标体系中的单项指标进行组合创建。</w:t>
      </w:r>
    </w:p>
    <w:p w14:paraId="19E28D35">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（2）评价标准有历史指标和当前指标，可按照课程属性、对应角色设置标准，如听评课指标体系可分为实践课、理论课等，也可复制指标创建副本，进行修改形成新指标。</w:t>
      </w:r>
    </w:p>
    <w:p w14:paraId="234FE1A1">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（3）指标体系新建时可选择开始学期、截至学期，课程类型，面向角色，是否生效。能够自由设置题型，打分方式、权重、状态等。</w:t>
      </w:r>
    </w:p>
    <w:p w14:paraId="4A8F99E1">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（4）可对设定的指标进行预览，系统能够智能根据已有指标分项计算提示总分分值，也可按照关键字检索指标内容。</w:t>
      </w:r>
    </w:p>
    <w:p w14:paraId="020F3604">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（5）支持指标的版本管理，各类指标都可以设置有效学期及适用类型，指标的变更不影响历史数据的展示及统计分析。</w:t>
      </w:r>
    </w:p>
    <w:p w14:paraId="1C97F2CC">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3.听课评价（督导、同行、领导）：</w:t>
      </w:r>
    </w:p>
    <w:p w14:paraId="0C4A508F">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支持校、院、教研室三级督导角色，设置权限如每学期听课次数。发布听课评价任务，可设置时间范围、对应学期和指标、听课人角色，设置被听课程时可按照开课学院或课程类型自定义范围，同时支持在线录入和模板导入两种方式。</w:t>
      </w:r>
    </w:p>
    <w:p w14:paraId="1A013D44">
      <w:pPr>
        <w:spacing w:line="360" w:lineRule="auto"/>
        <w:ind w:firstLine="560" w:firstLineChars="200"/>
        <w:rPr>
          <w:rFonts w:ascii="仿宋" w:hAnsi="仿宋" w:eastAsia="仿宋" w:cs="仿宋"/>
          <w:b w:val="0"/>
          <w:bCs/>
          <w:sz w:val="28"/>
          <w:szCs w:val="28"/>
          <w:highlight w:val="none"/>
        </w:rPr>
      </w:pPr>
      <w:r>
        <w:rPr>
          <w:rFonts w:ascii="仿宋" w:hAnsi="仿宋" w:eastAsia="仿宋" w:cs="仿宋"/>
          <w:b w:val="0"/>
          <w:bCs/>
          <w:highlight w:val="none"/>
        </w:rPr>
        <w:t>▲</w:t>
      </w:r>
      <w:r>
        <w:rPr>
          <w:rFonts w:hint="eastAsia" w:ascii="仿宋" w:hAnsi="仿宋" w:eastAsia="仿宋" w:cs="仿宋"/>
          <w:b w:val="0"/>
          <w:bCs/>
          <w:sz w:val="28"/>
          <w:szCs w:val="28"/>
          <w:highlight w:val="none"/>
        </w:rPr>
        <w:t>（2）具备听课预约功能，教师可申请被听课，能够自定义审核流程，设置听课预约处理人，设置听课人并对听课情况进行跟踪，方便管理。并具备督导工作总结提案提交功能，管理员可以分类查看，支持退回</w:t>
      </w: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任</w:t>
      </w:r>
      <w:r>
        <w:rPr>
          <w:rFonts w:hint="eastAsia" w:ascii="仿宋" w:hAnsi="仿宋" w:eastAsia="仿宋" w:cs="仿宋"/>
          <w:b w:val="0"/>
          <w:bCs/>
          <w:sz w:val="28"/>
          <w:szCs w:val="28"/>
          <w:highlight w:val="none"/>
        </w:rPr>
        <w:t>务内可单独设置听课预约处理人。</w:t>
      </w:r>
    </w:p>
    <w:p w14:paraId="3C981FD6">
      <w:pPr>
        <w:numPr>
          <w:ilvl w:val="0"/>
          <w:numId w:val="1"/>
        </w:num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校领导、督导、同行可在线听课评价、填写意见、上传照片等，评价后可暂存之后提交，可核对反馈有误课程信息。并支持与智慧教室对接，实现可视化督导功能。通过手机端筛选课程时可按照开课学院、校区、教学楼、教师入校时间等基本条件筛选，也可按历史评教、听课分数段、被听课次数智能筛选，不同用户可按使用习惯收藏常用的搜索方式。</w:t>
      </w:r>
    </w:p>
    <w:p w14:paraId="330A2F2F">
      <w:pPr>
        <w:numPr>
          <w:ilvl w:val="0"/>
          <w:numId w:val="1"/>
        </w:num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具备“听课质量跟踪池”功能，对于评价结果较差的老师进行持续评价帮扶，对于较好的老师也便于推荐同行观摩。管理员可批量导入重点关注对象，也可以手动根据历史评价分数选择添加，督导在听课过程中也可以根据情况增加，且能够实时显示教师被跟踪评价次数。</w:t>
      </w:r>
    </w:p>
    <w:p w14:paraId="28C0DAC5">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（6）管理员可设置各角色听课次数、跟踪听课数量、重点关注角色等，并能够实时查阅各角色听课工作完成情况，如可按角色、工作完成状态、学院、跟踪评价状态等条件筛选查阅，方便导出。</w:t>
      </w:r>
    </w:p>
    <w:p w14:paraId="09956FFE">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（7）被评课教师可直观看到被评分数和意见，也能够在线填写教学改进报告，允许教师针对教学评价中的疑问，向评价人提出教学咨询。</w:t>
      </w:r>
    </w:p>
    <w:p w14:paraId="44F60E22">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（8）可按照分任务查阅听课评价结果，同时具备高级检索方式，如按课程、授课教师、听课人、分数段等属性分类查询，方便导出。</w:t>
      </w:r>
    </w:p>
    <w:p w14:paraId="2E89044C">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9）教师填写的教学改进报告能够汇总呈现和分类导出，对于听课评价结果能够进行现状、趋势、预警分析，如被听课教师覆盖情况、得分情况分析、听课建议云词分析、关联分析等等，且能够自动生成听课评价数据分析报告。</w:t>
      </w:r>
    </w:p>
    <w:p w14:paraId="59769832">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4.学生评教：</w:t>
      </w:r>
    </w:p>
    <w:p w14:paraId="35B9A608">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支持发布阶段性评教任务，可以采用直接打分、直接排名、问答方式和分档排名打分等多种方式，其中分档排名打分法功能必须具备，且便于实际操作，并支持设置是否可以多次打分和全选最高分和最低分是否校验等功能。</w:t>
      </w:r>
    </w:p>
    <w:p w14:paraId="2E236204">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（2）发布评教任务时能够设置时间范围、对应学期和指标、评教方式，填写相应的消息通知说明等。设置不参评学生或教师时可以同步历史不参评名单，也可手动添加或模板导入。</w:t>
      </w:r>
    </w:p>
    <w:p w14:paraId="1E73F684">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（3）学生可在线通过</w:t>
      </w:r>
      <w:r>
        <w:rPr>
          <w:rFonts w:hint="eastAsia" w:ascii="仿宋" w:hAnsi="仿宋" w:eastAsia="仿宋" w:cs="仿宋"/>
          <w:b w:val="0"/>
          <w:bCs/>
          <w:sz w:val="28"/>
          <w:szCs w:val="28"/>
          <w:lang w:val="en-US" w:eastAsia="zh-CN"/>
        </w:rPr>
        <w:t>计算机</w:t>
      </w:r>
      <w:r>
        <w:rPr>
          <w:rFonts w:hint="eastAsia" w:ascii="仿宋" w:hAnsi="仿宋" w:eastAsia="仿宋" w:cs="仿宋"/>
          <w:b w:val="0"/>
          <w:bCs/>
          <w:sz w:val="28"/>
          <w:szCs w:val="28"/>
        </w:rPr>
        <w:t>端或手机端打分或填写意见，能够自动统计评教进度和参评率，也能够导出未参评学生名单。</w:t>
      </w:r>
    </w:p>
    <w:p w14:paraId="61C4EF3B">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4）评教结果可进行在线数据处理，自定义条件如去除最低、最高无效值，设置参评比例有效值，且必须具备三倍标准差算法去除异常数据。能够直观对比处理前后的数据结果，支持导出过滤后的数据，可针对不同角色设置不同的开放时间。</w:t>
      </w:r>
    </w:p>
    <w:p w14:paraId="5B1A9CFF">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（5）能够实时展示并导出评教结果，如评教原始评价数据、教师课程加权平均分、教师加权平均分、开放性评价意见等。</w:t>
      </w:r>
    </w:p>
    <w:p w14:paraId="2705D86D">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（6）评教结果能够进行现状、趋势和预警分析，如各学院参评率、得分情况分析、留言关键词智能汇总分析、关联分析等等，能够统计全校或全院</w:t>
      </w:r>
      <w:r>
        <w:rPr>
          <w:rFonts w:hint="eastAsia" w:ascii="仿宋" w:hAnsi="仿宋" w:eastAsia="仿宋" w:cs="仿宋"/>
          <w:b w:val="0"/>
          <w:bCs/>
          <w:sz w:val="28"/>
          <w:szCs w:val="28"/>
          <w:lang w:val="en-US" w:eastAsia="zh-CN"/>
        </w:rPr>
        <w:t>排名</w:t>
      </w:r>
      <w:r>
        <w:rPr>
          <w:rFonts w:hint="eastAsia" w:ascii="仿宋" w:hAnsi="仿宋" w:eastAsia="仿宋" w:cs="仿宋"/>
          <w:b w:val="0"/>
          <w:bCs/>
          <w:sz w:val="28"/>
          <w:szCs w:val="28"/>
        </w:rPr>
        <w:t>前10名或后10名，且能够自动生成评教数据分析报告，分学期、任务导出。</w:t>
      </w:r>
    </w:p>
    <w:p w14:paraId="264C95C1">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5.教师评学：</w:t>
      </w:r>
    </w:p>
    <w:p w14:paraId="6319E3E1">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（1）可自由发布评学任务，设置时间范围、对应学期和指标体系等。已经开始录有数据的任务无法取消，能够实时查阅评学进度。</w:t>
      </w:r>
    </w:p>
    <w:p w14:paraId="7348159D">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（2）教师可对整个授课班级进行打分，填写意见，反馈给班主任或辅导员。能够统计评学分布区间，导出评学结果数据。</w:t>
      </w:r>
    </w:p>
    <w:p w14:paraId="2F7210F0">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（3）各级领导可查询学院评学情况，也可查询本校评学整体情况、分专业评学得分，班级评学排行榜，方便管理。</w:t>
      </w:r>
    </w:p>
    <w:p w14:paraId="4600860D">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6.信息员管理：</w:t>
      </w:r>
    </w:p>
    <w:p w14:paraId="1D2389C6">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（1）管理员可以按学院或班级设置信息员，可手动设置，也可通过Excel模板批量设置，信息员可以文字、图片、文件方式填写或上传反馈给质量部门。</w:t>
      </w:r>
    </w:p>
    <w:p w14:paraId="77693DBA">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（2）支持校院两级管理，信息员反馈内容主要分为课堂意见反馈和其他意见反馈，能够实时展示反馈状态如处理状态、紧急程度等，反馈给管理部门的意见审核后可提交至其他部门处理。</w:t>
      </w:r>
    </w:p>
    <w:p w14:paraId="1B720FBE">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（3）可以统计和汇总信息员工作量及反馈处理问题情况并支持按学院、专业、班级等条件查看，并能够根据表现情况设置优秀信息员。</w:t>
      </w:r>
    </w:p>
    <w:p w14:paraId="01D2B994">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7.教学质量问卷：</w:t>
      </w:r>
    </w:p>
    <w:p w14:paraId="0C26162C">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（1）支持自定义新建校、院</w:t>
      </w:r>
      <w:r>
        <w:rPr>
          <w:rFonts w:hint="eastAsia" w:ascii="仿宋" w:hAnsi="仿宋" w:eastAsia="仿宋" w:cs="仿宋"/>
          <w:b w:val="0"/>
          <w:bCs/>
          <w:sz w:val="28"/>
          <w:szCs w:val="28"/>
          <w:lang w:eastAsia="zh-CN"/>
        </w:rPr>
        <w:t>、</w:t>
      </w:r>
      <w:r>
        <w:rPr>
          <w:rFonts w:hint="eastAsia" w:ascii="仿宋" w:hAnsi="仿宋" w:eastAsia="仿宋" w:cs="仿宋"/>
          <w:b w:val="0"/>
          <w:bCs/>
          <w:sz w:val="28"/>
          <w:szCs w:val="28"/>
        </w:rPr>
        <w:t>个人多级问卷，发布优秀教师评选等问卷调研活动。可选择问卷、调研、报名等类型，能够设置是否匿名和数据开放权限等内容。建好问卷后，能够对问卷进行预览，查看问卷信息。</w:t>
      </w:r>
    </w:p>
    <w:p w14:paraId="2C2D3A54">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（2）具有问卷模板库和回收站，发布问卷时可自行创建问卷，引用模板库或使用历史问卷模板，题型可选择单选题、多选题、问答题等，且支持对创建好的模板进行编辑或删除等操作。</w:t>
      </w:r>
    </w:p>
    <w:p w14:paraId="5E2376A8">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（3）具备教学问卷移动应用教师功能，可同时在</w:t>
      </w:r>
      <w:r>
        <w:rPr>
          <w:rFonts w:hint="eastAsia" w:ascii="仿宋" w:hAnsi="仿宋" w:eastAsia="仿宋" w:cs="仿宋"/>
          <w:b w:val="0"/>
          <w:bCs/>
          <w:sz w:val="28"/>
          <w:szCs w:val="28"/>
          <w:lang w:val="en-US" w:eastAsia="zh-CN"/>
        </w:rPr>
        <w:t>计算机</w:t>
      </w:r>
      <w:r>
        <w:rPr>
          <w:rFonts w:hint="eastAsia" w:ascii="仿宋" w:hAnsi="仿宋" w:eastAsia="仿宋" w:cs="仿宋"/>
          <w:b w:val="0"/>
          <w:bCs/>
          <w:sz w:val="28"/>
          <w:szCs w:val="28"/>
        </w:rPr>
        <w:t>端和移动端发布质量问卷，发布可自行编辑新问卷内容，发布后的问卷在历史模板库中保存，在下次发布问卷时可以引用，也可引用模板库模板和其他老师分享的问卷，在此基础上进行编辑调整发布。</w:t>
      </w:r>
    </w:p>
    <w:p w14:paraId="118BE6EF">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8.教师教学质量考核：</w:t>
      </w:r>
    </w:p>
    <w:p w14:paraId="3F271D2A">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（1）新建考核任务时可设置总体任务时间、院级数据提交开始结束时间、考核数据范围、教师结果查看时间等，考核内容构成也支持自定义，并且对于考核内容及权重二级学院具有调整的权限。</w:t>
      </w:r>
    </w:p>
    <w:p w14:paraId="5A96B2E4">
      <w:pPr>
        <w:spacing w:line="360" w:lineRule="auto"/>
        <w:ind w:firstLine="280" w:firstLineChars="100"/>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（2）可将历史评教、督导听课结果同步过来作为基础数据，系统能够自动过滤不参与考核数据来源，学院若调整数据时</w:t>
      </w:r>
      <w:r>
        <w:rPr>
          <w:rFonts w:hint="eastAsia" w:ascii="仿宋" w:hAnsi="仿宋" w:eastAsia="仿宋" w:cs="仿宋"/>
          <w:b w:val="0"/>
          <w:bCs/>
          <w:sz w:val="28"/>
          <w:szCs w:val="28"/>
          <w:lang w:val="en-US" w:eastAsia="zh-CN"/>
        </w:rPr>
        <w:t>可</w:t>
      </w:r>
      <w:r>
        <w:rPr>
          <w:rFonts w:hint="eastAsia" w:ascii="仿宋" w:hAnsi="仿宋" w:eastAsia="仿宋" w:cs="仿宋"/>
          <w:b w:val="0"/>
          <w:bCs/>
          <w:sz w:val="28"/>
          <w:szCs w:val="28"/>
        </w:rPr>
        <w:t>填写调整原因。能够自主设定质量考核、学院教师等各类参数。</w:t>
      </w:r>
    </w:p>
    <w:p w14:paraId="6259BE7A">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（3）二级学院管理员也能够设置质量考核参数，学院综合评分参数等，便于查阅学院教师综合得分，辅助教师技能鉴定。</w:t>
      </w:r>
    </w:p>
    <w:p w14:paraId="27ED2C82">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（4）数据审核具备多级审核机制，支持自定义。能够批量设置不参与考核的老师，导出学院各教师的考核结果及排名。具备高级筛选功能，可查看指定考核任务下，教师的得分状况。</w:t>
      </w:r>
    </w:p>
    <w:p w14:paraId="50D13711">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（5）具备优秀教师评选功能，可以通过计算得分评选，也可以以问卷方式进行。</w:t>
      </w:r>
    </w:p>
    <w:p w14:paraId="053A57BA">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9.移动终端：</w:t>
      </w:r>
    </w:p>
    <w:p w14:paraId="2A44382A">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能够提供较为灵活的移动端，该移动端需集成到学校企业微信或校级</w:t>
      </w:r>
      <w:r>
        <w:rPr>
          <w:rFonts w:hint="eastAsia" w:ascii="仿宋" w:hAnsi="仿宋" w:eastAsia="仿宋" w:cs="仿宋"/>
          <w:b w:val="0"/>
          <w:bCs/>
          <w:sz w:val="28"/>
          <w:szCs w:val="28"/>
          <w:lang w:val="en-US" w:eastAsia="zh-CN"/>
        </w:rPr>
        <w:t>APP</w:t>
      </w:r>
      <w:r>
        <w:rPr>
          <w:rFonts w:hint="eastAsia" w:ascii="仿宋" w:hAnsi="仿宋" w:eastAsia="仿宋" w:cs="仿宋"/>
          <w:b w:val="0"/>
          <w:bCs/>
          <w:sz w:val="28"/>
          <w:szCs w:val="28"/>
        </w:rPr>
        <w:t>内，增强移动端易用性增强，及时推送消息，保障用户使用。</w:t>
      </w:r>
    </w:p>
    <w:p w14:paraId="162B6293">
      <w:pPr>
        <w:spacing w:line="360" w:lineRule="auto"/>
        <w:ind w:firstLine="560" w:firstLineChars="200"/>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10.可视化大屏展示：</w:t>
      </w:r>
    </w:p>
    <w:p w14:paraId="1971678A">
      <w:pPr>
        <w:spacing w:line="360" w:lineRule="auto"/>
        <w:ind w:firstLine="560" w:firstLineChars="200"/>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提供基于教学质量评价结果数据的大屏展示功能，可覆盖听课评价、学生评教等多类展示维度，具体展示指标可结合学校实际数据情况灵活配置，实现数据的可视化呈现，支持多维度直观展现数据特征，具备良好的视觉展示效果。</w:t>
      </w:r>
    </w:p>
    <w:p w14:paraId="2E9DCD36">
      <w:pPr>
        <w:wordWrap w:val="0"/>
        <w:adjustRightInd w:val="0"/>
        <w:snapToGrid w:val="0"/>
        <w:spacing w:line="360" w:lineRule="auto"/>
        <w:jc w:val="left"/>
        <w:rPr>
          <w:rFonts w:ascii="仿宋" w:hAnsi="仿宋" w:eastAsia="仿宋" w:cs="仿宋"/>
          <w:b w:val="0"/>
          <w:bCs/>
          <w:sz w:val="28"/>
          <w:szCs w:val="28"/>
        </w:rPr>
      </w:pPr>
      <w:r>
        <w:rPr>
          <w:rFonts w:hint="eastAsia" w:ascii="仿宋" w:hAnsi="仿宋" w:eastAsia="仿宋" w:cs="仿宋"/>
          <w:b w:val="0"/>
          <w:bCs/>
          <w:sz w:val="28"/>
          <w:szCs w:val="28"/>
        </w:rPr>
        <w:t>（二）评估系统</w:t>
      </w:r>
    </w:p>
    <w:p w14:paraId="76D64D4E">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1.教学文档管理:</w:t>
      </w:r>
    </w:p>
    <w:p w14:paraId="1660AE7D">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1）以校级为统筹，上传和管理不同单位、院系和专业的相关资料。日常可以使用，也能够管理审核评估过程中涉及到的管理文件、教学资料、学习档案、合作协议、记录材料、课程资料、试卷资料、实习实践资料等。</w:t>
      </w:r>
    </w:p>
    <w:p w14:paraId="16129C59">
      <w:pPr>
        <w:pStyle w:val="3"/>
        <w:spacing w:line="360" w:lineRule="auto"/>
        <w:ind w:firstLine="422"/>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2）支持校、院、教师个人进行文档管理，创建文档标签、文档子目录。能够设置共享权限，如部门、专业之间共享，无限制共享，也能取消共享，并具备高级检索功能。文档类型支持多种格式，系统能够记录上传时间、上传单位、上传人、下载次数等等。</w:t>
      </w:r>
    </w:p>
    <w:p w14:paraId="6304B8E1">
      <w:pPr>
        <w:pStyle w:val="3"/>
        <w:spacing w:line="360" w:lineRule="auto"/>
        <w:ind w:firstLine="422"/>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3）校级管理人员可以创建文档归集任务，设置格式要求、数量要求、标签，面向学院或专业，要求上传某类教学文档到指定目录中，可以查看到各单位上传进度。能够划分各部门的文档存储空间，自动统计文档数量，磁盘剩余空间，文件被下载或查阅次数。</w:t>
      </w:r>
    </w:p>
    <w:p w14:paraId="47357292">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2.自评自建过程管理：</w:t>
      </w:r>
    </w:p>
    <w:p w14:paraId="687914EB">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（1）具备新一轮审核评估管理和自评自建过程管理功能，即能够将评估指标分别落实到对应的责任部门和责任人，可以对负责人对应的指标层级进行修改，批量设置责任人。</w:t>
      </w:r>
    </w:p>
    <w:p w14:paraId="082458F6">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2）支撑材料关联可基于三级指标查阅材料审核的操作日志，可以预览自评报告并对指标对应自评报告页码进行设置。管理员可以实时掌握各部门评估材料上传进度，如1+3+3报告、学校基本情况、案头材料清单、支撑材料的完成情况。</w:t>
      </w:r>
    </w:p>
    <w:p w14:paraId="757583D2">
      <w:pPr>
        <w:pStyle w:val="3"/>
        <w:spacing w:line="360" w:lineRule="auto"/>
        <w:ind w:firstLine="422"/>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3）构建问题整改库，可选择评估体系、是否整改，对问题来源进行描述，并且可将评估中各专家提出的意见纳入问题库。创建整改计划，可以支持设置牵头部门和参与部门，以及对应的责任人、整改时限等，实时查看整改进度。</w:t>
      </w:r>
    </w:p>
    <w:p w14:paraId="384F00CE">
      <w:pPr>
        <w:numPr>
          <w:ilvl w:val="0"/>
          <w:numId w:val="2"/>
        </w:num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可根据专家的反馈情况，输出问题清单，建立长效的问题清单反馈机制。能够记录整改过程，对整改情况进行跟踪反馈和对比分析。</w:t>
      </w:r>
    </w:p>
    <w:p w14:paraId="49DEBFDE">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3.课程评估：</w:t>
      </w:r>
    </w:p>
    <w:p w14:paraId="01738A1C">
      <w:pPr>
        <w:pStyle w:val="3"/>
        <w:spacing w:line="360" w:lineRule="auto"/>
        <w:ind w:firstLine="422"/>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（1）支持校院两级管理，同时支持按课程评和按教师评两种评估方式，评估结果等级支持设置课程档次，可自动生成，也可专家手动选定。方便设置抽评比例、评估起止时间、材料上传起止时间等。</w:t>
      </w:r>
    </w:p>
    <w:p w14:paraId="4885FB36">
      <w:pPr>
        <w:pStyle w:val="3"/>
        <w:spacing w:line="360" w:lineRule="auto"/>
        <w:ind w:firstLine="560"/>
        <w:rPr>
          <w:rFonts w:hint="eastAsia" w:ascii="仿宋" w:hAnsi="仿宋" w:eastAsia="仿宋" w:cs="仿宋"/>
          <w:b w:val="0"/>
          <w:bCs/>
          <w:sz w:val="28"/>
          <w:szCs w:val="28"/>
        </w:rPr>
      </w:pPr>
      <w:r>
        <w:rPr>
          <w:rFonts w:hint="eastAsia" w:ascii="仿宋" w:hAnsi="仿宋" w:eastAsia="仿宋" w:cs="仿宋"/>
          <w:b w:val="0"/>
          <w:bCs/>
          <w:sz w:val="28"/>
          <w:szCs w:val="28"/>
        </w:rPr>
        <w:t>（2）课程评估分为初评和复评两种类型，评估初评针对首次被抽评的课程，复评主要针对上一轮评估等级为“待改进”的课程，复评可自定义设置次数。支持对已评且在合格有效期的课程进行自动过滤，不合格的课程可进行复评。</w:t>
      </w:r>
    </w:p>
    <w:p w14:paraId="1B8B6C8D">
      <w:pPr>
        <w:pStyle w:val="3"/>
        <w:spacing w:line="360" w:lineRule="auto"/>
        <w:ind w:firstLine="560"/>
        <w:rPr>
          <w:rFonts w:hint="eastAsia" w:ascii="仿宋" w:hAnsi="仿宋" w:eastAsia="仿宋" w:cs="仿宋"/>
          <w:b w:val="0"/>
          <w:bCs/>
          <w:sz w:val="28"/>
          <w:szCs w:val="28"/>
          <w:lang w:eastAsia="zh-CN"/>
        </w:rPr>
      </w:pPr>
      <w:r>
        <w:rPr>
          <w:rFonts w:hint="eastAsia" w:ascii="仿宋" w:hAnsi="仿宋" w:eastAsia="仿宋" w:cs="仿宋"/>
          <w:b w:val="0"/>
          <w:bCs/>
          <w:sz w:val="28"/>
          <w:szCs w:val="28"/>
        </w:rPr>
        <w:t>▲（3）</w:t>
      </w:r>
      <w:r>
        <w:rPr>
          <w:rFonts w:hint="eastAsia" w:ascii="仿宋" w:hAnsi="仿宋" w:eastAsia="仿宋" w:cs="仿宋"/>
          <w:b w:val="0"/>
          <w:bCs/>
          <w:sz w:val="28"/>
          <w:szCs w:val="28"/>
          <w:lang w:eastAsia="zh-CN"/>
        </w:rPr>
        <w:t>支持通过设置教师申报任务，以教师自主申报的方式确定评估课程，申报课程需经过校院两级审核。评估档次可设置为国内一流、国际一流等，由学院与学校两级审核。学院可从专家库中遴选上报参与本次评估的专家，并可在线查阅大纲、课件等各类教学评估材料的提交情况。</w:t>
      </w:r>
    </w:p>
    <w:p w14:paraId="2BE77DD3">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（4）评估材料上传自定义要求</w:t>
      </w:r>
      <w:r>
        <w:rPr>
          <w:rFonts w:hint="eastAsia" w:ascii="仿宋" w:hAnsi="仿宋" w:eastAsia="仿宋" w:cs="仿宋"/>
          <w:b w:val="0"/>
          <w:bCs/>
          <w:sz w:val="28"/>
          <w:szCs w:val="28"/>
          <w:lang w:eastAsia="zh-CN"/>
        </w:rPr>
        <w:t>、</w:t>
      </w:r>
      <w:r>
        <w:rPr>
          <w:rFonts w:hint="eastAsia" w:ascii="仿宋" w:hAnsi="仿宋" w:eastAsia="仿宋" w:cs="仿宋"/>
          <w:b w:val="0"/>
          <w:bCs/>
          <w:sz w:val="28"/>
          <w:szCs w:val="28"/>
        </w:rPr>
        <w:t>评估要求，并根据课程评估指标计算要求，规范学校课程评价数据内容和格式。如：某种课程下的评估需要提交：教学日历、教案、督导听课等材料。</w:t>
      </w:r>
    </w:p>
    <w:p w14:paraId="6AD2DC65">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（5）评估工作安排时可直接通过excel导入需要评估的课程，也可通过手动筛选或自动筛选添加被评课程。针对被评课程可以设置课程组和专家，评估时可指派专家和秘书，支持灵活设置课程组分类。</w:t>
      </w:r>
    </w:p>
    <w:p w14:paraId="365DF93E">
      <w:pPr>
        <w:pStyle w:val="3"/>
        <w:spacing w:line="360" w:lineRule="auto"/>
        <w:ind w:firstLine="560"/>
        <w:rPr>
          <w:rFonts w:ascii="仿宋" w:hAnsi="仿宋" w:eastAsia="仿宋" w:cs="仿宋"/>
          <w:b w:val="0"/>
          <w:bCs/>
          <w:sz w:val="28"/>
          <w:szCs w:val="28"/>
        </w:rPr>
      </w:pPr>
      <w:r>
        <w:rPr>
          <w:rFonts w:hint="eastAsia" w:ascii="仿宋" w:hAnsi="仿宋" w:eastAsia="仿宋" w:cs="仿宋"/>
          <w:b w:val="0"/>
          <w:bCs/>
          <w:sz w:val="28"/>
          <w:szCs w:val="28"/>
        </w:rPr>
        <w:t>（6）支持对已分组课程进行专家安排，且实时查看参评专家的工作量，便于合理分配任务。评估专家能够基于评估指标体系查看评估指标支撑材料和课程自评材料在线打分并填写意见，组长最终汇总专家意见并撰写提交专家评估报告，评估结果具备多级审核流程。</w:t>
      </w:r>
    </w:p>
    <w:p w14:paraId="4E2F7E63">
      <w:pPr>
        <w:pStyle w:val="3"/>
        <w:spacing w:line="360" w:lineRule="auto"/>
        <w:ind w:firstLine="422"/>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7）评估专家组长能够能够自主筛选添加专家组成员，指派专家参与评估，详细查阅被评课程状态，每门课程详细评价结果，包括各项评价指标对应权重、得分和被评课程对应的支撑材料、外部链接和课程视频。</w:t>
      </w:r>
    </w:p>
    <w:p w14:paraId="0F108505">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8）评估结果自动统计分析，如课程评估结果分析能够查看课程标签（初评或复评），详细查阅评估具体的评估指标支撑材料、课程自评材料，评价单、最终等级、改进材料等。针对评估指标能够自动生成统计报表，详细查看每个指标的评价情况、专家定性评价结果。</w:t>
      </w:r>
    </w:p>
    <w:p w14:paraId="07CBB742">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4.师范认证</w:t>
      </w:r>
    </w:p>
    <w:p w14:paraId="2D42196C">
      <w:pPr>
        <w:spacing w:line="360" w:lineRule="auto"/>
        <w:ind w:firstLine="560" w:firstLineChars="200"/>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（1）师范类报告：为支撑学校师范类专业建设与认证，要求系统能够基于学校采集数据生成师范一级监测报告（包括课程与教学、合作与实践、师资队伍等）。</w:t>
      </w:r>
    </w:p>
    <w:p w14:paraId="5BD611C9">
      <w:pPr>
        <w:wordWrap w:val="0"/>
        <w:adjustRightInd w:val="0"/>
        <w:snapToGrid w:val="0"/>
        <w:spacing w:line="360" w:lineRule="auto"/>
        <w:jc w:val="left"/>
        <w:rPr>
          <w:rFonts w:ascii="仿宋" w:hAnsi="仿宋" w:eastAsia="仿宋" w:cs="仿宋"/>
          <w:b w:val="0"/>
          <w:bCs/>
          <w:sz w:val="28"/>
          <w:szCs w:val="28"/>
        </w:rPr>
      </w:pPr>
      <w:r>
        <w:rPr>
          <w:rFonts w:hint="eastAsia" w:ascii="仿宋" w:hAnsi="仿宋" w:eastAsia="仿宋" w:cs="仿宋"/>
          <w:b w:val="0"/>
          <w:bCs/>
          <w:sz w:val="28"/>
          <w:szCs w:val="28"/>
        </w:rPr>
        <w:t>（三）专业监测画像报告</w:t>
      </w:r>
    </w:p>
    <w:p w14:paraId="3E7525C9">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（1）要求基于学校专业评价指标体系生成学校专业评价报告，帮助校级领导了解全校专业建设情况的整体情况，为全校专业建设宏观决策和资源分配提供依据，为陕西省省级层面工作开展提供数据支撑。</w:t>
      </w:r>
    </w:p>
    <w:p w14:paraId="2F375AB9">
      <w:pPr>
        <w:spacing w:line="360" w:lineRule="auto"/>
        <w:ind w:firstLine="560" w:firstLineChars="200"/>
        <w:rPr>
          <w:rFonts w:ascii="仿宋" w:hAnsi="仿宋" w:eastAsia="仿宋" w:cs="仿宋"/>
          <w:b w:val="0"/>
          <w:bCs/>
          <w:sz w:val="28"/>
          <w:szCs w:val="28"/>
        </w:rPr>
      </w:pPr>
      <w:r>
        <w:rPr>
          <w:rFonts w:hint="eastAsia" w:ascii="仿宋" w:hAnsi="仿宋" w:eastAsia="仿宋" w:cs="仿宋"/>
          <w:b w:val="0"/>
          <w:bCs/>
          <w:sz w:val="28"/>
          <w:szCs w:val="28"/>
        </w:rPr>
        <w:t>（2）可将指标得分（或数据值）按位次从高到低分成若干段，然后分别统计各分段内的最高分（值）、最低分（值）、平均分（值）等。通过分段分析，可以定位分析对象所在的段位区间，并与不同分段内的单位进行比较。</w:t>
      </w:r>
    </w:p>
    <w:p w14:paraId="79A048B7">
      <w:pPr>
        <w:spacing w:line="360" w:lineRule="auto"/>
        <w:ind w:firstLine="560" w:firstLineChars="200"/>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3）学校篇报告分两部分，第一部分为学校专业基本情况概览；第二部分为全校专业通用监测指标分析，主要针对全校专业在对应监测指标下的比较与分析，指标项主要来源于《普通高等学校本科监测“画像”指标（试行）（2025年度）》中适用于所有学科专业的通用指标。报告内容结构如下：</w:t>
      </w:r>
    </w:p>
    <w:tbl>
      <w:tblPr>
        <w:tblStyle w:val="7"/>
        <w:tblW w:w="49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8"/>
        <w:gridCol w:w="5670"/>
      </w:tblGrid>
      <w:tr w14:paraId="06C2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tcBorders>
              <w:top w:val="single" w:color="000000" w:sz="4" w:space="0"/>
              <w:left w:val="single" w:color="000000" w:sz="4" w:space="0"/>
              <w:bottom w:val="single" w:color="000000" w:sz="4" w:space="0"/>
              <w:right w:val="single" w:color="000000" w:sz="4" w:space="0"/>
            </w:tcBorders>
            <w:vAlign w:val="center"/>
          </w:tcPr>
          <w:p w14:paraId="151288B2">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一级目录</w:t>
            </w:r>
          </w:p>
        </w:tc>
        <w:tc>
          <w:tcPr>
            <w:tcW w:w="5671" w:type="dxa"/>
            <w:tcBorders>
              <w:top w:val="single" w:color="000000" w:sz="4" w:space="0"/>
              <w:left w:val="single" w:color="000000" w:sz="4" w:space="0"/>
              <w:bottom w:val="single" w:color="000000" w:sz="4" w:space="0"/>
              <w:right w:val="single" w:color="000000" w:sz="4" w:space="0"/>
            </w:tcBorders>
            <w:vAlign w:val="center"/>
          </w:tcPr>
          <w:p w14:paraId="0312E404">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二级目录</w:t>
            </w:r>
          </w:p>
        </w:tc>
      </w:tr>
      <w:tr w14:paraId="4CDB4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restart"/>
            <w:tcBorders>
              <w:top w:val="single" w:color="000000" w:sz="4" w:space="0"/>
              <w:left w:val="single" w:color="000000" w:sz="4" w:space="0"/>
              <w:right w:val="single" w:color="000000" w:sz="4" w:space="0"/>
            </w:tcBorders>
            <w:vAlign w:val="center"/>
          </w:tcPr>
          <w:p w14:paraId="62842477">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专业基本情况概览</w:t>
            </w:r>
          </w:p>
        </w:tc>
        <w:tc>
          <w:tcPr>
            <w:tcW w:w="5671" w:type="dxa"/>
            <w:tcBorders>
              <w:top w:val="single" w:color="000000" w:sz="4" w:space="0"/>
              <w:left w:val="single" w:color="000000" w:sz="4" w:space="0"/>
              <w:bottom w:val="single" w:color="000000" w:sz="4" w:space="0"/>
              <w:right w:val="single" w:color="000000" w:sz="4" w:space="0"/>
            </w:tcBorders>
            <w:vAlign w:val="center"/>
          </w:tcPr>
          <w:p w14:paraId="0277E6BB">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专业分布情况</w:t>
            </w:r>
          </w:p>
        </w:tc>
      </w:tr>
      <w:tr w14:paraId="7349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continue"/>
            <w:tcBorders>
              <w:left w:val="single" w:color="000000" w:sz="4" w:space="0"/>
              <w:right w:val="single" w:color="000000" w:sz="4" w:space="0"/>
            </w:tcBorders>
            <w:vAlign w:val="center"/>
          </w:tcPr>
          <w:p w14:paraId="127202C8">
            <w:pPr>
              <w:widowControl/>
              <w:spacing w:line="360" w:lineRule="auto"/>
              <w:jc w:val="center"/>
              <w:rPr>
                <w:rFonts w:ascii="仿宋" w:hAnsi="仿宋" w:eastAsia="仿宋" w:cs="仿宋"/>
                <w:b w:val="0"/>
                <w:bCs/>
                <w:kern w:val="0"/>
                <w:sz w:val="24"/>
                <w:szCs w:val="24"/>
              </w:rPr>
            </w:pPr>
          </w:p>
        </w:tc>
        <w:tc>
          <w:tcPr>
            <w:tcW w:w="5671" w:type="dxa"/>
            <w:tcBorders>
              <w:top w:val="single" w:color="000000" w:sz="4" w:space="0"/>
              <w:left w:val="single" w:color="000000" w:sz="4" w:space="0"/>
              <w:bottom w:val="single" w:color="000000" w:sz="4" w:space="0"/>
              <w:right w:val="single" w:color="000000" w:sz="4" w:space="0"/>
            </w:tcBorders>
            <w:vAlign w:val="center"/>
          </w:tcPr>
          <w:p w14:paraId="3AE160BD">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专业学生数量及分布</w:t>
            </w:r>
          </w:p>
        </w:tc>
      </w:tr>
      <w:tr w14:paraId="0A76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continue"/>
            <w:tcBorders>
              <w:left w:val="single" w:color="000000" w:sz="4" w:space="0"/>
              <w:right w:val="single" w:color="000000" w:sz="4" w:space="0"/>
            </w:tcBorders>
            <w:vAlign w:val="center"/>
          </w:tcPr>
          <w:p w14:paraId="52C50F71">
            <w:pPr>
              <w:widowControl/>
              <w:spacing w:line="360" w:lineRule="auto"/>
              <w:jc w:val="center"/>
              <w:rPr>
                <w:rFonts w:ascii="仿宋" w:hAnsi="仿宋" w:eastAsia="仿宋" w:cs="仿宋"/>
                <w:b w:val="0"/>
                <w:bCs/>
                <w:kern w:val="0"/>
                <w:sz w:val="24"/>
                <w:szCs w:val="24"/>
              </w:rPr>
            </w:pPr>
          </w:p>
        </w:tc>
        <w:tc>
          <w:tcPr>
            <w:tcW w:w="5671" w:type="dxa"/>
            <w:tcBorders>
              <w:top w:val="single" w:color="000000" w:sz="4" w:space="0"/>
              <w:left w:val="single" w:color="000000" w:sz="4" w:space="0"/>
              <w:bottom w:val="single" w:color="000000" w:sz="4" w:space="0"/>
              <w:right w:val="single" w:color="000000" w:sz="4" w:space="0"/>
            </w:tcBorders>
            <w:vAlign w:val="center"/>
          </w:tcPr>
          <w:p w14:paraId="6CEE3BBD">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专业专任教师数量及分布</w:t>
            </w:r>
          </w:p>
        </w:tc>
      </w:tr>
      <w:tr w14:paraId="2A2A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restart"/>
            <w:tcBorders>
              <w:top w:val="single" w:color="000000" w:sz="4" w:space="0"/>
              <w:left w:val="single" w:color="000000" w:sz="4" w:space="0"/>
              <w:right w:val="single" w:color="000000" w:sz="4" w:space="0"/>
            </w:tcBorders>
            <w:vAlign w:val="center"/>
          </w:tcPr>
          <w:p w14:paraId="05A8131D">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全校专业通用监测指标分析</w:t>
            </w:r>
          </w:p>
        </w:tc>
        <w:tc>
          <w:tcPr>
            <w:tcW w:w="5671" w:type="dxa"/>
            <w:tcBorders>
              <w:top w:val="single" w:color="000000" w:sz="4" w:space="0"/>
              <w:left w:val="single" w:color="000000" w:sz="4" w:space="0"/>
              <w:bottom w:val="single" w:color="000000" w:sz="4" w:space="0"/>
              <w:right w:val="single" w:color="000000" w:sz="4" w:space="0"/>
            </w:tcBorders>
            <w:vAlign w:val="center"/>
          </w:tcPr>
          <w:p w14:paraId="1BF1E6A6">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思政教育</w:t>
            </w:r>
          </w:p>
        </w:tc>
      </w:tr>
      <w:tr w14:paraId="2DD71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continue"/>
            <w:tcBorders>
              <w:left w:val="single" w:color="000000" w:sz="4" w:space="0"/>
              <w:right w:val="single" w:color="000000" w:sz="4" w:space="0"/>
            </w:tcBorders>
            <w:vAlign w:val="center"/>
          </w:tcPr>
          <w:p w14:paraId="32105145">
            <w:pPr>
              <w:widowControl/>
              <w:spacing w:line="360" w:lineRule="auto"/>
              <w:jc w:val="center"/>
              <w:rPr>
                <w:rFonts w:ascii="仿宋" w:hAnsi="仿宋" w:eastAsia="仿宋" w:cs="仿宋"/>
                <w:b w:val="0"/>
                <w:bCs/>
                <w:kern w:val="0"/>
                <w:sz w:val="24"/>
                <w:szCs w:val="24"/>
              </w:rPr>
            </w:pPr>
          </w:p>
        </w:tc>
        <w:tc>
          <w:tcPr>
            <w:tcW w:w="5671" w:type="dxa"/>
            <w:tcBorders>
              <w:top w:val="single" w:color="000000" w:sz="4" w:space="0"/>
              <w:left w:val="single" w:color="000000" w:sz="4" w:space="0"/>
              <w:bottom w:val="single" w:color="000000" w:sz="4" w:space="0"/>
              <w:right w:val="single" w:color="000000" w:sz="4" w:space="0"/>
            </w:tcBorders>
            <w:vAlign w:val="center"/>
          </w:tcPr>
          <w:p w14:paraId="370AA134">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招生</w:t>
            </w:r>
          </w:p>
        </w:tc>
      </w:tr>
      <w:tr w14:paraId="6A2C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continue"/>
            <w:tcBorders>
              <w:left w:val="single" w:color="000000" w:sz="4" w:space="0"/>
              <w:right w:val="single" w:color="000000" w:sz="4" w:space="0"/>
            </w:tcBorders>
            <w:vAlign w:val="center"/>
          </w:tcPr>
          <w:p w14:paraId="2FF10338">
            <w:pPr>
              <w:widowControl/>
              <w:spacing w:line="360" w:lineRule="auto"/>
              <w:jc w:val="center"/>
              <w:rPr>
                <w:rFonts w:ascii="仿宋" w:hAnsi="仿宋" w:eastAsia="仿宋" w:cs="仿宋"/>
                <w:b w:val="0"/>
                <w:bCs/>
                <w:kern w:val="0"/>
                <w:sz w:val="24"/>
                <w:szCs w:val="24"/>
              </w:rPr>
            </w:pPr>
          </w:p>
        </w:tc>
        <w:tc>
          <w:tcPr>
            <w:tcW w:w="5671" w:type="dxa"/>
            <w:tcBorders>
              <w:top w:val="single" w:color="000000" w:sz="4" w:space="0"/>
              <w:left w:val="single" w:color="000000" w:sz="4" w:space="0"/>
              <w:bottom w:val="single" w:color="000000" w:sz="4" w:space="0"/>
              <w:right w:val="single" w:color="000000" w:sz="4" w:space="0"/>
            </w:tcBorders>
            <w:vAlign w:val="center"/>
          </w:tcPr>
          <w:p w14:paraId="4C155A0D">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师资队伍</w:t>
            </w:r>
          </w:p>
        </w:tc>
      </w:tr>
      <w:tr w14:paraId="273B7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continue"/>
            <w:tcBorders>
              <w:left w:val="single" w:color="000000" w:sz="4" w:space="0"/>
              <w:right w:val="single" w:color="000000" w:sz="4" w:space="0"/>
            </w:tcBorders>
            <w:vAlign w:val="center"/>
          </w:tcPr>
          <w:p w14:paraId="4B6A04AB">
            <w:pPr>
              <w:widowControl/>
              <w:spacing w:line="360" w:lineRule="auto"/>
              <w:jc w:val="center"/>
              <w:rPr>
                <w:rFonts w:ascii="仿宋" w:hAnsi="仿宋" w:eastAsia="仿宋" w:cs="仿宋"/>
                <w:b w:val="0"/>
                <w:bCs/>
                <w:kern w:val="0"/>
                <w:sz w:val="24"/>
                <w:szCs w:val="24"/>
              </w:rPr>
            </w:pPr>
          </w:p>
        </w:tc>
        <w:tc>
          <w:tcPr>
            <w:tcW w:w="5671" w:type="dxa"/>
            <w:tcBorders>
              <w:top w:val="single" w:color="000000" w:sz="4" w:space="0"/>
              <w:left w:val="single" w:color="000000" w:sz="4" w:space="0"/>
              <w:bottom w:val="single" w:color="000000" w:sz="4" w:space="0"/>
              <w:right w:val="single" w:color="000000" w:sz="4" w:space="0"/>
            </w:tcBorders>
            <w:vAlign w:val="center"/>
          </w:tcPr>
          <w:p w14:paraId="3D41FAB3">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课程体系</w:t>
            </w:r>
          </w:p>
        </w:tc>
      </w:tr>
      <w:tr w14:paraId="5A74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688" w:type="dxa"/>
            <w:vMerge w:val="continue"/>
            <w:tcBorders>
              <w:left w:val="single" w:color="000000" w:sz="4" w:space="0"/>
              <w:right w:val="single" w:color="000000" w:sz="4" w:space="0"/>
            </w:tcBorders>
            <w:vAlign w:val="center"/>
          </w:tcPr>
          <w:p w14:paraId="2E935270">
            <w:pPr>
              <w:widowControl/>
              <w:spacing w:line="360" w:lineRule="auto"/>
              <w:jc w:val="center"/>
              <w:rPr>
                <w:rFonts w:ascii="仿宋" w:hAnsi="仿宋" w:eastAsia="仿宋" w:cs="仿宋"/>
                <w:b w:val="0"/>
                <w:bCs/>
                <w:kern w:val="0"/>
                <w:sz w:val="24"/>
                <w:szCs w:val="24"/>
              </w:rPr>
            </w:pPr>
          </w:p>
        </w:tc>
        <w:tc>
          <w:tcPr>
            <w:tcW w:w="5671" w:type="dxa"/>
            <w:tcBorders>
              <w:top w:val="single" w:color="000000" w:sz="4" w:space="0"/>
              <w:left w:val="single" w:color="000000" w:sz="4" w:space="0"/>
              <w:bottom w:val="single" w:color="000000" w:sz="4" w:space="0"/>
              <w:right w:val="single" w:color="000000" w:sz="4" w:space="0"/>
            </w:tcBorders>
            <w:vAlign w:val="center"/>
          </w:tcPr>
          <w:p w14:paraId="64CE53E0">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支撑条件</w:t>
            </w:r>
          </w:p>
        </w:tc>
      </w:tr>
      <w:tr w14:paraId="7230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688" w:type="dxa"/>
            <w:vMerge w:val="continue"/>
            <w:tcBorders>
              <w:left w:val="single" w:color="000000" w:sz="4" w:space="0"/>
              <w:right w:val="single" w:color="000000" w:sz="4" w:space="0"/>
            </w:tcBorders>
            <w:vAlign w:val="center"/>
          </w:tcPr>
          <w:p w14:paraId="454257D7">
            <w:pPr>
              <w:widowControl/>
              <w:spacing w:line="360" w:lineRule="auto"/>
              <w:jc w:val="center"/>
              <w:rPr>
                <w:rFonts w:ascii="宋体" w:hAnsi="宋体" w:cs="宋体"/>
                <w:b w:val="0"/>
                <w:bCs/>
                <w:kern w:val="0"/>
                <w:sz w:val="24"/>
                <w:szCs w:val="24"/>
              </w:rPr>
            </w:pPr>
          </w:p>
        </w:tc>
        <w:tc>
          <w:tcPr>
            <w:tcW w:w="5671" w:type="dxa"/>
            <w:tcBorders>
              <w:top w:val="single" w:color="000000" w:sz="4" w:space="0"/>
              <w:left w:val="single" w:color="000000" w:sz="4" w:space="0"/>
              <w:bottom w:val="single" w:color="000000" w:sz="4" w:space="0"/>
              <w:right w:val="single" w:color="000000" w:sz="4" w:space="0"/>
            </w:tcBorders>
            <w:vAlign w:val="center"/>
          </w:tcPr>
          <w:p w14:paraId="1D30BF87">
            <w:pPr>
              <w:widowControl/>
              <w:spacing w:line="360" w:lineRule="auto"/>
              <w:jc w:val="center"/>
              <w:rPr>
                <w:rFonts w:ascii="宋体" w:hAnsi="宋体" w:cs="宋体"/>
                <w:b w:val="0"/>
                <w:bCs/>
                <w:kern w:val="0"/>
                <w:sz w:val="24"/>
                <w:szCs w:val="24"/>
              </w:rPr>
            </w:pPr>
            <w:r>
              <w:rPr>
                <w:rFonts w:hint="eastAsia" w:ascii="仿宋" w:hAnsi="仿宋" w:eastAsia="仿宋" w:cs="仿宋"/>
                <w:b w:val="0"/>
                <w:bCs/>
                <w:kern w:val="0"/>
                <w:sz w:val="24"/>
                <w:szCs w:val="24"/>
              </w:rPr>
              <w:t>培养成效</w:t>
            </w:r>
          </w:p>
        </w:tc>
      </w:tr>
    </w:tbl>
    <w:p w14:paraId="477F95C4">
      <w:pPr>
        <w:spacing w:line="360" w:lineRule="auto"/>
        <w:ind w:firstLine="560" w:firstLineChars="200"/>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4）学科篇报告分两部分，第一部分为学科基本情况概览；第二部分为学科门类下监测指标分析，主要针对相同学科门类下的专业在对应监测指标下的比较与分析，指标能够进行横纵向对比，如横向对比校内同类型专业。报告内容结构如下：</w:t>
      </w:r>
    </w:p>
    <w:tbl>
      <w:tblPr>
        <w:tblStyle w:val="7"/>
        <w:tblW w:w="48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2"/>
        <w:gridCol w:w="2581"/>
        <w:gridCol w:w="3065"/>
      </w:tblGrid>
      <w:tr w14:paraId="03390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tcBorders>
              <w:top w:val="single" w:color="000000" w:sz="4" w:space="0"/>
              <w:left w:val="single" w:color="000000" w:sz="4" w:space="0"/>
              <w:bottom w:val="single" w:color="000000" w:sz="4" w:space="0"/>
              <w:right w:val="single" w:color="000000" w:sz="4" w:space="0"/>
            </w:tcBorders>
            <w:vAlign w:val="center"/>
          </w:tcPr>
          <w:p w14:paraId="04A15EB1">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一级目录</w:t>
            </w:r>
          </w:p>
        </w:tc>
        <w:tc>
          <w:tcPr>
            <w:tcW w:w="2581" w:type="dxa"/>
            <w:tcBorders>
              <w:top w:val="single" w:color="000000" w:sz="4" w:space="0"/>
              <w:left w:val="single" w:color="000000" w:sz="4" w:space="0"/>
              <w:bottom w:val="single" w:color="000000" w:sz="4" w:space="0"/>
              <w:right w:val="single" w:color="000000" w:sz="4" w:space="0"/>
            </w:tcBorders>
            <w:vAlign w:val="center"/>
          </w:tcPr>
          <w:p w14:paraId="3DBA61A6">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二级目录</w:t>
            </w:r>
          </w:p>
        </w:tc>
        <w:tc>
          <w:tcPr>
            <w:tcW w:w="3065" w:type="dxa"/>
            <w:tcBorders>
              <w:top w:val="single" w:color="000000" w:sz="4" w:space="0"/>
              <w:left w:val="single" w:color="000000" w:sz="4" w:space="0"/>
              <w:bottom w:val="single" w:color="000000" w:sz="4" w:space="0"/>
              <w:right w:val="single" w:color="000000" w:sz="4" w:space="0"/>
            </w:tcBorders>
            <w:vAlign w:val="center"/>
          </w:tcPr>
          <w:p w14:paraId="324103BC">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三级目录</w:t>
            </w:r>
          </w:p>
        </w:tc>
      </w:tr>
      <w:tr w14:paraId="7FB4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restart"/>
            <w:tcBorders>
              <w:top w:val="single" w:color="000000" w:sz="4" w:space="0"/>
              <w:left w:val="single" w:color="000000" w:sz="4" w:space="0"/>
              <w:right w:val="single" w:color="000000" w:sz="4" w:space="0"/>
            </w:tcBorders>
            <w:vAlign w:val="center"/>
          </w:tcPr>
          <w:p w14:paraId="3D1D678E">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学科基本情况概览</w:t>
            </w:r>
          </w:p>
        </w:tc>
        <w:tc>
          <w:tcPr>
            <w:tcW w:w="2581" w:type="dxa"/>
            <w:tcBorders>
              <w:top w:val="single" w:color="000000" w:sz="4" w:space="0"/>
              <w:left w:val="single" w:color="000000" w:sz="4" w:space="0"/>
              <w:bottom w:val="single" w:color="000000" w:sz="4" w:space="0"/>
              <w:right w:val="single" w:color="000000" w:sz="4" w:space="0"/>
            </w:tcBorders>
            <w:vAlign w:val="center"/>
          </w:tcPr>
          <w:p w14:paraId="2C1A9964">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专业分布情况</w:t>
            </w:r>
          </w:p>
        </w:tc>
        <w:tc>
          <w:tcPr>
            <w:tcW w:w="3065" w:type="dxa"/>
            <w:tcBorders>
              <w:top w:val="single" w:color="000000" w:sz="4" w:space="0"/>
              <w:left w:val="single" w:color="000000" w:sz="4" w:space="0"/>
              <w:bottom w:val="single" w:color="000000" w:sz="4" w:space="0"/>
              <w:right w:val="single" w:color="000000" w:sz="4" w:space="0"/>
            </w:tcBorders>
            <w:vAlign w:val="center"/>
          </w:tcPr>
          <w:p w14:paraId="137B63E7">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w:t>
            </w:r>
          </w:p>
        </w:tc>
      </w:tr>
      <w:tr w14:paraId="5CCC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continue"/>
            <w:tcBorders>
              <w:left w:val="single" w:color="000000" w:sz="4" w:space="0"/>
              <w:right w:val="single" w:color="000000" w:sz="4" w:space="0"/>
            </w:tcBorders>
            <w:vAlign w:val="center"/>
          </w:tcPr>
          <w:p w14:paraId="4341513E">
            <w:pPr>
              <w:widowControl/>
              <w:spacing w:line="360" w:lineRule="auto"/>
              <w:jc w:val="center"/>
              <w:rPr>
                <w:rFonts w:ascii="仿宋" w:hAnsi="仿宋" w:eastAsia="仿宋" w:cs="仿宋"/>
                <w:b w:val="0"/>
                <w:bCs/>
                <w:kern w:val="0"/>
                <w:sz w:val="24"/>
                <w:szCs w:val="24"/>
              </w:rPr>
            </w:pPr>
          </w:p>
        </w:tc>
        <w:tc>
          <w:tcPr>
            <w:tcW w:w="2581" w:type="dxa"/>
            <w:tcBorders>
              <w:top w:val="single" w:color="000000" w:sz="4" w:space="0"/>
              <w:left w:val="single" w:color="000000" w:sz="4" w:space="0"/>
              <w:bottom w:val="single" w:color="000000" w:sz="4" w:space="0"/>
              <w:right w:val="single" w:color="000000" w:sz="4" w:space="0"/>
            </w:tcBorders>
            <w:vAlign w:val="center"/>
          </w:tcPr>
          <w:p w14:paraId="3BD687C6">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专业学生数量及分布</w:t>
            </w:r>
          </w:p>
        </w:tc>
        <w:tc>
          <w:tcPr>
            <w:tcW w:w="3065" w:type="dxa"/>
            <w:tcBorders>
              <w:top w:val="single" w:color="000000" w:sz="4" w:space="0"/>
              <w:left w:val="single" w:color="000000" w:sz="4" w:space="0"/>
              <w:bottom w:val="single" w:color="000000" w:sz="4" w:space="0"/>
              <w:right w:val="single" w:color="000000" w:sz="4" w:space="0"/>
            </w:tcBorders>
            <w:vAlign w:val="center"/>
          </w:tcPr>
          <w:p w14:paraId="30237F03">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w:t>
            </w:r>
          </w:p>
        </w:tc>
      </w:tr>
      <w:tr w14:paraId="70D3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continue"/>
            <w:tcBorders>
              <w:left w:val="single" w:color="000000" w:sz="4" w:space="0"/>
              <w:right w:val="single" w:color="000000" w:sz="4" w:space="0"/>
            </w:tcBorders>
            <w:vAlign w:val="center"/>
          </w:tcPr>
          <w:p w14:paraId="286DA077">
            <w:pPr>
              <w:widowControl/>
              <w:spacing w:line="360" w:lineRule="auto"/>
              <w:jc w:val="center"/>
              <w:rPr>
                <w:rFonts w:ascii="仿宋" w:hAnsi="仿宋" w:eastAsia="仿宋" w:cs="仿宋"/>
                <w:b w:val="0"/>
                <w:bCs/>
                <w:kern w:val="0"/>
                <w:sz w:val="24"/>
                <w:szCs w:val="24"/>
              </w:rPr>
            </w:pPr>
          </w:p>
        </w:tc>
        <w:tc>
          <w:tcPr>
            <w:tcW w:w="2581" w:type="dxa"/>
            <w:tcBorders>
              <w:top w:val="single" w:color="000000" w:sz="4" w:space="0"/>
              <w:left w:val="single" w:color="000000" w:sz="4" w:space="0"/>
              <w:bottom w:val="single" w:color="000000" w:sz="4" w:space="0"/>
              <w:right w:val="single" w:color="000000" w:sz="4" w:space="0"/>
            </w:tcBorders>
            <w:vAlign w:val="center"/>
          </w:tcPr>
          <w:p w14:paraId="10B1B765">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专业专任教师数量及分布</w:t>
            </w:r>
          </w:p>
        </w:tc>
        <w:tc>
          <w:tcPr>
            <w:tcW w:w="3065" w:type="dxa"/>
            <w:tcBorders>
              <w:top w:val="single" w:color="000000" w:sz="4" w:space="0"/>
              <w:left w:val="single" w:color="000000" w:sz="4" w:space="0"/>
              <w:bottom w:val="single" w:color="000000" w:sz="4" w:space="0"/>
              <w:right w:val="single" w:color="000000" w:sz="4" w:space="0"/>
            </w:tcBorders>
            <w:vAlign w:val="center"/>
          </w:tcPr>
          <w:p w14:paraId="0CD56015">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w:t>
            </w:r>
          </w:p>
        </w:tc>
      </w:tr>
      <w:tr w14:paraId="442B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restart"/>
            <w:tcBorders>
              <w:top w:val="single" w:color="000000" w:sz="4" w:space="0"/>
              <w:left w:val="single" w:color="000000" w:sz="4" w:space="0"/>
              <w:right w:val="single" w:color="000000" w:sz="4" w:space="0"/>
            </w:tcBorders>
            <w:vAlign w:val="center"/>
          </w:tcPr>
          <w:p w14:paraId="050F56E2">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学科门类下专业教学质量监测指标分析</w:t>
            </w:r>
          </w:p>
        </w:tc>
        <w:tc>
          <w:tcPr>
            <w:tcW w:w="2581" w:type="dxa"/>
            <w:vMerge w:val="restart"/>
            <w:tcBorders>
              <w:top w:val="single" w:color="000000" w:sz="4" w:space="0"/>
              <w:left w:val="single" w:color="000000" w:sz="4" w:space="0"/>
              <w:right w:val="single" w:color="000000" w:sz="4" w:space="0"/>
            </w:tcBorders>
            <w:vAlign w:val="center"/>
          </w:tcPr>
          <w:p w14:paraId="3884C1CB">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通用指标</w:t>
            </w:r>
          </w:p>
        </w:tc>
        <w:tc>
          <w:tcPr>
            <w:tcW w:w="3065" w:type="dxa"/>
            <w:tcBorders>
              <w:top w:val="single" w:color="000000" w:sz="4" w:space="0"/>
              <w:left w:val="single" w:color="000000" w:sz="4" w:space="0"/>
              <w:bottom w:val="single" w:color="000000" w:sz="4" w:space="0"/>
              <w:right w:val="single" w:color="000000" w:sz="4" w:space="0"/>
            </w:tcBorders>
            <w:vAlign w:val="center"/>
          </w:tcPr>
          <w:p w14:paraId="580B4A3B">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招生</w:t>
            </w:r>
          </w:p>
        </w:tc>
      </w:tr>
      <w:tr w14:paraId="6A6D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continue"/>
            <w:tcBorders>
              <w:left w:val="single" w:color="000000" w:sz="4" w:space="0"/>
              <w:right w:val="single" w:color="000000" w:sz="4" w:space="0"/>
            </w:tcBorders>
            <w:vAlign w:val="center"/>
          </w:tcPr>
          <w:p w14:paraId="5B13442E">
            <w:pPr>
              <w:widowControl/>
              <w:spacing w:line="360" w:lineRule="auto"/>
              <w:jc w:val="center"/>
              <w:rPr>
                <w:rFonts w:ascii="仿宋" w:hAnsi="仿宋" w:eastAsia="仿宋" w:cs="仿宋"/>
                <w:b w:val="0"/>
                <w:bCs/>
                <w:kern w:val="0"/>
                <w:sz w:val="24"/>
                <w:szCs w:val="24"/>
              </w:rPr>
            </w:pPr>
          </w:p>
        </w:tc>
        <w:tc>
          <w:tcPr>
            <w:tcW w:w="2581" w:type="dxa"/>
            <w:vMerge w:val="continue"/>
            <w:tcBorders>
              <w:left w:val="single" w:color="000000" w:sz="4" w:space="0"/>
              <w:right w:val="single" w:color="000000" w:sz="4" w:space="0"/>
            </w:tcBorders>
            <w:vAlign w:val="center"/>
          </w:tcPr>
          <w:p w14:paraId="0D2B86A2">
            <w:pPr>
              <w:widowControl/>
              <w:spacing w:line="360" w:lineRule="auto"/>
              <w:jc w:val="center"/>
              <w:rPr>
                <w:rFonts w:ascii="仿宋" w:hAnsi="仿宋" w:eastAsia="仿宋" w:cs="仿宋"/>
                <w:b w:val="0"/>
                <w:bCs/>
                <w:kern w:val="0"/>
                <w:sz w:val="24"/>
                <w:szCs w:val="24"/>
              </w:rPr>
            </w:pPr>
          </w:p>
        </w:tc>
        <w:tc>
          <w:tcPr>
            <w:tcW w:w="3065" w:type="dxa"/>
            <w:tcBorders>
              <w:top w:val="single" w:color="000000" w:sz="4" w:space="0"/>
              <w:left w:val="single" w:color="000000" w:sz="4" w:space="0"/>
              <w:bottom w:val="single" w:color="000000" w:sz="4" w:space="0"/>
              <w:right w:val="single" w:color="000000" w:sz="4" w:space="0"/>
            </w:tcBorders>
            <w:vAlign w:val="center"/>
          </w:tcPr>
          <w:p w14:paraId="59D8BA3C">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师资队伍</w:t>
            </w:r>
          </w:p>
        </w:tc>
      </w:tr>
      <w:tr w14:paraId="7B1DF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continue"/>
            <w:tcBorders>
              <w:left w:val="single" w:color="000000" w:sz="4" w:space="0"/>
              <w:right w:val="single" w:color="000000" w:sz="4" w:space="0"/>
            </w:tcBorders>
            <w:vAlign w:val="center"/>
          </w:tcPr>
          <w:p w14:paraId="039F96B3">
            <w:pPr>
              <w:widowControl/>
              <w:spacing w:line="360" w:lineRule="auto"/>
              <w:jc w:val="center"/>
              <w:rPr>
                <w:rFonts w:ascii="仿宋" w:hAnsi="仿宋" w:eastAsia="仿宋" w:cs="仿宋"/>
                <w:b w:val="0"/>
                <w:bCs/>
                <w:kern w:val="0"/>
                <w:sz w:val="24"/>
                <w:szCs w:val="24"/>
              </w:rPr>
            </w:pPr>
          </w:p>
        </w:tc>
        <w:tc>
          <w:tcPr>
            <w:tcW w:w="2581" w:type="dxa"/>
            <w:vMerge w:val="continue"/>
            <w:tcBorders>
              <w:left w:val="single" w:color="000000" w:sz="4" w:space="0"/>
              <w:right w:val="single" w:color="000000" w:sz="4" w:space="0"/>
            </w:tcBorders>
            <w:vAlign w:val="center"/>
          </w:tcPr>
          <w:p w14:paraId="1C6505B4">
            <w:pPr>
              <w:widowControl/>
              <w:spacing w:line="360" w:lineRule="auto"/>
              <w:jc w:val="center"/>
              <w:rPr>
                <w:rFonts w:ascii="仿宋" w:hAnsi="仿宋" w:eastAsia="仿宋" w:cs="仿宋"/>
                <w:b w:val="0"/>
                <w:bCs/>
                <w:kern w:val="0"/>
                <w:sz w:val="24"/>
                <w:szCs w:val="24"/>
              </w:rPr>
            </w:pPr>
          </w:p>
        </w:tc>
        <w:tc>
          <w:tcPr>
            <w:tcW w:w="3065" w:type="dxa"/>
            <w:tcBorders>
              <w:top w:val="single" w:color="000000" w:sz="4" w:space="0"/>
              <w:left w:val="single" w:color="000000" w:sz="4" w:space="0"/>
              <w:bottom w:val="single" w:color="000000" w:sz="4" w:space="0"/>
              <w:right w:val="single" w:color="000000" w:sz="4" w:space="0"/>
            </w:tcBorders>
            <w:vAlign w:val="center"/>
          </w:tcPr>
          <w:p w14:paraId="6A989877">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课程体系</w:t>
            </w:r>
          </w:p>
        </w:tc>
      </w:tr>
      <w:tr w14:paraId="59AA4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continue"/>
            <w:tcBorders>
              <w:left w:val="single" w:color="000000" w:sz="4" w:space="0"/>
              <w:right w:val="single" w:color="000000" w:sz="4" w:space="0"/>
            </w:tcBorders>
            <w:vAlign w:val="center"/>
          </w:tcPr>
          <w:p w14:paraId="46C31D5D">
            <w:pPr>
              <w:widowControl/>
              <w:spacing w:line="360" w:lineRule="auto"/>
              <w:jc w:val="center"/>
              <w:rPr>
                <w:rFonts w:ascii="仿宋" w:hAnsi="仿宋" w:eastAsia="仿宋" w:cs="仿宋"/>
                <w:b w:val="0"/>
                <w:bCs/>
                <w:kern w:val="0"/>
                <w:sz w:val="24"/>
                <w:szCs w:val="24"/>
              </w:rPr>
            </w:pPr>
          </w:p>
        </w:tc>
        <w:tc>
          <w:tcPr>
            <w:tcW w:w="2581" w:type="dxa"/>
            <w:vMerge w:val="continue"/>
            <w:tcBorders>
              <w:left w:val="single" w:color="000000" w:sz="4" w:space="0"/>
              <w:right w:val="single" w:color="000000" w:sz="4" w:space="0"/>
            </w:tcBorders>
            <w:vAlign w:val="center"/>
          </w:tcPr>
          <w:p w14:paraId="464A58EB">
            <w:pPr>
              <w:widowControl/>
              <w:spacing w:line="360" w:lineRule="auto"/>
              <w:jc w:val="center"/>
              <w:rPr>
                <w:rFonts w:ascii="仿宋" w:hAnsi="仿宋" w:eastAsia="仿宋" w:cs="仿宋"/>
                <w:b w:val="0"/>
                <w:bCs/>
                <w:kern w:val="0"/>
                <w:sz w:val="24"/>
                <w:szCs w:val="24"/>
              </w:rPr>
            </w:pPr>
          </w:p>
        </w:tc>
        <w:tc>
          <w:tcPr>
            <w:tcW w:w="3065" w:type="dxa"/>
            <w:tcBorders>
              <w:top w:val="single" w:color="000000" w:sz="4" w:space="0"/>
              <w:left w:val="single" w:color="000000" w:sz="4" w:space="0"/>
              <w:bottom w:val="single" w:color="000000" w:sz="4" w:space="0"/>
              <w:right w:val="single" w:color="000000" w:sz="4" w:space="0"/>
            </w:tcBorders>
            <w:vAlign w:val="center"/>
          </w:tcPr>
          <w:p w14:paraId="2D420AEF">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支撑条件</w:t>
            </w:r>
          </w:p>
        </w:tc>
      </w:tr>
      <w:tr w14:paraId="3C29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692" w:type="dxa"/>
            <w:vMerge w:val="continue"/>
            <w:tcBorders>
              <w:left w:val="single" w:color="000000" w:sz="4" w:space="0"/>
              <w:right w:val="single" w:color="000000" w:sz="4" w:space="0"/>
            </w:tcBorders>
            <w:vAlign w:val="center"/>
          </w:tcPr>
          <w:p w14:paraId="751829C1">
            <w:pPr>
              <w:widowControl/>
              <w:spacing w:line="360" w:lineRule="auto"/>
              <w:jc w:val="center"/>
              <w:rPr>
                <w:rFonts w:ascii="仿宋" w:hAnsi="仿宋" w:eastAsia="仿宋" w:cs="仿宋"/>
                <w:b w:val="0"/>
                <w:bCs/>
                <w:kern w:val="0"/>
                <w:sz w:val="24"/>
                <w:szCs w:val="24"/>
              </w:rPr>
            </w:pPr>
          </w:p>
        </w:tc>
        <w:tc>
          <w:tcPr>
            <w:tcW w:w="2581" w:type="dxa"/>
            <w:vMerge w:val="continue"/>
            <w:tcBorders>
              <w:left w:val="single" w:color="000000" w:sz="4" w:space="0"/>
              <w:bottom w:val="single" w:color="000000" w:sz="4" w:space="0"/>
              <w:right w:val="single" w:color="000000" w:sz="4" w:space="0"/>
            </w:tcBorders>
            <w:vAlign w:val="center"/>
          </w:tcPr>
          <w:p w14:paraId="3B06CE52">
            <w:pPr>
              <w:widowControl/>
              <w:spacing w:line="360" w:lineRule="auto"/>
              <w:jc w:val="center"/>
              <w:rPr>
                <w:rFonts w:ascii="仿宋" w:hAnsi="仿宋" w:eastAsia="仿宋" w:cs="仿宋"/>
                <w:b w:val="0"/>
                <w:bCs/>
                <w:kern w:val="0"/>
                <w:sz w:val="24"/>
                <w:szCs w:val="24"/>
              </w:rPr>
            </w:pPr>
          </w:p>
        </w:tc>
        <w:tc>
          <w:tcPr>
            <w:tcW w:w="3065" w:type="dxa"/>
            <w:tcBorders>
              <w:top w:val="single" w:color="000000" w:sz="4" w:space="0"/>
              <w:left w:val="single" w:color="000000" w:sz="4" w:space="0"/>
              <w:bottom w:val="single" w:color="000000" w:sz="4" w:space="0"/>
              <w:right w:val="single" w:color="000000" w:sz="4" w:space="0"/>
            </w:tcBorders>
            <w:vAlign w:val="center"/>
          </w:tcPr>
          <w:p w14:paraId="0F25E759">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培养成效</w:t>
            </w:r>
          </w:p>
        </w:tc>
      </w:tr>
      <w:tr w14:paraId="51CC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692" w:type="dxa"/>
            <w:vMerge w:val="continue"/>
            <w:tcBorders>
              <w:left w:val="single" w:color="000000" w:sz="4" w:space="0"/>
              <w:right w:val="single" w:color="000000" w:sz="4" w:space="0"/>
            </w:tcBorders>
            <w:vAlign w:val="center"/>
          </w:tcPr>
          <w:p w14:paraId="0CF37BF7">
            <w:pPr>
              <w:widowControl/>
              <w:spacing w:line="360" w:lineRule="auto"/>
              <w:jc w:val="center"/>
              <w:rPr>
                <w:rFonts w:ascii="仿宋" w:hAnsi="仿宋" w:eastAsia="仿宋" w:cs="仿宋"/>
                <w:b w:val="0"/>
                <w:bCs/>
                <w:kern w:val="0"/>
                <w:sz w:val="24"/>
                <w:szCs w:val="24"/>
              </w:rPr>
            </w:pPr>
          </w:p>
        </w:tc>
        <w:tc>
          <w:tcPr>
            <w:tcW w:w="2581" w:type="dxa"/>
            <w:vMerge w:val="restart"/>
            <w:tcBorders>
              <w:top w:val="single" w:color="000000" w:sz="4" w:space="0"/>
              <w:left w:val="single" w:color="000000" w:sz="4" w:space="0"/>
              <w:right w:val="single" w:color="000000" w:sz="4" w:space="0"/>
            </w:tcBorders>
            <w:vAlign w:val="center"/>
          </w:tcPr>
          <w:p w14:paraId="73E77244">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特征指标</w:t>
            </w:r>
          </w:p>
        </w:tc>
        <w:tc>
          <w:tcPr>
            <w:tcW w:w="3065" w:type="dxa"/>
            <w:tcBorders>
              <w:top w:val="single" w:color="000000" w:sz="4" w:space="0"/>
              <w:left w:val="single" w:color="000000" w:sz="4" w:space="0"/>
              <w:bottom w:val="single" w:color="000000" w:sz="4" w:space="0"/>
              <w:right w:val="single" w:color="000000" w:sz="4" w:space="0"/>
            </w:tcBorders>
            <w:vAlign w:val="center"/>
          </w:tcPr>
          <w:p w14:paraId="11179C1C">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师资队伍</w:t>
            </w:r>
          </w:p>
        </w:tc>
      </w:tr>
      <w:tr w14:paraId="44AD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692" w:type="dxa"/>
            <w:vMerge w:val="continue"/>
            <w:tcBorders>
              <w:left w:val="single" w:color="000000" w:sz="4" w:space="0"/>
              <w:right w:val="single" w:color="000000" w:sz="4" w:space="0"/>
            </w:tcBorders>
            <w:vAlign w:val="center"/>
          </w:tcPr>
          <w:p w14:paraId="2E3BF327">
            <w:pPr>
              <w:widowControl/>
              <w:spacing w:line="360" w:lineRule="auto"/>
              <w:jc w:val="center"/>
              <w:rPr>
                <w:rFonts w:ascii="仿宋" w:hAnsi="仿宋" w:eastAsia="仿宋" w:cs="仿宋"/>
                <w:b w:val="0"/>
                <w:bCs/>
                <w:kern w:val="0"/>
                <w:sz w:val="24"/>
                <w:szCs w:val="24"/>
              </w:rPr>
            </w:pPr>
          </w:p>
        </w:tc>
        <w:tc>
          <w:tcPr>
            <w:tcW w:w="2581" w:type="dxa"/>
            <w:vMerge w:val="continue"/>
            <w:tcBorders>
              <w:left w:val="single" w:color="000000" w:sz="4" w:space="0"/>
              <w:right w:val="single" w:color="000000" w:sz="4" w:space="0"/>
            </w:tcBorders>
            <w:vAlign w:val="center"/>
          </w:tcPr>
          <w:p w14:paraId="4CEBEF44">
            <w:pPr>
              <w:widowControl/>
              <w:spacing w:line="360" w:lineRule="auto"/>
              <w:jc w:val="center"/>
              <w:rPr>
                <w:rFonts w:ascii="仿宋" w:hAnsi="仿宋" w:eastAsia="仿宋" w:cs="仿宋"/>
                <w:b w:val="0"/>
                <w:bCs/>
                <w:kern w:val="0"/>
                <w:sz w:val="24"/>
                <w:szCs w:val="24"/>
              </w:rPr>
            </w:pPr>
          </w:p>
        </w:tc>
        <w:tc>
          <w:tcPr>
            <w:tcW w:w="3065" w:type="dxa"/>
            <w:tcBorders>
              <w:top w:val="single" w:color="000000" w:sz="4" w:space="0"/>
              <w:left w:val="single" w:color="000000" w:sz="4" w:space="0"/>
              <w:bottom w:val="single" w:color="000000" w:sz="4" w:space="0"/>
              <w:right w:val="single" w:color="000000" w:sz="4" w:space="0"/>
            </w:tcBorders>
            <w:vAlign w:val="center"/>
          </w:tcPr>
          <w:p w14:paraId="1246E437">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学生情况</w:t>
            </w:r>
          </w:p>
        </w:tc>
      </w:tr>
      <w:tr w14:paraId="5EB0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692" w:type="dxa"/>
            <w:vMerge w:val="continue"/>
            <w:tcBorders>
              <w:left w:val="single" w:color="000000" w:sz="4" w:space="0"/>
              <w:right w:val="single" w:color="000000" w:sz="4" w:space="0"/>
            </w:tcBorders>
            <w:vAlign w:val="center"/>
          </w:tcPr>
          <w:p w14:paraId="5937EE47">
            <w:pPr>
              <w:widowControl/>
              <w:spacing w:line="360" w:lineRule="auto"/>
              <w:jc w:val="center"/>
              <w:rPr>
                <w:rFonts w:ascii="仿宋" w:hAnsi="仿宋" w:eastAsia="仿宋" w:cs="仿宋"/>
                <w:b w:val="0"/>
                <w:bCs/>
                <w:kern w:val="0"/>
                <w:sz w:val="24"/>
                <w:szCs w:val="24"/>
              </w:rPr>
            </w:pPr>
          </w:p>
        </w:tc>
        <w:tc>
          <w:tcPr>
            <w:tcW w:w="2581" w:type="dxa"/>
            <w:vMerge w:val="continue"/>
            <w:tcBorders>
              <w:left w:val="single" w:color="000000" w:sz="4" w:space="0"/>
              <w:bottom w:val="single" w:color="000000" w:sz="4" w:space="0"/>
              <w:right w:val="single" w:color="000000" w:sz="4" w:space="0"/>
            </w:tcBorders>
            <w:vAlign w:val="center"/>
          </w:tcPr>
          <w:p w14:paraId="51BD095C">
            <w:pPr>
              <w:widowControl/>
              <w:spacing w:line="360" w:lineRule="auto"/>
              <w:jc w:val="center"/>
              <w:rPr>
                <w:rFonts w:ascii="仿宋" w:hAnsi="仿宋" w:eastAsia="仿宋" w:cs="仿宋"/>
                <w:b w:val="0"/>
                <w:bCs/>
                <w:kern w:val="0"/>
                <w:sz w:val="24"/>
                <w:szCs w:val="24"/>
              </w:rPr>
            </w:pPr>
          </w:p>
        </w:tc>
        <w:tc>
          <w:tcPr>
            <w:tcW w:w="3065" w:type="dxa"/>
            <w:tcBorders>
              <w:top w:val="single" w:color="000000" w:sz="4" w:space="0"/>
              <w:left w:val="single" w:color="000000" w:sz="4" w:space="0"/>
              <w:bottom w:val="single" w:color="000000" w:sz="4" w:space="0"/>
              <w:right w:val="single" w:color="000000" w:sz="4" w:space="0"/>
            </w:tcBorders>
            <w:vAlign w:val="center"/>
          </w:tcPr>
          <w:p w14:paraId="5C1CFA04">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课程体系</w:t>
            </w:r>
          </w:p>
        </w:tc>
      </w:tr>
      <w:tr w14:paraId="45E6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2" w:type="dxa"/>
            <w:vMerge w:val="continue"/>
            <w:tcBorders>
              <w:left w:val="single" w:color="000000" w:sz="4" w:space="0"/>
              <w:right w:val="single" w:color="000000" w:sz="4" w:space="0"/>
            </w:tcBorders>
            <w:vAlign w:val="center"/>
          </w:tcPr>
          <w:p w14:paraId="302D6891">
            <w:pPr>
              <w:widowControl/>
              <w:spacing w:line="360" w:lineRule="auto"/>
              <w:jc w:val="center"/>
              <w:rPr>
                <w:rFonts w:ascii="仿宋" w:hAnsi="仿宋" w:eastAsia="仿宋" w:cs="仿宋"/>
                <w:b w:val="0"/>
                <w:bCs/>
                <w:kern w:val="0"/>
                <w:sz w:val="24"/>
                <w:szCs w:val="24"/>
              </w:rPr>
            </w:pPr>
          </w:p>
        </w:tc>
        <w:tc>
          <w:tcPr>
            <w:tcW w:w="2581" w:type="dxa"/>
            <w:vMerge w:val="continue"/>
            <w:tcBorders>
              <w:left w:val="single" w:color="000000" w:sz="4" w:space="0"/>
              <w:bottom w:val="single" w:color="000000" w:sz="4" w:space="0"/>
              <w:right w:val="single" w:color="000000" w:sz="4" w:space="0"/>
            </w:tcBorders>
            <w:vAlign w:val="center"/>
          </w:tcPr>
          <w:p w14:paraId="59115CF7">
            <w:pPr>
              <w:widowControl/>
              <w:spacing w:line="360" w:lineRule="auto"/>
              <w:jc w:val="center"/>
              <w:rPr>
                <w:rFonts w:ascii="仿宋" w:hAnsi="仿宋" w:eastAsia="仿宋" w:cs="仿宋"/>
                <w:b w:val="0"/>
                <w:bCs/>
                <w:kern w:val="0"/>
                <w:sz w:val="24"/>
                <w:szCs w:val="24"/>
              </w:rPr>
            </w:pPr>
          </w:p>
        </w:tc>
        <w:tc>
          <w:tcPr>
            <w:tcW w:w="3065" w:type="dxa"/>
            <w:tcBorders>
              <w:top w:val="single" w:color="000000" w:sz="4" w:space="0"/>
              <w:left w:val="single" w:color="000000" w:sz="4" w:space="0"/>
              <w:bottom w:val="single" w:color="000000" w:sz="4" w:space="0"/>
              <w:right w:val="single" w:color="000000" w:sz="4" w:space="0"/>
            </w:tcBorders>
            <w:vAlign w:val="center"/>
          </w:tcPr>
          <w:p w14:paraId="0A2844DA">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支撑条件</w:t>
            </w:r>
          </w:p>
        </w:tc>
      </w:tr>
    </w:tbl>
    <w:p w14:paraId="28610B66">
      <w:pPr>
        <w:spacing w:line="360" w:lineRule="auto"/>
        <w:ind w:firstLine="560" w:firstLineChars="200"/>
        <w:rPr>
          <w:rFonts w:ascii="仿宋" w:hAnsi="仿宋" w:eastAsia="仿宋" w:cs="仿宋"/>
          <w:b w:val="0"/>
          <w:bCs/>
          <w:sz w:val="28"/>
          <w:szCs w:val="28"/>
        </w:rPr>
      </w:pPr>
      <w:r>
        <w:rPr>
          <w:rFonts w:ascii="仿宋" w:hAnsi="仿宋" w:eastAsia="仿宋" w:cs="仿宋"/>
          <w:b w:val="0"/>
          <w:bCs/>
        </w:rPr>
        <w:t>▲</w:t>
      </w:r>
      <w:r>
        <w:rPr>
          <w:rFonts w:hint="eastAsia" w:ascii="仿宋" w:hAnsi="仿宋" w:eastAsia="仿宋" w:cs="仿宋"/>
          <w:b w:val="0"/>
          <w:bCs/>
          <w:sz w:val="28"/>
          <w:szCs w:val="28"/>
        </w:rPr>
        <w:t>（5）专业篇报告主要围绕《普通高等学校本科监测“画像”指标（试行）（2025年度）》对本专业所适用的指标进行监测分析，包含：监测指标横向对比综合分析、监测指标排名分析、监测指标近三年纵向对比综合分析。报告内容结构如下：</w:t>
      </w:r>
    </w:p>
    <w:tbl>
      <w:tblPr>
        <w:tblStyle w:val="7"/>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6"/>
        <w:gridCol w:w="5423"/>
      </w:tblGrid>
      <w:tr w14:paraId="1CC0D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tcBorders>
              <w:top w:val="single" w:color="000000" w:sz="4" w:space="0"/>
              <w:left w:val="single" w:color="000000" w:sz="4" w:space="0"/>
              <w:bottom w:val="single" w:color="000000" w:sz="4" w:space="0"/>
              <w:right w:val="single" w:color="000000" w:sz="4" w:space="0"/>
            </w:tcBorders>
            <w:vAlign w:val="center"/>
          </w:tcPr>
          <w:p w14:paraId="2DFEFEAE">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一级目录</w:t>
            </w:r>
          </w:p>
        </w:tc>
        <w:tc>
          <w:tcPr>
            <w:tcW w:w="5423" w:type="dxa"/>
            <w:tcBorders>
              <w:top w:val="single" w:color="000000" w:sz="4" w:space="0"/>
              <w:left w:val="single" w:color="000000" w:sz="4" w:space="0"/>
              <w:bottom w:val="single" w:color="000000" w:sz="4" w:space="0"/>
              <w:right w:val="single" w:color="000000" w:sz="4" w:space="0"/>
            </w:tcBorders>
            <w:vAlign w:val="center"/>
          </w:tcPr>
          <w:p w14:paraId="2A7D1CA6">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二级目录</w:t>
            </w:r>
          </w:p>
        </w:tc>
      </w:tr>
      <w:tr w14:paraId="1259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tcBorders>
              <w:top w:val="single" w:color="000000" w:sz="4" w:space="0"/>
              <w:left w:val="single" w:color="000000" w:sz="4" w:space="0"/>
              <w:right w:val="single" w:color="000000" w:sz="4" w:space="0"/>
            </w:tcBorders>
            <w:vAlign w:val="center"/>
          </w:tcPr>
          <w:p w14:paraId="2C478DC6">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专业概况</w:t>
            </w:r>
          </w:p>
        </w:tc>
        <w:tc>
          <w:tcPr>
            <w:tcW w:w="5423" w:type="dxa"/>
            <w:tcBorders>
              <w:top w:val="single" w:color="000000" w:sz="4" w:space="0"/>
              <w:left w:val="single" w:color="000000" w:sz="4" w:space="0"/>
              <w:bottom w:val="single" w:color="000000" w:sz="4" w:space="0"/>
              <w:right w:val="single" w:color="000000" w:sz="4" w:space="0"/>
            </w:tcBorders>
            <w:vAlign w:val="center"/>
          </w:tcPr>
          <w:p w14:paraId="5016B63A">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专业基本信息</w:t>
            </w:r>
          </w:p>
        </w:tc>
      </w:tr>
      <w:tr w14:paraId="69276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vMerge w:val="restart"/>
            <w:tcBorders>
              <w:top w:val="single" w:color="000000" w:sz="4" w:space="0"/>
              <w:left w:val="single" w:color="000000" w:sz="4" w:space="0"/>
              <w:right w:val="single" w:color="000000" w:sz="4" w:space="0"/>
            </w:tcBorders>
            <w:vAlign w:val="center"/>
          </w:tcPr>
          <w:p w14:paraId="15279F04">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监测指标综合对比</w:t>
            </w:r>
          </w:p>
        </w:tc>
        <w:tc>
          <w:tcPr>
            <w:tcW w:w="5423" w:type="dxa"/>
            <w:tcBorders>
              <w:top w:val="single" w:color="000000" w:sz="4" w:space="0"/>
              <w:left w:val="single" w:color="000000" w:sz="4" w:space="0"/>
              <w:bottom w:val="single" w:color="000000" w:sz="4" w:space="0"/>
              <w:right w:val="single" w:color="000000" w:sz="4" w:space="0"/>
            </w:tcBorders>
            <w:vAlign w:val="center"/>
          </w:tcPr>
          <w:p w14:paraId="2C0C2655">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监测指标常模数据对比一览表</w:t>
            </w:r>
          </w:p>
        </w:tc>
      </w:tr>
      <w:tr w14:paraId="7331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vMerge w:val="continue"/>
            <w:tcBorders>
              <w:left w:val="single" w:color="000000" w:sz="4" w:space="0"/>
              <w:right w:val="single" w:color="000000" w:sz="4" w:space="0"/>
            </w:tcBorders>
            <w:vAlign w:val="center"/>
          </w:tcPr>
          <w:p w14:paraId="27DF720D">
            <w:pPr>
              <w:widowControl/>
              <w:spacing w:line="360" w:lineRule="auto"/>
              <w:jc w:val="center"/>
              <w:rPr>
                <w:rFonts w:ascii="仿宋" w:hAnsi="仿宋" w:eastAsia="仿宋" w:cs="仿宋"/>
                <w:b w:val="0"/>
                <w:bCs/>
                <w:kern w:val="0"/>
                <w:sz w:val="24"/>
                <w:szCs w:val="24"/>
              </w:rPr>
            </w:pPr>
          </w:p>
        </w:tc>
        <w:tc>
          <w:tcPr>
            <w:tcW w:w="5423" w:type="dxa"/>
            <w:tcBorders>
              <w:top w:val="single" w:color="000000" w:sz="4" w:space="0"/>
              <w:left w:val="single" w:color="000000" w:sz="4" w:space="0"/>
              <w:bottom w:val="single" w:color="000000" w:sz="4" w:space="0"/>
              <w:right w:val="single" w:color="000000" w:sz="4" w:space="0"/>
            </w:tcBorders>
            <w:vAlign w:val="center"/>
          </w:tcPr>
          <w:p w14:paraId="422727E0">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监测指标数据对比分析组图</w:t>
            </w:r>
          </w:p>
        </w:tc>
      </w:tr>
      <w:tr w14:paraId="7029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vMerge w:val="continue"/>
            <w:tcBorders>
              <w:left w:val="single" w:color="000000" w:sz="4" w:space="0"/>
              <w:right w:val="single" w:color="000000" w:sz="4" w:space="0"/>
            </w:tcBorders>
            <w:vAlign w:val="center"/>
          </w:tcPr>
          <w:p w14:paraId="516DA15E">
            <w:pPr>
              <w:widowControl/>
              <w:spacing w:line="360" w:lineRule="auto"/>
              <w:jc w:val="center"/>
              <w:rPr>
                <w:rFonts w:ascii="仿宋" w:hAnsi="仿宋" w:eastAsia="仿宋" w:cs="仿宋"/>
                <w:b w:val="0"/>
                <w:bCs/>
                <w:kern w:val="0"/>
                <w:sz w:val="24"/>
                <w:szCs w:val="24"/>
              </w:rPr>
            </w:pPr>
          </w:p>
        </w:tc>
        <w:tc>
          <w:tcPr>
            <w:tcW w:w="5423" w:type="dxa"/>
            <w:tcBorders>
              <w:top w:val="single" w:color="000000" w:sz="4" w:space="0"/>
              <w:left w:val="single" w:color="000000" w:sz="4" w:space="0"/>
              <w:bottom w:val="single" w:color="000000" w:sz="4" w:space="0"/>
              <w:right w:val="single" w:color="000000" w:sz="4" w:space="0"/>
            </w:tcBorders>
            <w:vAlign w:val="center"/>
          </w:tcPr>
          <w:p w14:paraId="75D464BE">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优势指标</w:t>
            </w:r>
          </w:p>
        </w:tc>
      </w:tr>
      <w:tr w14:paraId="47A1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vMerge w:val="continue"/>
            <w:tcBorders>
              <w:left w:val="single" w:color="000000" w:sz="4" w:space="0"/>
              <w:right w:val="single" w:color="000000" w:sz="4" w:space="0"/>
            </w:tcBorders>
            <w:vAlign w:val="center"/>
          </w:tcPr>
          <w:p w14:paraId="0D96688C">
            <w:pPr>
              <w:widowControl/>
              <w:spacing w:line="360" w:lineRule="auto"/>
              <w:jc w:val="center"/>
              <w:rPr>
                <w:rFonts w:ascii="仿宋" w:hAnsi="仿宋" w:eastAsia="仿宋" w:cs="仿宋"/>
                <w:b w:val="0"/>
                <w:bCs/>
                <w:kern w:val="0"/>
                <w:sz w:val="24"/>
                <w:szCs w:val="24"/>
              </w:rPr>
            </w:pPr>
          </w:p>
        </w:tc>
        <w:tc>
          <w:tcPr>
            <w:tcW w:w="5423" w:type="dxa"/>
            <w:tcBorders>
              <w:top w:val="single" w:color="000000" w:sz="4" w:space="0"/>
              <w:left w:val="single" w:color="000000" w:sz="4" w:space="0"/>
              <w:bottom w:val="single" w:color="000000" w:sz="4" w:space="0"/>
              <w:right w:val="single" w:color="000000" w:sz="4" w:space="0"/>
            </w:tcBorders>
            <w:vAlign w:val="center"/>
          </w:tcPr>
          <w:p w14:paraId="5E358E50">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预警指标</w:t>
            </w:r>
          </w:p>
        </w:tc>
      </w:tr>
      <w:tr w14:paraId="5B63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vMerge w:val="restart"/>
            <w:tcBorders>
              <w:left w:val="single" w:color="000000" w:sz="4" w:space="0"/>
              <w:right w:val="single" w:color="000000" w:sz="4" w:space="0"/>
            </w:tcBorders>
            <w:vAlign w:val="center"/>
          </w:tcPr>
          <w:p w14:paraId="165A516A">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监测指标排名分析</w:t>
            </w:r>
          </w:p>
        </w:tc>
        <w:tc>
          <w:tcPr>
            <w:tcW w:w="5423" w:type="dxa"/>
            <w:tcBorders>
              <w:top w:val="single" w:color="000000" w:sz="4" w:space="0"/>
              <w:left w:val="single" w:color="000000" w:sz="4" w:space="0"/>
              <w:bottom w:val="single" w:color="000000" w:sz="4" w:space="0"/>
              <w:right w:val="single" w:color="000000" w:sz="4" w:space="0"/>
            </w:tcBorders>
            <w:vAlign w:val="center"/>
          </w:tcPr>
          <w:p w14:paraId="21F1FC2B">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整体情况排名比较</w:t>
            </w:r>
          </w:p>
        </w:tc>
      </w:tr>
      <w:tr w14:paraId="586F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vMerge w:val="continue"/>
            <w:tcBorders>
              <w:left w:val="single" w:color="000000" w:sz="4" w:space="0"/>
              <w:right w:val="single" w:color="000000" w:sz="4" w:space="0"/>
            </w:tcBorders>
            <w:vAlign w:val="center"/>
          </w:tcPr>
          <w:p w14:paraId="1C094CAF">
            <w:pPr>
              <w:widowControl/>
              <w:spacing w:line="360" w:lineRule="auto"/>
              <w:jc w:val="center"/>
              <w:rPr>
                <w:rFonts w:ascii="仿宋" w:hAnsi="仿宋" w:eastAsia="仿宋" w:cs="仿宋"/>
                <w:b w:val="0"/>
                <w:bCs/>
                <w:kern w:val="0"/>
                <w:sz w:val="24"/>
                <w:szCs w:val="24"/>
              </w:rPr>
            </w:pPr>
          </w:p>
        </w:tc>
        <w:tc>
          <w:tcPr>
            <w:tcW w:w="5423" w:type="dxa"/>
            <w:tcBorders>
              <w:top w:val="single" w:color="000000" w:sz="4" w:space="0"/>
              <w:left w:val="single" w:color="000000" w:sz="4" w:space="0"/>
              <w:bottom w:val="single" w:color="000000" w:sz="4" w:space="0"/>
              <w:right w:val="single" w:color="000000" w:sz="4" w:space="0"/>
            </w:tcBorders>
            <w:vAlign w:val="center"/>
          </w:tcPr>
          <w:p w14:paraId="2BCFA812">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各类型下排名比较</w:t>
            </w:r>
          </w:p>
        </w:tc>
      </w:tr>
      <w:tr w14:paraId="7D23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36" w:type="dxa"/>
            <w:vMerge w:val="continue"/>
            <w:tcBorders>
              <w:left w:val="single" w:color="000000" w:sz="4" w:space="0"/>
              <w:right w:val="single" w:color="000000" w:sz="4" w:space="0"/>
            </w:tcBorders>
            <w:vAlign w:val="center"/>
          </w:tcPr>
          <w:p w14:paraId="4B87FFD1">
            <w:pPr>
              <w:widowControl/>
              <w:spacing w:line="360" w:lineRule="auto"/>
              <w:jc w:val="center"/>
              <w:rPr>
                <w:rFonts w:ascii="仿宋" w:hAnsi="仿宋" w:eastAsia="仿宋" w:cs="仿宋"/>
                <w:b w:val="0"/>
                <w:bCs/>
                <w:kern w:val="0"/>
                <w:sz w:val="24"/>
                <w:szCs w:val="24"/>
              </w:rPr>
            </w:pPr>
          </w:p>
        </w:tc>
        <w:tc>
          <w:tcPr>
            <w:tcW w:w="5423" w:type="dxa"/>
            <w:tcBorders>
              <w:top w:val="single" w:color="000000" w:sz="4" w:space="0"/>
              <w:left w:val="single" w:color="000000" w:sz="4" w:space="0"/>
              <w:bottom w:val="single" w:color="000000" w:sz="4" w:space="0"/>
              <w:right w:val="single" w:color="000000" w:sz="4" w:space="0"/>
            </w:tcBorders>
            <w:vAlign w:val="center"/>
          </w:tcPr>
          <w:p w14:paraId="3B6DC4CD">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各明细指标排名比较</w:t>
            </w:r>
          </w:p>
        </w:tc>
      </w:tr>
      <w:tr w14:paraId="7C1B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3036" w:type="dxa"/>
            <w:tcBorders>
              <w:left w:val="single" w:color="000000" w:sz="4" w:space="0"/>
              <w:right w:val="single" w:color="000000" w:sz="4" w:space="0"/>
            </w:tcBorders>
            <w:vAlign w:val="center"/>
          </w:tcPr>
          <w:p w14:paraId="5E59954E">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监测指标近三年对比分析</w:t>
            </w:r>
          </w:p>
        </w:tc>
        <w:tc>
          <w:tcPr>
            <w:tcW w:w="5423" w:type="dxa"/>
            <w:tcBorders>
              <w:top w:val="single" w:color="000000" w:sz="4" w:space="0"/>
              <w:left w:val="single" w:color="000000" w:sz="4" w:space="0"/>
              <w:bottom w:val="single" w:color="000000" w:sz="4" w:space="0"/>
              <w:right w:val="single" w:color="000000" w:sz="4" w:space="0"/>
            </w:tcBorders>
            <w:vAlign w:val="center"/>
          </w:tcPr>
          <w:p w14:paraId="2DC1BA76">
            <w:pPr>
              <w:widowControl/>
              <w:spacing w:line="360" w:lineRule="auto"/>
              <w:jc w:val="center"/>
              <w:rPr>
                <w:rFonts w:ascii="仿宋" w:hAnsi="仿宋" w:eastAsia="仿宋" w:cs="仿宋"/>
                <w:b w:val="0"/>
                <w:bCs/>
                <w:kern w:val="0"/>
                <w:sz w:val="24"/>
                <w:szCs w:val="24"/>
              </w:rPr>
            </w:pPr>
            <w:r>
              <w:rPr>
                <w:rFonts w:hint="eastAsia" w:ascii="仿宋" w:hAnsi="仿宋" w:eastAsia="仿宋" w:cs="仿宋"/>
                <w:b w:val="0"/>
                <w:bCs/>
                <w:kern w:val="0"/>
                <w:sz w:val="24"/>
                <w:szCs w:val="24"/>
              </w:rPr>
              <w:t>监测指标近三年对比分析</w:t>
            </w:r>
          </w:p>
        </w:tc>
      </w:tr>
    </w:tbl>
    <w:p w14:paraId="35F38DE7">
      <w:pPr>
        <w:wordWrap w:val="0"/>
        <w:adjustRightInd w:val="0"/>
        <w:snapToGrid w:val="0"/>
        <w:spacing w:line="360" w:lineRule="auto"/>
        <w:jc w:val="left"/>
        <w:rPr>
          <w:rFonts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2.系统集成任务</w:t>
      </w:r>
    </w:p>
    <w:p w14:paraId="686E81AC">
      <w:pPr>
        <w:spacing w:line="360" w:lineRule="auto"/>
        <w:ind w:firstLine="560" w:firstLineChars="200"/>
        <w:rPr>
          <w:rFonts w:hint="eastAsia" w:ascii="仿宋" w:hAnsi="仿宋" w:eastAsia="仿宋" w:cs="仿宋"/>
          <w:b w:val="0"/>
          <w:bCs/>
          <w:color w:val="auto"/>
          <w:sz w:val="28"/>
          <w:szCs w:val="28"/>
          <w:highlight w:val="none"/>
        </w:rPr>
      </w:pPr>
      <w:bookmarkStart w:id="7" w:name="_Toc20542"/>
      <w:r>
        <w:rPr>
          <w:rFonts w:hint="eastAsia" w:ascii="仿宋" w:hAnsi="仿宋" w:eastAsia="仿宋" w:cs="仿宋"/>
          <w:b w:val="0"/>
          <w:bCs/>
          <w:color w:val="auto"/>
          <w:sz w:val="28"/>
          <w:szCs w:val="28"/>
          <w:highlight w:val="none"/>
        </w:rPr>
        <w:t>包含但不限于：</w:t>
      </w:r>
    </w:p>
    <w:p w14:paraId="12A1C1CD">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与学校现有数据中台完成数据对接，实现数据的无缝流转与共享</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按学校要求完成与学校流程平台的数据交互</w:t>
      </w:r>
      <w:r>
        <w:rPr>
          <w:rFonts w:hint="eastAsia" w:ascii="仿宋" w:hAnsi="仿宋" w:eastAsia="仿宋" w:cs="仿宋"/>
          <w:b w:val="0"/>
          <w:bCs/>
          <w:color w:val="auto"/>
          <w:sz w:val="28"/>
          <w:szCs w:val="28"/>
          <w:highlight w:val="none"/>
        </w:rPr>
        <w:t>。若涉及与</w:t>
      </w:r>
      <w:r>
        <w:rPr>
          <w:rFonts w:hint="eastAsia" w:ascii="仿宋" w:hAnsi="仿宋" w:eastAsia="仿宋" w:cs="仿宋"/>
          <w:b w:val="0"/>
          <w:bCs/>
          <w:color w:val="auto"/>
          <w:sz w:val="28"/>
          <w:szCs w:val="28"/>
          <w:highlight w:val="none"/>
          <w:lang w:val="en-US" w:eastAsia="zh-CN"/>
        </w:rPr>
        <w:t>其他业务</w:t>
      </w:r>
      <w:r>
        <w:rPr>
          <w:rFonts w:hint="eastAsia" w:ascii="仿宋" w:hAnsi="仿宋" w:eastAsia="仿宋" w:cs="仿宋"/>
          <w:b w:val="0"/>
          <w:bCs/>
          <w:color w:val="auto"/>
          <w:sz w:val="28"/>
          <w:szCs w:val="28"/>
          <w:highlight w:val="none"/>
        </w:rPr>
        <w:t>系统对接或数据迁移，所选技术路线需确保与现有环境的兼容性及数据交互的便捷性，并提供相应的解决方案</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本项目涉及数据对接需求，对接时所产生的对接费用均由项目建设方承担。</w:t>
      </w:r>
    </w:p>
    <w:p w14:paraId="06395783">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（2）须提供本项目正常运转所必须的全部系统软件、中间件、插件等，确保系统正常稳定运行。</w:t>
      </w:r>
    </w:p>
    <w:p w14:paraId="6B6FF3DA">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（3）系统须实现与学校统一身份认证对接，实现单点登录。</w:t>
      </w:r>
    </w:p>
    <w:p w14:paraId="2A737054">
      <w:pPr>
        <w:spacing w:line="360" w:lineRule="auto"/>
        <w:ind w:firstLine="560" w:firstLineChars="200"/>
        <w:rPr>
          <w:rFonts w:hint="default"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rPr>
        <w:t>（4）须按照学校的统一要求和标准规范免费完成与学校各公共平台的深度对接集成和适配工作，包括但不限于学校移动校园、掌上西外、网上办事大厅统一消息中心、</w:t>
      </w:r>
      <w:r>
        <w:rPr>
          <w:rFonts w:hint="eastAsia" w:ascii="仿宋" w:hAnsi="仿宋" w:eastAsia="仿宋" w:cs="仿宋"/>
          <w:b w:val="0"/>
          <w:bCs/>
          <w:color w:val="auto"/>
          <w:sz w:val="28"/>
          <w:szCs w:val="28"/>
          <w:highlight w:val="none"/>
          <w:lang w:val="en-US" w:eastAsia="zh-CN"/>
        </w:rPr>
        <w:t>统一事务中心、</w:t>
      </w:r>
      <w:r>
        <w:rPr>
          <w:rFonts w:hint="eastAsia" w:ascii="仿宋" w:hAnsi="仿宋" w:eastAsia="仿宋" w:cs="仿宋"/>
          <w:b w:val="0"/>
          <w:bCs/>
          <w:color w:val="auto"/>
          <w:sz w:val="28"/>
          <w:szCs w:val="28"/>
          <w:highlight w:val="none"/>
        </w:rPr>
        <w:t>统一短信网关的数据集成、消息集成、</w:t>
      </w:r>
      <w:r>
        <w:rPr>
          <w:rFonts w:hint="eastAsia" w:ascii="仿宋" w:hAnsi="仿宋" w:eastAsia="仿宋" w:cs="仿宋"/>
          <w:b w:val="0"/>
          <w:bCs/>
          <w:color w:val="auto"/>
          <w:sz w:val="28"/>
          <w:szCs w:val="28"/>
          <w:highlight w:val="none"/>
          <w:lang w:val="en-US" w:eastAsia="zh-CN"/>
        </w:rPr>
        <w:t>事务集成、</w:t>
      </w:r>
      <w:r>
        <w:rPr>
          <w:rFonts w:hint="eastAsia" w:ascii="仿宋" w:hAnsi="仿宋" w:eastAsia="仿宋" w:cs="仿宋"/>
          <w:b w:val="0"/>
          <w:bCs/>
          <w:color w:val="auto"/>
          <w:sz w:val="28"/>
          <w:szCs w:val="28"/>
          <w:highlight w:val="none"/>
        </w:rPr>
        <w:t>服务集成、应用集成，实现统一信息管理。</w:t>
      </w:r>
    </w:p>
    <w:p w14:paraId="111A0C0B">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val="en-US" w:eastAsia="zh-CN"/>
        </w:rPr>
        <w:t>5</w:t>
      </w:r>
      <w:r>
        <w:rPr>
          <w:rFonts w:hint="eastAsia" w:ascii="仿宋" w:hAnsi="仿宋" w:eastAsia="仿宋" w:cs="仿宋"/>
          <w:b w:val="0"/>
          <w:bCs/>
          <w:color w:val="auto"/>
          <w:sz w:val="28"/>
          <w:szCs w:val="28"/>
          <w:highlight w:val="none"/>
        </w:rPr>
        <w:t>）本项目内所有移动端应用均须采用H5开发，并集成到学校移动校园微信企业号、掌上西外app和小程序，H5页面须遵循学校移动应用视</w:t>
      </w:r>
      <w:r>
        <w:rPr>
          <w:rFonts w:hint="eastAsia" w:ascii="仿宋" w:hAnsi="仿宋" w:eastAsia="仿宋" w:cs="仿宋"/>
          <w:b w:val="0"/>
          <w:bCs/>
          <w:color w:val="auto"/>
          <w:sz w:val="28"/>
          <w:szCs w:val="28"/>
        </w:rPr>
        <w:t>觉设计规范、交互设计规范和开发交互规范。</w:t>
      </w:r>
    </w:p>
    <w:p w14:paraId="781F3D21">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（6）</w:t>
      </w:r>
      <w:r>
        <w:rPr>
          <w:rFonts w:hint="eastAsia" w:ascii="仿宋" w:hAnsi="仿宋" w:eastAsia="仿宋" w:cs="仿宋"/>
          <w:b w:val="0"/>
          <w:bCs/>
          <w:color w:val="auto"/>
          <w:sz w:val="28"/>
          <w:szCs w:val="28"/>
          <w:lang w:val="en-US" w:eastAsia="zh-CN"/>
        </w:rPr>
        <w:t>平台</w:t>
      </w:r>
      <w:r>
        <w:rPr>
          <w:rFonts w:hint="eastAsia" w:ascii="仿宋" w:hAnsi="仿宋" w:eastAsia="仿宋" w:cs="仿宋"/>
          <w:b w:val="0"/>
          <w:bCs/>
          <w:color w:val="auto"/>
          <w:sz w:val="28"/>
          <w:szCs w:val="28"/>
        </w:rPr>
        <w:t>采集的标准化数据遵循校级数据标准</w:t>
      </w:r>
      <w:r>
        <w:rPr>
          <w:rFonts w:hint="eastAsia" w:ascii="仿宋" w:hAnsi="仿宋" w:eastAsia="仿宋" w:cs="仿宋"/>
          <w:b w:val="0"/>
          <w:bCs/>
          <w:color w:val="auto"/>
          <w:sz w:val="28"/>
          <w:szCs w:val="28"/>
          <w:lang w:val="en-US" w:eastAsia="zh-CN"/>
        </w:rPr>
        <w:t>等规则</w:t>
      </w:r>
      <w:r>
        <w:rPr>
          <w:rFonts w:hint="eastAsia" w:ascii="仿宋" w:hAnsi="仿宋" w:eastAsia="仿宋" w:cs="仿宋"/>
          <w:b w:val="0"/>
          <w:bCs/>
          <w:color w:val="auto"/>
          <w:sz w:val="28"/>
          <w:szCs w:val="28"/>
        </w:rPr>
        <w:t>全量回流到学校数据中心，并按照学校要求提供所需接口，永久免费开放所有数据接口；完成与学校数据中心的数据采集集成，包括系统的所有结果数据，提供系统数据库的只读账号、数据字典、代码表、API 接口、集成文档等相关文档。</w:t>
      </w:r>
    </w:p>
    <w:p w14:paraId="5A3D64BB">
      <w:pPr>
        <w:spacing w:line="360" w:lineRule="auto"/>
        <w:ind w:firstLine="560" w:firstLineChars="200"/>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7</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移动端应用适配所有主流设备型号，确保应用在各终端主流版本使用体验一致。各重要功能模块均可单独抽取并</w:t>
      </w:r>
      <w:r>
        <w:rPr>
          <w:rFonts w:hint="eastAsia" w:ascii="仿宋" w:hAnsi="仿宋" w:eastAsia="仿宋" w:cs="仿宋"/>
          <w:b w:val="0"/>
          <w:bCs/>
          <w:color w:val="auto"/>
          <w:sz w:val="28"/>
          <w:szCs w:val="28"/>
          <w:lang w:eastAsia="zh-CN"/>
        </w:rPr>
        <w:t>集成到学校</w:t>
      </w:r>
      <w:r>
        <w:rPr>
          <w:rFonts w:hint="eastAsia" w:ascii="仿宋" w:hAnsi="仿宋" w:eastAsia="仿宋" w:cs="仿宋"/>
          <w:b w:val="0"/>
          <w:bCs/>
          <w:color w:val="auto"/>
          <w:sz w:val="28"/>
          <w:szCs w:val="28"/>
          <w:lang w:val="en-US" w:eastAsia="zh-CN"/>
        </w:rPr>
        <w:t>各类</w:t>
      </w:r>
      <w:r>
        <w:rPr>
          <w:rFonts w:hint="eastAsia" w:ascii="仿宋" w:hAnsi="仿宋" w:eastAsia="仿宋" w:cs="仿宋"/>
          <w:b w:val="0"/>
          <w:bCs/>
          <w:color w:val="auto"/>
          <w:sz w:val="28"/>
          <w:szCs w:val="28"/>
          <w:lang w:eastAsia="zh-CN"/>
        </w:rPr>
        <w:t>综合门户平台。</w:t>
      </w:r>
    </w:p>
    <w:p w14:paraId="4AB420FC">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8</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其他</w:t>
      </w:r>
      <w:r>
        <w:rPr>
          <w:rFonts w:hint="eastAsia" w:ascii="仿宋" w:hAnsi="仿宋" w:eastAsia="仿宋" w:cs="仿宋"/>
          <w:b w:val="0"/>
          <w:bCs/>
          <w:color w:val="auto"/>
          <w:sz w:val="28"/>
          <w:szCs w:val="28"/>
          <w:highlight w:val="none"/>
        </w:rPr>
        <w:t>要求</w:t>
      </w:r>
    </w:p>
    <w:p w14:paraId="225EB879">
      <w:pPr>
        <w:spacing w:line="360" w:lineRule="auto"/>
        <w:ind w:firstLine="560" w:firstLineChars="200"/>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rPr>
        <w:t>该项目建设为</w:t>
      </w:r>
      <w:r>
        <w:rPr>
          <w:rFonts w:hint="eastAsia" w:ascii="仿宋" w:hAnsi="仿宋" w:eastAsia="仿宋" w:cs="仿宋"/>
          <w:b w:val="0"/>
          <w:bCs/>
          <w:color w:val="auto"/>
          <w:sz w:val="28"/>
          <w:szCs w:val="28"/>
          <w:highlight w:val="none"/>
          <w:lang w:val="en-US" w:eastAsia="zh-CN"/>
        </w:rPr>
        <w:t>固定总价</w:t>
      </w:r>
      <w:r>
        <w:rPr>
          <w:rFonts w:hint="eastAsia" w:ascii="仿宋" w:hAnsi="仿宋" w:eastAsia="仿宋" w:cs="仿宋"/>
          <w:b w:val="0"/>
          <w:bCs/>
          <w:color w:val="auto"/>
          <w:sz w:val="28"/>
          <w:szCs w:val="28"/>
          <w:highlight w:val="none"/>
        </w:rPr>
        <w:t>，项目建设过程中</w:t>
      </w:r>
      <w:r>
        <w:rPr>
          <w:rFonts w:hint="eastAsia" w:ascii="仿宋" w:hAnsi="仿宋" w:eastAsia="仿宋" w:cs="仿宋"/>
          <w:b w:val="0"/>
          <w:bCs/>
          <w:color w:val="auto"/>
          <w:sz w:val="28"/>
          <w:szCs w:val="28"/>
          <w:highlight w:val="none"/>
          <w:lang w:val="en-US" w:eastAsia="zh-CN"/>
        </w:rPr>
        <w:t>双方</w:t>
      </w:r>
      <w:r>
        <w:rPr>
          <w:rFonts w:hint="eastAsia" w:ascii="仿宋" w:hAnsi="仿宋" w:eastAsia="仿宋" w:cs="仿宋"/>
          <w:b w:val="0"/>
          <w:bCs/>
          <w:color w:val="auto"/>
          <w:sz w:val="28"/>
          <w:szCs w:val="28"/>
          <w:highlight w:val="none"/>
        </w:rPr>
        <w:t>产生的任何费用</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甲乙两方产生的费用，不包含第三方公司费用</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（如：对接费等）都由承建方承担，学校不再另外增加项目费用</w:t>
      </w:r>
      <w:r>
        <w:rPr>
          <w:rFonts w:hint="eastAsia" w:ascii="仿宋" w:hAnsi="仿宋" w:eastAsia="仿宋" w:cs="仿宋"/>
          <w:b w:val="0"/>
          <w:bCs/>
          <w:color w:val="auto"/>
          <w:sz w:val="28"/>
          <w:szCs w:val="28"/>
          <w:highlight w:val="none"/>
          <w:lang w:eastAsia="zh-CN"/>
        </w:rPr>
        <w:t>。</w:t>
      </w:r>
    </w:p>
    <w:bookmarkEnd w:id="7"/>
    <w:p w14:paraId="07BCEC08">
      <w:pPr>
        <w:wordWrap w:val="0"/>
        <w:adjustRightInd w:val="0"/>
        <w:snapToGrid w:val="0"/>
        <w:spacing w:line="360" w:lineRule="auto"/>
        <w:jc w:val="left"/>
        <w:rPr>
          <w:rFonts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3.安全性要求</w:t>
      </w:r>
    </w:p>
    <w:p w14:paraId="4440A562">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为保证本系统在使用过程中的安全性，具体实现要求如下：</w:t>
      </w:r>
    </w:p>
    <w:p w14:paraId="2BDA641C">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（1）认证授权：保证用户的合法性和用户使用应用信息资源的权力，避免内部敏感信息泄漏和服务所提供的信息资源被非法访问，造成严重的安全事件。</w:t>
      </w:r>
    </w:p>
    <w:p w14:paraId="092C0B9F">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（2）信息安全性：确保应用系统源代码安全，无漏洞；提供明晰的身份鉴别和访问控制机制，按业务要求实现功能分级，并对用户分级授权；</w:t>
      </w:r>
    </w:p>
    <w:p w14:paraId="64EECD8B">
      <w:pPr>
        <w:spacing w:line="360" w:lineRule="auto"/>
        <w:ind w:firstLine="560" w:firstLineChars="200"/>
        <w:rPr>
          <w:rFonts w:hint="default"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rPr>
        <w:t>（3）信息保密：充分利用密码技术，对于个人敏感信息、业务核心数据、系统配置密钥必须采用密码技术进行加解密处理，防止信息的非授权泄漏，确保涉密信息在产生、存储、传递和处理过程中的保密,提供较完善的数据加密机制，确保数据存储和数据传输安全；</w:t>
      </w:r>
      <w:r>
        <w:rPr>
          <w:rFonts w:hint="eastAsia" w:ascii="仿宋" w:hAnsi="仿宋" w:eastAsia="仿宋" w:cs="仿宋"/>
          <w:b w:val="0"/>
          <w:bCs/>
          <w:color w:val="auto"/>
          <w:sz w:val="28"/>
          <w:szCs w:val="28"/>
          <w:highlight w:val="none"/>
          <w:lang w:val="en-US" w:eastAsia="zh-CN"/>
        </w:rPr>
        <w:t>个人敏感信息能配置加密策略，能配置默认脱敏形式展示，点击后可展示全部。</w:t>
      </w:r>
    </w:p>
    <w:p w14:paraId="2885A8C3">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（4）数据完整性：建立数据完整性检验机制，保证收发双方数据的一致性，防止信息被非授权修改。</w:t>
      </w:r>
    </w:p>
    <w:p w14:paraId="1AD99113">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（5）可审计：系统具备日志跟踪与分析功能，提供访问、修改、删除等的用户操作日志，提供丰富的查询方式，对事件进行分析，并能提供预警信息,供追溯和追责。</w:t>
      </w:r>
    </w:p>
    <w:p w14:paraId="7153147A">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（6）数据备份：利用数据库的备份功能将建设的平台和系统数据备份到指定的服务器或存储系统上</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支持自动定时备份与手动备份，备份数据至少保留 2个副本且存储在不同物理位置；具备数据快速恢复能力。</w:t>
      </w:r>
    </w:p>
    <w:p w14:paraId="23333FDC">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（7）隐私保护和数据安全 </w:t>
      </w:r>
    </w:p>
    <w:p w14:paraId="47FD0108">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本项目建设过程中，项目承建方不可避免的会接触到一部分含有隐私内容的数据，要求在项目承建方法律层面承担相应的保密责任。承建方需从数据采集、处理、加载、发布等各个环节设计和执行严格的隐私保护和和数据安全保障体系，签订安全保密协议，确保不会因为个人主观和操作失误等因素导致隐私泄露和数据外流，否则将承担相应的法律责任。</w:t>
      </w:r>
    </w:p>
    <w:p w14:paraId="3B0E1FB6">
      <w:pPr>
        <w:numPr>
          <w:ilvl w:val="0"/>
          <w:numId w:val="3"/>
        </w:num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根据学校网络安全的总体要求，业务系统操作系统不再允许使用CentOS </w:t>
      </w:r>
      <w:r>
        <w:rPr>
          <w:rFonts w:hint="eastAsia" w:ascii="仿宋" w:hAnsi="仿宋" w:eastAsia="仿宋" w:cs="仿宋"/>
          <w:b w:val="0"/>
          <w:bCs/>
          <w:color w:val="auto"/>
          <w:sz w:val="28"/>
          <w:szCs w:val="28"/>
          <w:highlight w:val="none"/>
          <w:lang w:val="en-US" w:eastAsia="zh-CN"/>
        </w:rPr>
        <w:t>及</w:t>
      </w:r>
      <w:r>
        <w:rPr>
          <w:rFonts w:hint="eastAsia" w:ascii="仿宋" w:hAnsi="仿宋" w:eastAsia="仿宋" w:cs="仿宋"/>
          <w:b w:val="0"/>
          <w:bCs/>
          <w:color w:val="auto"/>
          <w:sz w:val="28"/>
          <w:szCs w:val="28"/>
          <w:highlight w:val="none"/>
        </w:rPr>
        <w:t>Linux</w:t>
      </w:r>
      <w:r>
        <w:rPr>
          <w:rFonts w:hint="eastAsia" w:ascii="仿宋" w:hAnsi="仿宋" w:eastAsia="仿宋" w:cs="仿宋"/>
          <w:b w:val="0"/>
          <w:bCs/>
          <w:color w:val="auto"/>
          <w:sz w:val="28"/>
          <w:szCs w:val="28"/>
          <w:highlight w:val="none"/>
          <w:lang w:val="en-US" w:eastAsia="zh-CN"/>
        </w:rPr>
        <w:t>不再维护的</w:t>
      </w:r>
      <w:r>
        <w:rPr>
          <w:rFonts w:hint="eastAsia" w:ascii="仿宋" w:hAnsi="仿宋" w:eastAsia="仿宋" w:cs="仿宋"/>
          <w:b w:val="0"/>
          <w:bCs/>
          <w:color w:val="auto"/>
          <w:sz w:val="28"/>
          <w:szCs w:val="28"/>
          <w:highlight w:val="none"/>
        </w:rPr>
        <w:t>相关衍生版本。</w:t>
      </w:r>
    </w:p>
    <w:p w14:paraId="79DC10AC">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val="en-US" w:eastAsia="zh-CN"/>
        </w:rPr>
        <w:t>9</w:t>
      </w:r>
      <w:r>
        <w:rPr>
          <w:rFonts w:hint="eastAsia" w:ascii="仿宋" w:hAnsi="仿宋" w:eastAsia="仿宋" w:cs="仿宋"/>
          <w:b w:val="0"/>
          <w:bCs/>
          <w:color w:val="auto"/>
          <w:sz w:val="28"/>
          <w:szCs w:val="28"/>
          <w:highlight w:val="none"/>
        </w:rPr>
        <w:t>）须支持国产CPU、国产操作系统</w:t>
      </w:r>
      <w:r>
        <w:rPr>
          <w:rFonts w:hint="eastAsia" w:ascii="仿宋" w:hAnsi="仿宋" w:eastAsia="仿宋" w:cs="仿宋"/>
          <w:b w:val="0"/>
          <w:bCs/>
          <w:color w:val="auto"/>
          <w:sz w:val="28"/>
          <w:szCs w:val="28"/>
          <w:highlight w:val="none"/>
          <w:lang w:val="en-US" w:eastAsia="zh-CN"/>
        </w:rPr>
        <w:t>等</w:t>
      </w:r>
      <w:r>
        <w:rPr>
          <w:rFonts w:hint="eastAsia" w:ascii="仿宋" w:hAnsi="仿宋" w:eastAsia="仿宋" w:cs="仿宋"/>
          <w:b w:val="0"/>
          <w:bCs/>
          <w:color w:val="auto"/>
          <w:sz w:val="28"/>
          <w:szCs w:val="28"/>
          <w:highlight w:val="none"/>
        </w:rPr>
        <w:t>完成良好适配并出具相关证明</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配合学校</w:t>
      </w:r>
      <w:r>
        <w:rPr>
          <w:rFonts w:hint="eastAsia" w:ascii="仿宋" w:hAnsi="仿宋" w:eastAsia="仿宋" w:cs="仿宋"/>
          <w:b w:val="0"/>
          <w:bCs/>
          <w:color w:val="auto"/>
          <w:sz w:val="28"/>
          <w:szCs w:val="28"/>
          <w:highlight w:val="none"/>
          <w:lang w:val="en-US" w:eastAsia="zh-CN"/>
        </w:rPr>
        <w:t>完成</w:t>
      </w:r>
      <w:r>
        <w:rPr>
          <w:rFonts w:hint="eastAsia" w:ascii="仿宋" w:hAnsi="仿宋" w:eastAsia="仿宋" w:cs="仿宋"/>
          <w:b w:val="0"/>
          <w:bCs/>
          <w:color w:val="auto"/>
          <w:sz w:val="28"/>
          <w:szCs w:val="28"/>
          <w:highlight w:val="none"/>
        </w:rPr>
        <w:t>适配</w:t>
      </w:r>
      <w:r>
        <w:rPr>
          <w:rFonts w:hint="eastAsia" w:ascii="仿宋" w:hAnsi="仿宋" w:eastAsia="仿宋" w:cs="仿宋"/>
          <w:b w:val="0"/>
          <w:bCs/>
          <w:color w:val="auto"/>
          <w:sz w:val="28"/>
          <w:szCs w:val="28"/>
          <w:highlight w:val="none"/>
          <w:lang w:val="en-US" w:eastAsia="zh-CN"/>
        </w:rPr>
        <w:t>工作</w:t>
      </w:r>
      <w:r>
        <w:rPr>
          <w:rFonts w:hint="eastAsia" w:ascii="仿宋" w:hAnsi="仿宋" w:eastAsia="仿宋" w:cs="仿宋"/>
          <w:b w:val="0"/>
          <w:bCs/>
          <w:color w:val="auto"/>
          <w:sz w:val="28"/>
          <w:szCs w:val="28"/>
          <w:highlight w:val="none"/>
        </w:rPr>
        <w:t>。</w:t>
      </w:r>
    </w:p>
    <w:p w14:paraId="040DE4E1">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val="en-US" w:eastAsia="zh-CN"/>
        </w:rPr>
        <w:t>10</w:t>
      </w:r>
      <w:r>
        <w:rPr>
          <w:rFonts w:hint="eastAsia" w:ascii="仿宋" w:hAnsi="仿宋" w:eastAsia="仿宋" w:cs="仿宋"/>
          <w:b w:val="0"/>
          <w:bCs/>
          <w:color w:val="auto"/>
          <w:sz w:val="28"/>
          <w:szCs w:val="28"/>
          <w:highlight w:val="none"/>
        </w:rPr>
        <w:t>）系统实现https安全传输协议，系统支持SSL证书</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兼容TLSv1.2以上版本。</w:t>
      </w:r>
    </w:p>
    <w:p w14:paraId="5CC32E18">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（1</w:t>
      </w:r>
      <w:r>
        <w:rPr>
          <w:rFonts w:hint="eastAsia" w:ascii="仿宋" w:hAnsi="仿宋" w:eastAsia="仿宋" w:cs="仿宋"/>
          <w:b w:val="0"/>
          <w:bCs/>
          <w:color w:val="auto"/>
          <w:sz w:val="28"/>
          <w:szCs w:val="28"/>
          <w:highlight w:val="none"/>
          <w:lang w:val="en-US" w:eastAsia="zh-CN"/>
        </w:rPr>
        <w:t>1</w:t>
      </w:r>
      <w:r>
        <w:rPr>
          <w:rFonts w:hint="eastAsia" w:ascii="仿宋" w:hAnsi="仿宋" w:eastAsia="仿宋" w:cs="仿宋"/>
          <w:b w:val="0"/>
          <w:bCs/>
          <w:color w:val="auto"/>
          <w:sz w:val="28"/>
          <w:szCs w:val="28"/>
          <w:highlight w:val="none"/>
        </w:rPr>
        <w:t>）需从物理安全、网络安全、系统安全、应用软件安全、数据备份安全等应满足软件系统建设安全等级保护指标，</w:t>
      </w:r>
      <w:r>
        <w:rPr>
          <w:rFonts w:hint="eastAsia" w:ascii="仿宋" w:hAnsi="仿宋" w:eastAsia="仿宋" w:cs="仿宋"/>
          <w:b w:val="0"/>
          <w:bCs/>
          <w:color w:val="auto"/>
          <w:sz w:val="28"/>
          <w:szCs w:val="28"/>
          <w:highlight w:val="none"/>
          <w:lang w:val="en-US" w:eastAsia="zh-CN"/>
        </w:rPr>
        <w:t>需配合完成本次所建系统的网络安全等级保护测评和备案，配合对系统安全漏洞等进行整改和优化。</w:t>
      </w:r>
      <w:r>
        <w:rPr>
          <w:rFonts w:hint="eastAsia" w:ascii="仿宋" w:hAnsi="仿宋" w:eastAsia="仿宋" w:cs="仿宋"/>
          <w:b w:val="0"/>
          <w:bCs/>
          <w:color w:val="auto"/>
          <w:sz w:val="28"/>
          <w:szCs w:val="28"/>
          <w:highlight w:val="none"/>
        </w:rPr>
        <w:t>。</w:t>
      </w:r>
    </w:p>
    <w:p w14:paraId="6F7A4770">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val="en-US" w:eastAsia="zh-CN"/>
        </w:rPr>
        <w:t>12</w:t>
      </w:r>
      <w:r>
        <w:rPr>
          <w:rFonts w:hint="eastAsia" w:ascii="仿宋" w:hAnsi="仿宋" w:eastAsia="仿宋" w:cs="仿宋"/>
          <w:b w:val="0"/>
          <w:bCs/>
          <w:color w:val="auto"/>
          <w:sz w:val="28"/>
          <w:szCs w:val="28"/>
          <w:highlight w:val="none"/>
        </w:rPr>
        <w:t xml:space="preserve">）隐私保护和数据安全 </w:t>
      </w:r>
    </w:p>
    <w:p w14:paraId="243963BC">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系统具有数据访问日志和数据审计策略，系统日志加密存储须留存6个月以上，支持追溯与导出。</w:t>
      </w:r>
    </w:p>
    <w:p w14:paraId="0E1D7F0E">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（13）系统安全：</w:t>
      </w:r>
      <w:r>
        <w:rPr>
          <w:rFonts w:hint="eastAsia" w:ascii="仿宋" w:hAnsi="仿宋" w:eastAsia="仿宋" w:cs="仿宋"/>
          <w:b w:val="0"/>
          <w:bCs/>
          <w:color w:val="auto"/>
          <w:sz w:val="28"/>
          <w:szCs w:val="28"/>
          <w:highlight w:val="none"/>
        </w:rPr>
        <w:t>敏感操作</w:t>
      </w:r>
      <w:r>
        <w:rPr>
          <w:rFonts w:hint="eastAsia" w:ascii="仿宋" w:hAnsi="仿宋" w:eastAsia="仿宋" w:cs="仿宋"/>
          <w:b w:val="0"/>
          <w:bCs/>
          <w:color w:val="auto"/>
          <w:sz w:val="28"/>
          <w:szCs w:val="28"/>
          <w:highlight w:val="none"/>
          <w:lang w:val="en-US" w:eastAsia="zh-CN"/>
        </w:rPr>
        <w:t>能配置</w:t>
      </w:r>
      <w:r>
        <w:rPr>
          <w:rFonts w:hint="eastAsia" w:ascii="仿宋" w:hAnsi="仿宋" w:eastAsia="仿宋" w:cs="仿宋"/>
          <w:b w:val="0"/>
          <w:bCs/>
          <w:color w:val="auto"/>
          <w:sz w:val="28"/>
          <w:szCs w:val="28"/>
          <w:highlight w:val="none"/>
        </w:rPr>
        <w:t>二次验证</w:t>
      </w:r>
      <w:r>
        <w:rPr>
          <w:rFonts w:hint="eastAsia" w:ascii="仿宋" w:hAnsi="仿宋" w:eastAsia="仿宋" w:cs="仿宋"/>
          <w:b w:val="0"/>
          <w:bCs/>
          <w:color w:val="auto"/>
          <w:sz w:val="28"/>
          <w:szCs w:val="28"/>
          <w:highlight w:val="none"/>
          <w:lang w:val="en-US" w:eastAsia="zh-CN"/>
        </w:rPr>
        <w:t>功能</w:t>
      </w:r>
      <w:r>
        <w:rPr>
          <w:rFonts w:hint="eastAsia" w:ascii="仿宋" w:hAnsi="仿宋" w:eastAsia="仿宋" w:cs="仿宋"/>
          <w:b w:val="0"/>
          <w:bCs/>
          <w:color w:val="auto"/>
          <w:sz w:val="28"/>
          <w:szCs w:val="28"/>
          <w:highlight w:val="none"/>
        </w:rPr>
        <w:t>。</w:t>
      </w:r>
    </w:p>
    <w:p w14:paraId="529AF5A9">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14</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系统支持异常操作监测，对高频登录失败、批量数据导出等异常行为进行预警。</w:t>
      </w:r>
    </w:p>
    <w:p w14:paraId="4BD2B766">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Hans"/>
        </w:rPr>
        <w:t>（1</w:t>
      </w:r>
      <w:r>
        <w:rPr>
          <w:rFonts w:hint="eastAsia" w:ascii="仿宋" w:hAnsi="仿宋" w:eastAsia="仿宋" w:cs="仿宋"/>
          <w:b w:val="0"/>
          <w:bCs/>
          <w:color w:val="auto"/>
          <w:sz w:val="28"/>
          <w:szCs w:val="28"/>
          <w:highlight w:val="none"/>
          <w:lang w:val="en-US" w:eastAsia="zh-CN"/>
        </w:rPr>
        <w:t>5</w:t>
      </w:r>
      <w:r>
        <w:rPr>
          <w:rFonts w:hint="eastAsia" w:ascii="仿宋" w:hAnsi="仿宋" w:eastAsia="仿宋" w:cs="仿宋"/>
          <w:b w:val="0"/>
          <w:bCs/>
          <w:color w:val="auto"/>
          <w:sz w:val="28"/>
          <w:szCs w:val="28"/>
          <w:highlight w:val="none"/>
          <w:lang w:eastAsia="zh-Hans"/>
        </w:rPr>
        <w:t>）</w:t>
      </w:r>
      <w:r>
        <w:rPr>
          <w:rFonts w:hint="eastAsia" w:ascii="仿宋" w:hAnsi="仿宋" w:eastAsia="仿宋" w:cs="仿宋"/>
          <w:b w:val="0"/>
          <w:bCs/>
          <w:color w:val="auto"/>
          <w:sz w:val="28"/>
          <w:szCs w:val="28"/>
          <w:highlight w:val="none"/>
          <w:lang w:val="en-US" w:eastAsia="zh-CN"/>
        </w:rPr>
        <w:t>供应商</w:t>
      </w:r>
      <w:r>
        <w:rPr>
          <w:rFonts w:hint="eastAsia" w:ascii="仿宋" w:hAnsi="仿宋" w:eastAsia="仿宋" w:cs="仿宋"/>
          <w:b w:val="0"/>
          <w:bCs/>
          <w:color w:val="auto"/>
          <w:sz w:val="28"/>
          <w:szCs w:val="28"/>
          <w:highlight w:val="none"/>
          <w:lang w:eastAsia="zh-Hans"/>
        </w:rPr>
        <w:t>确保系统运行环境的安全运维和防护。</w:t>
      </w:r>
      <w:r>
        <w:rPr>
          <w:rFonts w:hint="eastAsia" w:ascii="仿宋" w:hAnsi="仿宋" w:eastAsia="仿宋" w:cs="仿宋"/>
          <w:b w:val="0"/>
          <w:bCs/>
          <w:color w:val="auto"/>
          <w:sz w:val="28"/>
          <w:szCs w:val="28"/>
          <w:highlight w:val="none"/>
        </w:rPr>
        <w:t>系统解决方案需符合信息安全标准，符合学校信息安全管理要求，一旦出现安全问题或隐患，成交供应商无条件在8小时内到位解决，应</w:t>
      </w:r>
      <w:r>
        <w:rPr>
          <w:rFonts w:hint="eastAsia" w:ascii="仿宋" w:hAnsi="仿宋" w:eastAsia="仿宋" w:cs="仿宋"/>
          <w:b w:val="0"/>
          <w:bCs/>
          <w:color w:val="auto"/>
          <w:sz w:val="28"/>
          <w:szCs w:val="28"/>
          <w:highlight w:val="none"/>
          <w:lang w:eastAsia="zh-CN"/>
        </w:rPr>
        <w:t>终身</w:t>
      </w:r>
      <w:r>
        <w:rPr>
          <w:rFonts w:hint="eastAsia" w:ascii="仿宋" w:hAnsi="仿宋" w:eastAsia="仿宋" w:cs="仿宋"/>
          <w:b w:val="0"/>
          <w:bCs/>
          <w:color w:val="auto"/>
          <w:sz w:val="28"/>
          <w:szCs w:val="28"/>
          <w:highlight w:val="none"/>
        </w:rPr>
        <w:t>对系统安全负责，及时修复安全漏洞，不得另行收费。（提供书面承诺函，并加盖供应商公章。）</w:t>
      </w:r>
    </w:p>
    <w:p w14:paraId="74FE6A67">
      <w:pPr>
        <w:wordWrap w:val="0"/>
        <w:adjustRightInd w:val="0"/>
        <w:snapToGrid w:val="0"/>
        <w:spacing w:line="360" w:lineRule="auto"/>
        <w:jc w:val="left"/>
        <w:rPr>
          <w:rFonts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4.技术要求</w:t>
      </w:r>
    </w:p>
    <w:p w14:paraId="5F844322">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包含但不限于：</w:t>
      </w:r>
    </w:p>
    <w:p w14:paraId="02580B5D">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（1）符合国家有关规定。系统建设必须符合我国相关部门制订的标准，对安全策略、密码与安全设备选用、网络互联、安全管理等必须符合我国信息安全法律法规。</w:t>
      </w:r>
    </w:p>
    <w:p w14:paraId="11D77D38">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（2）统一信息标准。系统的设计和开发，需遵从学校统一的信息标准。</w:t>
      </w:r>
    </w:p>
    <w:p w14:paraId="78BEF5F2">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（3）稳定性及可靠性。</w:t>
      </w:r>
    </w:p>
    <w:p w14:paraId="09884245">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1）认证授权：保证用户的合法性和用户使用信息资源的权力，避免内部敏感信息泄漏和服务所提供的信息资源被非法访问，造成严重的安全事件。</w:t>
      </w:r>
    </w:p>
    <w:p w14:paraId="613DC676">
      <w:pPr>
        <w:spacing w:line="360" w:lineRule="auto"/>
        <w:ind w:firstLine="560" w:firstLineChars="200"/>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rPr>
        <w:t>2）信息保密：充分利用密码技术，对于需要保密的信息，采用密码技术进行加解密处理，防止信息的非授权泄漏，确保涉密信息在产生、存储、传递和处理过程中的保密。敏感数据传输时需进行二次加密处理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支持数据脱敏配置</w:t>
      </w:r>
      <w:r>
        <w:rPr>
          <w:rFonts w:hint="eastAsia" w:ascii="仿宋" w:hAnsi="仿宋" w:eastAsia="仿宋" w:cs="仿宋"/>
          <w:b w:val="0"/>
          <w:bCs/>
          <w:color w:val="auto"/>
          <w:sz w:val="28"/>
          <w:szCs w:val="28"/>
          <w:highlight w:val="none"/>
          <w:lang w:eastAsia="zh-CN"/>
        </w:rPr>
        <w:t>。</w:t>
      </w:r>
    </w:p>
    <w:p w14:paraId="413F4206">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3）数据完整：建立数据完整性检验机制，保证收发双方数据的一致性，防止信息被非授权修改。</w:t>
      </w:r>
    </w:p>
    <w:p w14:paraId="28D9241B">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（4）可扩展性。</w:t>
      </w:r>
    </w:p>
    <w:p w14:paraId="3C163209">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具有良好的扩展能力，平台充分考虑学校级应用的场景需求。</w:t>
      </w:r>
    </w:p>
    <w:p w14:paraId="45A36BEB">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val="en-US" w:eastAsia="zh-CN"/>
        </w:rPr>
        <w:t>5</w:t>
      </w:r>
      <w:r>
        <w:rPr>
          <w:rFonts w:hint="eastAsia" w:ascii="仿宋" w:hAnsi="仿宋" w:eastAsia="仿宋" w:cs="仿宋"/>
          <w:b w:val="0"/>
          <w:bCs/>
          <w:color w:val="auto"/>
          <w:sz w:val="28"/>
          <w:szCs w:val="28"/>
          <w:highlight w:val="none"/>
        </w:rPr>
        <w:t>）兼容性强。</w:t>
      </w:r>
    </w:p>
    <w:p w14:paraId="1088D9CC">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系统系统有良好的兼容性，须跨主流浏览器运行，兼容包含但不限于谷歌、火狐、360</w:t>
      </w:r>
      <w:r>
        <w:rPr>
          <w:rFonts w:hint="eastAsia" w:ascii="仿宋" w:hAnsi="仿宋" w:eastAsia="仿宋" w:cs="仿宋"/>
          <w:b w:val="0"/>
          <w:bCs/>
          <w:color w:val="auto"/>
          <w:sz w:val="28"/>
          <w:szCs w:val="28"/>
          <w:highlight w:val="none"/>
          <w:lang w:val="en-US" w:eastAsia="zh-CN"/>
        </w:rPr>
        <w:t>安全浏览器、360极速浏览器</w:t>
      </w:r>
      <w:r>
        <w:rPr>
          <w:rFonts w:hint="eastAsia" w:ascii="仿宋" w:hAnsi="仿宋" w:eastAsia="仿宋" w:cs="仿宋"/>
          <w:b w:val="0"/>
          <w:bCs/>
          <w:color w:val="auto"/>
          <w:sz w:val="28"/>
          <w:szCs w:val="28"/>
          <w:highlight w:val="none"/>
        </w:rPr>
        <w:t>、Microsoft Edge 、Chrome（及基于Chrome内核的浏览器）等浏览器的更高级版本并通过验证；安卓系统、IOS系统、鸿蒙系统等主流移动端访问系统时页面自动适配，具备友好显示和便捷交互。访问系统不需要安装特定浏览器插件。不得被常用安全软件（瑞星杀毒软件、360杀毒、360安全卫士、百度安全等）认定为可疑或危险程序。</w:t>
      </w:r>
    </w:p>
    <w:p w14:paraId="0C65E719">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支持IPV</w:t>
      </w:r>
      <w:r>
        <w:rPr>
          <w:rFonts w:hint="eastAsia" w:ascii="仿宋" w:hAnsi="仿宋" w:eastAsia="仿宋" w:cs="仿宋"/>
          <w:b w:val="0"/>
          <w:bCs/>
          <w:color w:val="auto"/>
          <w:sz w:val="28"/>
          <w:szCs w:val="28"/>
          <w:highlight w:val="none"/>
          <w:lang w:val="en-US" w:eastAsia="zh-CN"/>
        </w:rPr>
        <w:t>4/</w:t>
      </w:r>
      <w:r>
        <w:rPr>
          <w:rFonts w:hint="eastAsia" w:ascii="仿宋" w:hAnsi="仿宋" w:eastAsia="仿宋" w:cs="仿宋"/>
          <w:b w:val="0"/>
          <w:bCs/>
          <w:color w:val="auto"/>
          <w:sz w:val="28"/>
          <w:szCs w:val="28"/>
          <w:highlight w:val="none"/>
        </w:rPr>
        <w:t>IPV6</w:t>
      </w:r>
      <w:r>
        <w:rPr>
          <w:rFonts w:hint="eastAsia" w:ascii="仿宋" w:hAnsi="仿宋" w:eastAsia="仿宋" w:cs="仿宋"/>
          <w:b w:val="0"/>
          <w:bCs/>
          <w:color w:val="auto"/>
          <w:sz w:val="28"/>
          <w:szCs w:val="28"/>
          <w:highlight w:val="none"/>
          <w:lang w:val="en-US" w:eastAsia="zh-CN"/>
        </w:rPr>
        <w:t>双栈</w:t>
      </w:r>
      <w:r>
        <w:rPr>
          <w:rFonts w:hint="eastAsia" w:ascii="仿宋" w:hAnsi="仿宋" w:eastAsia="仿宋" w:cs="仿宋"/>
          <w:b w:val="0"/>
          <w:bCs/>
          <w:color w:val="auto"/>
          <w:sz w:val="28"/>
          <w:szCs w:val="28"/>
          <w:highlight w:val="none"/>
        </w:rPr>
        <w:t>网络协议。</w:t>
      </w:r>
    </w:p>
    <w:p w14:paraId="10A37421">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7</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系统支持高并发数据处理</w:t>
      </w:r>
      <w:r>
        <w:rPr>
          <w:rFonts w:hint="eastAsia" w:ascii="仿宋" w:hAnsi="仿宋" w:eastAsia="仿宋" w:cs="仿宋"/>
          <w:b w:val="0"/>
          <w:bCs/>
          <w:color w:val="auto"/>
          <w:sz w:val="28"/>
          <w:szCs w:val="28"/>
          <w:highlight w:val="none"/>
          <w:lang w:eastAsia="zh-CN"/>
        </w:rPr>
        <w:t>，需满足高并发、高可靠运行，</w:t>
      </w:r>
      <w:r>
        <w:rPr>
          <w:rFonts w:hint="eastAsia" w:ascii="仿宋" w:hAnsi="仿宋" w:eastAsia="仿宋" w:cs="仿宋"/>
          <w:b w:val="0"/>
          <w:bCs/>
          <w:color w:val="auto"/>
          <w:sz w:val="28"/>
          <w:szCs w:val="28"/>
          <w:highlight w:val="none"/>
        </w:rPr>
        <w:t>支持</w:t>
      </w:r>
      <w:r>
        <w:rPr>
          <w:rFonts w:hint="eastAsia" w:ascii="仿宋" w:hAnsi="仿宋" w:eastAsia="仿宋" w:cs="仿宋"/>
          <w:b w:val="0"/>
          <w:bCs/>
          <w:color w:val="auto"/>
          <w:sz w:val="28"/>
          <w:szCs w:val="28"/>
          <w:highlight w:val="none"/>
          <w:lang w:val="en-US" w:eastAsia="zh-CN"/>
        </w:rPr>
        <w:t>不少于3000</w:t>
      </w:r>
      <w:r>
        <w:rPr>
          <w:rFonts w:hint="eastAsia" w:ascii="仿宋" w:hAnsi="仿宋" w:eastAsia="仿宋" w:cs="仿宋"/>
          <w:b w:val="0"/>
          <w:bCs/>
          <w:color w:val="auto"/>
          <w:sz w:val="28"/>
          <w:szCs w:val="28"/>
          <w:highlight w:val="none"/>
        </w:rPr>
        <w:t>用户同时在线，系统稳定无卡顿；7×24 小时运行，支持压力测试与极限场景验证。</w:t>
      </w:r>
    </w:p>
    <w:p w14:paraId="5B4DCFA4">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8</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 xml:space="preserve"> 系统须采用分布式高可用性部署；采用</w:t>
      </w:r>
      <w:r>
        <w:rPr>
          <w:rFonts w:hint="default" w:ascii="仿宋" w:hAnsi="仿宋" w:eastAsia="仿宋" w:cs="仿宋"/>
          <w:b w:val="0"/>
          <w:bCs/>
          <w:color w:val="auto"/>
          <w:sz w:val="28"/>
          <w:szCs w:val="28"/>
          <w:highlight w:val="none"/>
        </w:rPr>
        <w:t>业界主流、成熟稳定、安全性高</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开放式</w:t>
      </w:r>
      <w:r>
        <w:rPr>
          <w:rFonts w:hint="default" w:ascii="仿宋" w:hAnsi="仿宋" w:eastAsia="仿宋" w:cs="仿宋"/>
          <w:b w:val="0"/>
          <w:bCs/>
          <w:color w:val="auto"/>
          <w:sz w:val="28"/>
          <w:szCs w:val="28"/>
          <w:highlight w:val="none"/>
        </w:rPr>
        <w:t>的开发语言及技术架构，确保系统的可维护性与扩展性</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用户端和管理端均应采用完全的B/S架构。</w:t>
      </w:r>
    </w:p>
    <w:p w14:paraId="3DDF1AED">
      <w:pPr>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9</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能够对系统的保密数据进行加密、防止SQL注入等攻击。</w:t>
      </w:r>
    </w:p>
    <w:p w14:paraId="62A3C33E">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10</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完成与学校现有可视化教学督导平台的对接，打通账户体系与数据链路，用户无需切换平台，通过统一账户即可直接开展随堂听课、教学督导、课程回放查看、在线巡课等操作，实现督导工作的高效协同。完成与课堂AI数据采集模块的对接，自动抓取课堂过程中的关键数据</w:t>
      </w:r>
      <w:r>
        <w:rPr>
          <w:rFonts w:hint="eastAsia" w:ascii="仿宋" w:hAnsi="仿宋" w:eastAsia="仿宋" w:cs="仿宋"/>
          <w:b w:val="0"/>
          <w:bCs/>
          <w:color w:val="auto"/>
          <w:sz w:val="28"/>
          <w:szCs w:val="28"/>
          <w:highlight w:val="none"/>
          <w:lang w:val="en-US" w:eastAsia="zh-CN"/>
        </w:rPr>
        <w:t>留存。</w:t>
      </w:r>
    </w:p>
    <w:p w14:paraId="2D5C3D97">
      <w:pPr>
        <w:wordWrap w:val="0"/>
        <w:adjustRightInd w:val="0"/>
        <w:snapToGrid w:val="0"/>
        <w:spacing w:line="360" w:lineRule="auto"/>
        <w:jc w:val="left"/>
        <w:rPr>
          <w:rFonts w:hint="eastAsia" w:ascii="仿宋" w:hAnsi="仿宋" w:eastAsia="仿宋" w:cs="仿宋"/>
          <w:b w:val="0"/>
          <w:bCs/>
          <w:color w:val="FF0000"/>
          <w:sz w:val="28"/>
          <w:szCs w:val="28"/>
          <w:lang w:val="en-US" w:eastAsia="zh-CN"/>
        </w:rPr>
      </w:pPr>
    </w:p>
    <w:p w14:paraId="2AF6CD00">
      <w:pPr>
        <w:wordWrap w:val="0"/>
        <w:adjustRightInd w:val="0"/>
        <w:snapToGrid w:val="0"/>
        <w:spacing w:line="360" w:lineRule="auto"/>
        <w:jc w:val="left"/>
        <w:rPr>
          <w:rFonts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5</w:t>
      </w:r>
      <w:r>
        <w:rPr>
          <w:rFonts w:hint="eastAsia" w:ascii="仿宋" w:hAnsi="仿宋" w:eastAsia="仿宋" w:cs="仿宋"/>
          <w:b w:val="0"/>
          <w:bCs/>
          <w:color w:val="auto"/>
          <w:sz w:val="28"/>
          <w:szCs w:val="28"/>
        </w:rPr>
        <w:t>.项目成果交付清单</w:t>
      </w:r>
    </w:p>
    <w:p w14:paraId="62285E60">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须交付本项目在开发过程中和交付使用后各个阶段的成果和文档资料，并提供明确的交付清单。成果和文档资料必须符合软件工程的相关要求。要交付的成果和文档资料主要包括但不限于以下部分：</w:t>
      </w:r>
    </w:p>
    <w:p w14:paraId="41B969FC">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（1）可执行代码和源代码：项目开发过程中为用户方定制功能的源代码；</w:t>
      </w:r>
    </w:p>
    <w:p w14:paraId="0123C29D">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2）项目文档：项目开发中的各种技术文档，包括用户手册、管理员手册、开发环境配置说明、需求分析说明、方案设计、参数设定、软件说明书、数据库结构、数据结构（数据字典）、代码清单、软件工具清单、需求及实施变更说明、需求跟踪矩阵、API接口手册以及有关系统集成接口的技术说明文档、元数据模型说明、系统设计说明、系统维护说明、系统培训资料，系统测试报告、试运行报告等；</w:t>
      </w:r>
    </w:p>
    <w:p w14:paraId="53EDC13F">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管理文档：包括项目开发中的一些工作文档，如实施计划、阶段报告、讨论纲要、会议记录，培训资料、竣工文档（含项目实施总结、系统配置情况等）、验收测试报告（测试计划、测试用例和测试结果等）等；</w:t>
      </w:r>
    </w:p>
    <w:p w14:paraId="631B8147">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（4）提供项目实施过程中的过程记录，如文档管理、版本管理、变更记录等；</w:t>
      </w:r>
    </w:p>
    <w:p w14:paraId="313B5B9B">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（5）项目完工后提供验收报告、实施方案、进度安排、项目周报等。交付的所有成果应汇集成册交付给学校，并提供成果的电子化版本。</w:t>
      </w:r>
    </w:p>
    <w:p w14:paraId="4D3628D7">
      <w:pPr>
        <w:spacing w:line="360" w:lineRule="auto"/>
        <w:ind w:firstLine="560" w:firstLineChars="200"/>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（6）提供《信息系统安全等级保护项目计划书》、《系统等级测评方案》、《系统等级测评报告》、《信息系统安全等级保护定级备案证明》和《信息系统整改建议书》等备案资料。</w:t>
      </w:r>
    </w:p>
    <w:p w14:paraId="4F181F25">
      <w:pPr>
        <w:wordWrap w:val="0"/>
        <w:adjustRightInd w:val="0"/>
        <w:snapToGrid w:val="0"/>
        <w:spacing w:line="360" w:lineRule="auto"/>
        <w:jc w:val="left"/>
        <w:rPr>
          <w:rFonts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6</w:t>
      </w:r>
      <w:r>
        <w:rPr>
          <w:rFonts w:hint="eastAsia" w:ascii="仿宋" w:hAnsi="仿宋" w:eastAsia="仿宋" w:cs="仿宋"/>
          <w:b w:val="0"/>
          <w:bCs/>
          <w:color w:val="auto"/>
          <w:sz w:val="28"/>
          <w:szCs w:val="28"/>
        </w:rPr>
        <w:t>.技术支持与服务</w:t>
      </w:r>
    </w:p>
    <w:p w14:paraId="6B6FA3DB">
      <w:pPr>
        <w:spacing w:line="360" w:lineRule="auto"/>
        <w:ind w:firstLine="560" w:firstLineChars="200"/>
        <w:rPr>
          <w:rFonts w:ascii="仿宋" w:hAnsi="仿宋" w:eastAsia="仿宋" w:cs="仿宋"/>
          <w:b w:val="0"/>
          <w:bCs/>
          <w:color w:val="auto"/>
          <w:sz w:val="28"/>
          <w:szCs w:val="28"/>
        </w:rPr>
      </w:pPr>
      <w:r>
        <w:rPr>
          <w:rFonts w:hint="eastAsia" w:ascii="仿宋" w:hAnsi="仿宋" w:eastAsia="仿宋" w:cs="仿宋"/>
          <w:b w:val="0"/>
          <w:bCs/>
          <w:color w:val="auto"/>
          <w:sz w:val="28"/>
          <w:szCs w:val="28"/>
        </w:rPr>
        <w:t>（1）系统优化服务-针对系统漏洞、不合理处以及随着应用的发展出现的需求变化，对整个系统进行必要的优化处理；</w:t>
      </w:r>
    </w:p>
    <w:p w14:paraId="34EE0B76">
      <w:pPr>
        <w:spacing w:line="360" w:lineRule="auto"/>
        <w:ind w:firstLine="560" w:firstLineChars="200"/>
        <w:rPr>
          <w:rFonts w:ascii="仿宋" w:hAnsi="仿宋" w:eastAsia="仿宋" w:cs="仿宋"/>
          <w:b w:val="0"/>
          <w:bCs/>
          <w:color w:val="auto"/>
          <w:sz w:val="28"/>
          <w:szCs w:val="28"/>
        </w:rPr>
      </w:pPr>
      <w:r>
        <w:rPr>
          <w:rFonts w:hint="eastAsia" w:ascii="仿宋" w:hAnsi="仿宋" w:eastAsia="仿宋" w:cs="仿宋"/>
          <w:b w:val="0"/>
          <w:bCs/>
          <w:color w:val="auto"/>
          <w:sz w:val="28"/>
          <w:szCs w:val="28"/>
        </w:rPr>
        <w:t>（2）系统硬件维护-对核心设备系统的硬件进行检测，确认工作状态是否正常，对于灰尘较多的设备，将提供除尘服务；</w:t>
      </w:r>
    </w:p>
    <w:p w14:paraId="2B3A6DEF">
      <w:pPr>
        <w:spacing w:line="360" w:lineRule="auto"/>
        <w:ind w:firstLine="560" w:firstLineChars="200"/>
        <w:rPr>
          <w:rFonts w:ascii="仿宋" w:hAnsi="仿宋" w:eastAsia="仿宋" w:cs="仿宋"/>
          <w:b w:val="0"/>
          <w:bCs/>
          <w:color w:val="auto"/>
          <w:sz w:val="28"/>
          <w:szCs w:val="28"/>
        </w:rPr>
      </w:pPr>
      <w:r>
        <w:rPr>
          <w:rFonts w:hint="eastAsia" w:ascii="仿宋" w:hAnsi="仿宋" w:eastAsia="仿宋" w:cs="仿宋"/>
          <w:b w:val="0"/>
          <w:bCs/>
          <w:color w:val="auto"/>
          <w:sz w:val="28"/>
          <w:szCs w:val="28"/>
        </w:rPr>
        <w:t>（3）系统软件维护-根据原厂商发布的最新代码或软件的情况，在不需要硬件升级以及额外费用的基础上，为用户进行补丁程序的安装、最新系统软件的更新操作；</w:t>
      </w:r>
    </w:p>
    <w:p w14:paraId="7B9828E9">
      <w:pPr>
        <w:spacing w:line="360" w:lineRule="auto"/>
        <w:ind w:firstLine="560" w:firstLineChars="200"/>
        <w:rPr>
          <w:rFonts w:ascii="仿宋" w:hAnsi="仿宋" w:eastAsia="仿宋" w:cs="仿宋"/>
          <w:b w:val="0"/>
          <w:bCs/>
          <w:color w:val="auto"/>
          <w:sz w:val="28"/>
          <w:szCs w:val="28"/>
        </w:rPr>
      </w:pPr>
      <w:r>
        <w:rPr>
          <w:rFonts w:hint="eastAsia" w:ascii="仿宋" w:hAnsi="仿宋" w:eastAsia="仿宋" w:cs="仿宋"/>
          <w:b w:val="0"/>
          <w:bCs/>
          <w:color w:val="auto"/>
          <w:sz w:val="28"/>
          <w:szCs w:val="28"/>
        </w:rPr>
        <w:t>（4）技术文档更新-对于系统配置发生变化的，将对技术文档进行更新、整理后作为新的技术文档递交用户存档；</w:t>
      </w:r>
    </w:p>
    <w:p w14:paraId="1766709A">
      <w:pPr>
        <w:spacing w:line="360" w:lineRule="auto"/>
        <w:ind w:firstLine="560" w:firstLineChars="200"/>
        <w:rPr>
          <w:b w:val="0"/>
          <w:bCs/>
          <w:color w:val="auto"/>
        </w:rPr>
      </w:pPr>
      <w:r>
        <w:rPr>
          <w:rFonts w:hint="eastAsia" w:ascii="仿宋" w:hAnsi="仿宋" w:eastAsia="仿宋" w:cs="仿宋"/>
          <w:b w:val="0"/>
          <w:bCs/>
          <w:color w:val="auto"/>
          <w:sz w:val="28"/>
          <w:szCs w:val="28"/>
        </w:rPr>
        <w:t>（5）系统技术支持-系统部署期间、使用期间、维护期间要求公司提供全方位的技术支持，例如数据对接等。</w:t>
      </w:r>
    </w:p>
    <w:p w14:paraId="28708EB3">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9F7BC0"/>
    <w:multiLevelType w:val="singleLevel"/>
    <w:tmpl w:val="D89F7BC0"/>
    <w:lvl w:ilvl="0" w:tentative="0">
      <w:start w:val="4"/>
      <w:numFmt w:val="decimal"/>
      <w:suff w:val="nothing"/>
      <w:lvlText w:val="（%1）"/>
      <w:lvlJc w:val="left"/>
    </w:lvl>
  </w:abstractNum>
  <w:abstractNum w:abstractNumId="1">
    <w:nsid w:val="D9B7BD52"/>
    <w:multiLevelType w:val="singleLevel"/>
    <w:tmpl w:val="D9B7BD52"/>
    <w:lvl w:ilvl="0" w:tentative="0">
      <w:start w:val="3"/>
      <w:numFmt w:val="decimal"/>
      <w:suff w:val="nothing"/>
      <w:lvlText w:val="（%1）"/>
      <w:lvlJc w:val="left"/>
    </w:lvl>
  </w:abstractNum>
  <w:abstractNum w:abstractNumId="2">
    <w:nsid w:val="F36F68E4"/>
    <w:multiLevelType w:val="singleLevel"/>
    <w:tmpl w:val="F36F68E4"/>
    <w:lvl w:ilvl="0" w:tentative="0">
      <w:start w:val="8"/>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85B7540"/>
    <w:rsid w:val="213E2F0F"/>
    <w:rsid w:val="26841133"/>
    <w:rsid w:val="33BC7D4B"/>
    <w:rsid w:val="3E754C90"/>
    <w:rsid w:val="3F81343C"/>
    <w:rsid w:val="71C771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left"/>
    </w:pPr>
    <w:rPr>
      <w:rFonts w:ascii="宋体" w:hAnsi="宋体" w:eastAsia="宋体" w:cs="宋体"/>
      <w:b/>
      <w:kern w:val="2"/>
      <w:sz w:val="28"/>
      <w:szCs w:val="28"/>
      <w:lang w:val="en-US" w:eastAsia="zh-CN" w:bidi="ar-SA"/>
    </w:rPr>
  </w:style>
  <w:style w:type="paragraph" w:styleId="2">
    <w:name w:val="heading 2"/>
    <w:basedOn w:val="1"/>
    <w:next w:val="1"/>
    <w:semiHidden/>
    <w:unhideWhenUsed/>
    <w:qFormat/>
    <w:uiPriority w:val="0"/>
    <w:pPr>
      <w:wordWrap w:val="0"/>
      <w:spacing w:line="360" w:lineRule="auto"/>
      <w:jc w:val="center"/>
      <w:outlineLvl w:val="1"/>
    </w:pPr>
    <w:rPr>
      <w:rFonts w:ascii="宋体" w:hAnsi="宋体" w:cs="宋体"/>
      <w:sz w:val="28"/>
      <w:szCs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ind w:firstLine="420" w:firstLineChars="200"/>
    </w:pPr>
  </w:style>
  <w:style w:type="paragraph" w:styleId="4">
    <w:name w:val="toc 4"/>
    <w:basedOn w:val="1"/>
    <w:next w:val="1"/>
    <w:unhideWhenUsed/>
    <w:qFormat/>
    <w:uiPriority w:val="39"/>
    <w:pPr>
      <w:ind w:left="1260" w:leftChars="600"/>
    </w:pPr>
  </w:style>
  <w:style w:type="paragraph" w:styleId="5">
    <w:name w:val="toc 1"/>
    <w:basedOn w:val="1"/>
    <w:next w:val="1"/>
    <w:qFormat/>
    <w:uiPriority w:val="0"/>
    <w:pPr>
      <w:wordWrap w:val="0"/>
      <w:adjustRightInd w:val="0"/>
      <w:snapToGrid w:val="0"/>
      <w:spacing w:line="480" w:lineRule="auto"/>
    </w:pPr>
    <w:rPr>
      <w:rFonts w:ascii="宋体" w:hAnsi="宋体" w:eastAsia="宋体" w:cs="宋体"/>
      <w:sz w:val="28"/>
      <w:szCs w:val="28"/>
    </w:rPr>
  </w:style>
  <w:style w:type="table" w:styleId="7">
    <w:name w:val="Table Grid"/>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10">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w..</cp:lastModifiedBy>
  <dcterms:modified xsi:type="dcterms:W3CDTF">2026-07-21T05:56:03Z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eyJoZGlkIjoiMzM4ODMwNjNiZWE4OGJkYzJkNWI1MjZhMjg0MGY0NWEiLCJ1c2VySWQiOiIyOTcwOTk0MDcifQ==</vt:lpwstr>
  </property>
</Properties>
</file>