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版本号：ZCZX2026-CS-05720260518001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曲江新区12345市民热线综合服务二级平台运维服务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ZCZX2026-CS-057</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曲江新区12345市民热线综合服务二级平台运维服务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ZCZX2026-CS-057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曲江新区12345市民热线综合服务二级平台运维服务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保障曲江新区12345市民热线综合服务二级平台正常运行，全面负责市民诉求受理、基础信息登记、简单咨询答复、工单回访、知识库维护等辅助性工作，并对承办热线的部门进行指导和协调，确保工单及时办结和提高工单办结的满意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采购包1（曲江新区12345市民热线综合服务二级平台运维服务）：属于专门面向中小企业采购。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81201065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姚海麟 吴芳超 张斌 雷高峰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不足8000元的，按8000元收取。成交单位的代理服务费交纳信息 银行户名：陕西众诚致信管理咨询有限公司 开户银行：北京银行股份有限公司西安分行营业部 账 号：20000042729000032633420 联系人：李薇 联系电话：029-89565528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联系人：姚海麟 吴芳超</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保障曲江新区12345市民热线综合服务二级平台正常运行，全面负责市民诉求受理、基础信息登记、简单咨询答复、工单回访、知识库维护等辅助性工作，并对承办热线的部门进行指导和协调，确保工单及时办结和提高工单办结的满意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保障曲江新区12345市民热线综合服务二级平台正常运行 全面负责12345市级平台转派的咨询 投诉 建议办理工作 并对承办热线的部门进行指导和协调 确保工单及时办结和提高工单办结的满意率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标的名称：保障曲江新区12345市民热线综合服务二级平台正常运行 全面负责12345市级平台转派的咨询 投诉 建议办理工作 并对承办热线的部门进行指导和协调 确保工单及时办结和提高工单办结的满意率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p>
            <w:pPr>
              <w:pStyle w:val="null3"/>
            </w:pPr>
            <w:r>
              <w:rPr>
                <w:rFonts w:ascii="仿宋_GB2312" w:hAnsi="仿宋_GB2312" w:cs="仿宋_GB2312" w:eastAsia="仿宋_GB2312"/>
              </w:rPr>
              <w:t>本项目拟筛选一家第三方服务公司，为曲江新区12345市民热线综合服务二级平台配备10名工作人员，实行每周7×24小时受理机制。服务团队需具有专业文案、编辑工作经验，且具有较强的沟通协调能力。保障曲江新区12345市民热线综合服务二级平台正常运行，全面负责市民诉求受理、基础信息登记、简单咨询答复、工单回访、知识库维护等辅助性工作，并对承办热线的部门进行指导和协调，确保工单及时办结和提高工单办结的满意率。</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保障曲江新区12345市民热线综合服务二级平台正常运行，全面负责12345市级平台转派的咨询、投诉、建议办理工作，并对承办热线的部门进行指导和协调，确保工单及时办结和提高工单办结的满意率。具体如下：</w:t>
            </w:r>
          </w:p>
          <w:p>
            <w:pPr>
              <w:pStyle w:val="null3"/>
            </w:pPr>
            <w:r>
              <w:rPr>
                <w:rFonts w:ascii="仿宋_GB2312" w:hAnsi="仿宋_GB2312" w:cs="仿宋_GB2312" w:eastAsia="仿宋_GB2312"/>
              </w:rPr>
              <w:t>1-1、负责接受市级平台派发的工单，工作期间必须在2小时内确认交办事项，非工作期间必须在4小时内确认交办事项。</w:t>
            </w:r>
          </w:p>
          <w:p>
            <w:pPr>
              <w:pStyle w:val="null3"/>
            </w:pPr>
            <w:r>
              <w:rPr>
                <w:rFonts w:ascii="仿宋_GB2312" w:hAnsi="仿宋_GB2312" w:cs="仿宋_GB2312" w:eastAsia="仿宋_GB2312"/>
              </w:rPr>
              <w:t>1-2、负责对工单内容进行研判，及时将工单转发给各承办单位。</w:t>
            </w:r>
          </w:p>
          <w:p>
            <w:pPr>
              <w:pStyle w:val="null3"/>
            </w:pPr>
            <w:r>
              <w:rPr>
                <w:rFonts w:ascii="仿宋_GB2312" w:hAnsi="仿宋_GB2312" w:cs="仿宋_GB2312" w:eastAsia="仿宋_GB2312"/>
              </w:rPr>
              <w:t>1-3、负责对市级平台转派的工单进行核实，将不属于本单位办理的工单及时退回。</w:t>
            </w:r>
          </w:p>
          <w:p>
            <w:pPr>
              <w:pStyle w:val="null3"/>
            </w:pPr>
            <w:r>
              <w:rPr>
                <w:rFonts w:ascii="仿宋_GB2312" w:hAnsi="仿宋_GB2312" w:cs="仿宋_GB2312" w:eastAsia="仿宋_GB2312"/>
              </w:rPr>
              <w:t>1-4、负责对承办部门办理工单进度进行督办、催单。</w:t>
            </w:r>
          </w:p>
          <w:p>
            <w:pPr>
              <w:pStyle w:val="null3"/>
            </w:pPr>
            <w:r>
              <w:rPr>
                <w:rFonts w:ascii="仿宋_GB2312" w:hAnsi="仿宋_GB2312" w:cs="仿宋_GB2312" w:eastAsia="仿宋_GB2312"/>
              </w:rPr>
              <w:t>1-5、负责对承接的工单进行统计、分析。</w:t>
            </w:r>
          </w:p>
          <w:p>
            <w:pPr>
              <w:pStyle w:val="null3"/>
            </w:pPr>
            <w:r>
              <w:rPr>
                <w:rFonts w:ascii="仿宋_GB2312" w:hAnsi="仿宋_GB2312" w:cs="仿宋_GB2312" w:eastAsia="仿宋_GB2312"/>
              </w:rPr>
              <w:t>1-6、负责在交接工作时明确交接工单内容与办理进度。</w:t>
            </w:r>
          </w:p>
          <w:p>
            <w:pPr>
              <w:pStyle w:val="null3"/>
            </w:pPr>
            <w:r>
              <w:rPr>
                <w:rFonts w:ascii="仿宋_GB2312" w:hAnsi="仿宋_GB2312" w:cs="仿宋_GB2312" w:eastAsia="仿宋_GB2312"/>
              </w:rPr>
              <w:t>1-7、值班工作人员应保持电话畅通、便于随时联系。</w:t>
            </w:r>
          </w:p>
          <w:p>
            <w:pPr>
              <w:pStyle w:val="null3"/>
            </w:pPr>
            <w:r>
              <w:rPr>
                <w:rFonts w:ascii="仿宋_GB2312" w:hAnsi="仿宋_GB2312" w:cs="仿宋_GB2312" w:eastAsia="仿宋_GB2312"/>
              </w:rPr>
              <w:t>2、为10名服务人员提供专业培训。</w:t>
            </w:r>
          </w:p>
          <w:p>
            <w:pPr>
              <w:pStyle w:val="null3"/>
            </w:pPr>
            <w:r>
              <w:rPr>
                <w:rFonts w:ascii="仿宋_GB2312" w:hAnsi="仿宋_GB2312" w:cs="仿宋_GB2312" w:eastAsia="仿宋_GB2312"/>
              </w:rPr>
              <w:t>3、根据工作要求派遣出差人员。</w:t>
            </w:r>
          </w:p>
          <w:p>
            <w:pPr>
              <w:pStyle w:val="null3"/>
            </w:pPr>
            <w:r>
              <w:rPr>
                <w:rFonts w:ascii="仿宋_GB2312" w:hAnsi="仿宋_GB2312" w:cs="仿宋_GB2312" w:eastAsia="仿宋_GB2312"/>
              </w:rPr>
              <w:t>4、活动物料及日常宣传品制作及维护。</w:t>
            </w:r>
          </w:p>
          <w:p>
            <w:pPr>
              <w:pStyle w:val="null3"/>
            </w:pPr>
            <w:r>
              <w:rPr>
                <w:rFonts w:ascii="仿宋_GB2312" w:hAnsi="仿宋_GB2312" w:cs="仿宋_GB2312" w:eastAsia="仿宋_GB2312"/>
              </w:rPr>
              <w:t>5、供应商配备的服务人员有以下情形之一，采购人可立即通知并退回供应商，且由供应商更换合格服务人员，采购人可视情况追究其相关法律责任和经济损失：</w:t>
            </w:r>
          </w:p>
          <w:p>
            <w:pPr>
              <w:pStyle w:val="null3"/>
            </w:pPr>
            <w:r>
              <w:rPr>
                <w:rFonts w:ascii="仿宋_GB2312" w:hAnsi="仿宋_GB2312" w:cs="仿宋_GB2312" w:eastAsia="仿宋_GB2312"/>
              </w:rPr>
              <w:t>5-1、严重违反劳动纪律、规章制度的；</w:t>
            </w:r>
          </w:p>
          <w:p>
            <w:pPr>
              <w:pStyle w:val="null3"/>
            </w:pPr>
            <w:r>
              <w:rPr>
                <w:rFonts w:ascii="仿宋_GB2312" w:hAnsi="仿宋_GB2312" w:cs="仿宋_GB2312" w:eastAsia="仿宋_GB2312"/>
              </w:rPr>
              <w:t>5-2、工作严重失职，造成重大损失的；</w:t>
            </w:r>
          </w:p>
          <w:p>
            <w:pPr>
              <w:pStyle w:val="null3"/>
            </w:pPr>
            <w:r>
              <w:rPr>
                <w:rFonts w:ascii="仿宋_GB2312" w:hAnsi="仿宋_GB2312" w:cs="仿宋_GB2312" w:eastAsia="仿宋_GB2312"/>
              </w:rPr>
              <w:t>5-3、泄露机密或者违反保密规定，造成损失的；</w:t>
            </w:r>
          </w:p>
          <w:p>
            <w:pPr>
              <w:pStyle w:val="null3"/>
            </w:pPr>
            <w:r>
              <w:rPr>
                <w:rFonts w:ascii="仿宋_GB2312" w:hAnsi="仿宋_GB2312" w:cs="仿宋_GB2312" w:eastAsia="仿宋_GB2312"/>
              </w:rPr>
              <w:t>5-4、因身体原因、精神原因不能胜任工作需要的。</w:t>
            </w:r>
          </w:p>
          <w:p>
            <w:pPr>
              <w:pStyle w:val="null3"/>
            </w:pPr>
            <w:r>
              <w:rPr>
                <w:rFonts w:ascii="仿宋_GB2312" w:hAnsi="仿宋_GB2312" w:cs="仿宋_GB2312" w:eastAsia="仿宋_GB2312"/>
              </w:rPr>
              <w:t>三、报价要求</w:t>
            </w:r>
          </w:p>
          <w:p>
            <w:pPr>
              <w:pStyle w:val="null3"/>
            </w:pPr>
            <w:r>
              <w:rPr>
                <w:rFonts w:ascii="仿宋_GB2312" w:hAnsi="仿宋_GB2312" w:cs="仿宋_GB2312" w:eastAsia="仿宋_GB2312"/>
              </w:rPr>
              <w:t>1、项目实施过程中，团队培训费、差旅费、物料制作费凭发票据实报销，服务人员都可以在采购人食堂用餐，餐费根据实际用餐人数及次数据实结算，供应商报价时，此部分价格均按暂估价79000元填报，不得修改。</w:t>
            </w:r>
          </w:p>
          <w:p>
            <w:pPr>
              <w:pStyle w:val="null3"/>
            </w:pPr>
            <w:r>
              <w:rPr>
                <w:rFonts w:ascii="仿宋_GB2312" w:hAnsi="仿宋_GB2312" w:cs="仿宋_GB2312" w:eastAsia="仿宋_GB2312"/>
              </w:rPr>
              <w:t>2、人员工资不得低于西安市最低工资标准。</w:t>
            </w:r>
          </w:p>
          <w:p>
            <w:pPr>
              <w:pStyle w:val="null3"/>
            </w:pPr>
            <w:r>
              <w:rPr>
                <w:rFonts w:ascii="仿宋_GB2312" w:hAnsi="仿宋_GB2312" w:cs="仿宋_GB2312" w:eastAsia="仿宋_GB2312"/>
              </w:rPr>
              <w:t>四、服务期限</w:t>
            </w:r>
          </w:p>
          <w:p>
            <w:pPr>
              <w:pStyle w:val="null3"/>
            </w:pPr>
            <w:r>
              <w:rPr>
                <w:rFonts w:ascii="仿宋_GB2312" w:hAnsi="仿宋_GB2312" w:cs="仿宋_GB2312" w:eastAsia="仿宋_GB2312"/>
              </w:rPr>
              <w:t>自合同签订起1年。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签订合同后按合同金额每月末结算一次，结算金额按乙方每月提供的实际费用标准据实结算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签订合同后按合同金额每月末结算一次，结算金额按乙方每月提供的实际费用标准据实结算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签订合同后按合同金额每月末结算一次，结算金额按乙方每月提供的实际费用标准据实结算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签订合同后按合同金额每月末结算一次，结算金额按乙方每月提供的实际费用标准据实结算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签订合同后按合同金额每月末结算一次，结算金额按乙方每月提供的实际费用标准据实结算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6、</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签订合同后按合同金额每月末结算一次，结算金额按乙方每月提供的实际费用标准据实结算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7、</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签订合同后按合同金额每月末结算一次，结算金额按乙方每月提供的实际费用标准据实结算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8、</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签订合同后按合同金额每月末结算一次，结算金额按乙方每月提供的实际费用标准据实结算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9、</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签订合同后按合同金额每月末结算一次，结算金额按乙方每月提供的实际费用标准据实结算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10、</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签订合同后按合同金额每月末结算一次，结算金额按乙方每月提供的实际费用标准据实结算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11、</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签订合同后按合同金额每月末结算一次，结算金额按乙方每月提供的实际费用标准据实结算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12、</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签订合同后按合同金额每月末结算一次，结算金额按乙方每月提供的实际费用标准据实结算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成交供应商在领取成交通知书前，需向采购代理机构提交纸质版响应文件两份，纸质版文件须为电子响应文件的打印版。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供应商须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供应商承诺.docx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w:t>
            </w:r>
          </w:p>
        </w:tc>
        <w:tc>
          <w:tcPr>
            <w:tcW w:type="dxa" w:w="3322"/>
          </w:tcPr>
          <w:p>
            <w:pPr>
              <w:pStyle w:val="null3"/>
            </w:pPr>
            <w:r>
              <w:rPr>
                <w:rFonts w:ascii="仿宋_GB2312" w:hAnsi="仿宋_GB2312" w:cs="仿宋_GB2312" w:eastAsia="仿宋_GB2312"/>
              </w:rPr>
              <w:t>磋商响应文件加盖供应商单位公章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w:t>
            </w:r>
          </w:p>
        </w:tc>
        <w:tc>
          <w:tcPr>
            <w:tcW w:type="dxa" w:w="3322"/>
          </w:tcPr>
          <w:p>
            <w:pPr>
              <w:pStyle w:val="null3"/>
            </w:pPr>
            <w:r>
              <w:rPr>
                <w:rFonts w:ascii="仿宋_GB2312" w:hAnsi="仿宋_GB2312" w:cs="仿宋_GB2312" w:eastAsia="仿宋_GB2312"/>
              </w:rPr>
              <w:t>磋商响应文件按磋商文件要求法定代表人（或负责人）或其授权代表签字</w:t>
            </w:r>
          </w:p>
        </w:tc>
        <w:tc>
          <w:tcPr>
            <w:tcW w:type="dxa" w:w="1661"/>
          </w:tcPr>
          <w:p>
            <w:pPr>
              <w:pStyle w:val="null3"/>
            </w:pPr>
            <w:r>
              <w:rPr>
                <w:rFonts w:ascii="仿宋_GB2312" w:hAnsi="仿宋_GB2312" w:cs="仿宋_GB2312" w:eastAsia="仿宋_GB2312"/>
              </w:rPr>
              <w:t>合同草案条款偏离表.docx 采购需求偏离表.docx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报价不得超出采购预算或最高限价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合同草案条款偏离表.docx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供应商针对本项目提供服务方案，内容包括： 1、供应商组织机构健全，建立日常管理制度； 2、对用户环境、12345平台的了解程度； 3、服务方案的总体框架； 4、工作流程； 5、管理制度、上岗要求、绩效考核、人员考核与休假、薪酬管理、奖惩等方案； 6、活动物料及日常宣传品制作及维护保障方案； 7、针对本项目日常可能发生的突发情况，提供应急预案措施； 8、针对本项目供应商建设性意见和建议。 以上内容完全满足本项目需求的得40分；每缺少一项内容扣5分，各分项内容中存在内容错误或缺陷的，每有一处扣1.0分，直至该分项分值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提供人员服务方案： 1、拟派项目组成员搭配合理，根据各岗位人员的专业能力、人员整体素质、专业技能和从业经验等； 2、突发应急事件人员调动方案。 以上内容完全满足本项目需求的得10分；每缺少一项内容扣5分，各分项内容中存在内容错误或缺陷的，每有一处扣1.0分，直至该分项分值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供应商针对本项目提供服务质量保证方案，内容包括： 1、供应商项目组织工作时间进度表、协调方法、关键步骤的思路和要点等； 2、对项目组成员具体的培训计划； 3、保障项目组成员稳定的措施； 4、供应商有完整服务质量自检措施、整改保障措施； 5、供应商针对工单的转办、督查、回访工作及时性及顺利实施的保证措施； 6、针对本项目的安全保密管理措施。 以上内容完全满足本项目需求的得30分；每缺少一项内容扣5分，各分项内容中存在内容错误或缺陷的，每有一处扣1.0分，直至该分项分值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供应商提供自2023年1月1日至今运营服务类项目业绩，磋商响应文件中附有其业绩证明材料，业绩以合同为依据，每提供一个计2.5分，满分5。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详见附件：合同草案条款偏离表.docx</w:t>
      </w:r>
    </w:p>
    <w:p>
      <w:pPr>
        <w:pStyle w:val="null3"/>
        <w:ind w:firstLine="960"/>
      </w:pPr>
      <w:r>
        <w:rPr>
          <w:rFonts w:ascii="仿宋_GB2312" w:hAnsi="仿宋_GB2312" w:cs="仿宋_GB2312" w:eastAsia="仿宋_GB2312"/>
        </w:rPr>
        <w:t>详见附件：供应商承诺.docx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