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B72CD">
      <w:pPr>
        <w:pStyle w:val="2"/>
        <w:jc w:val="center"/>
        <w:rPr>
          <w:rFonts w:ascii="Times New Roman" w:hAnsi="Times New Roman" w:eastAsia="黑体"/>
          <w:b/>
          <w:sz w:val="32"/>
          <w:szCs w:val="32"/>
          <w:lang w:val="zh-CN"/>
        </w:rPr>
      </w:pPr>
      <w:r>
        <w:rPr>
          <w:rFonts w:ascii="Times New Roman" w:hAnsi="Times New Roman" w:eastAsia="黑体"/>
          <w:b/>
          <w:sz w:val="32"/>
          <w:szCs w:val="32"/>
          <w:lang w:val="zh-CN"/>
        </w:rPr>
        <w:t>合同草案条款</w:t>
      </w:r>
    </w:p>
    <w:p w14:paraId="526FF139">
      <w:pPr>
        <w:adjustRightInd w:val="0"/>
        <w:snapToGrid w:val="0"/>
        <w:spacing w:line="360" w:lineRule="auto"/>
        <w:ind w:firstLine="562" w:firstLineChars="200"/>
        <w:rPr>
          <w:rFonts w:eastAsia="仿宋_GB2312"/>
          <w:sz w:val="28"/>
          <w:szCs w:val="28"/>
        </w:rPr>
      </w:pPr>
      <w:r>
        <w:rPr>
          <w:rFonts w:eastAsia="仿宋_GB2312"/>
          <w:b/>
          <w:sz w:val="28"/>
          <w:szCs w:val="28"/>
        </w:rPr>
        <w:t>甲方：（</w:t>
      </w:r>
      <w:r>
        <w:rPr>
          <w:rFonts w:eastAsia="仿宋_GB2312"/>
          <w:sz w:val="28"/>
          <w:szCs w:val="28"/>
        </w:rPr>
        <w:t>前款所称采购人）         住所：</w:t>
      </w:r>
    </w:p>
    <w:p w14:paraId="2B85EDE0">
      <w:pPr>
        <w:adjustRightInd w:val="0"/>
        <w:snapToGrid w:val="0"/>
        <w:spacing w:line="360" w:lineRule="auto"/>
        <w:ind w:firstLine="562" w:firstLineChars="200"/>
        <w:rPr>
          <w:rFonts w:eastAsia="仿宋_GB2312"/>
          <w:sz w:val="28"/>
          <w:szCs w:val="28"/>
        </w:rPr>
      </w:pPr>
      <w:r>
        <w:rPr>
          <w:rFonts w:eastAsia="仿宋_GB2312"/>
          <w:b/>
          <w:sz w:val="28"/>
          <w:szCs w:val="28"/>
        </w:rPr>
        <w:t>乙方：</w:t>
      </w:r>
      <w:r>
        <w:rPr>
          <w:rFonts w:eastAsia="仿宋_GB2312"/>
          <w:sz w:val="28"/>
          <w:szCs w:val="28"/>
        </w:rPr>
        <w:t>（前款所称成交供应商）     住所：</w:t>
      </w:r>
    </w:p>
    <w:p w14:paraId="4C037FDE">
      <w:pPr>
        <w:adjustRightInd w:val="0"/>
        <w:snapToGrid w:val="0"/>
        <w:spacing w:line="360" w:lineRule="auto"/>
        <w:ind w:firstLine="562" w:firstLineChars="200"/>
        <w:rPr>
          <w:rFonts w:eastAsia="仿宋_GB2312"/>
          <w:b/>
          <w:sz w:val="28"/>
          <w:szCs w:val="28"/>
        </w:rPr>
      </w:pPr>
      <w:bookmarkStart w:id="0" w:name="_Toc19515384"/>
      <w:r>
        <w:rPr>
          <w:rFonts w:eastAsia="仿宋_GB2312"/>
          <w:b/>
          <w:sz w:val="28"/>
          <w:szCs w:val="28"/>
        </w:rPr>
        <w:t>一、合同内容</w:t>
      </w:r>
    </w:p>
    <w:bookmarkEnd w:id="0"/>
    <w:p w14:paraId="3D4D4B27">
      <w:pPr>
        <w:adjustRightInd w:val="0"/>
        <w:snapToGrid w:val="0"/>
        <w:spacing w:line="360" w:lineRule="auto"/>
        <w:ind w:firstLine="560" w:firstLineChars="200"/>
        <w:rPr>
          <w:rFonts w:eastAsia="仿宋_GB2312"/>
          <w:sz w:val="28"/>
          <w:szCs w:val="28"/>
          <w:lang w:val="zh-CN"/>
        </w:rPr>
      </w:pPr>
      <w:bookmarkStart w:id="1" w:name="_Toc19515385"/>
      <w:r>
        <w:rPr>
          <w:rFonts w:eastAsia="仿宋_GB2312"/>
          <w:sz w:val="28"/>
          <w:szCs w:val="28"/>
          <w:lang w:val="zh-CN"/>
        </w:rPr>
        <w:t>为曲江新区12345市民热线综合服务平台配备1</w:t>
      </w:r>
      <w:r>
        <w:rPr>
          <w:rFonts w:hint="eastAsia" w:eastAsia="仿宋_GB2312"/>
          <w:sz w:val="28"/>
          <w:szCs w:val="28"/>
          <w:lang w:val="zh-CN"/>
        </w:rPr>
        <w:t>0</w:t>
      </w:r>
      <w:r>
        <w:rPr>
          <w:rFonts w:eastAsia="仿宋_GB2312"/>
          <w:sz w:val="28"/>
          <w:szCs w:val="28"/>
          <w:lang w:val="zh-CN"/>
        </w:rPr>
        <w:t>名工作人员，实行每周7×24小时受理机制。服务团队需具有专业文案、编辑工作经验，且具有较强的沟通协调能力。负责接收市热线办转办的市民服务热线工单，及时做好工单的转办、督查、回访工作，并对承办热线的部门进行指导和协调，确保工单的按期办结率达100%，热线工单办理的过程满意率和结果满意率保持在较高水平。</w:t>
      </w:r>
    </w:p>
    <w:p w14:paraId="5948F966">
      <w:pPr>
        <w:adjustRightInd w:val="0"/>
        <w:snapToGrid w:val="0"/>
        <w:spacing w:line="360" w:lineRule="auto"/>
        <w:ind w:firstLine="562" w:firstLineChars="200"/>
        <w:rPr>
          <w:rFonts w:eastAsia="仿宋_GB2312"/>
          <w:b/>
          <w:sz w:val="28"/>
          <w:szCs w:val="28"/>
        </w:rPr>
      </w:pPr>
      <w:r>
        <w:rPr>
          <w:rFonts w:eastAsia="仿宋_GB2312"/>
          <w:b/>
          <w:sz w:val="28"/>
          <w:szCs w:val="28"/>
        </w:rPr>
        <w:t>二、合同价款</w:t>
      </w:r>
      <w:bookmarkEnd w:id="1"/>
    </w:p>
    <w:p w14:paraId="5F949CEA">
      <w:pPr>
        <w:adjustRightInd w:val="0"/>
        <w:snapToGrid w:val="0"/>
        <w:spacing w:line="360" w:lineRule="auto"/>
        <w:ind w:firstLine="560" w:firstLineChars="200"/>
        <w:rPr>
          <w:rFonts w:eastAsia="仿宋_GB2312"/>
          <w:sz w:val="28"/>
          <w:szCs w:val="28"/>
        </w:rPr>
      </w:pPr>
      <w:r>
        <w:rPr>
          <w:rFonts w:eastAsia="仿宋_GB2312"/>
          <w:sz w:val="28"/>
          <w:szCs w:val="28"/>
        </w:rPr>
        <w:t>1、合同</w:t>
      </w:r>
      <w:r>
        <w:rPr>
          <w:rFonts w:hint="eastAsia" w:eastAsia="仿宋_GB2312"/>
          <w:sz w:val="28"/>
          <w:szCs w:val="28"/>
        </w:rPr>
        <w:t>暂定</w:t>
      </w:r>
      <w:r>
        <w:rPr>
          <w:rFonts w:eastAsia="仿宋_GB2312"/>
          <w:sz w:val="28"/>
          <w:szCs w:val="28"/>
        </w:rPr>
        <w:t>总价：</w:t>
      </w:r>
    </w:p>
    <w:p w14:paraId="63549532">
      <w:pPr>
        <w:adjustRightInd w:val="0"/>
        <w:snapToGrid w:val="0"/>
        <w:spacing w:line="360" w:lineRule="auto"/>
        <w:ind w:firstLine="560" w:firstLineChars="200"/>
        <w:rPr>
          <w:rFonts w:eastAsia="仿宋_GB2312"/>
          <w:sz w:val="28"/>
          <w:szCs w:val="28"/>
        </w:rPr>
      </w:pPr>
      <w:r>
        <w:rPr>
          <w:rFonts w:eastAsia="仿宋_GB2312"/>
          <w:sz w:val="28"/>
          <w:szCs w:val="28"/>
        </w:rPr>
        <w:t>2、合同总价包括：合同范围规定的内容及其它相关服务所含的费用。</w:t>
      </w:r>
    </w:p>
    <w:p w14:paraId="157718A9">
      <w:pPr>
        <w:adjustRightInd w:val="0"/>
        <w:snapToGrid w:val="0"/>
        <w:spacing w:line="360" w:lineRule="auto"/>
        <w:ind w:firstLine="562" w:firstLineChars="200"/>
        <w:rPr>
          <w:rFonts w:eastAsia="仿宋_GB2312"/>
          <w:b/>
          <w:sz w:val="28"/>
          <w:szCs w:val="28"/>
        </w:rPr>
      </w:pPr>
      <w:bookmarkStart w:id="2" w:name="_Toc19515386"/>
      <w:r>
        <w:rPr>
          <w:rFonts w:eastAsia="仿宋_GB2312"/>
          <w:b/>
          <w:sz w:val="28"/>
          <w:szCs w:val="28"/>
        </w:rPr>
        <w:t>三、合同结算</w:t>
      </w:r>
      <w:bookmarkEnd w:id="2"/>
    </w:p>
    <w:p w14:paraId="14F9D161">
      <w:pPr>
        <w:adjustRightInd w:val="0"/>
        <w:snapToGrid w:val="0"/>
        <w:spacing w:line="360" w:lineRule="auto"/>
        <w:ind w:firstLine="560" w:firstLineChars="200"/>
        <w:rPr>
          <w:rFonts w:eastAsia="仿宋_GB2312"/>
          <w:sz w:val="28"/>
          <w:szCs w:val="28"/>
        </w:rPr>
      </w:pPr>
      <w:r>
        <w:rPr>
          <w:rFonts w:eastAsia="仿宋_GB2312"/>
          <w:sz w:val="28"/>
          <w:szCs w:val="28"/>
        </w:rPr>
        <w:t>1、资金支付条件及时间：</w:t>
      </w:r>
    </w:p>
    <w:p w14:paraId="4EE242BD">
      <w:pPr>
        <w:adjustRightInd w:val="0"/>
        <w:snapToGrid w:val="0"/>
        <w:spacing w:line="360" w:lineRule="auto"/>
        <w:ind w:firstLine="560" w:firstLineChars="200"/>
        <w:rPr>
          <w:rFonts w:eastAsia="仿宋_GB2312"/>
          <w:sz w:val="28"/>
          <w:szCs w:val="28"/>
        </w:rPr>
      </w:pPr>
      <w:r>
        <w:rPr>
          <w:rFonts w:eastAsia="仿宋_GB2312"/>
          <w:sz w:val="28"/>
          <w:szCs w:val="28"/>
        </w:rPr>
        <w:t>1-1、签订合同后按合同金额每月末结算一次，结算金额按乙方每月实际提供的实际费用标准据实结算。</w:t>
      </w:r>
    </w:p>
    <w:p w14:paraId="592737F5">
      <w:pPr>
        <w:adjustRightInd w:val="0"/>
        <w:snapToGrid w:val="0"/>
        <w:spacing w:line="360" w:lineRule="auto"/>
        <w:ind w:firstLine="560" w:firstLineChars="200"/>
        <w:rPr>
          <w:rFonts w:eastAsia="仿宋_GB2312"/>
          <w:sz w:val="28"/>
          <w:szCs w:val="28"/>
        </w:rPr>
      </w:pPr>
      <w:r>
        <w:rPr>
          <w:rFonts w:eastAsia="仿宋_GB2312"/>
          <w:sz w:val="28"/>
          <w:szCs w:val="28"/>
        </w:rPr>
        <w:t>1-2、每月25日双方进行结算服务费用，经甲方核算无误后，</w:t>
      </w:r>
      <w:r>
        <w:rPr>
          <w:rFonts w:hint="eastAsia" w:eastAsia="仿宋_GB2312"/>
          <w:sz w:val="28"/>
          <w:szCs w:val="28"/>
          <w:lang w:val="en-US" w:eastAsia="zh-CN"/>
        </w:rPr>
        <w:t>按结算金额</w:t>
      </w:r>
      <w:bookmarkStart w:id="11" w:name="_GoBack"/>
      <w:bookmarkEnd w:id="11"/>
      <w:r>
        <w:rPr>
          <w:rFonts w:eastAsia="仿宋_GB2312"/>
          <w:sz w:val="28"/>
          <w:szCs w:val="28"/>
        </w:rPr>
        <w:t>乙方向甲方提供该月等额正式发票，甲方收到发票后在次月向乙方支付该笔结算后的服务费用。</w:t>
      </w:r>
    </w:p>
    <w:p w14:paraId="509A900A">
      <w:pPr>
        <w:adjustRightInd w:val="0"/>
        <w:snapToGrid w:val="0"/>
        <w:spacing w:line="360" w:lineRule="auto"/>
        <w:ind w:firstLine="560" w:firstLineChars="200"/>
        <w:rPr>
          <w:rFonts w:eastAsia="仿宋_GB2312"/>
          <w:sz w:val="28"/>
          <w:szCs w:val="28"/>
        </w:rPr>
      </w:pPr>
      <w:r>
        <w:rPr>
          <w:rFonts w:eastAsia="仿宋_GB2312"/>
          <w:sz w:val="28"/>
          <w:szCs w:val="28"/>
        </w:rPr>
        <w:t>2、结算方式：银行转账。</w:t>
      </w:r>
    </w:p>
    <w:p w14:paraId="5494A7E6">
      <w:pPr>
        <w:adjustRightInd w:val="0"/>
        <w:snapToGrid w:val="0"/>
        <w:spacing w:line="360" w:lineRule="auto"/>
        <w:ind w:firstLine="560" w:firstLineChars="200"/>
        <w:rPr>
          <w:rFonts w:eastAsia="仿宋_GB2312"/>
          <w:sz w:val="28"/>
          <w:szCs w:val="28"/>
        </w:rPr>
      </w:pPr>
      <w:r>
        <w:rPr>
          <w:rFonts w:eastAsia="仿宋_GB2312"/>
          <w:sz w:val="28"/>
          <w:szCs w:val="28"/>
        </w:rPr>
        <w:t>3、结算单位：由</w:t>
      </w:r>
      <w:r>
        <w:rPr>
          <w:rFonts w:eastAsia="仿宋_GB2312"/>
          <w:sz w:val="28"/>
          <w:szCs w:val="28"/>
          <w:u w:val="single"/>
        </w:rPr>
        <w:t xml:space="preserve"> 采购人 </w:t>
      </w:r>
      <w:r>
        <w:rPr>
          <w:rFonts w:eastAsia="仿宋_GB2312"/>
          <w:sz w:val="28"/>
          <w:szCs w:val="28"/>
        </w:rPr>
        <w:t>负责结算，乙方开具合同总价数的全额发票交采购人。</w:t>
      </w:r>
      <w:bookmarkStart w:id="3" w:name="_Toc19515387"/>
    </w:p>
    <w:p w14:paraId="65F9FB58">
      <w:pPr>
        <w:adjustRightInd w:val="0"/>
        <w:snapToGrid w:val="0"/>
        <w:spacing w:line="360" w:lineRule="auto"/>
        <w:ind w:firstLine="562" w:firstLineChars="200"/>
        <w:rPr>
          <w:rFonts w:eastAsia="仿宋_GB2312"/>
          <w:b/>
          <w:sz w:val="28"/>
          <w:szCs w:val="28"/>
        </w:rPr>
      </w:pPr>
      <w:r>
        <w:rPr>
          <w:rFonts w:eastAsia="仿宋_GB2312"/>
          <w:b/>
          <w:sz w:val="28"/>
          <w:szCs w:val="28"/>
        </w:rPr>
        <w:t>四、履行期限、地点及方式:</w:t>
      </w:r>
      <w:bookmarkEnd w:id="3"/>
    </w:p>
    <w:p w14:paraId="422C422D">
      <w:pPr>
        <w:adjustRightInd w:val="0"/>
        <w:snapToGrid w:val="0"/>
        <w:spacing w:line="360" w:lineRule="auto"/>
        <w:ind w:firstLine="560" w:firstLineChars="200"/>
        <w:rPr>
          <w:rFonts w:eastAsia="仿宋_GB2312"/>
          <w:sz w:val="28"/>
          <w:szCs w:val="28"/>
        </w:rPr>
      </w:pPr>
      <w:r>
        <w:rPr>
          <w:rFonts w:eastAsia="仿宋_GB2312"/>
          <w:sz w:val="28"/>
          <w:szCs w:val="28"/>
        </w:rPr>
        <w:t>1、履行期限：自合同签订之日起一年。</w:t>
      </w:r>
    </w:p>
    <w:p w14:paraId="36F37EB5">
      <w:pPr>
        <w:adjustRightInd w:val="0"/>
        <w:snapToGrid w:val="0"/>
        <w:spacing w:line="360" w:lineRule="auto"/>
        <w:ind w:firstLine="560" w:firstLineChars="200"/>
        <w:rPr>
          <w:rFonts w:eastAsia="仿宋_GB2312"/>
          <w:sz w:val="28"/>
          <w:szCs w:val="28"/>
        </w:rPr>
      </w:pPr>
      <w:r>
        <w:rPr>
          <w:rFonts w:eastAsia="仿宋_GB2312"/>
          <w:sz w:val="28"/>
          <w:szCs w:val="28"/>
        </w:rPr>
        <w:t>2、地点：采购人指定地点</w:t>
      </w:r>
    </w:p>
    <w:p w14:paraId="3650AEBC">
      <w:pPr>
        <w:adjustRightInd w:val="0"/>
        <w:snapToGrid w:val="0"/>
        <w:spacing w:line="360" w:lineRule="auto"/>
        <w:ind w:firstLine="560" w:firstLineChars="200"/>
        <w:rPr>
          <w:rFonts w:eastAsia="仿宋_GB2312"/>
          <w:sz w:val="28"/>
          <w:szCs w:val="28"/>
        </w:rPr>
      </w:pPr>
      <w:r>
        <w:rPr>
          <w:rFonts w:eastAsia="仿宋_GB2312"/>
          <w:sz w:val="28"/>
          <w:szCs w:val="28"/>
        </w:rPr>
        <w:t>3、方式：</w:t>
      </w:r>
      <w:bookmarkStart w:id="4" w:name="_Toc19515388"/>
      <w:r>
        <w:rPr>
          <w:rFonts w:eastAsia="仿宋_GB2312"/>
          <w:sz w:val="28"/>
          <w:szCs w:val="28"/>
        </w:rPr>
        <w:t>采购人指定方式</w:t>
      </w:r>
    </w:p>
    <w:bookmarkEnd w:id="4"/>
    <w:p w14:paraId="504C38FD">
      <w:pPr>
        <w:adjustRightInd w:val="0"/>
        <w:snapToGrid w:val="0"/>
        <w:spacing w:line="360" w:lineRule="auto"/>
        <w:ind w:firstLine="562" w:firstLineChars="200"/>
        <w:rPr>
          <w:rFonts w:eastAsia="仿宋_GB2312"/>
          <w:sz w:val="28"/>
          <w:szCs w:val="28"/>
        </w:rPr>
      </w:pPr>
      <w:bookmarkStart w:id="5" w:name="_Toc19515389"/>
      <w:r>
        <w:rPr>
          <w:rFonts w:eastAsia="仿宋_GB2312"/>
          <w:b/>
          <w:sz w:val="28"/>
          <w:szCs w:val="28"/>
        </w:rPr>
        <w:t>五、</w:t>
      </w:r>
      <w:r>
        <w:rPr>
          <w:rFonts w:eastAsia="仿宋_GB2312"/>
          <w:b/>
          <w:bCs/>
          <w:sz w:val="28"/>
          <w:szCs w:val="28"/>
        </w:rPr>
        <w:t>服务工作要求和</w:t>
      </w:r>
      <w:r>
        <w:rPr>
          <w:rFonts w:eastAsia="仿宋_GB2312"/>
          <w:b/>
          <w:sz w:val="28"/>
          <w:szCs w:val="28"/>
        </w:rPr>
        <w:t>质量保证</w:t>
      </w:r>
      <w:bookmarkEnd w:id="5"/>
    </w:p>
    <w:p w14:paraId="173321D2">
      <w:pPr>
        <w:adjustRightInd w:val="0"/>
        <w:snapToGrid w:val="0"/>
        <w:spacing w:line="360" w:lineRule="auto"/>
        <w:ind w:firstLine="560" w:firstLineChars="200"/>
        <w:rPr>
          <w:rFonts w:eastAsia="仿宋_GB2312"/>
          <w:sz w:val="28"/>
          <w:szCs w:val="28"/>
        </w:rPr>
      </w:pPr>
      <w:r>
        <w:rPr>
          <w:rFonts w:eastAsia="仿宋_GB2312"/>
          <w:sz w:val="28"/>
          <w:szCs w:val="28"/>
        </w:rPr>
        <w:t>1、认真、及时办理市热线办转办的市民服务热线工单，确保工单的按期办结率达到100%，热线工单办理的过程满意率和结果满意率保持在较高水平。具体要求如下：</w:t>
      </w:r>
    </w:p>
    <w:p w14:paraId="1FA53BF3">
      <w:pPr>
        <w:adjustRightInd w:val="0"/>
        <w:snapToGrid w:val="0"/>
        <w:spacing w:line="360" w:lineRule="auto"/>
        <w:ind w:firstLine="560" w:firstLineChars="200"/>
        <w:rPr>
          <w:rFonts w:eastAsia="仿宋_GB2312"/>
          <w:sz w:val="28"/>
          <w:szCs w:val="28"/>
        </w:rPr>
      </w:pPr>
      <w:r>
        <w:rPr>
          <w:rFonts w:eastAsia="仿宋_GB2312"/>
          <w:sz w:val="28"/>
          <w:szCs w:val="28"/>
        </w:rPr>
        <w:t>1-1</w:t>
      </w:r>
      <w:r>
        <w:rPr>
          <w:rFonts w:eastAsia="仿宋_GB2312"/>
          <w:sz w:val="28"/>
          <w:szCs w:val="28"/>
          <w:lang w:val="zh-CN"/>
        </w:rPr>
        <w:t>、</w:t>
      </w:r>
      <w:r>
        <w:rPr>
          <w:rFonts w:eastAsia="仿宋_GB2312"/>
          <w:sz w:val="28"/>
          <w:szCs w:val="28"/>
        </w:rPr>
        <w:t>负责接受市级平台派发的工单，工作期间必须在2小时内确认交办事项，非工作期间必须在4小时内确认交办事项。</w:t>
      </w:r>
    </w:p>
    <w:p w14:paraId="20F997C5">
      <w:pPr>
        <w:adjustRightInd w:val="0"/>
        <w:snapToGrid w:val="0"/>
        <w:spacing w:line="360" w:lineRule="auto"/>
        <w:ind w:firstLine="560" w:firstLineChars="200"/>
        <w:rPr>
          <w:rFonts w:eastAsia="仿宋_GB2312"/>
          <w:sz w:val="28"/>
          <w:szCs w:val="28"/>
        </w:rPr>
      </w:pPr>
      <w:r>
        <w:rPr>
          <w:rFonts w:eastAsia="仿宋_GB2312"/>
          <w:sz w:val="28"/>
          <w:szCs w:val="28"/>
        </w:rPr>
        <w:t>1-2、负责对工单内容进行研判，及时将工单转发给各承办单位。</w:t>
      </w:r>
    </w:p>
    <w:p w14:paraId="224026C7">
      <w:pPr>
        <w:adjustRightInd w:val="0"/>
        <w:snapToGrid w:val="0"/>
        <w:spacing w:line="360" w:lineRule="auto"/>
        <w:ind w:firstLine="560" w:firstLineChars="200"/>
        <w:rPr>
          <w:rFonts w:eastAsia="仿宋_GB2312"/>
          <w:sz w:val="28"/>
          <w:szCs w:val="28"/>
        </w:rPr>
      </w:pPr>
      <w:r>
        <w:rPr>
          <w:rFonts w:eastAsia="仿宋_GB2312"/>
          <w:sz w:val="28"/>
          <w:szCs w:val="28"/>
        </w:rPr>
        <w:t>1-3、负责对市级平台转派的工单进行核实，将不属于本单位办理的工单及时退回。</w:t>
      </w:r>
    </w:p>
    <w:p w14:paraId="121C5B57">
      <w:pPr>
        <w:adjustRightInd w:val="0"/>
        <w:snapToGrid w:val="0"/>
        <w:spacing w:line="360" w:lineRule="auto"/>
        <w:ind w:firstLine="560" w:firstLineChars="200"/>
        <w:rPr>
          <w:rFonts w:eastAsia="仿宋_GB2312"/>
          <w:sz w:val="28"/>
          <w:szCs w:val="28"/>
        </w:rPr>
      </w:pPr>
      <w:r>
        <w:rPr>
          <w:rFonts w:eastAsia="仿宋_GB2312"/>
          <w:sz w:val="28"/>
          <w:szCs w:val="28"/>
        </w:rPr>
        <w:t>1-4、负责对承办部门办理工单进度进行督办、催单。</w:t>
      </w:r>
    </w:p>
    <w:p w14:paraId="64E8D12D">
      <w:pPr>
        <w:adjustRightInd w:val="0"/>
        <w:snapToGrid w:val="0"/>
        <w:spacing w:line="360" w:lineRule="auto"/>
        <w:ind w:firstLine="560" w:firstLineChars="200"/>
        <w:rPr>
          <w:rFonts w:eastAsia="仿宋_GB2312"/>
          <w:sz w:val="28"/>
          <w:szCs w:val="28"/>
        </w:rPr>
      </w:pPr>
      <w:r>
        <w:rPr>
          <w:rFonts w:eastAsia="仿宋_GB2312"/>
          <w:sz w:val="28"/>
          <w:szCs w:val="28"/>
        </w:rPr>
        <w:t>1-5、负责对承接的工单进行统计、分析。</w:t>
      </w:r>
    </w:p>
    <w:p w14:paraId="52AD8A81">
      <w:pPr>
        <w:adjustRightInd w:val="0"/>
        <w:snapToGrid w:val="0"/>
        <w:spacing w:line="360" w:lineRule="auto"/>
        <w:ind w:firstLine="560" w:firstLineChars="200"/>
        <w:rPr>
          <w:rFonts w:eastAsia="仿宋_GB2312"/>
          <w:sz w:val="28"/>
          <w:szCs w:val="28"/>
        </w:rPr>
      </w:pPr>
      <w:r>
        <w:rPr>
          <w:rFonts w:eastAsia="仿宋_GB2312"/>
          <w:sz w:val="28"/>
          <w:szCs w:val="28"/>
        </w:rPr>
        <w:t>1-6、负责在交接工作时明确交接工单内容与办理进度。</w:t>
      </w:r>
    </w:p>
    <w:p w14:paraId="66A76AED">
      <w:pPr>
        <w:adjustRightInd w:val="0"/>
        <w:snapToGrid w:val="0"/>
        <w:spacing w:line="360" w:lineRule="auto"/>
        <w:ind w:firstLine="560" w:firstLineChars="200"/>
        <w:rPr>
          <w:rFonts w:eastAsia="仿宋_GB2312"/>
          <w:sz w:val="28"/>
          <w:szCs w:val="28"/>
        </w:rPr>
      </w:pPr>
      <w:r>
        <w:rPr>
          <w:rFonts w:eastAsia="仿宋_GB2312"/>
          <w:sz w:val="28"/>
          <w:szCs w:val="28"/>
        </w:rPr>
        <w:t>2、执行每周7天，每天24小时受理机制，乙方依据甲方工作实际需要，合理安排排班。</w:t>
      </w:r>
    </w:p>
    <w:p w14:paraId="3FBDEDCC">
      <w:pPr>
        <w:adjustRightInd w:val="0"/>
        <w:snapToGrid w:val="0"/>
        <w:spacing w:line="360" w:lineRule="auto"/>
        <w:ind w:firstLine="560" w:firstLineChars="200"/>
        <w:rPr>
          <w:rFonts w:eastAsia="仿宋_GB2312"/>
          <w:sz w:val="28"/>
          <w:szCs w:val="28"/>
        </w:rPr>
      </w:pPr>
      <w:r>
        <w:rPr>
          <w:rFonts w:eastAsia="仿宋_GB2312"/>
          <w:sz w:val="28"/>
          <w:szCs w:val="28"/>
        </w:rPr>
        <w:t>3、乙方配备10名业务员组成服务团队，</w:t>
      </w:r>
      <w:r>
        <w:rPr>
          <w:rFonts w:hint="eastAsia" w:eastAsia="仿宋_GB2312"/>
          <w:sz w:val="28"/>
          <w:szCs w:val="28"/>
        </w:rPr>
        <w:t>并对业务人员提供专业培训。</w:t>
      </w:r>
      <w:r>
        <w:rPr>
          <w:rFonts w:eastAsia="仿宋_GB2312"/>
          <w:sz w:val="28"/>
          <w:szCs w:val="28"/>
        </w:rPr>
        <w:t>具体执行情况可在项目预算范围内依照甲方需求调整。</w:t>
      </w:r>
    </w:p>
    <w:p w14:paraId="745893EE">
      <w:pPr>
        <w:adjustRightInd w:val="0"/>
        <w:snapToGrid w:val="0"/>
        <w:spacing w:line="360" w:lineRule="auto"/>
        <w:ind w:firstLine="560" w:firstLineChars="200"/>
        <w:rPr>
          <w:rFonts w:eastAsia="仿宋_GB2312"/>
          <w:sz w:val="28"/>
          <w:szCs w:val="28"/>
        </w:rPr>
      </w:pPr>
      <w:r>
        <w:rPr>
          <w:rFonts w:eastAsia="仿宋_GB2312"/>
          <w:sz w:val="28"/>
          <w:szCs w:val="28"/>
        </w:rPr>
        <w:t>4、服务团队需具有专业文案、编辑工作经验，且具有较强的沟通协调能力。</w:t>
      </w:r>
    </w:p>
    <w:p w14:paraId="05301617">
      <w:pPr>
        <w:adjustRightInd w:val="0"/>
        <w:snapToGrid w:val="0"/>
        <w:spacing w:line="360" w:lineRule="auto"/>
        <w:ind w:left="559" w:leftChars="266"/>
        <w:rPr>
          <w:rFonts w:eastAsia="仿宋_GB2312"/>
          <w:bCs/>
          <w:sz w:val="28"/>
          <w:szCs w:val="28"/>
        </w:rPr>
      </w:pPr>
      <w:r>
        <w:rPr>
          <w:rFonts w:eastAsia="仿宋_GB2312"/>
          <w:b/>
          <w:sz w:val="28"/>
          <w:szCs w:val="28"/>
        </w:rPr>
        <w:t>六、其他事项：</w:t>
      </w:r>
    </w:p>
    <w:p w14:paraId="20CC10F4">
      <w:pPr>
        <w:adjustRightInd w:val="0"/>
        <w:snapToGrid w:val="0"/>
        <w:spacing w:line="360" w:lineRule="auto"/>
        <w:ind w:firstLine="560" w:firstLineChars="200"/>
        <w:rPr>
          <w:rFonts w:eastAsia="仿宋_GB2312"/>
          <w:bCs/>
          <w:sz w:val="28"/>
          <w:szCs w:val="28"/>
        </w:rPr>
      </w:pPr>
      <w:r>
        <w:rPr>
          <w:rFonts w:eastAsia="仿宋_GB2312"/>
          <w:bCs/>
          <w:sz w:val="28"/>
          <w:szCs w:val="28"/>
        </w:rPr>
        <w:t>1、成交单位不得转让、分包给其它单位或个人。</w:t>
      </w:r>
    </w:p>
    <w:p w14:paraId="4FB314A4">
      <w:pPr>
        <w:adjustRightInd w:val="0"/>
        <w:snapToGrid w:val="0"/>
        <w:spacing w:line="360" w:lineRule="auto"/>
        <w:ind w:firstLine="560" w:firstLineChars="200"/>
        <w:rPr>
          <w:rFonts w:eastAsia="仿宋_GB2312"/>
          <w:bCs/>
          <w:sz w:val="28"/>
          <w:szCs w:val="28"/>
        </w:rPr>
      </w:pPr>
      <w:r>
        <w:rPr>
          <w:rFonts w:eastAsia="仿宋_GB2312"/>
          <w:bCs/>
          <w:sz w:val="28"/>
          <w:szCs w:val="28"/>
        </w:rPr>
        <w:t>2、成交单位的响应文件和承诺等内容将列入合同。</w:t>
      </w:r>
    </w:p>
    <w:p w14:paraId="242BB3AB">
      <w:pPr>
        <w:adjustRightInd w:val="0"/>
        <w:snapToGrid w:val="0"/>
        <w:spacing w:line="360" w:lineRule="auto"/>
        <w:ind w:firstLine="562" w:firstLineChars="200"/>
        <w:rPr>
          <w:rFonts w:eastAsia="仿宋_GB2312"/>
          <w:b/>
          <w:sz w:val="28"/>
          <w:szCs w:val="28"/>
        </w:rPr>
      </w:pPr>
      <w:r>
        <w:rPr>
          <w:rFonts w:eastAsia="仿宋_GB2312"/>
          <w:b/>
          <w:sz w:val="28"/>
          <w:szCs w:val="28"/>
        </w:rPr>
        <w:t>七、甲方的权利和义务</w:t>
      </w:r>
    </w:p>
    <w:p w14:paraId="3B9863AA">
      <w:pPr>
        <w:adjustRightInd w:val="0"/>
        <w:snapToGrid w:val="0"/>
        <w:spacing w:line="360" w:lineRule="auto"/>
        <w:ind w:firstLine="560" w:firstLineChars="200"/>
        <w:rPr>
          <w:rFonts w:eastAsia="仿宋_GB2312"/>
          <w:sz w:val="28"/>
          <w:szCs w:val="28"/>
        </w:rPr>
      </w:pPr>
      <w:r>
        <w:rPr>
          <w:rFonts w:eastAsia="仿宋_GB2312"/>
          <w:sz w:val="28"/>
          <w:szCs w:val="28"/>
        </w:rPr>
        <w:t>1、乙方服务人员有以下情形之一的，甲方可立即通知并退回乙方，且由乙方更换合格服务人员，甲方可视情况追究其相关法律责任和经济损失：</w:t>
      </w:r>
    </w:p>
    <w:p w14:paraId="6034419B">
      <w:pPr>
        <w:adjustRightInd w:val="0"/>
        <w:snapToGrid w:val="0"/>
        <w:spacing w:line="360" w:lineRule="auto"/>
        <w:ind w:firstLine="560" w:firstLineChars="200"/>
        <w:rPr>
          <w:rFonts w:eastAsia="仿宋_GB2312"/>
          <w:sz w:val="28"/>
          <w:szCs w:val="28"/>
        </w:rPr>
      </w:pPr>
      <w:r>
        <w:rPr>
          <w:rFonts w:eastAsia="仿宋_GB2312"/>
          <w:sz w:val="28"/>
          <w:szCs w:val="28"/>
        </w:rPr>
        <w:t>1-1、严重违反甲方劳动纪律、规章制度的；</w:t>
      </w:r>
    </w:p>
    <w:p w14:paraId="4FC5B0C6">
      <w:pPr>
        <w:adjustRightInd w:val="0"/>
        <w:snapToGrid w:val="0"/>
        <w:spacing w:line="360" w:lineRule="auto"/>
        <w:ind w:firstLine="560" w:firstLineChars="200"/>
        <w:rPr>
          <w:rFonts w:eastAsia="仿宋_GB2312"/>
          <w:sz w:val="28"/>
          <w:szCs w:val="28"/>
        </w:rPr>
      </w:pPr>
      <w:r>
        <w:rPr>
          <w:rFonts w:eastAsia="仿宋_GB2312"/>
          <w:sz w:val="28"/>
          <w:szCs w:val="28"/>
        </w:rPr>
        <w:t>1-2、工作严重失职，给甲方造成重大损失的；</w:t>
      </w:r>
    </w:p>
    <w:p w14:paraId="6E1B711F">
      <w:pPr>
        <w:adjustRightInd w:val="0"/>
        <w:snapToGrid w:val="0"/>
        <w:spacing w:line="360" w:lineRule="auto"/>
        <w:ind w:firstLine="560" w:firstLineChars="200"/>
        <w:rPr>
          <w:rFonts w:eastAsia="仿宋_GB2312"/>
          <w:sz w:val="28"/>
          <w:szCs w:val="28"/>
        </w:rPr>
      </w:pPr>
      <w:r>
        <w:rPr>
          <w:rFonts w:eastAsia="仿宋_GB2312"/>
          <w:sz w:val="28"/>
          <w:szCs w:val="28"/>
        </w:rPr>
        <w:t>1-3、泄露甲方机密或者违反甲方保密规定，给甲方造成损失的；</w:t>
      </w:r>
    </w:p>
    <w:p w14:paraId="2DCFA042">
      <w:pPr>
        <w:adjustRightInd w:val="0"/>
        <w:snapToGrid w:val="0"/>
        <w:spacing w:line="360" w:lineRule="auto"/>
        <w:ind w:firstLine="560" w:firstLineChars="200"/>
        <w:rPr>
          <w:rFonts w:eastAsia="仿宋_GB2312"/>
          <w:sz w:val="28"/>
          <w:szCs w:val="28"/>
        </w:rPr>
      </w:pPr>
      <w:r>
        <w:rPr>
          <w:rFonts w:eastAsia="仿宋_GB2312"/>
          <w:sz w:val="28"/>
          <w:szCs w:val="28"/>
        </w:rPr>
        <w:t>1-4、乙方服务人员因身体原因、精神原因不能胜任甲方工作需要的。</w:t>
      </w:r>
    </w:p>
    <w:p w14:paraId="1143D055">
      <w:pPr>
        <w:adjustRightInd w:val="0"/>
        <w:snapToGrid w:val="0"/>
        <w:spacing w:line="360" w:lineRule="auto"/>
        <w:ind w:firstLine="560" w:firstLineChars="200"/>
        <w:rPr>
          <w:rFonts w:eastAsia="仿宋_GB2312"/>
          <w:sz w:val="28"/>
          <w:szCs w:val="28"/>
        </w:rPr>
      </w:pPr>
      <w:r>
        <w:rPr>
          <w:rFonts w:eastAsia="仿宋_GB2312"/>
          <w:sz w:val="28"/>
          <w:szCs w:val="28"/>
        </w:rPr>
        <w:t>2、甲方须为乙方委派员工提供必需的工作条件。</w:t>
      </w:r>
    </w:p>
    <w:p w14:paraId="719C03E0">
      <w:pPr>
        <w:adjustRightInd w:val="0"/>
        <w:snapToGrid w:val="0"/>
        <w:spacing w:line="360" w:lineRule="auto"/>
        <w:ind w:firstLine="560" w:firstLineChars="200"/>
        <w:rPr>
          <w:rFonts w:eastAsia="仿宋_GB2312"/>
          <w:sz w:val="28"/>
          <w:szCs w:val="28"/>
        </w:rPr>
      </w:pPr>
      <w:r>
        <w:rPr>
          <w:rFonts w:eastAsia="仿宋_GB2312"/>
          <w:sz w:val="28"/>
          <w:szCs w:val="28"/>
        </w:rPr>
        <w:t>3、负责乙方服务员工的考勤记录。</w:t>
      </w:r>
    </w:p>
    <w:p w14:paraId="094D8EA8">
      <w:pPr>
        <w:adjustRightInd w:val="0"/>
        <w:snapToGrid w:val="0"/>
        <w:spacing w:line="360" w:lineRule="auto"/>
        <w:ind w:firstLine="560" w:firstLineChars="200"/>
        <w:rPr>
          <w:rFonts w:eastAsia="仿宋_GB2312"/>
          <w:sz w:val="28"/>
          <w:szCs w:val="28"/>
        </w:rPr>
      </w:pPr>
      <w:r>
        <w:rPr>
          <w:rFonts w:eastAsia="仿宋_GB2312"/>
          <w:sz w:val="28"/>
          <w:szCs w:val="28"/>
        </w:rPr>
        <w:t>4、甲方对乙方的服务人员及乙方提供的服务有监督建议的权利。</w:t>
      </w:r>
    </w:p>
    <w:p w14:paraId="7F667441">
      <w:pPr>
        <w:adjustRightInd w:val="0"/>
        <w:snapToGrid w:val="0"/>
        <w:spacing w:line="360" w:lineRule="auto"/>
        <w:ind w:firstLine="560" w:firstLineChars="200"/>
        <w:rPr>
          <w:rFonts w:eastAsia="仿宋_GB2312"/>
          <w:sz w:val="28"/>
          <w:szCs w:val="28"/>
        </w:rPr>
      </w:pPr>
      <w:r>
        <w:rPr>
          <w:rFonts w:eastAsia="仿宋_GB2312"/>
          <w:sz w:val="28"/>
          <w:szCs w:val="28"/>
        </w:rPr>
        <w:t>5、国家法律、法规所规定由甲方承担的其它责任。</w:t>
      </w:r>
    </w:p>
    <w:p w14:paraId="1886EEC8">
      <w:pPr>
        <w:adjustRightInd w:val="0"/>
        <w:snapToGrid w:val="0"/>
        <w:spacing w:line="360" w:lineRule="auto"/>
        <w:ind w:firstLine="562" w:firstLineChars="200"/>
        <w:rPr>
          <w:rFonts w:eastAsia="仿宋_GB2312"/>
          <w:sz w:val="28"/>
          <w:szCs w:val="28"/>
        </w:rPr>
      </w:pPr>
      <w:r>
        <w:rPr>
          <w:rFonts w:eastAsia="仿宋_GB2312"/>
          <w:b/>
          <w:sz w:val="28"/>
          <w:szCs w:val="28"/>
        </w:rPr>
        <w:t>八、乙方的权利和义务</w:t>
      </w:r>
    </w:p>
    <w:p w14:paraId="0B832A3A">
      <w:pPr>
        <w:adjustRightInd w:val="0"/>
        <w:snapToGrid w:val="0"/>
        <w:spacing w:line="360" w:lineRule="auto"/>
        <w:ind w:firstLine="560" w:firstLineChars="200"/>
        <w:rPr>
          <w:rFonts w:eastAsia="仿宋_GB2312"/>
          <w:sz w:val="28"/>
          <w:szCs w:val="28"/>
        </w:rPr>
      </w:pPr>
      <w:r>
        <w:rPr>
          <w:rFonts w:eastAsia="仿宋_GB2312"/>
          <w:sz w:val="28"/>
          <w:szCs w:val="28"/>
        </w:rPr>
        <w:t>1、委派其间乙方应依据其管理制度负责服务人员的薪酬及福利。乙方工作人员在服务期间发生的人身及财产损害，由乙方自行负责。</w:t>
      </w:r>
    </w:p>
    <w:p w14:paraId="41F7B60E">
      <w:pPr>
        <w:adjustRightInd w:val="0"/>
        <w:snapToGrid w:val="0"/>
        <w:spacing w:line="360" w:lineRule="auto"/>
        <w:ind w:firstLine="560" w:firstLineChars="200"/>
        <w:rPr>
          <w:rFonts w:eastAsia="仿宋_GB2312"/>
          <w:sz w:val="28"/>
          <w:szCs w:val="28"/>
        </w:rPr>
      </w:pPr>
      <w:r>
        <w:rPr>
          <w:rFonts w:eastAsia="仿宋_GB2312"/>
          <w:sz w:val="28"/>
          <w:szCs w:val="28"/>
        </w:rPr>
        <w:t>2、乙方如根据工作需要，决定将服务人员岗位进行调整，应提前30个工作日通知甲方，同时替换甲方认可的服务人员。</w:t>
      </w:r>
    </w:p>
    <w:p w14:paraId="57101FC2">
      <w:pPr>
        <w:adjustRightInd w:val="0"/>
        <w:snapToGrid w:val="0"/>
        <w:spacing w:line="360" w:lineRule="auto"/>
        <w:ind w:firstLine="560" w:firstLineChars="200"/>
        <w:rPr>
          <w:rFonts w:eastAsia="仿宋_GB2312"/>
          <w:sz w:val="28"/>
          <w:szCs w:val="28"/>
        </w:rPr>
      </w:pPr>
      <w:r>
        <w:rPr>
          <w:rFonts w:eastAsia="仿宋_GB2312"/>
          <w:sz w:val="28"/>
          <w:szCs w:val="28"/>
        </w:rPr>
        <w:t>3、接受甲方对乙方服务人员及乙方提供服务的监督。</w:t>
      </w:r>
    </w:p>
    <w:p w14:paraId="209F4C2A">
      <w:pPr>
        <w:adjustRightInd w:val="0"/>
        <w:snapToGrid w:val="0"/>
        <w:spacing w:line="360" w:lineRule="auto"/>
        <w:ind w:firstLine="560" w:firstLineChars="200"/>
        <w:rPr>
          <w:rFonts w:eastAsia="仿宋_GB2312"/>
          <w:sz w:val="28"/>
          <w:szCs w:val="28"/>
        </w:rPr>
      </w:pPr>
      <w:r>
        <w:rPr>
          <w:rFonts w:eastAsia="仿宋_GB2312"/>
          <w:sz w:val="28"/>
          <w:szCs w:val="28"/>
        </w:rPr>
        <w:t>4、国家法律、法规所规定由乙方承担的其它责任。</w:t>
      </w:r>
      <w:bookmarkStart w:id="6" w:name="_Toc19515391"/>
    </w:p>
    <w:p w14:paraId="1A39B64F">
      <w:pPr>
        <w:adjustRightInd w:val="0"/>
        <w:snapToGrid w:val="0"/>
        <w:spacing w:line="360" w:lineRule="auto"/>
        <w:ind w:firstLine="562" w:firstLineChars="200"/>
        <w:rPr>
          <w:rFonts w:eastAsia="仿宋_GB2312"/>
          <w:b/>
          <w:sz w:val="28"/>
          <w:szCs w:val="28"/>
        </w:rPr>
      </w:pPr>
      <w:r>
        <w:rPr>
          <w:rFonts w:eastAsia="仿宋_GB2312"/>
          <w:b/>
          <w:sz w:val="28"/>
          <w:szCs w:val="28"/>
        </w:rPr>
        <w:t>九、验收</w:t>
      </w:r>
      <w:bookmarkEnd w:id="6"/>
      <w:r>
        <w:rPr>
          <w:rFonts w:eastAsia="仿宋_GB2312"/>
          <w:b/>
          <w:sz w:val="28"/>
          <w:szCs w:val="28"/>
        </w:rPr>
        <w:t>要求</w:t>
      </w:r>
    </w:p>
    <w:p w14:paraId="3313C061">
      <w:pPr>
        <w:adjustRightInd w:val="0"/>
        <w:snapToGrid w:val="0"/>
        <w:spacing w:line="360" w:lineRule="auto"/>
        <w:ind w:firstLine="560" w:firstLineChars="200"/>
        <w:rPr>
          <w:rFonts w:eastAsia="仿宋_GB2312"/>
          <w:sz w:val="28"/>
          <w:szCs w:val="28"/>
        </w:rPr>
      </w:pPr>
      <w:bookmarkStart w:id="7" w:name="_Toc19515392"/>
      <w:r>
        <w:rPr>
          <w:rFonts w:eastAsia="仿宋_GB2312"/>
          <w:sz w:val="28"/>
          <w:szCs w:val="28"/>
        </w:rPr>
        <w:t>1、每月底由采购人对其进行服务质量验收。</w:t>
      </w:r>
    </w:p>
    <w:p w14:paraId="17C80E40">
      <w:pPr>
        <w:adjustRightInd w:val="0"/>
        <w:snapToGrid w:val="0"/>
        <w:spacing w:line="360" w:lineRule="auto"/>
        <w:ind w:firstLine="560" w:firstLineChars="200"/>
        <w:rPr>
          <w:rFonts w:eastAsia="仿宋_GB2312"/>
          <w:sz w:val="28"/>
          <w:szCs w:val="28"/>
        </w:rPr>
      </w:pPr>
      <w:r>
        <w:rPr>
          <w:rFonts w:eastAsia="仿宋_GB2312"/>
          <w:sz w:val="28"/>
          <w:szCs w:val="28"/>
        </w:rPr>
        <w:t>2、验收依据：</w:t>
      </w:r>
    </w:p>
    <w:p w14:paraId="70D76BE3">
      <w:pPr>
        <w:adjustRightInd w:val="0"/>
        <w:snapToGrid w:val="0"/>
        <w:spacing w:line="360" w:lineRule="auto"/>
        <w:ind w:firstLine="560" w:firstLineChars="200"/>
        <w:rPr>
          <w:rFonts w:eastAsia="仿宋_GB2312"/>
          <w:sz w:val="28"/>
          <w:szCs w:val="28"/>
        </w:rPr>
      </w:pPr>
      <w:r>
        <w:rPr>
          <w:rFonts w:eastAsia="仿宋_GB2312"/>
          <w:sz w:val="28"/>
          <w:szCs w:val="28"/>
        </w:rPr>
        <w:t>2-1、合同文本、合同附件、竞争性磋商文件、竞争性磋商响应文件。</w:t>
      </w:r>
    </w:p>
    <w:p w14:paraId="1352DDFA">
      <w:pPr>
        <w:adjustRightInd w:val="0"/>
        <w:snapToGrid w:val="0"/>
        <w:spacing w:line="360" w:lineRule="auto"/>
        <w:ind w:firstLine="560" w:firstLineChars="200"/>
        <w:rPr>
          <w:rFonts w:eastAsia="仿宋_GB2312"/>
          <w:sz w:val="28"/>
          <w:szCs w:val="28"/>
        </w:rPr>
      </w:pPr>
      <w:r>
        <w:rPr>
          <w:rFonts w:eastAsia="仿宋_GB2312"/>
          <w:sz w:val="28"/>
          <w:szCs w:val="28"/>
        </w:rPr>
        <w:t>2-2、国内相应的标准、规范。</w:t>
      </w:r>
    </w:p>
    <w:p w14:paraId="6D1A72B2">
      <w:pPr>
        <w:adjustRightInd w:val="0"/>
        <w:snapToGrid w:val="0"/>
        <w:spacing w:line="360" w:lineRule="auto"/>
        <w:ind w:firstLine="562" w:firstLineChars="200"/>
        <w:rPr>
          <w:rFonts w:eastAsia="仿宋_GB2312"/>
          <w:b/>
          <w:sz w:val="28"/>
          <w:szCs w:val="28"/>
        </w:rPr>
      </w:pPr>
      <w:r>
        <w:rPr>
          <w:rFonts w:eastAsia="仿宋_GB2312"/>
          <w:b/>
          <w:sz w:val="28"/>
          <w:szCs w:val="28"/>
        </w:rPr>
        <w:t>十、违约责任</w:t>
      </w:r>
      <w:bookmarkEnd w:id="7"/>
    </w:p>
    <w:p w14:paraId="2AAEFD51">
      <w:pPr>
        <w:adjustRightInd w:val="0"/>
        <w:snapToGrid w:val="0"/>
        <w:spacing w:line="360" w:lineRule="auto"/>
        <w:ind w:firstLine="560" w:firstLineChars="200"/>
        <w:rPr>
          <w:rFonts w:eastAsia="仿宋_GB2312"/>
          <w:sz w:val="28"/>
          <w:szCs w:val="28"/>
        </w:rPr>
      </w:pPr>
      <w:r>
        <w:rPr>
          <w:rFonts w:eastAsia="仿宋_GB2312"/>
          <w:sz w:val="28"/>
          <w:szCs w:val="28"/>
        </w:rPr>
        <w:t>1、乙方因处理不及时，导致甲方延误工作或造成上级部门批评，每出现一次，乙方应按合同总价款的1%向甲方承担违约责任，累计出现三次，乙方应按照合同总价款的10%向甲方支付违约金，且甲方可视情节解除本合同，因此给甲方造成损失的，乙方应予以赔偿。</w:t>
      </w:r>
    </w:p>
    <w:p w14:paraId="1638E093">
      <w:pPr>
        <w:adjustRightInd w:val="0"/>
        <w:snapToGrid w:val="0"/>
        <w:spacing w:line="360" w:lineRule="auto"/>
        <w:ind w:firstLine="560" w:firstLineChars="200"/>
        <w:rPr>
          <w:rFonts w:eastAsia="仿宋_GB2312"/>
          <w:sz w:val="28"/>
          <w:szCs w:val="28"/>
        </w:rPr>
      </w:pPr>
      <w:r>
        <w:rPr>
          <w:rFonts w:eastAsia="仿宋_GB2312"/>
          <w:sz w:val="28"/>
          <w:szCs w:val="28"/>
        </w:rPr>
        <w:t>2、服务期限内，若甲方因政策等不可控因素，导致提前解约的，甲乙双方共同协商解决，互不承担违约责任。</w:t>
      </w:r>
    </w:p>
    <w:p w14:paraId="1F0C1A35">
      <w:pPr>
        <w:adjustRightInd w:val="0"/>
        <w:snapToGrid w:val="0"/>
        <w:spacing w:line="360" w:lineRule="auto"/>
        <w:ind w:firstLine="562" w:firstLineChars="200"/>
        <w:rPr>
          <w:rFonts w:eastAsia="仿宋_GB2312"/>
          <w:b/>
          <w:sz w:val="28"/>
          <w:szCs w:val="28"/>
        </w:rPr>
      </w:pPr>
      <w:r>
        <w:rPr>
          <w:rFonts w:eastAsia="仿宋_GB2312"/>
          <w:b/>
          <w:sz w:val="28"/>
          <w:szCs w:val="28"/>
        </w:rPr>
        <w:t>十一、不可抗力事件处理</w:t>
      </w:r>
    </w:p>
    <w:p w14:paraId="2E561C93">
      <w:pPr>
        <w:adjustRightInd w:val="0"/>
        <w:snapToGrid w:val="0"/>
        <w:spacing w:line="360" w:lineRule="auto"/>
        <w:ind w:firstLine="560" w:firstLineChars="200"/>
        <w:rPr>
          <w:rFonts w:eastAsia="仿宋_GB2312"/>
          <w:sz w:val="28"/>
          <w:szCs w:val="28"/>
        </w:rPr>
      </w:pPr>
      <w:r>
        <w:rPr>
          <w:rFonts w:eastAsia="仿宋_GB2312"/>
          <w:sz w:val="28"/>
          <w:szCs w:val="28"/>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38930B85">
      <w:pPr>
        <w:adjustRightInd w:val="0"/>
        <w:snapToGrid w:val="0"/>
        <w:spacing w:line="360" w:lineRule="auto"/>
        <w:ind w:firstLine="560" w:firstLineChars="200"/>
        <w:rPr>
          <w:rFonts w:eastAsia="仿宋_GB2312"/>
          <w:sz w:val="28"/>
          <w:szCs w:val="28"/>
        </w:rPr>
      </w:pPr>
      <w:r>
        <w:rPr>
          <w:rFonts w:eastAsia="仿宋_GB2312"/>
          <w:sz w:val="28"/>
          <w:szCs w:val="28"/>
        </w:rPr>
        <w:t>2、本合同中的不可抗力指不能预见、不能避免并不能克服的客观情况。包括但不限于：自然灾害如地震、台风、洪水、火灾；政府行为、法律规定或其适用的变化或者其他任何无法预见、避免或者控制的事件。</w:t>
      </w:r>
    </w:p>
    <w:p w14:paraId="7C2DB82B">
      <w:pPr>
        <w:adjustRightInd w:val="0"/>
        <w:snapToGrid w:val="0"/>
        <w:spacing w:line="360" w:lineRule="auto"/>
        <w:ind w:firstLine="562" w:firstLineChars="200"/>
        <w:rPr>
          <w:rFonts w:eastAsia="仿宋_GB2312"/>
          <w:b/>
          <w:sz w:val="28"/>
          <w:szCs w:val="28"/>
        </w:rPr>
      </w:pPr>
      <w:bookmarkStart w:id="8" w:name="_Toc19515393"/>
      <w:r>
        <w:rPr>
          <w:rFonts w:eastAsia="仿宋_GB2312"/>
          <w:b/>
          <w:sz w:val="28"/>
          <w:szCs w:val="28"/>
        </w:rPr>
        <w:t>十二、合同组成</w:t>
      </w:r>
      <w:bookmarkEnd w:id="8"/>
    </w:p>
    <w:p w14:paraId="00FF3513">
      <w:pPr>
        <w:adjustRightInd w:val="0"/>
        <w:snapToGrid w:val="0"/>
        <w:spacing w:line="360" w:lineRule="auto"/>
        <w:ind w:firstLine="560" w:firstLineChars="200"/>
        <w:rPr>
          <w:rFonts w:eastAsia="仿宋_GB2312"/>
          <w:sz w:val="28"/>
          <w:szCs w:val="28"/>
        </w:rPr>
      </w:pPr>
      <w:r>
        <w:rPr>
          <w:rFonts w:eastAsia="仿宋_GB2312"/>
          <w:sz w:val="28"/>
          <w:szCs w:val="28"/>
        </w:rPr>
        <w:t>1、成交通知书</w:t>
      </w:r>
    </w:p>
    <w:p w14:paraId="59A3B94C">
      <w:pPr>
        <w:adjustRightInd w:val="0"/>
        <w:snapToGrid w:val="0"/>
        <w:spacing w:line="360" w:lineRule="auto"/>
        <w:ind w:firstLine="560" w:firstLineChars="200"/>
        <w:rPr>
          <w:rFonts w:eastAsia="仿宋_GB2312"/>
          <w:sz w:val="28"/>
          <w:szCs w:val="28"/>
        </w:rPr>
      </w:pPr>
      <w:r>
        <w:rPr>
          <w:rFonts w:eastAsia="仿宋_GB2312"/>
          <w:sz w:val="28"/>
          <w:szCs w:val="28"/>
        </w:rPr>
        <w:t>2、合同文件</w:t>
      </w:r>
    </w:p>
    <w:p w14:paraId="79087691">
      <w:pPr>
        <w:adjustRightInd w:val="0"/>
        <w:snapToGrid w:val="0"/>
        <w:spacing w:line="360" w:lineRule="auto"/>
        <w:ind w:firstLine="560" w:firstLineChars="200"/>
        <w:rPr>
          <w:rFonts w:eastAsia="仿宋_GB2312"/>
          <w:sz w:val="28"/>
          <w:szCs w:val="28"/>
        </w:rPr>
      </w:pPr>
      <w:r>
        <w:rPr>
          <w:rFonts w:eastAsia="仿宋_GB2312"/>
          <w:sz w:val="28"/>
          <w:szCs w:val="28"/>
        </w:rPr>
        <w:t>3、国家相关规范及标准</w:t>
      </w:r>
    </w:p>
    <w:p w14:paraId="54B99BCD">
      <w:pPr>
        <w:adjustRightInd w:val="0"/>
        <w:snapToGrid w:val="0"/>
        <w:spacing w:line="360" w:lineRule="auto"/>
        <w:ind w:firstLine="560" w:firstLineChars="200"/>
        <w:rPr>
          <w:rFonts w:eastAsia="仿宋_GB2312"/>
          <w:sz w:val="28"/>
          <w:szCs w:val="28"/>
        </w:rPr>
      </w:pPr>
      <w:r>
        <w:rPr>
          <w:rFonts w:eastAsia="仿宋_GB2312"/>
          <w:sz w:val="28"/>
          <w:szCs w:val="28"/>
        </w:rPr>
        <w:t>4、竞争性磋商文件</w:t>
      </w:r>
    </w:p>
    <w:p w14:paraId="6F9ADC84">
      <w:pPr>
        <w:adjustRightInd w:val="0"/>
        <w:snapToGrid w:val="0"/>
        <w:spacing w:line="360" w:lineRule="auto"/>
        <w:ind w:firstLine="560" w:firstLineChars="200"/>
        <w:rPr>
          <w:rFonts w:eastAsia="仿宋_GB2312"/>
          <w:sz w:val="28"/>
          <w:szCs w:val="28"/>
        </w:rPr>
      </w:pPr>
      <w:r>
        <w:rPr>
          <w:rFonts w:eastAsia="仿宋_GB2312"/>
          <w:sz w:val="28"/>
          <w:szCs w:val="28"/>
        </w:rPr>
        <w:t>5、磋商响应文件</w:t>
      </w:r>
    </w:p>
    <w:p w14:paraId="230A9403">
      <w:pPr>
        <w:adjustRightInd w:val="0"/>
        <w:snapToGrid w:val="0"/>
        <w:spacing w:line="360" w:lineRule="auto"/>
        <w:ind w:firstLine="562" w:firstLineChars="200"/>
        <w:rPr>
          <w:rFonts w:eastAsia="仿宋_GB2312"/>
          <w:b/>
          <w:sz w:val="28"/>
          <w:szCs w:val="28"/>
        </w:rPr>
      </w:pPr>
      <w:bookmarkStart w:id="9" w:name="_Toc19515394"/>
      <w:r>
        <w:rPr>
          <w:rFonts w:eastAsia="仿宋_GB2312"/>
          <w:b/>
          <w:sz w:val="28"/>
          <w:szCs w:val="28"/>
        </w:rPr>
        <w:t>十三、解决争议的方法</w:t>
      </w:r>
      <w:bookmarkEnd w:id="9"/>
    </w:p>
    <w:p w14:paraId="67DD0BD5">
      <w:pPr>
        <w:widowControl/>
        <w:autoSpaceDE w:val="0"/>
        <w:autoSpaceDN w:val="0"/>
        <w:snapToGrid w:val="0"/>
        <w:spacing w:line="360" w:lineRule="auto"/>
        <w:ind w:right="-110" w:firstLine="560" w:firstLineChars="200"/>
        <w:textAlignment w:val="bottom"/>
        <w:rPr>
          <w:rFonts w:eastAsia="仿宋_GB2312"/>
          <w:kern w:val="0"/>
          <w:sz w:val="28"/>
          <w:szCs w:val="28"/>
        </w:rPr>
      </w:pPr>
      <w:r>
        <w:rPr>
          <w:rFonts w:eastAsia="仿宋_GB2312"/>
          <w:kern w:val="0"/>
          <w:sz w:val="28"/>
          <w:szCs w:val="28"/>
        </w:rPr>
        <w:t>凡因本合同引起的或与本合同有关的争议，双方应友好协商解决。协商不成时，双方均同意采用以下第（ 1 ）种争议解决方式：</w:t>
      </w:r>
    </w:p>
    <w:p w14:paraId="261BD4EE">
      <w:pPr>
        <w:widowControl/>
        <w:autoSpaceDE w:val="0"/>
        <w:autoSpaceDN w:val="0"/>
        <w:snapToGrid w:val="0"/>
        <w:spacing w:line="360" w:lineRule="auto"/>
        <w:ind w:right="-110" w:firstLine="560" w:firstLineChars="200"/>
        <w:textAlignment w:val="bottom"/>
        <w:rPr>
          <w:rFonts w:eastAsia="仿宋_GB2312"/>
          <w:kern w:val="0"/>
          <w:sz w:val="28"/>
          <w:szCs w:val="28"/>
        </w:rPr>
      </w:pPr>
      <w:r>
        <w:rPr>
          <w:rFonts w:eastAsia="仿宋_GB2312"/>
          <w:kern w:val="0"/>
          <w:sz w:val="28"/>
          <w:szCs w:val="28"/>
        </w:rPr>
        <w:t>（1）甲、乙双方均同意向（甲方所在地人民法院）提起诉讼。</w:t>
      </w:r>
    </w:p>
    <w:p w14:paraId="14C46D2E">
      <w:pPr>
        <w:widowControl/>
        <w:autoSpaceDE w:val="0"/>
        <w:autoSpaceDN w:val="0"/>
        <w:snapToGrid w:val="0"/>
        <w:spacing w:line="360" w:lineRule="auto"/>
        <w:ind w:right="-110" w:firstLine="560" w:firstLineChars="200"/>
        <w:textAlignment w:val="bottom"/>
        <w:rPr>
          <w:rFonts w:eastAsia="仿宋_GB2312"/>
          <w:kern w:val="0"/>
          <w:sz w:val="28"/>
          <w:szCs w:val="28"/>
        </w:rPr>
      </w:pPr>
      <w:r>
        <w:rPr>
          <w:rFonts w:eastAsia="仿宋_GB2312"/>
          <w:kern w:val="0"/>
          <w:sz w:val="28"/>
          <w:szCs w:val="28"/>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eastAsia="仿宋_GB2312"/>
          <w:kern w:val="0"/>
          <w:sz w:val="28"/>
          <w:szCs w:val="28"/>
        </w:rPr>
        <w:t>仲裁委员会</w:t>
      </w:r>
      <w:r>
        <w:rPr>
          <w:rFonts w:eastAsia="仿宋_GB2312"/>
          <w:kern w:val="0"/>
          <w:sz w:val="28"/>
          <w:szCs w:val="28"/>
        </w:rPr>
        <w:fldChar w:fldCharType="end"/>
      </w:r>
      <w:r>
        <w:rPr>
          <w:rFonts w:eastAsia="仿宋_GB2312"/>
          <w:kern w:val="0"/>
          <w:sz w:val="28"/>
          <w:szCs w:val="28"/>
        </w:rPr>
        <w:t>）提起仲裁。</w:t>
      </w:r>
    </w:p>
    <w:p w14:paraId="4E9D3276">
      <w:pPr>
        <w:adjustRightInd w:val="0"/>
        <w:snapToGrid w:val="0"/>
        <w:spacing w:line="360" w:lineRule="auto"/>
        <w:ind w:firstLine="562" w:firstLineChars="200"/>
        <w:rPr>
          <w:rFonts w:eastAsia="仿宋_GB2312"/>
          <w:b/>
          <w:sz w:val="28"/>
          <w:szCs w:val="28"/>
        </w:rPr>
      </w:pPr>
      <w:bookmarkStart w:id="10" w:name="_Toc19515395"/>
      <w:r>
        <w:rPr>
          <w:rFonts w:eastAsia="仿宋_GB2312"/>
          <w:b/>
          <w:sz w:val="28"/>
          <w:szCs w:val="28"/>
        </w:rPr>
        <w:t>十四、合同生效及其它</w:t>
      </w:r>
      <w:bookmarkEnd w:id="10"/>
    </w:p>
    <w:p w14:paraId="7FA5ADE8">
      <w:pPr>
        <w:adjustRightInd w:val="0"/>
        <w:snapToGrid w:val="0"/>
        <w:spacing w:line="360" w:lineRule="auto"/>
        <w:ind w:firstLine="560" w:firstLineChars="200"/>
        <w:rPr>
          <w:rFonts w:eastAsia="仿宋_GB2312"/>
          <w:b/>
          <w:sz w:val="28"/>
          <w:szCs w:val="28"/>
        </w:rPr>
      </w:pPr>
      <w:r>
        <w:rPr>
          <w:rFonts w:eastAsia="仿宋_GB2312"/>
          <w:kern w:val="0"/>
          <w:sz w:val="28"/>
          <w:szCs w:val="28"/>
        </w:rPr>
        <w:t>1、合同未尽事宜、由甲、乙双方协商，作为合同补充，与原合同具有同等法律效力。</w:t>
      </w:r>
    </w:p>
    <w:p w14:paraId="120DA3B5">
      <w:pPr>
        <w:adjustRightInd w:val="0"/>
        <w:snapToGrid w:val="0"/>
        <w:spacing w:line="360" w:lineRule="auto"/>
        <w:ind w:firstLine="560" w:firstLineChars="200"/>
        <w:rPr>
          <w:rFonts w:eastAsia="仿宋_GB2312"/>
          <w:b/>
          <w:sz w:val="28"/>
          <w:szCs w:val="28"/>
        </w:rPr>
      </w:pPr>
      <w:r>
        <w:rPr>
          <w:rFonts w:eastAsia="仿宋_GB2312"/>
          <w:kern w:val="0"/>
          <w:sz w:val="28"/>
          <w:szCs w:val="28"/>
        </w:rPr>
        <w:t>2、 本合同一式</w:t>
      </w:r>
      <w:r>
        <w:rPr>
          <w:rFonts w:eastAsia="仿宋_GB2312"/>
          <w:kern w:val="0"/>
          <w:sz w:val="28"/>
          <w:szCs w:val="28"/>
          <w:u w:val="single"/>
        </w:rPr>
        <w:t xml:space="preserve">  </w:t>
      </w:r>
      <w:r>
        <w:rPr>
          <w:rFonts w:eastAsia="仿宋_GB2312"/>
          <w:kern w:val="0"/>
          <w:sz w:val="28"/>
          <w:szCs w:val="28"/>
        </w:rPr>
        <w:t>份，甲方、乙方双方分别执</w:t>
      </w:r>
      <w:r>
        <w:rPr>
          <w:rFonts w:eastAsia="仿宋_GB2312"/>
          <w:kern w:val="0"/>
          <w:sz w:val="28"/>
          <w:szCs w:val="28"/>
          <w:u w:val="single"/>
        </w:rPr>
        <w:t xml:space="preserve">  </w:t>
      </w:r>
      <w:r>
        <w:rPr>
          <w:rFonts w:eastAsia="仿宋_GB2312"/>
          <w:kern w:val="0"/>
          <w:sz w:val="28"/>
          <w:szCs w:val="28"/>
        </w:rPr>
        <w:t>份，</w:t>
      </w:r>
      <w:r>
        <w:rPr>
          <w:rFonts w:eastAsia="仿宋_GB2312"/>
          <w:kern w:val="0"/>
          <w:sz w:val="28"/>
          <w:szCs w:val="28"/>
          <w:u w:val="single"/>
        </w:rPr>
        <w:t xml:space="preserve">   </w:t>
      </w:r>
      <w:r>
        <w:rPr>
          <w:rFonts w:eastAsia="仿宋_GB2312"/>
          <w:kern w:val="0"/>
          <w:sz w:val="28"/>
          <w:szCs w:val="28"/>
        </w:rPr>
        <w:t>备案</w:t>
      </w:r>
      <w:r>
        <w:rPr>
          <w:rFonts w:eastAsia="仿宋_GB2312"/>
          <w:kern w:val="0"/>
          <w:sz w:val="28"/>
          <w:szCs w:val="28"/>
          <w:u w:val="single"/>
        </w:rPr>
        <w:t xml:space="preserve">  </w:t>
      </w:r>
      <w:r>
        <w:rPr>
          <w:rFonts w:eastAsia="仿宋_GB2312"/>
          <w:kern w:val="0"/>
          <w:sz w:val="28"/>
          <w:szCs w:val="28"/>
        </w:rPr>
        <w:t>份。</w:t>
      </w:r>
    </w:p>
    <w:p w14:paraId="304E0523">
      <w:pPr>
        <w:adjustRightInd w:val="0"/>
        <w:snapToGrid w:val="0"/>
        <w:spacing w:line="360" w:lineRule="auto"/>
        <w:ind w:firstLine="560" w:firstLineChars="200"/>
        <w:rPr>
          <w:rFonts w:eastAsia="仿宋_GB2312"/>
          <w:b/>
          <w:sz w:val="28"/>
          <w:szCs w:val="28"/>
        </w:rPr>
      </w:pPr>
      <w:r>
        <w:rPr>
          <w:rFonts w:eastAsia="仿宋_GB2312"/>
          <w:kern w:val="0"/>
          <w:sz w:val="28"/>
          <w:szCs w:val="28"/>
        </w:rPr>
        <w:t>3、合同经甲乙双方盖章、签字后生效，合同签订地点为</w:t>
      </w:r>
      <w:r>
        <w:rPr>
          <w:rFonts w:eastAsia="仿宋_GB2312"/>
          <w:kern w:val="0"/>
          <w:sz w:val="28"/>
          <w:szCs w:val="28"/>
          <w:u w:val="single"/>
        </w:rPr>
        <w:t xml:space="preserve">   </w:t>
      </w:r>
      <w:r>
        <w:rPr>
          <w:rFonts w:eastAsia="仿宋_GB2312"/>
          <w:kern w:val="0"/>
          <w:sz w:val="28"/>
          <w:szCs w:val="28"/>
        </w:rPr>
        <w:t>。</w:t>
      </w:r>
    </w:p>
    <w:p w14:paraId="3C27D3E6">
      <w:pPr>
        <w:adjustRightInd w:val="0"/>
        <w:snapToGrid w:val="0"/>
        <w:spacing w:line="360" w:lineRule="auto"/>
        <w:ind w:firstLine="560" w:firstLineChars="200"/>
        <w:rPr>
          <w:rFonts w:eastAsia="仿宋_GB2312"/>
          <w:b/>
          <w:sz w:val="28"/>
          <w:szCs w:val="28"/>
        </w:rPr>
      </w:pPr>
      <w:r>
        <w:rPr>
          <w:rFonts w:eastAsia="仿宋_GB2312"/>
          <w:kern w:val="0"/>
          <w:sz w:val="28"/>
          <w:szCs w:val="28"/>
        </w:rPr>
        <w:t>4、生效时间：    年    月    日</w:t>
      </w:r>
    </w:p>
    <w:p w14:paraId="5EF903A2">
      <w:pPr>
        <w:adjustRightInd w:val="0"/>
        <w:snapToGrid w:val="0"/>
        <w:spacing w:line="358" w:lineRule="auto"/>
        <w:ind w:firstLine="562" w:firstLineChars="200"/>
        <w:rPr>
          <w:rFonts w:eastAsia="仿宋_GB2312"/>
          <w:b/>
          <w:sz w:val="28"/>
          <w:szCs w:val="28"/>
        </w:rPr>
      </w:pPr>
    </w:p>
    <w:tbl>
      <w:tblPr>
        <w:tblStyle w:val="6"/>
        <w:tblW w:w="0" w:type="auto"/>
        <w:jc w:val="center"/>
        <w:tblLayout w:type="fixed"/>
        <w:tblCellMar>
          <w:top w:w="0" w:type="dxa"/>
          <w:left w:w="108" w:type="dxa"/>
          <w:bottom w:w="0" w:type="dxa"/>
          <w:right w:w="108" w:type="dxa"/>
        </w:tblCellMar>
      </w:tblPr>
      <w:tblGrid>
        <w:gridCol w:w="4643"/>
        <w:gridCol w:w="4643"/>
      </w:tblGrid>
      <w:tr w14:paraId="4CADF326">
        <w:tblPrEx>
          <w:tblCellMar>
            <w:top w:w="0" w:type="dxa"/>
            <w:left w:w="108" w:type="dxa"/>
            <w:bottom w:w="0" w:type="dxa"/>
            <w:right w:w="108" w:type="dxa"/>
          </w:tblCellMar>
        </w:tblPrEx>
        <w:trPr>
          <w:jc w:val="center"/>
        </w:trPr>
        <w:tc>
          <w:tcPr>
            <w:tcW w:w="4643" w:type="dxa"/>
          </w:tcPr>
          <w:p w14:paraId="120D38F8">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甲方名称</w:t>
            </w:r>
            <w:r>
              <w:rPr>
                <w:rFonts w:eastAsia="仿宋_GB2312"/>
                <w:spacing w:val="-20"/>
                <w:kern w:val="0"/>
                <w:sz w:val="28"/>
                <w:szCs w:val="28"/>
              </w:rPr>
              <w:t>（盖章）</w:t>
            </w:r>
            <w:r>
              <w:rPr>
                <w:rFonts w:eastAsia="仿宋_GB2312"/>
                <w:kern w:val="0"/>
                <w:sz w:val="28"/>
                <w:szCs w:val="28"/>
              </w:rPr>
              <w:t>：</w:t>
            </w:r>
          </w:p>
          <w:p w14:paraId="204F30C7">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地址：</w:t>
            </w:r>
          </w:p>
          <w:p w14:paraId="190EFBFE">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代表人（签字）：</w:t>
            </w:r>
          </w:p>
          <w:p w14:paraId="6EE5ED80">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电话：</w:t>
            </w:r>
          </w:p>
          <w:p w14:paraId="05D54A7B">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开户银行：</w:t>
            </w:r>
          </w:p>
          <w:p w14:paraId="6296F147">
            <w:pPr>
              <w:widowControl/>
              <w:autoSpaceDE w:val="0"/>
              <w:autoSpaceDN w:val="0"/>
              <w:snapToGrid w:val="0"/>
              <w:spacing w:line="358" w:lineRule="auto"/>
              <w:ind w:right="-154"/>
              <w:textAlignment w:val="bottom"/>
              <w:rPr>
                <w:rFonts w:eastAsia="仿宋_GB2312"/>
                <w:kern w:val="0"/>
                <w:sz w:val="28"/>
                <w:szCs w:val="28"/>
              </w:rPr>
            </w:pPr>
            <w:r>
              <w:rPr>
                <w:rFonts w:hint="eastAsia" w:eastAsia="仿宋_GB2312"/>
                <w:kern w:val="0"/>
                <w:sz w:val="28"/>
                <w:szCs w:val="28"/>
                <w:lang w:val="en-US" w:eastAsia="zh-CN"/>
              </w:rPr>
              <w:t>账</w:t>
            </w:r>
            <w:r>
              <w:rPr>
                <w:rFonts w:eastAsia="仿宋_GB2312"/>
                <w:kern w:val="0"/>
                <w:sz w:val="28"/>
                <w:szCs w:val="28"/>
              </w:rPr>
              <w:t>号：</w:t>
            </w:r>
          </w:p>
        </w:tc>
        <w:tc>
          <w:tcPr>
            <w:tcW w:w="4643" w:type="dxa"/>
          </w:tcPr>
          <w:p w14:paraId="53B30B28">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乙方名称</w:t>
            </w:r>
            <w:r>
              <w:rPr>
                <w:rFonts w:eastAsia="仿宋_GB2312"/>
                <w:spacing w:val="-20"/>
                <w:kern w:val="0"/>
                <w:sz w:val="28"/>
                <w:szCs w:val="28"/>
              </w:rPr>
              <w:t>（盖章）</w:t>
            </w:r>
            <w:r>
              <w:rPr>
                <w:rFonts w:eastAsia="仿宋_GB2312"/>
                <w:kern w:val="0"/>
                <w:sz w:val="28"/>
                <w:szCs w:val="28"/>
              </w:rPr>
              <w:t>:</w:t>
            </w:r>
          </w:p>
          <w:p w14:paraId="16BFD99F">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地址：</w:t>
            </w:r>
          </w:p>
          <w:p w14:paraId="590C654D">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代表人（签字）：</w:t>
            </w:r>
          </w:p>
          <w:p w14:paraId="4B97322F">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电话：</w:t>
            </w:r>
          </w:p>
          <w:p w14:paraId="026D0E8B">
            <w:pPr>
              <w:widowControl/>
              <w:autoSpaceDE w:val="0"/>
              <w:autoSpaceDN w:val="0"/>
              <w:snapToGrid w:val="0"/>
              <w:spacing w:line="358" w:lineRule="auto"/>
              <w:ind w:right="-154"/>
              <w:textAlignment w:val="bottom"/>
              <w:rPr>
                <w:rFonts w:eastAsia="仿宋_GB2312"/>
                <w:kern w:val="0"/>
                <w:sz w:val="28"/>
                <w:szCs w:val="28"/>
              </w:rPr>
            </w:pPr>
            <w:r>
              <w:rPr>
                <w:rFonts w:eastAsia="仿宋_GB2312"/>
                <w:kern w:val="0"/>
                <w:sz w:val="28"/>
                <w:szCs w:val="28"/>
              </w:rPr>
              <w:t>开户银行：</w:t>
            </w:r>
          </w:p>
          <w:p w14:paraId="2CD39954">
            <w:pPr>
              <w:widowControl/>
              <w:autoSpaceDE w:val="0"/>
              <w:autoSpaceDN w:val="0"/>
              <w:snapToGrid w:val="0"/>
              <w:spacing w:line="358" w:lineRule="auto"/>
              <w:ind w:right="-154"/>
              <w:textAlignment w:val="bottom"/>
              <w:rPr>
                <w:rFonts w:eastAsia="仿宋_GB2312"/>
                <w:kern w:val="0"/>
                <w:sz w:val="28"/>
                <w:szCs w:val="28"/>
              </w:rPr>
            </w:pPr>
            <w:r>
              <w:rPr>
                <w:rFonts w:hint="eastAsia" w:eastAsia="仿宋_GB2312"/>
                <w:kern w:val="0"/>
                <w:sz w:val="28"/>
                <w:szCs w:val="28"/>
                <w:lang w:val="en-US" w:eastAsia="zh-CN"/>
              </w:rPr>
              <w:t>账</w:t>
            </w:r>
            <w:r>
              <w:rPr>
                <w:rFonts w:eastAsia="仿宋_GB2312"/>
                <w:kern w:val="0"/>
                <w:sz w:val="28"/>
                <w:szCs w:val="28"/>
              </w:rPr>
              <w:t>号：</w:t>
            </w:r>
          </w:p>
        </w:tc>
      </w:tr>
    </w:tbl>
    <w:p w14:paraId="4855DC29">
      <w:pPr>
        <w:autoSpaceDE w:val="0"/>
        <w:autoSpaceDN w:val="0"/>
        <w:adjustRightInd w:val="0"/>
        <w:spacing w:line="360" w:lineRule="auto"/>
        <w:jc w:val="left"/>
        <w:rPr>
          <w:rFonts w:eastAsia="仿宋_GB2312"/>
          <w:b/>
          <w:bCs/>
          <w:sz w:val="28"/>
          <w:szCs w:val="28"/>
        </w:rPr>
      </w:pPr>
    </w:p>
    <w:p w14:paraId="20EBE531"/>
    <w:p w14:paraId="712CB1F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116"/>
    <w:rsid w:val="0010311A"/>
    <w:rsid w:val="00487364"/>
    <w:rsid w:val="00B40116"/>
    <w:rsid w:val="16F62C92"/>
    <w:rsid w:val="2347697F"/>
    <w:rsid w:val="6DCC4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3"/>
    <w:link w:val="10"/>
    <w:qFormat/>
    <w:uiPriority w:val="0"/>
    <w:pPr>
      <w:keepNext/>
      <w:spacing w:line="720" w:lineRule="exact"/>
      <w:outlineLvl w:val="1"/>
    </w:pPr>
    <w:rPr>
      <w:rFonts w:ascii="黑体" w:hAnsi="Copperplate Gothic Bold" w:eastAsia="楷体_GB2312"/>
      <w:sz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2 字符"/>
    <w:basedOn w:val="7"/>
    <w:link w:val="2"/>
    <w:qFormat/>
    <w:uiPriority w:val="0"/>
    <w:rPr>
      <w:rFonts w:ascii="黑体" w:hAnsi="Copperplate Gothic Bold" w:eastAsia="楷体_GB2312" w:cs="Times New Roman"/>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2197</Words>
  <Characters>2247</Characters>
  <Lines>18</Lines>
  <Paragraphs>5</Paragraphs>
  <TotalTime>7</TotalTime>
  <ScaleCrop>false</ScaleCrop>
  <LinksUpToDate>false</LinksUpToDate>
  <CharactersWithSpaces>2290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2024-05-06T06:57:00Z</dcterms:created>
  <dc:creator>Lenovo</dc:creator>
  <cp:lastModifiedBy>钟声</cp:lastModifiedBy>
  <dcterms:modified xsi:type="dcterms:W3CDTF">2025-05-06T03:45:12Z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eyJoZGlkIjoiOTJmM2Y3YjgzNWU3ZDc3NGZmYWVkNzQyNTc3YTk1YjQiLCJ1c2VySWQiOiI2Nzc2MzQ0MTQifQ==</vt:lpwstr>
  </property>
  <property fmtid="{D5CDD505-2E9C-101B-9397-08002B2CF9AE}" pid="3" name="KSOProductBuildVer">
    <vt:lpwstr>2052-12.1.0.20784</vt:lpwstr>
  </property>
  <property fmtid="{D5CDD505-2E9C-101B-9397-08002B2CF9AE}" pid="4" name="ICV">
    <vt:lpwstr>6ABECA7F7A9F497EA311B1D9F77D6121_12</vt:lpwstr>
  </property>
</Properties>
</file>