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应急方案</w:t>
      </w:r>
    </w:p>
    <w:p w14:paraId="3D0A1BE8">
      <w:pPr>
        <w:rPr>
          <w:rFonts w:hint="eastAsia"/>
        </w:rPr>
      </w:pPr>
    </w:p>
    <w:p w14:paraId="08535952">
      <w:pPr>
        <w:spacing w:line="360" w:lineRule="auto"/>
        <w:rPr>
          <w:rFonts w:hint="eastAsia" w:ascii="仿宋" w:hAnsi="仿宋" w:eastAsia="仿宋" w:cs="仿宋"/>
          <w:sz w:val="28"/>
          <w:szCs w:val="32"/>
          <w:u w:val="singl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应急方案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1CAF103">
      <w:pPr>
        <w:pStyle w:val="2"/>
        <w:ind w:left="0" w:leftChars="0" w:firstLine="0" w:firstLineChars="0"/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  <w:t>（格式自拟）</w:t>
      </w:r>
    </w:p>
    <w:p w14:paraId="0657757A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A203889"/>
    <w:rsid w:val="40E065EE"/>
    <w:rsid w:val="45A20918"/>
    <w:rsid w:val="5A9C5A52"/>
    <w:rsid w:val="6BDE1EB4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2026-04-07T03:52:33Z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