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版本号：HCCG-2026-12620260624001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职工餐厅食材采购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HCCG-2026-126</w:t>
      </w:r>
      <w:r>
        <w:br/>
      </w:r>
      <w:r>
        <w:br/>
      </w:r>
      <w:r>
        <w:br/>
      </w:r>
    </w:p>
    <w:p>
      <w:pPr>
        <w:pStyle w:val="null3"/>
        <w:jc w:val="center"/>
        <w:outlineLvl w:val="2"/>
      </w:pPr>
      <w:r>
        <w:rPr>
          <w:rFonts w:ascii="仿宋_GB2312" w:hAnsi="仿宋_GB2312" w:cs="仿宋_GB2312" w:eastAsia="仿宋_GB2312"/>
          <w:sz w:val="28"/>
          <w:b/>
        </w:rPr>
        <w:t>西北大学第一医院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西北大学第一医院</w:t>
      </w:r>
      <w:r>
        <w:rPr>
          <w:rFonts w:ascii="仿宋_GB2312" w:hAnsi="仿宋_GB2312" w:cs="仿宋_GB2312" w:eastAsia="仿宋_GB2312"/>
        </w:rPr>
        <w:t>委托，拟对</w:t>
      </w:r>
      <w:r>
        <w:rPr>
          <w:rFonts w:ascii="仿宋_GB2312" w:hAnsi="仿宋_GB2312" w:cs="仿宋_GB2312" w:eastAsia="仿宋_GB2312"/>
        </w:rPr>
        <w:t>职工餐厅食材采购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HCCG-2026-126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职工餐厅食材采购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本项目预算共192万元；采购内容包含米、面、食用油、调味品、干货类、一次性用品、饮料奶制品、大肉、海鲜冻货类、蔬菜水果蛋类及临时需采买的食材）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1、主体资格身份：具有独立承担民事责任能力的法人、其他组织或自然人，并出具合法有效的营业执照或事业单位法人证书等国家规定的相关证明，自然人参与的提供其身份证明书；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投标人应授权合法的人员参加投标，其中法定代表人直接参加的须出具法定代表人身份证；法定代表人授权代表参加的须出具法定代表人授权书及被授权人本单位证明（开标前6个月内任意一个月的社保缴纳证明）：投标人应授权合法的人员参加投标，其中法定代表人直接参加的须出具法定代表人身份证；法定代表人授权代表参加的须出具法定代表人授权书及被授权人本单位证明（开标前6个月内任意一个月的社保缴纳证明）</w:t>
      </w:r>
    </w:p>
    <w:p>
      <w:pPr>
        <w:pStyle w:val="null3"/>
      </w:pPr>
      <w:r>
        <w:rPr>
          <w:rFonts w:ascii="仿宋_GB2312" w:hAnsi="仿宋_GB2312" w:cs="仿宋_GB2312" w:eastAsia="仿宋_GB2312"/>
        </w:rPr>
        <w:t>3、财务状况报告：提供2025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4、税收缴纳证明：提供投标文件截止时间前一年内至少一个月已缴纳的纳税证明或完税证明，纳税证明或完税证明上应有代收机构或税务机关的公章或业务专用章，依法免税的服务商应提供相关文件证明；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6、前三年内无重大违法记录：参加政府采购活动前3年内，在经营活动中没有重大违法记录；</w:t>
      </w:r>
    </w:p>
    <w:p>
      <w:pPr>
        <w:pStyle w:val="null3"/>
      </w:pPr>
      <w:r>
        <w:rPr>
          <w:rFonts w:ascii="仿宋_GB2312" w:hAnsi="仿宋_GB2312" w:cs="仿宋_GB2312" w:eastAsia="仿宋_GB2312"/>
        </w:rPr>
        <w:t>7、书面声明：提供具有履行本合同所必需的设备和专业技术能力的声明</w:t>
      </w:r>
    </w:p>
    <w:p>
      <w:pPr>
        <w:pStyle w:val="null3"/>
      </w:pPr>
      <w:r>
        <w:rPr>
          <w:rFonts w:ascii="仿宋_GB2312" w:hAnsi="仿宋_GB2312" w:cs="仿宋_GB2312" w:eastAsia="仿宋_GB2312"/>
        </w:rPr>
        <w:t>8、信用查询采购人或采购代理机构开标当天查询,供应商无须提供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9、资质要求：提供食品经营许可证</w:t>
      </w:r>
    </w:p>
    <w:p>
      <w:pPr>
        <w:pStyle w:val="null3"/>
      </w:pPr>
      <w:r>
        <w:rPr>
          <w:rFonts w:ascii="仿宋_GB2312" w:hAnsi="仿宋_GB2312" w:cs="仿宋_GB2312" w:eastAsia="仿宋_GB2312"/>
        </w:rPr>
        <w:t>10、控股管理关系：本项目不接受联合体投标，投标单位负责人为同一人或者存在控股、管理关系的不同单位，不得参加同一招标项目投标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西安市咸宁东路512好</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029-82463680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程琤、王杨、徐欣、冯建正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029-89115858-8010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代理服务费收费标准：1.代理服务费按约定由成交供应商支付，领取成交通知书前，由成交供应商向采购代理机构缴纳代理服务费，一次性付清。 2.代理服务费参考国家计委《招标代理服务收费管理暂行办法》计价格[2002]1980号、国家发展改革委办公厅《关于招标代理服务收费有关问题的通知》发改办价格［2003］857号规定的标准下浮10%收取。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西北大学第一医院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（一）初验 1.由采购人的采购员、保管员做好卸货前的检查。主要就产品的检验报告、外包装是否洁净、有无破损、规格、数量等是否与甲方所报计划及配送单是否一致进行验收。 2.验收人员将所有货品逐一过磅按实际数量签收（配送数量不应超过订货单的订货量） 。 （二）最终验收 1.甲方在使用本批次食材48小时后，如无就餐人员出现身体异常等情况，则视为最终验收。 2.如就餐人员在食用本批次食材后，出现身体异常情况，应立即封存本批次食材，立即上报，并通知供应商，依法追究乙方责任。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联系人：程琤、王杨、徐欣</w:t>
      </w:r>
    </w:p>
    <w:p>
      <w:pPr>
        <w:pStyle w:val="null3"/>
      </w:pPr>
      <w:r>
        <w:rPr>
          <w:rFonts w:ascii="仿宋_GB2312" w:hAnsi="仿宋_GB2312" w:cs="仿宋_GB2312" w:eastAsia="仿宋_GB2312"/>
        </w:rPr>
        <w:t>联系电话： 029-89115858-8010</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本项目预算共192万元，采购内容包含米、面、食用油、调味品、干货类、一次性用品、饮料奶制品、大肉、海鲜冻货类、蔬菜水果蛋类及临时需采买的食材。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1,920,000.00</w:t>
      </w:r>
    </w:p>
    <w:p>
      <w:pPr>
        <w:pStyle w:val="null3"/>
      </w:pPr>
      <w:r>
        <w:rPr>
          <w:rFonts w:ascii="仿宋_GB2312" w:hAnsi="仿宋_GB2312" w:cs="仿宋_GB2312" w:eastAsia="仿宋_GB2312"/>
        </w:rPr>
        <w:t>采购包最高限价（元）: 1,920,000.00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职工餐厅食材采购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标的名称：职工餐厅食材采购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价格周期与定价依据</w:t>
            </w:r>
          </w:p>
          <w:p>
            <w:pPr>
              <w:pStyle w:val="null3"/>
              <w:jc w:val="both"/>
            </w:pPr>
            <w:r>
              <w:rPr>
                <w:rFonts w:ascii="仿宋_GB2312" w:hAnsi="仿宋_GB2312" w:cs="仿宋_GB2312" w:eastAsia="仿宋_GB2312"/>
                <w:sz w:val="20"/>
              </w:rPr>
              <w:t xml:space="preserve">1. </w:t>
            </w:r>
            <w:r>
              <w:rPr>
                <w:rFonts w:ascii="仿宋_GB2312" w:hAnsi="仿宋_GB2312" w:cs="仿宋_GB2312" w:eastAsia="仿宋_GB2312"/>
                <w:sz w:val="20"/>
              </w:rPr>
              <w:t>本项目价格实行每</w:t>
            </w:r>
            <w:r>
              <w:rPr>
                <w:rFonts w:ascii="仿宋_GB2312" w:hAnsi="仿宋_GB2312" w:cs="仿宋_GB2312" w:eastAsia="仿宋_GB2312"/>
                <w:sz w:val="20"/>
              </w:rPr>
              <w:t>30</w:t>
            </w:r>
            <w:r>
              <w:rPr>
                <w:rFonts w:ascii="仿宋_GB2312" w:hAnsi="仿宋_GB2312" w:cs="仿宋_GB2312" w:eastAsia="仿宋_GB2312"/>
                <w:sz w:val="20"/>
              </w:rPr>
              <w:t>天为一个定价周期，每期价格由甲乙双方按照本条款约定共同确认，价格表按周期更新执行。</w:t>
            </w:r>
          </w:p>
          <w:p>
            <w:pPr>
              <w:pStyle w:val="null3"/>
            </w:pPr>
            <w:r>
              <w:rPr>
                <w:rFonts w:ascii="仿宋_GB2312" w:hAnsi="仿宋_GB2312" w:cs="仿宋_GB2312" w:eastAsia="仿宋_GB2312"/>
                <w:sz w:val="20"/>
              </w:rPr>
              <w:t xml:space="preserve">2. </w:t>
            </w:r>
            <w:r>
              <w:rPr>
                <w:rFonts w:ascii="仿宋_GB2312" w:hAnsi="仿宋_GB2312" w:cs="仿宋_GB2312" w:eastAsia="仿宋_GB2312"/>
                <w:sz w:val="20"/>
              </w:rPr>
              <w:t>每期价格定价基础：由甲方（后勤保障部、财务科、审计科）联合乙方，于每月底共同前往</w:t>
            </w:r>
            <w:r>
              <w:rPr>
                <w:rFonts w:ascii="仿宋_GB2312" w:hAnsi="仿宋_GB2312" w:cs="仿宋_GB2312" w:eastAsia="仿宋_GB2312"/>
                <w:sz w:val="20"/>
              </w:rPr>
              <w:t>二级及以上批发市场</w:t>
            </w:r>
            <w:r>
              <w:rPr>
                <w:rFonts w:ascii="仿宋_GB2312" w:hAnsi="仿宋_GB2312" w:cs="仿宋_GB2312" w:eastAsia="仿宋_GB2312"/>
                <w:sz w:val="20"/>
              </w:rPr>
              <w:t>，现场采集对应品类商品的市场零售价格，以此作为下期价格制定的核心依据。</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价格确认与执行流程</w:t>
            </w:r>
          </w:p>
          <w:p>
            <w:pPr>
              <w:pStyle w:val="null3"/>
              <w:jc w:val="both"/>
            </w:pPr>
            <w:r>
              <w:rPr>
                <w:rFonts w:ascii="仿宋_GB2312" w:hAnsi="仿宋_GB2312" w:cs="仿宋_GB2312" w:eastAsia="仿宋_GB2312"/>
                <w:sz w:val="20"/>
              </w:rPr>
              <w:t xml:space="preserve">1. </w:t>
            </w:r>
            <w:r>
              <w:rPr>
                <w:rFonts w:ascii="仿宋_GB2312" w:hAnsi="仿宋_GB2312" w:cs="仿宋_GB2312" w:eastAsia="仿宋_GB2312"/>
                <w:sz w:val="20"/>
              </w:rPr>
              <w:t>双方完成市场零售价采集后，共同核算拟定下期执行价格，形成正式价格确认表。</w:t>
            </w:r>
          </w:p>
          <w:p>
            <w:pPr>
              <w:pStyle w:val="null3"/>
              <w:jc w:val="both"/>
            </w:pPr>
            <w:r>
              <w:rPr>
                <w:rFonts w:ascii="仿宋_GB2312" w:hAnsi="仿宋_GB2312" w:cs="仿宋_GB2312" w:eastAsia="仿宋_GB2312"/>
                <w:sz w:val="20"/>
              </w:rPr>
              <w:t xml:space="preserve">2. </w:t>
            </w:r>
            <w:r>
              <w:rPr>
                <w:rFonts w:ascii="仿宋_GB2312" w:hAnsi="仿宋_GB2312" w:cs="仿宋_GB2312" w:eastAsia="仿宋_GB2312"/>
                <w:sz w:val="20"/>
              </w:rPr>
              <w:t>价格确认表经甲乙双方签字盖章确认后，于下一个定价周期正式生效执行，周期内价格不再另行调整。</w:t>
            </w:r>
          </w:p>
          <w:p>
            <w:pPr>
              <w:pStyle w:val="null3"/>
            </w:pPr>
            <w:r>
              <w:rPr>
                <w:rFonts w:ascii="仿宋_GB2312" w:hAnsi="仿宋_GB2312" w:cs="仿宋_GB2312" w:eastAsia="仿宋_GB2312"/>
                <w:sz w:val="20"/>
              </w:rPr>
              <w:t xml:space="preserve">3. </w:t>
            </w:r>
            <w:r>
              <w:rPr>
                <w:rFonts w:ascii="仿宋_GB2312" w:hAnsi="仿宋_GB2312" w:cs="仿宋_GB2312" w:eastAsia="仿宋_GB2312"/>
                <w:sz w:val="20"/>
              </w:rPr>
              <w:t>乙方须严格按照双方确认的周期价格履约，未经双方书面同意，不得擅自变更价格。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报价要求：</w:t>
            </w:r>
          </w:p>
          <w:p>
            <w:pPr>
              <w:pStyle w:val="null3"/>
              <w:jc w:val="both"/>
            </w:pPr>
            <w:r>
              <w:rPr>
                <w:rFonts w:ascii="仿宋_GB2312" w:hAnsi="仿宋_GB2312" w:cs="仿宋_GB2312" w:eastAsia="仿宋_GB2312"/>
                <w:sz w:val="20"/>
              </w:rPr>
              <w:t xml:space="preserve">1 </w:t>
            </w:r>
            <w:r>
              <w:rPr>
                <w:rFonts w:ascii="仿宋_GB2312" w:hAnsi="仿宋_GB2312" w:cs="仿宋_GB2312" w:eastAsia="仿宋_GB2312"/>
                <w:sz w:val="20"/>
              </w:rPr>
              <w:t>.</w:t>
            </w:r>
            <w:r>
              <w:rPr>
                <w:rFonts w:ascii="仿宋_GB2312" w:hAnsi="仿宋_GB2312" w:cs="仿宋_GB2312" w:eastAsia="仿宋_GB2312"/>
                <w:sz w:val="20"/>
              </w:rPr>
              <w:t>投标报价要按招标书中要求的内容填写优惠</w:t>
            </w:r>
            <w:r>
              <w:rPr>
                <w:rFonts w:ascii="仿宋_GB2312" w:hAnsi="仿宋_GB2312" w:cs="仿宋_GB2312" w:eastAsia="仿宋_GB2312"/>
                <w:sz w:val="20"/>
              </w:rPr>
              <w:t>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投标人报价时，需在共同采集的市场零售价基础上</w:t>
            </w:r>
            <w:r>
              <w:rPr>
                <w:rFonts w:ascii="仿宋_GB2312" w:hAnsi="仿宋_GB2312" w:cs="仿宋_GB2312" w:eastAsia="仿宋_GB2312"/>
                <w:sz w:val="20"/>
              </w:rPr>
              <w:t>优惠</w:t>
            </w:r>
          </w:p>
          <w:p>
            <w:pPr>
              <w:pStyle w:val="null3"/>
            </w:pPr>
            <w:r>
              <w:rPr>
                <w:rFonts w:ascii="仿宋_GB2312" w:hAnsi="仿宋_GB2312" w:cs="仿宋_GB2312" w:eastAsia="仿宋_GB2312"/>
                <w:sz w:val="20"/>
              </w:rPr>
              <w:t>★</w:t>
            </w:r>
            <w:r>
              <w:rPr>
                <w:rFonts w:ascii="仿宋_GB2312" w:hAnsi="仿宋_GB2312" w:cs="仿宋_GB2312" w:eastAsia="仿宋_GB2312"/>
                <w:sz w:val="20"/>
              </w:rPr>
              <w:t xml:space="preserve">3 </w:t>
            </w:r>
            <w:r>
              <w:rPr>
                <w:rFonts w:ascii="仿宋_GB2312" w:hAnsi="仿宋_GB2312" w:cs="仿宋_GB2312" w:eastAsia="仿宋_GB2312"/>
                <w:sz w:val="20"/>
              </w:rPr>
              <w:t>、本标段优惠</w:t>
            </w:r>
            <w:r>
              <w:rPr>
                <w:rFonts w:ascii="仿宋_GB2312" w:hAnsi="仿宋_GB2312" w:cs="仿宋_GB2312" w:eastAsia="仿宋_GB2312"/>
                <w:sz w:val="20"/>
              </w:rPr>
              <w:t>率</w:t>
            </w:r>
            <w:r>
              <w:rPr>
                <w:rFonts w:ascii="仿宋_GB2312" w:hAnsi="仿宋_GB2312" w:cs="仿宋_GB2312" w:eastAsia="仿宋_GB2312"/>
                <w:sz w:val="20"/>
              </w:rPr>
              <w:t>报价：至少下浮</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未满足该下浮比例要求的投标报价，视为无效投标。</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1.</w:t>
            </w:r>
            <w:r>
              <w:rPr>
                <w:rFonts w:ascii="仿宋_GB2312" w:hAnsi="仿宋_GB2312" w:cs="仿宋_GB2312" w:eastAsia="仿宋_GB2312"/>
                <w:sz w:val="20"/>
              </w:rPr>
              <w:t>米、面、食用油（占比</w:t>
            </w:r>
            <w:r>
              <w:rPr>
                <w:rFonts w:ascii="仿宋_GB2312" w:hAnsi="仿宋_GB2312" w:cs="仿宋_GB2312" w:eastAsia="仿宋_GB2312"/>
                <w:sz w:val="20"/>
              </w:rPr>
              <w:t>16%</w:t>
            </w:r>
            <w:r>
              <w:rPr>
                <w:rFonts w:ascii="仿宋_GB2312" w:hAnsi="仿宋_GB2312" w:cs="仿宋_GB2312" w:eastAsia="仿宋_GB2312"/>
                <w:sz w:val="20"/>
              </w:rPr>
              <w:t>）具体要求如下：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）米：商超品牌，标准为二级以上大米，东北产优质大米。</w:t>
            </w:r>
            <w:r>
              <w:rPr>
                <w:rFonts w:ascii="仿宋_GB2312" w:hAnsi="仿宋_GB2312" w:cs="仿宋_GB2312" w:eastAsia="仿宋_GB2312"/>
                <w:sz w:val="20"/>
                <w:b/>
              </w:rPr>
              <w:t>（核心产品）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）面：商超品牌，标准粉以上面粉。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）食用油：商超品牌，须提供非转基因油品。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调味品、干货类、一次性用品（占比</w:t>
            </w:r>
            <w:r>
              <w:rPr>
                <w:rFonts w:ascii="仿宋_GB2312" w:hAnsi="仿宋_GB2312" w:cs="仿宋_GB2312" w:eastAsia="仿宋_GB2312"/>
                <w:sz w:val="20"/>
              </w:rPr>
              <w:t>24%</w:t>
            </w:r>
            <w:r>
              <w:rPr>
                <w:rFonts w:ascii="仿宋_GB2312" w:hAnsi="仿宋_GB2312" w:cs="仿宋_GB2312" w:eastAsia="仿宋_GB2312"/>
                <w:sz w:val="20"/>
              </w:rPr>
              <w:t>）具体要求如下：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）调味品：商超品牌，具有相应检验报告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）干货类：干爽、不霉烂整齐、均匀、完整无虫蛀，无杂质，保持应有的色泽。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）一次性用品：提供合格的质量、环保，具有相应检验报告。</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饮料奶制品）（占比</w:t>
            </w:r>
            <w:r>
              <w:rPr>
                <w:rFonts w:ascii="仿宋_GB2312" w:hAnsi="仿宋_GB2312" w:cs="仿宋_GB2312" w:eastAsia="仿宋_GB2312"/>
                <w:sz w:val="20"/>
              </w:rPr>
              <w:t>4%</w:t>
            </w:r>
            <w:r>
              <w:rPr>
                <w:rFonts w:ascii="仿宋_GB2312" w:hAnsi="仿宋_GB2312" w:cs="仿宋_GB2312" w:eastAsia="仿宋_GB2312"/>
                <w:sz w:val="20"/>
              </w:rPr>
              <w:t>）具体要求如下：商超品牌，成品包装完整，信息清晰，有相应检验报告</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大肉、海鲜冻货类（占比</w:t>
            </w:r>
            <w:r>
              <w:rPr>
                <w:rFonts w:ascii="仿宋_GB2312" w:hAnsi="仿宋_GB2312" w:cs="仿宋_GB2312" w:eastAsia="仿宋_GB2312"/>
                <w:sz w:val="20"/>
              </w:rPr>
              <w:t>20%</w:t>
            </w:r>
            <w:r>
              <w:rPr>
                <w:rFonts w:ascii="仿宋_GB2312" w:hAnsi="仿宋_GB2312" w:cs="仿宋_GB2312" w:eastAsia="仿宋_GB2312"/>
                <w:sz w:val="20"/>
              </w:rPr>
              <w:t>）具体要求如下：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）大肉：提供肉联厂相关备案防疫证，检验合格证。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）海鲜冻货类：活的海鲜须鲜活、新鲜，冷冻海鲜类须有合格证及在保质期内。</w:t>
            </w:r>
          </w:p>
          <w:p>
            <w:pPr>
              <w:pStyle w:val="null3"/>
            </w:pPr>
            <w:r>
              <w:rPr>
                <w:rFonts w:ascii="仿宋_GB2312" w:hAnsi="仿宋_GB2312" w:cs="仿宋_GB2312" w:eastAsia="仿宋_GB2312"/>
                <w:sz w:val="20"/>
              </w:rPr>
              <w:t>5.</w:t>
            </w:r>
            <w:r>
              <w:rPr>
                <w:rFonts w:ascii="仿宋_GB2312" w:hAnsi="仿宋_GB2312" w:cs="仿宋_GB2312" w:eastAsia="仿宋_GB2312"/>
                <w:sz w:val="20"/>
              </w:rPr>
              <w:t>蔬菜水果蛋类（占比</w:t>
            </w:r>
            <w:r>
              <w:rPr>
                <w:rFonts w:ascii="仿宋_GB2312" w:hAnsi="仿宋_GB2312" w:cs="仿宋_GB2312" w:eastAsia="仿宋_GB2312"/>
                <w:sz w:val="20"/>
              </w:rPr>
              <w:t>36%</w:t>
            </w:r>
            <w:r>
              <w:rPr>
                <w:rFonts w:ascii="仿宋_GB2312" w:hAnsi="仿宋_GB2312" w:cs="仿宋_GB2312" w:eastAsia="仿宋_GB2312"/>
                <w:sz w:val="20"/>
              </w:rPr>
              <w:t>）具体要求如下：提供合格的质量，外观新鲜、干净、环保，具有相应检验报告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1.投标人根据职工食堂要求提供的所有食材的具体品类，品牌，规格来供应产品，保质保量满足食堂需求；</w:t>
            </w:r>
          </w:p>
          <w:p>
            <w:pPr>
              <w:pStyle w:val="null3"/>
              <w:spacing w:before="90"/>
              <w:ind w:right="150"/>
            </w:pPr>
            <w:r>
              <w:rPr>
                <w:rFonts w:ascii="仿宋_GB2312" w:hAnsi="仿宋_GB2312" w:cs="仿宋_GB2312" w:eastAsia="仿宋_GB2312"/>
                <w:sz w:val="20"/>
              </w:rPr>
              <w:t>2.投标人自备送货车（冷藏或恒温）不少于</w:t>
            </w:r>
            <w:r>
              <w:rPr>
                <w:rFonts w:ascii="仿宋_GB2312" w:hAnsi="仿宋_GB2312" w:cs="仿宋_GB2312" w:eastAsia="仿宋_GB2312"/>
                <w:sz w:val="20"/>
              </w:rPr>
              <w:t>2</w:t>
            </w:r>
            <w:r>
              <w:rPr>
                <w:rFonts w:ascii="仿宋_GB2312" w:hAnsi="仿宋_GB2312" w:cs="仿宋_GB2312" w:eastAsia="仿宋_GB2312"/>
                <w:sz w:val="20"/>
              </w:rPr>
              <w:t>辆，安排专人及时供货，装卸费、送货费用及运输安全由供货方承担；</w:t>
            </w:r>
          </w:p>
          <w:p>
            <w:pPr>
              <w:pStyle w:val="null3"/>
              <w:spacing w:before="90"/>
              <w:ind w:right="150"/>
            </w:pPr>
            <w:r>
              <w:rPr>
                <w:rFonts w:ascii="仿宋_GB2312" w:hAnsi="仿宋_GB2312" w:cs="仿宋_GB2312" w:eastAsia="仿宋_GB2312"/>
                <w:sz w:val="20"/>
              </w:rPr>
              <w:t>3.乙方须按甲方要求于每日早上</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30-7</w:t>
            </w:r>
            <w:r>
              <w:rPr>
                <w:rFonts w:ascii="仿宋_GB2312" w:hAnsi="仿宋_GB2312" w:cs="仿宋_GB2312" w:eastAsia="仿宋_GB2312"/>
                <w:sz w:val="20"/>
              </w:rPr>
              <w:t>：</w:t>
            </w:r>
            <w:r>
              <w:rPr>
                <w:rFonts w:ascii="仿宋_GB2312" w:hAnsi="仿宋_GB2312" w:cs="仿宋_GB2312" w:eastAsia="仿宋_GB2312"/>
                <w:sz w:val="20"/>
              </w:rPr>
              <w:t>00</w:t>
            </w:r>
            <w:r>
              <w:rPr>
                <w:rFonts w:ascii="仿宋_GB2312" w:hAnsi="仿宋_GB2312" w:cs="仿宋_GB2312" w:eastAsia="仿宋_GB2312"/>
                <w:sz w:val="20"/>
              </w:rPr>
              <w:t>，将所订购的货物送至甲方指定地点，确保蔬菜新鲜。乙方所供的货品必须按甲方所规定的配送时间内准时送达，到货后乙方需协助甲方的工作人员验收过秤入库。送货时间迟到未送达到甲方指定地点，超过半个小时，甲方可罚乙方当天总菜款的</w:t>
            </w:r>
            <w:r>
              <w:rPr>
                <w:rFonts w:ascii="仿宋_GB2312" w:hAnsi="仿宋_GB2312" w:cs="仿宋_GB2312" w:eastAsia="仿宋_GB2312"/>
                <w:sz w:val="20"/>
              </w:rPr>
              <w:t>10%</w:t>
            </w:r>
            <w:r>
              <w:rPr>
                <w:rFonts w:ascii="仿宋_GB2312" w:hAnsi="仿宋_GB2312" w:cs="仿宋_GB2312" w:eastAsia="仿宋_GB2312"/>
                <w:sz w:val="20"/>
              </w:rPr>
              <w:t>，对于甲方要求的退换贷或临时补货品种，乙方必须在两小时内送达</w:t>
            </w:r>
            <w:r>
              <w:rPr>
                <w:rFonts w:ascii="仿宋_GB2312" w:hAnsi="仿宋_GB2312" w:cs="仿宋_GB2312" w:eastAsia="仿宋_GB2312"/>
                <w:sz w:val="20"/>
              </w:rPr>
              <w:t>(</w:t>
            </w:r>
            <w:r>
              <w:rPr>
                <w:rFonts w:ascii="仿宋_GB2312" w:hAnsi="仿宋_GB2312" w:cs="仿宋_GB2312" w:eastAsia="仿宋_GB2312"/>
                <w:sz w:val="20"/>
              </w:rPr>
              <w:t>自然灾害除外</w:t>
            </w:r>
            <w:r>
              <w:rPr>
                <w:rFonts w:ascii="仿宋_GB2312" w:hAnsi="仿宋_GB2312" w:cs="仿宋_GB2312" w:eastAsia="仿宋_GB2312"/>
                <w:sz w:val="20"/>
              </w:rPr>
              <w:t>)</w:t>
            </w:r>
            <w:r>
              <w:rPr>
                <w:rFonts w:ascii="仿宋_GB2312" w:hAnsi="仿宋_GB2312" w:cs="仿宋_GB2312" w:eastAsia="仿宋_GB2312"/>
                <w:sz w:val="20"/>
              </w:rPr>
              <w:t>。如因产品质量不合格，耽误甲方的正常出品，乙方承担全部责任。如果因食材质量和送货时间延迟来送达到甲方指定地点，影响正常开餐，累计超过</w:t>
            </w:r>
            <w:r>
              <w:rPr>
                <w:rFonts w:ascii="仿宋_GB2312" w:hAnsi="仿宋_GB2312" w:cs="仿宋_GB2312" w:eastAsia="仿宋_GB2312"/>
                <w:sz w:val="20"/>
              </w:rPr>
              <w:t>3</w:t>
            </w:r>
            <w:r>
              <w:rPr>
                <w:rFonts w:ascii="仿宋_GB2312" w:hAnsi="仿宋_GB2312" w:cs="仿宋_GB2312" w:eastAsia="仿宋_GB2312"/>
                <w:sz w:val="20"/>
              </w:rPr>
              <w:t>次甲方有权扣除当月送货总价的</w:t>
            </w:r>
            <w:r>
              <w:rPr>
                <w:rFonts w:ascii="仿宋_GB2312" w:hAnsi="仿宋_GB2312" w:cs="仿宋_GB2312" w:eastAsia="仿宋_GB2312"/>
                <w:sz w:val="20"/>
              </w:rPr>
              <w:t>5%</w:t>
            </w:r>
            <w:r>
              <w:rPr>
                <w:rFonts w:ascii="仿宋_GB2312" w:hAnsi="仿宋_GB2312" w:cs="仿宋_GB2312" w:eastAsia="仿宋_GB2312"/>
                <w:sz w:val="20"/>
              </w:rPr>
              <w:t>。乙方严格按照甲方订单指定采购食材，如因甲方订单失误造成乙方采购货品错误，乙方不承担责任。如乙方在合同履行期内累计逾期送货达到</w:t>
            </w:r>
            <w:r>
              <w:rPr>
                <w:rFonts w:ascii="仿宋_GB2312" w:hAnsi="仿宋_GB2312" w:cs="仿宋_GB2312" w:eastAsia="仿宋_GB2312"/>
                <w:sz w:val="20"/>
              </w:rPr>
              <w:t>5</w:t>
            </w:r>
            <w:r>
              <w:rPr>
                <w:rFonts w:ascii="仿宋_GB2312" w:hAnsi="仿宋_GB2312" w:cs="仿宋_GB2312" w:eastAsia="仿宋_GB2312"/>
                <w:sz w:val="20"/>
              </w:rPr>
              <w:t>次的，视为乙方根本违约，甲方有权单方解除本合同，乙方应按已供货总价的</w:t>
            </w:r>
            <w:r>
              <w:rPr>
                <w:rFonts w:ascii="仿宋_GB2312" w:hAnsi="仿宋_GB2312" w:cs="仿宋_GB2312" w:eastAsia="仿宋_GB2312"/>
                <w:sz w:val="20"/>
              </w:rPr>
              <w:t>30%</w:t>
            </w:r>
            <w:r>
              <w:rPr>
                <w:rFonts w:ascii="仿宋_GB2312" w:hAnsi="仿宋_GB2312" w:cs="仿宋_GB2312" w:eastAsia="仿宋_GB2312"/>
                <w:sz w:val="20"/>
              </w:rPr>
              <w:t>向甲方支付违约金，违约金不足以赔偿甲方损失的，由乙方另行承担。</w:t>
            </w:r>
          </w:p>
          <w:p>
            <w:pPr>
              <w:pStyle w:val="null3"/>
              <w:spacing w:before="90"/>
              <w:ind w:right="150"/>
            </w:pPr>
            <w:r>
              <w:rPr>
                <w:rFonts w:ascii="仿宋_GB2312" w:hAnsi="仿宋_GB2312" w:cs="仿宋_GB2312" w:eastAsia="仿宋_GB2312"/>
                <w:sz w:val="20"/>
              </w:rPr>
              <w:t>4.特殊情况下，职工食堂需要的小批量的急用物资，供货方应予以</w:t>
            </w:r>
            <w:r>
              <w:rPr>
                <w:rFonts w:ascii="仿宋_GB2312" w:hAnsi="仿宋_GB2312" w:cs="仿宋_GB2312" w:eastAsia="仿宋_GB2312"/>
                <w:sz w:val="20"/>
              </w:rPr>
              <w:t>2</w:t>
            </w:r>
            <w:r>
              <w:rPr>
                <w:rFonts w:ascii="仿宋_GB2312" w:hAnsi="仿宋_GB2312" w:cs="仿宋_GB2312" w:eastAsia="仿宋_GB2312"/>
                <w:sz w:val="20"/>
              </w:rPr>
              <w:t>个小时内解决。</w:t>
            </w:r>
          </w:p>
          <w:p>
            <w:pPr>
              <w:pStyle w:val="null3"/>
              <w:spacing w:before="90"/>
              <w:ind w:right="150"/>
            </w:pPr>
            <w:r>
              <w:rPr>
                <w:rFonts w:ascii="仿宋_GB2312" w:hAnsi="仿宋_GB2312" w:cs="仿宋_GB2312" w:eastAsia="仿宋_GB2312"/>
                <w:sz w:val="20"/>
              </w:rPr>
              <w:t>5.所有食材供应商必须按照采购人要求的种类、规格进行供货，满足采购人使用需求。所有食材采购均以采购人通知为准，采购人有权根据实际需求量随时调整采购计划及供货时间段。</w:t>
            </w:r>
          </w:p>
          <w:p>
            <w:pPr>
              <w:pStyle w:val="null3"/>
              <w:spacing w:before="90"/>
              <w:ind w:right="150"/>
            </w:pPr>
            <w:r>
              <w:rPr>
                <w:rFonts w:ascii="仿宋_GB2312" w:hAnsi="仿宋_GB2312" w:cs="仿宋_GB2312" w:eastAsia="仿宋_GB2312"/>
                <w:sz w:val="20"/>
              </w:rPr>
              <w:t>6.</w:t>
            </w:r>
            <w:r>
              <w:rPr>
                <w:rFonts w:ascii="仿宋_GB2312" w:hAnsi="仿宋_GB2312" w:cs="仿宋_GB2312" w:eastAsia="仿宋_GB2312"/>
                <w:sz w:val="20"/>
              </w:rPr>
              <w:t>配送食材质量保证</w:t>
            </w:r>
          </w:p>
          <w:p>
            <w:pPr>
              <w:pStyle w:val="null3"/>
            </w:pPr>
            <w:r>
              <w:rPr>
                <w:rFonts w:ascii="仿宋_GB2312" w:hAnsi="仿宋_GB2312" w:cs="仿宋_GB2312" w:eastAsia="仿宋_GB2312"/>
                <w:sz w:val="20"/>
              </w:rPr>
              <w:t>按甲方要求的质量配送，并符合国家卫生标准和国家的食品安全法的执行标准。蔬菜类应保持较好的色泽及新鲜度</w:t>
            </w:r>
            <w:r>
              <w:rPr>
                <w:rFonts w:ascii="仿宋_GB2312" w:hAnsi="仿宋_GB2312" w:cs="仿宋_GB2312" w:eastAsia="仿宋_GB2312"/>
                <w:sz w:val="20"/>
              </w:rPr>
              <w:t>:</w:t>
            </w:r>
            <w:r>
              <w:rPr>
                <w:rFonts w:ascii="仿宋_GB2312" w:hAnsi="仿宋_GB2312" w:cs="仿宋_GB2312" w:eastAsia="仿宋_GB2312"/>
                <w:sz w:val="20"/>
              </w:rPr>
              <w:t>冷冻类及干货类应保持较好的外观和质量等级</w:t>
            </w:r>
            <w:r>
              <w:rPr>
                <w:rFonts w:ascii="仿宋_GB2312" w:hAnsi="仿宋_GB2312" w:cs="仿宋_GB2312" w:eastAsia="仿宋_GB2312"/>
                <w:sz w:val="20"/>
              </w:rPr>
              <w:t>:</w:t>
            </w:r>
            <w:r>
              <w:rPr>
                <w:rFonts w:ascii="仿宋_GB2312" w:hAnsi="仿宋_GB2312" w:cs="仿宋_GB2312" w:eastAsia="仿宋_GB2312"/>
                <w:sz w:val="20"/>
              </w:rPr>
              <w:t>鲜肉类保证来源正规肉联厂，确保每日新鲜，并提供相关检疫检验报告。对于不符合质量的品种应无条件按甲方要求退货或换货。因乙方所送食品造成甲方人员食用后发生食物中毒的，经卫生防疫部门鉴定，如属乙方责任，则由乙万承担全部医疗费及法律责任，并消除对甲方造成的不良影响。甲方有权立即单方解除本合同，乙方应按已供货总价的</w:t>
            </w:r>
            <w:r>
              <w:rPr>
                <w:rFonts w:ascii="仿宋_GB2312" w:hAnsi="仿宋_GB2312" w:cs="仿宋_GB2312" w:eastAsia="仿宋_GB2312"/>
                <w:sz w:val="20"/>
              </w:rPr>
              <w:t>20%</w:t>
            </w:r>
            <w:r>
              <w:rPr>
                <w:rFonts w:ascii="仿宋_GB2312" w:hAnsi="仿宋_GB2312" w:cs="仿宋_GB2312" w:eastAsia="仿宋_GB2312"/>
                <w:sz w:val="20"/>
              </w:rPr>
              <w:t>向甲方支付违约金。此外，鉴定相关相关费用由乙方支付，并承担所有经济损失和法律责任。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本项目服务期合同签订开始供货起1年，一般情况下采购方前一天下午7点前将采购计划单发给供货商，于第二天早上6：30-7：00配送到位（提前一天通知）。紧急情况下接到采购方通知后2小时内配送到位。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西北大学第一医院指定地点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根据当月乙方配送食材总量,甲乙双方财务核对结账金额无误后据实结算，,乙方开具发票，不另行计算税费。乙方所开发票为蔬菜普通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（一）初验 1.由采购人的采购员、保管员做好卸货前的检查。主要就产品的检验报告、外包装是否洁净、有无破损、规格、数量等是否与甲方所报计划及配送单是否一致进行验收。 2.验收人员将所有货品逐一过磅按实际数量签收（配送数量不应超过订货单的订货量） 。 （二）最终验收 1.甲方在使用本批次食材48小时后，如无就餐人员出现身体异常等情况，则视为最终验收。 2.如就餐人员在食用本批次食材后，出现身体异常情况，应立即封存本批次食材，立即上报，并通知供应商，依法追究乙方责任。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配送物资如出现质量问题，供货商在2小时之内进行更换处理，如就餐人员在食用本批次食材后，出现身体异常情况，应立即封存本批次物资，供应商承担相关责任，甲方依法追究供应商责任。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付款方式：按月结算，根据当月乙方配送食材总量,甲乙双方财务核对结账金额无误后据实结算，乙方开具发票，不另行计算税费。乙方所开发票为蔬菜普通发票。达到付款条件起 30 日内支付（支付约定以此条为准）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一）具有独立承担民事责任能力的法人、其他组织或自然人，并出具合法有效的营业执照或事业单位法人证书等国家规定的相关证明，自然人参与的提供其身份证明书 （二）具有良好的商业信誉和健全的财务会计制度：提供2025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具有履行合同所必需的设备和专业技术能力：提供声明文件。 （四）具有依法缴纳税收的良好记录：提供投标文件截止时间前一年内至少一个月已缴纳的纳税证明或完税证明，纳税证明或完税证明上应有代收机构或税务机关的公章或业务专用章，依法免税的服务商应提供相关文件证明； （五）提供投标文件截止时间前一年内至少一个月已缴纳的社会保障资金缴存单据或社保机构开具的社会保险参保缴费情况证明；依法不需要缴纳社会保障资金的应提供相关文件证明； （六）参加政府采购活动前3年内在经营活动中没有重大违法记录的书面声明。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主体资格身份</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法定代表人授权代表参加的须出具法定代表人授权书及被授权人本单位证明（开标前6个月内任意一个月的社保缴纳证明）：投标人应授权合法的人员参加投标，其中法定代表人直接参加的须出具法定代表人身份证；法定代表人授权代表参加的须出具法定代表人授权书及被授权人本单位证明（开标前6个月内任意一个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提供投标文件截止时间前一年内至少一个月已缴纳的纳税证明或完税证明，纳税证明或完税证明上应有代收机构或税务机关的公章或业务专用章，依法免税的服务商应提供相关文件证明；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信用查询采购人或采购代理机构开标当天查询,供应商无须提供截图)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提供食品经营许可证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 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报价一览表.docx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 （2）投标文件格式：应符合招标文件要求；</w:t>
            </w:r>
          </w:p>
        </w:tc>
        <w:tc>
          <w:tcPr>
            <w:tcW w:type="dxa" w:w="1661"/>
          </w:tcPr>
          <w:p>
            <w:pPr>
              <w:pStyle w:val="null3"/>
            </w:pPr>
            <w:r>
              <w:rPr>
                <w:rFonts w:ascii="仿宋_GB2312" w:hAnsi="仿宋_GB2312" w:cs="仿宋_GB2312" w:eastAsia="仿宋_GB2312"/>
              </w:rPr>
              <w:t>开标一览表 报价一览表.docx 业绩一览表.docx 商务条款偏差表.docx 中小企业声明函 核心产品的生产厂家.docx 技术参数响应偏离表.docx 供应商应提交的相关资格证明材料.docx 投标函 残疾人福利性单位声明函 标的清单 投标文件封面 详细评审相应内容.docx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按招标文件要求报价，不得提交选择性报价，且报价不超过要求</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技术参数响应偏离表.docx 商务条款偏差表.docx 陕西省政府采购供应商拒绝政府采购领域商业贿赂承诺书.docx 核心产品的生产厂家.docx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本项主要考量投标人对食材的配送方案，包括①运输计划；②流程控制；③质量管理；④食材数量及种类管理、食品安全管理；⑤送货时间、验货标准等五项内容进行综合赋分： 评审内容任意一项缺项或只有标题没有实质性内容扣1分。评审内容任意一项每有一处缺陷扣0.2。 （缺陷是指：内容粗略不够全面、不够合理、不够规范、可行性不足、与项目特点不匹配、逻辑混乱、 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技术参数响应偏离表.docx</w:t>
            </w:r>
          </w:p>
          <w:p>
            <w:pPr>
              <w:pStyle w:val="null3"/>
            </w:pPr>
            <w:r>
              <w:rPr>
                <w:rFonts w:ascii="仿宋_GB2312" w:hAnsi="仿宋_GB2312" w:cs="仿宋_GB2312" w:eastAsia="仿宋_GB2312"/>
              </w:rPr>
              <w:t>商务条款偏差表.docx</w:t>
            </w:r>
          </w:p>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根据投标人承诺的①配送货物的标准；②合格率及利用率、退换货承诺③特殊情况下的应急保障；④监督机制等四项内容进行综合赋分： 评审内容任意一项缺项或只有标题没有实质性内容扣1分。评审内容任意一项每有一处缺陷扣0.2分。 （缺陷是指：内容粗略不够全面、不够合理、不够规范、可行性不足、与项目特点不匹配、逻辑混乱、 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为保证产品的供应来源渠道正常、稳定，提供投标产品的来源渠道证明材料，材料包括但不限于销售协议、代理协议、购销合同等证明材料。 1.证明材料充分、详尽，能保证采购需求的得5分； 2.证明材料基本完整，能基本保证采购需求的得3分； 3.证明材料不全，不能保证采购需求的得1分。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根据投标人在西安地区经营场所以及储存能力的情况进行评分： 1.投标人西安范围内设有经营场所，按面积进行打分，每具有500㎡，得1分；本项满分5分； 2.场所其中具备的冷库面积每具有100㎡，得1分；本项满分4分； 注：计算面积时以证明材料复印件上体现的面积为准。提供场所（冷库）的照片、产权所有人的产权证明，租赁的还需提供租赁合同及租金转账凭证，签订周期在 1 年（含）以上，并且在截止开标时间仍在合同期内；资料不全或不符合的不计分。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根据投标人针对本项目设置岗位及人员情况进行评分：包含但不限于项目负责人、驾驶人员、财务人员、货物储存人员、分拣人员、专业检测人员或食品安全人员等。每具备一名相应的人员得0.5分；本项满分10分； 注：投标文件中提供人员、身份证、健康证、投标单位近六个月任意月缴纳的养老证明、驾驶人员驾驶证、专业检测人员或食品安全人员相关专业证书复印件及劳动合同（加盖投标人公章）。以上计分对同一人不重复计分，证件不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根据投标人对食材的检测能力的情况进行评分： 1.投标人自有食材安全检测设备每提供1台，得0.5分，本项满分2分； 2.投标人自有检测场所的，得1分； 3.投标人有和第三方检测机构合作的1分。 注：食材安全检测设备需提供设备发票及照片；检测场所需提供场所照片；与第三方检测机构合作的需提供机构合作协议、机构资质、合作经费发票； 无则不计分。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1.自有或租赁箱式配送车辆≤1辆，不得分；每多提供一辆得0.5分，本项满分4分； 2.自有或租赁冷藏配送车辆≤1辆，不得分；每多提供一辆得0.5分，本项满分4分； 注：自有车辆提供机动车行驶证（所有人必须为投标单位名称或法人名称）、购车发票、车辆照片；不齐全不得分。 租赁车辆与第三方有效期内租赁协议（承租方必须为投标单位）租金转账凭证、机动车行驶证、车辆照片；不齐全不得分。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根据投标人为自身购买食品安全责任保险情况进行评分： 购买有效期内的食品安全责任保险 投保金额达到500万元及以上；得0.5分；其他不得分 投保金额达到1000万元及以上；得1分； 投保金额达到2000万元及以上；得1.5分； 投保金额达到3000万元及以上；得2分； 投保金额达到4000万元及以上；得2.5分； 投保金额达到5000万元及以上；得3分； 注：投标文件中提供保险合同或保单，以及购买发票，无则不计分。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货源保障</w:t>
            </w:r>
          </w:p>
        </w:tc>
        <w:tc>
          <w:tcPr>
            <w:tcW w:type="dxa" w:w="2492"/>
          </w:tcPr>
          <w:p>
            <w:pPr>
              <w:pStyle w:val="null3"/>
            </w:pPr>
            <w:r>
              <w:rPr>
                <w:rFonts w:ascii="仿宋_GB2312" w:hAnsi="仿宋_GB2312" w:cs="仿宋_GB2312" w:eastAsia="仿宋_GB2312"/>
              </w:rPr>
              <w:t>提供货源保障的承诺书，内容包括但不限于承诺后续中标，可完全满足采购人的日常供货需求，若无法满足的自愿接受罚款等处理。提供的承诺内容满足上述要求的得2分，不满足或未提供的不得分。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售后服务方案及承诺1</w:t>
            </w:r>
          </w:p>
        </w:tc>
        <w:tc>
          <w:tcPr>
            <w:tcW w:type="dxa" w:w="2492"/>
          </w:tcPr>
          <w:p>
            <w:pPr>
              <w:pStyle w:val="null3"/>
            </w:pPr>
            <w:r>
              <w:rPr>
                <w:rFonts w:ascii="仿宋_GB2312" w:hAnsi="仿宋_GB2312" w:cs="仿宋_GB2312" w:eastAsia="仿宋_GB2312"/>
              </w:rPr>
              <w:t>为保证采购人在产品使用中可能出现的各类问题，投标人应提供详细的售后服务方案，包括但不限于正常工作时间内随时响应的服务热线、产品出现问题后的响应时间和解决方案，如不能解决，可提供采购人其他的解决方案等内容。 1.提供的售后服务方案详尽，针对性强的得4分； 2.提供的售后服务方案一般，有一定的针对性的得2分； 3.提供的售后服务方案较差，无这针对性的得1分。 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售后服务方案及承诺2</w:t>
            </w:r>
          </w:p>
        </w:tc>
        <w:tc>
          <w:tcPr>
            <w:tcW w:type="dxa" w:w="2492"/>
          </w:tcPr>
          <w:p>
            <w:pPr>
              <w:pStyle w:val="null3"/>
            </w:pPr>
            <w:r>
              <w:rPr>
                <w:rFonts w:ascii="仿宋_GB2312" w:hAnsi="仿宋_GB2312" w:cs="仿宋_GB2312" w:eastAsia="仿宋_GB2312"/>
              </w:rPr>
              <w:t>提供售后服务的承诺书，内容包括但不限于因产品质量(过期等)或配送造成一切安全问题(运输途中产生的破损、胀袋等)和后果承担全部责任等。提供的承诺内容满足上述要求的得2分，不满足或未提供的不得分。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提供近三年（以合同签订时间为准）以来签订的类似项目业绩情况进行评价（提供完整合同复印件），每提供一份合同得2分，该项最高得14分。 未提供的或内容、时间不符合要求的不得分。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详细评审相应内容.docx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价格分统一采用低价优先法计算，即满足招标文件要求且投标价格最低的报价为评标基准价，评标基准价=1-最高报价下浮（%） ，其价格分为满分。其他投标人的价格分统一按照下列公式计算： 报价得分=(评审基准价／（1-报价下浮%）)×30。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详见附件：商务条款偏差表.docx</w:t>
      </w:r>
    </w:p>
    <w:p>
      <w:pPr>
        <w:pStyle w:val="null3"/>
        <w:ind w:firstLine="960"/>
      </w:pPr>
      <w:r>
        <w:rPr>
          <w:rFonts w:ascii="仿宋_GB2312" w:hAnsi="仿宋_GB2312" w:cs="仿宋_GB2312" w:eastAsia="仿宋_GB2312"/>
        </w:rPr>
        <w:t>详见附件：详细评审相应内容.docx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详见附件：核心产品的生产厂家.docx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