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CE3AC">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4175FB20">
      <w:pPr>
        <w:widowControl/>
        <w:jc w:val="center"/>
        <w:rPr>
          <w:rFonts w:hint="eastAsia" w:eastAsia="黑体"/>
          <w:b/>
          <w:bCs/>
          <w:kern w:val="0"/>
          <w:sz w:val="52"/>
          <w:szCs w:val="52"/>
          <w:highlight w:val="none"/>
        </w:rPr>
      </w:pPr>
    </w:p>
    <w:p w14:paraId="3353A4F8">
      <w:pPr>
        <w:widowControl/>
        <w:jc w:val="center"/>
        <w:rPr>
          <w:rFonts w:hint="eastAsia" w:eastAsia="黑体"/>
          <w:b/>
          <w:bCs/>
          <w:kern w:val="0"/>
          <w:sz w:val="52"/>
          <w:szCs w:val="52"/>
          <w:highlight w:val="none"/>
        </w:rPr>
      </w:pPr>
    </w:p>
    <w:p w14:paraId="54A28A86">
      <w:pPr>
        <w:pStyle w:val="7"/>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57D7D70F">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10443562">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8C5E89">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6FC7CCD8">
      <w:pPr>
        <w:pStyle w:val="8"/>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西安市市政设施管理中心</w:t>
      </w:r>
    </w:p>
    <w:p w14:paraId="06DD1304">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34F4C611">
      <w:pPr>
        <w:pStyle w:val="8"/>
        <w:ind w:firstLine="562"/>
        <w:rPr>
          <w:rFonts w:hint="eastAsia" w:ascii="仿宋_GB2312" w:hAnsi="宋体" w:eastAsia="仿宋_GB2312"/>
          <w:b/>
          <w:sz w:val="28"/>
          <w:szCs w:val="28"/>
          <w:highlight w:val="none"/>
        </w:rPr>
      </w:pPr>
    </w:p>
    <w:p w14:paraId="4CEB913C">
      <w:pPr>
        <w:pStyle w:val="8"/>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2026年快速干道安全设施及应急设施维护采购项目</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SXZH-2026-070</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19BC3E08">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045F45F8">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本项目旨在对西安市城市快速干道区域桥梁安全隐患、排水设施和道路桥梁安全防护附属设施等进行维修维护。2、2026年年底前完成东、西快速干道应急抢险场地的维护整理，采购各类用于快速干道消防、防汛、除冰雪、应急抢险处置工作所需的设施、设备、工具、劳保用品等物资。</w:t>
      </w:r>
    </w:p>
    <w:p w14:paraId="49EBB98A">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46CDB948">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合同签订生效之日起至次年采购合同签订之日止，具体以采购人确认的日期为准。</w:t>
      </w:r>
    </w:p>
    <w:p w14:paraId="7AB62285">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8984975"/>
      <w:bookmarkStart w:id="1" w:name="_Toc225654644"/>
      <w:bookmarkStart w:id="2" w:name="_Toc211854449"/>
      <w:bookmarkStart w:id="3" w:name="_Toc239568418"/>
      <w:bookmarkStart w:id="4" w:name="_Toc283019214"/>
      <w:bookmarkStart w:id="5" w:name="_Toc211911348"/>
      <w:bookmarkStart w:id="6" w:name="_Toc212019594"/>
      <w:bookmarkStart w:id="7" w:name="_Toc225244852"/>
      <w:bookmarkStart w:id="8" w:name="_Toc232492928"/>
      <w:bookmarkStart w:id="9" w:name="_Toc185395249"/>
      <w:bookmarkStart w:id="10" w:name="_Toc225670751"/>
      <w:bookmarkStart w:id="11" w:name="_Toc251768862"/>
      <w:bookmarkStart w:id="12" w:name="_Toc239233914"/>
      <w:bookmarkStart w:id="13" w:name="_Toc241833903"/>
      <w:bookmarkStart w:id="14" w:name="_Toc286993786"/>
      <w:bookmarkStart w:id="15" w:name="_Toc247334841"/>
      <w:bookmarkStart w:id="16" w:name="_Toc237145406"/>
      <w:bookmarkStart w:id="17" w:name="_Toc282696226"/>
      <w:r>
        <w:rPr>
          <w:rFonts w:hint="eastAsia" w:ascii="宋体" w:hAnsi="宋体"/>
          <w:b/>
          <w:sz w:val="30"/>
          <w:szCs w:val="30"/>
          <w:highlight w:val="none"/>
        </w:rPr>
        <w:t>服务内容</w:t>
      </w:r>
      <w:bookmarkStart w:id="52" w:name="_GoBack"/>
      <w:bookmarkEnd w:id="52"/>
    </w:p>
    <w:p w14:paraId="7A41CEE4">
      <w:pPr>
        <w:spacing w:line="360" w:lineRule="auto"/>
        <w:ind w:firstLine="630"/>
        <w:rPr>
          <w:rFonts w:hint="eastAsia" w:ascii="宋体" w:hAnsi="宋体"/>
          <w:szCs w:val="21"/>
          <w:highlight w:val="none"/>
        </w:rPr>
      </w:pPr>
      <w:r>
        <w:rPr>
          <w:rFonts w:hint="eastAsia" w:ascii="宋体" w:hAnsi="宋体"/>
          <w:szCs w:val="21"/>
          <w:highlight w:val="none"/>
        </w:rPr>
        <w:t>（1）安全设施维护类：对西安市城市快速干道区域内道路、桥梁上的安全附属设施、排水设施按照相关标准进行维修维护。对快速干道现有的桥梁结构性安全隐患进行整治。对快速干道桥梁周边敏感区域进行隔音屏安装。</w:t>
      </w:r>
    </w:p>
    <w:p w14:paraId="66AA755C">
      <w:pPr>
        <w:spacing w:line="360" w:lineRule="auto"/>
        <w:ind w:firstLine="630"/>
        <w:rPr>
          <w:rFonts w:hint="eastAsia" w:ascii="宋体" w:hAnsi="宋体"/>
          <w:szCs w:val="21"/>
          <w:highlight w:val="none"/>
        </w:rPr>
      </w:pPr>
      <w:r>
        <w:rPr>
          <w:rFonts w:hint="eastAsia" w:ascii="宋体" w:hAnsi="宋体"/>
          <w:szCs w:val="21"/>
          <w:highlight w:val="none"/>
        </w:rPr>
        <w:t>（2）应急场地维护类：对东、西快速干道应急抢险场地维护整理。主要包括大门换修，墙体拆筑、绿化维护，垃圾杂物运输整、值班和物资场地整理等。详见工程量清单以及采购人规定的全部工作内容等。</w:t>
      </w:r>
    </w:p>
    <w:p w14:paraId="2B35919F">
      <w:pPr>
        <w:spacing w:line="360" w:lineRule="auto"/>
        <w:ind w:firstLine="630"/>
        <w:rPr>
          <w:rFonts w:hint="eastAsia" w:ascii="宋体" w:hAnsi="宋体"/>
          <w:szCs w:val="21"/>
          <w:highlight w:val="none"/>
        </w:rPr>
      </w:pPr>
      <w:r>
        <w:rPr>
          <w:rFonts w:hint="eastAsia" w:ascii="宋体" w:hAnsi="宋体"/>
          <w:szCs w:val="21"/>
          <w:highlight w:val="none"/>
        </w:rPr>
        <w:t>（3）应急物资类：包括但不限于融雪剂、铁锹、雨衣、雨鞋、水泵、应急照明、灭火器、消防面罩、急救箱等，须质量可靠、便携实用，能够满足快速干道突发险情的抢险处置、人员急救等需求，部分设备须提供操作说明书及售后技术支持。</w:t>
      </w:r>
    </w:p>
    <w:p w14:paraId="3A35BE4C">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1FD44B5F">
      <w:pPr>
        <w:pStyle w:val="2"/>
        <w:spacing w:before="0" w:after="0" w:line="360" w:lineRule="auto"/>
        <w:ind w:firstLine="411" w:firstLineChars="196"/>
        <w:rPr>
          <w:rFonts w:hint="default" w:ascii="宋体" w:hAnsi="宋体" w:eastAsia="宋体"/>
          <w:b w:val="0"/>
          <w:sz w:val="21"/>
          <w:szCs w:val="21"/>
          <w:highlight w:val="none"/>
          <w:u w:val="single"/>
          <w:lang w:val="en-US" w:eastAsia="zh-CN"/>
        </w:rPr>
      </w:pPr>
      <w:r>
        <w:rPr>
          <w:rFonts w:hint="eastAsia" w:ascii="宋体" w:hAnsi="宋体" w:eastAsia="宋体"/>
          <w:b w:val="0"/>
          <w:sz w:val="21"/>
          <w:szCs w:val="21"/>
          <w:highlight w:val="none"/>
        </w:rPr>
        <w:t xml:space="preserve">  1.</w:t>
      </w:r>
      <w:r>
        <w:rPr>
          <w:rFonts w:hint="eastAsia" w:ascii="宋体" w:hAnsi="宋体" w:eastAsia="宋体"/>
          <w:b w:val="0"/>
          <w:sz w:val="21"/>
          <w:szCs w:val="21"/>
          <w:highlight w:val="none"/>
          <w:lang w:val="en-US" w:eastAsia="zh-CN"/>
        </w:rPr>
        <w:t>合同金额为在</w:t>
      </w:r>
      <w:r>
        <w:rPr>
          <w:rFonts w:hint="eastAsia" w:ascii="宋体" w:hAnsi="宋体" w:eastAsia="宋体"/>
          <w:b w:val="0"/>
          <w:sz w:val="21"/>
          <w:szCs w:val="21"/>
          <w:highlight w:val="none"/>
          <w:u w:val="single"/>
          <w:lang w:val="en-US" w:eastAsia="zh-CN"/>
        </w:rPr>
        <w:t xml:space="preserve">            </w:t>
      </w:r>
      <w:r>
        <w:rPr>
          <w:rFonts w:hint="eastAsia" w:ascii="宋体" w:hAnsi="宋体" w:eastAsia="宋体"/>
          <w:b w:val="0"/>
          <w:sz w:val="21"/>
          <w:szCs w:val="21"/>
          <w:highlight w:val="none"/>
          <w:u w:val="none"/>
          <w:lang w:val="en-US" w:eastAsia="zh-CN"/>
        </w:rPr>
        <w:t>基础上</w:t>
      </w:r>
      <w:r>
        <w:rPr>
          <w:rFonts w:hint="eastAsia" w:ascii="宋体" w:hAnsi="宋体" w:eastAsia="宋体"/>
          <w:b w:val="0"/>
          <w:sz w:val="21"/>
          <w:szCs w:val="21"/>
          <w:highlight w:val="none"/>
          <w:u w:val="single"/>
          <w:lang w:val="en-US" w:eastAsia="zh-CN"/>
        </w:rPr>
        <w:t xml:space="preserve">               。</w:t>
      </w:r>
    </w:p>
    <w:p w14:paraId="63F3D1C5">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w:t>
      </w:r>
      <w:r>
        <w:rPr>
          <w:rFonts w:hint="eastAsia" w:ascii="宋体" w:hAnsi="宋体" w:eastAsia="宋体"/>
          <w:szCs w:val="21"/>
          <w:highlight w:val="none"/>
          <w:lang w:val="en-US" w:eastAsia="zh-CN"/>
        </w:rPr>
        <w:t>费用明细为</w:t>
      </w:r>
      <w:r>
        <w:rPr>
          <w:rFonts w:hint="eastAsia" w:ascii="宋体" w:hAnsi="宋体"/>
          <w:szCs w:val="21"/>
          <w:highlight w:val="none"/>
        </w:rPr>
        <w:t>：</w:t>
      </w:r>
    </w:p>
    <w:p w14:paraId="6B5E25F5">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元；</w:t>
      </w:r>
    </w:p>
    <w:p w14:paraId="53F4AD85">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元；</w:t>
      </w:r>
    </w:p>
    <w:p w14:paraId="0156618C">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元。</w:t>
      </w:r>
    </w:p>
    <w:p w14:paraId="1FCF6EEE">
      <w:pPr>
        <w:spacing w:line="360" w:lineRule="auto"/>
        <w:ind w:firstLine="525" w:firstLineChars="250"/>
        <w:rPr>
          <w:rFonts w:hint="eastAsia" w:ascii="宋体" w:hAnsi="宋体"/>
          <w:szCs w:val="21"/>
          <w:highlight w:val="none"/>
        </w:rPr>
      </w:pPr>
      <w:r>
        <w:rPr>
          <w:rFonts w:ascii="宋体" w:hAnsi="宋体"/>
          <w:szCs w:val="21"/>
          <w:highlight w:val="none"/>
        </w:rPr>
        <w:t>……</w:t>
      </w:r>
    </w:p>
    <w:p w14:paraId="5D8880B0">
      <w:pPr>
        <w:spacing w:line="360" w:lineRule="auto"/>
        <w:ind w:firstLine="525" w:firstLineChars="250"/>
        <w:rPr>
          <w:rFonts w:hint="eastAsia"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.本合同执行期间</w:t>
      </w:r>
      <w:r>
        <w:rPr>
          <w:rFonts w:hint="eastAsia" w:ascii="宋体" w:hAnsi="宋体" w:eastAsia="宋体"/>
          <w:szCs w:val="21"/>
          <w:highlight w:val="none"/>
          <w:lang w:val="en-US" w:eastAsia="zh-CN"/>
        </w:rPr>
        <w:t>综合单价</w:t>
      </w:r>
      <w:r>
        <w:rPr>
          <w:rFonts w:hint="eastAsia" w:ascii="宋体" w:hAnsi="宋体"/>
          <w:szCs w:val="21"/>
          <w:highlight w:val="none"/>
        </w:rPr>
        <w:t>不变，甲方无须另向乙方支付本合同规定之外的其他任何费用。</w:t>
      </w:r>
    </w:p>
    <w:p w14:paraId="23DB5740">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支付方式</w:t>
      </w:r>
    </w:p>
    <w:p w14:paraId="5E59BD06">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499B6915">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03C0AB1C">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37911F6D">
      <w:pPr>
        <w:spacing w:line="360" w:lineRule="auto"/>
        <w:ind w:firstLine="525" w:firstLineChars="250"/>
        <w:rPr>
          <w:rFonts w:hint="eastAsia"/>
          <w:highlight w:val="none"/>
        </w:rPr>
      </w:pPr>
      <w:r>
        <w:rPr>
          <w:rFonts w:hint="eastAsia"/>
          <w:highlight w:val="none"/>
        </w:rPr>
        <w:t>(</w:t>
      </w:r>
      <w:r>
        <w:rPr>
          <w:rFonts w:hint="eastAsia" w:eastAsia="宋体"/>
          <w:highlight w:val="none"/>
          <w:lang w:val="en-US" w:eastAsia="zh-CN"/>
        </w:rPr>
        <w:t>1</w:t>
      </w:r>
      <w:r>
        <w:rPr>
          <w:rFonts w:hint="eastAsia"/>
          <w:highlight w:val="none"/>
        </w:rPr>
        <w:t>)在合同签订之日后 30 日历天内甲方向乙方支付合同价款的50%费用，承包人每月报送的工程结算，经发包人对所报工程实际完成的工作量核定达到总工程的80% 时支付至合同价款的80%，待所有该工程完成并审核后，支付至审核总价款的 100%。</w:t>
      </w:r>
    </w:p>
    <w:p w14:paraId="48FFBBA3">
      <w:pPr>
        <w:spacing w:line="360" w:lineRule="auto"/>
        <w:ind w:firstLine="525" w:firstLineChars="250"/>
        <w:rPr>
          <w:rFonts w:hint="eastAsia"/>
          <w:highlight w:val="none"/>
        </w:rPr>
      </w:pPr>
      <w:r>
        <w:rPr>
          <w:rFonts w:hint="eastAsia"/>
          <w:highlight w:val="none"/>
        </w:rPr>
        <w:t>(2)如遇特殊应急、突发应急情况(由发包人认定)，发包人可根据承包人实际发生费用， 进行核定后额外拨付。</w:t>
      </w:r>
    </w:p>
    <w:p w14:paraId="43760406">
      <w:pPr>
        <w:spacing w:line="360" w:lineRule="auto"/>
        <w:ind w:firstLine="525" w:firstLineChars="250"/>
        <w:rPr>
          <w:rFonts w:hint="eastAsia" w:ascii="宋体" w:hAnsi="宋体"/>
          <w:szCs w:val="21"/>
          <w:highlight w:val="none"/>
        </w:rPr>
      </w:pPr>
      <w:r>
        <w:rPr>
          <w:rFonts w:hint="eastAsia"/>
          <w:highlight w:val="none"/>
        </w:rPr>
        <w:t>(3)最终工程结算价款总金额应不能超过政府采购预算，若超过则由发包人与承包人协商并按照政府采购有关规定执行。</w:t>
      </w:r>
    </w:p>
    <w:p w14:paraId="607D2442">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6AFF8D5C">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24589715">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2E9258EE">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35E522A9">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1C8D530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4EFE60DD">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2AA921F1">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2F6EF5C8">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4827F287">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10033E43">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5ED5A9BD">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52A4993">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2FF24D61">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2C3DEDB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47FFB6E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16C71C87">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652D5F63">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214C53D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2677832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3AC4CBFC">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37F21DEC">
      <w:pPr>
        <w:adjustRightInd w:val="0"/>
        <w:spacing w:line="360" w:lineRule="auto"/>
        <w:ind w:firstLine="420" w:firstLineChars="200"/>
        <w:jc w:val="left"/>
        <w:textAlignment w:val="baseline"/>
        <w:rPr>
          <w:rFonts w:hint="default" w:ascii="宋体" w:hAnsi="宋体"/>
          <w:bCs/>
          <w:szCs w:val="21"/>
          <w:highlight w:val="none"/>
          <w:lang w:val="en-US" w:eastAsia="zh-CN"/>
        </w:rPr>
      </w:pPr>
      <w:r>
        <w:rPr>
          <w:rFonts w:hint="eastAsia" w:ascii="宋体" w:hAnsi="宋体"/>
          <w:bCs/>
          <w:szCs w:val="21"/>
          <w:highlight w:val="none"/>
          <w:lang w:val="en-US" w:eastAsia="zh-CN"/>
        </w:rPr>
        <w:t>5.供应商在合同执行期间应遵守采购人内部管理制度。</w:t>
      </w:r>
    </w:p>
    <w:p w14:paraId="5A47FEF3">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eastAsia="宋体"/>
          <w:bCs/>
          <w:szCs w:val="21"/>
          <w:highlight w:val="none"/>
          <w:lang w:val="en-US" w:eastAsia="zh-CN"/>
        </w:rPr>
        <w:t>6</w:t>
      </w:r>
      <w:r>
        <w:rPr>
          <w:rFonts w:hint="eastAsia" w:ascii="宋体" w:hAnsi="宋体"/>
          <w:bCs/>
          <w:szCs w:val="21"/>
          <w:highlight w:val="none"/>
        </w:rPr>
        <w:t>.</w:t>
      </w:r>
      <w:r>
        <w:rPr>
          <w:rFonts w:ascii="宋体" w:hAnsi="宋体"/>
          <w:bCs/>
          <w:szCs w:val="21"/>
          <w:highlight w:val="none"/>
        </w:rPr>
        <w:t>国家法律、法规所规定由乙方承担的其它责任。</w:t>
      </w:r>
    </w:p>
    <w:p w14:paraId="65443EFA">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344FD02D">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若供应商事先未征得采购人同意并得到谅解，单方面延迟交付报告，将按违约终止合同；在履行合同过程中，供应商若遇到可能妨碍按时交付报告的情况，须及时以书面形式将拖延事实、可能拖延期限和理由通知采购人，采购人收到通知后，尽快对情况进行评价，确定是否修改合同、酌情延长交付时间或采取其他处理措施。</w:t>
      </w:r>
    </w:p>
    <w:p w14:paraId="10F43425">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108F2F34">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1243ADD3">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71107007">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BD4FBFE">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47334846"/>
      <w:bookmarkStart w:id="19" w:name="_Toc237145411"/>
      <w:bookmarkStart w:id="20" w:name="_Toc225670756"/>
      <w:bookmarkStart w:id="21" w:name="_Toc241833908"/>
      <w:bookmarkStart w:id="22" w:name="_Toc239233919"/>
      <w:bookmarkStart w:id="23" w:name="_Toc185395254"/>
      <w:bookmarkStart w:id="24" w:name="_Toc211854454"/>
      <w:bookmarkStart w:id="25" w:name="_Toc286993792"/>
      <w:bookmarkStart w:id="26" w:name="_Toc238984980"/>
      <w:bookmarkStart w:id="27" w:name="_Toc225244857"/>
      <w:bookmarkStart w:id="28" w:name="_Toc239568423"/>
      <w:bookmarkStart w:id="29" w:name="_Toc225654649"/>
      <w:bookmarkStart w:id="30" w:name="_Toc251768867"/>
      <w:bookmarkStart w:id="31" w:name="_Toc211911353"/>
      <w:bookmarkStart w:id="32" w:name="_Toc212019599"/>
      <w:bookmarkStart w:id="33" w:name="_Toc232492933"/>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7442D8A">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038A9F0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C0F1C">
      <w:pPr>
        <w:pStyle w:val="8"/>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73AE9245">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4331D67A">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0765FD1C">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11DAD4D1">
      <w:pPr>
        <w:spacing w:before="120" w:beforeLines="50" w:after="120" w:afterLines="50" w:line="360" w:lineRule="auto"/>
        <w:ind w:left="425"/>
        <w:rPr>
          <w:rFonts w:ascii="宋体" w:hAnsi="宋体"/>
          <w:b/>
          <w:sz w:val="30"/>
          <w:szCs w:val="30"/>
          <w:highlight w:val="none"/>
        </w:rPr>
      </w:pPr>
      <w:bookmarkStart w:id="34" w:name="_Toc211911354"/>
      <w:bookmarkStart w:id="35" w:name="_Toc211854455"/>
      <w:bookmarkStart w:id="36" w:name="_Toc225654650"/>
      <w:bookmarkStart w:id="37" w:name="_Toc241833909"/>
      <w:bookmarkStart w:id="38" w:name="_Toc225244858"/>
      <w:bookmarkStart w:id="39" w:name="_Toc283019219"/>
      <w:bookmarkStart w:id="40" w:name="_Toc239568424"/>
      <w:bookmarkStart w:id="41" w:name="_Toc251768868"/>
      <w:bookmarkStart w:id="42" w:name="_Toc239233920"/>
      <w:bookmarkStart w:id="43" w:name="_Toc232492934"/>
      <w:bookmarkStart w:id="44" w:name="_Toc212019600"/>
      <w:bookmarkStart w:id="45" w:name="_Toc286993793"/>
      <w:bookmarkStart w:id="46" w:name="_Toc282696231"/>
      <w:bookmarkStart w:id="47" w:name="_Toc238984981"/>
      <w:bookmarkStart w:id="48" w:name="_Toc185395255"/>
      <w:bookmarkStart w:id="49" w:name="_Toc237145412"/>
      <w:bookmarkStart w:id="50" w:name="_Toc247334847"/>
      <w:bookmarkStart w:id="51" w:name="_Toc225670757"/>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7F1B212C">
      <w:pPr>
        <w:pStyle w:val="9"/>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1F813711">
      <w:pPr>
        <w:pStyle w:val="9"/>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7A2BF04">
      <w:pPr>
        <w:pStyle w:val="9"/>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2584396A">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33E09635">
      <w:pPr>
        <w:pStyle w:val="9"/>
        <w:spacing w:line="360" w:lineRule="auto"/>
        <w:rPr>
          <w:rFonts w:hint="eastAsia" w:ascii="宋体" w:hAnsi="宋体"/>
          <w:sz w:val="21"/>
          <w:szCs w:val="21"/>
          <w:highlight w:val="none"/>
        </w:rPr>
      </w:pPr>
      <w:r>
        <w:rPr>
          <w:rFonts w:hint="eastAsia" w:ascii="宋体" w:hAnsi="宋体"/>
          <w:sz w:val="21"/>
          <w:szCs w:val="21"/>
          <w:highlight w:val="none"/>
        </w:rPr>
        <w:t>1.项目</w:t>
      </w:r>
      <w:r>
        <w:rPr>
          <w:rFonts w:hint="eastAsia" w:ascii="宋体" w:hAnsi="宋体" w:eastAsia="宋体"/>
          <w:sz w:val="21"/>
          <w:szCs w:val="21"/>
          <w:highlight w:val="none"/>
          <w:lang w:val="en-US" w:eastAsia="zh-CN"/>
        </w:rPr>
        <w:t>磋商</w:t>
      </w:r>
      <w:r>
        <w:rPr>
          <w:rFonts w:hint="eastAsia" w:ascii="宋体" w:hAnsi="宋体"/>
          <w:sz w:val="21"/>
          <w:szCs w:val="21"/>
          <w:highlight w:val="none"/>
        </w:rPr>
        <w:t>文件</w:t>
      </w:r>
    </w:p>
    <w:p w14:paraId="42112F81">
      <w:pPr>
        <w:pStyle w:val="9"/>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02552133">
      <w:pPr>
        <w:pStyle w:val="9"/>
        <w:spacing w:line="360" w:lineRule="auto"/>
        <w:rPr>
          <w:rFonts w:hint="eastAsia" w:ascii="宋体" w:hAnsi="宋体"/>
          <w:sz w:val="21"/>
          <w:szCs w:val="21"/>
          <w:highlight w:val="none"/>
        </w:rPr>
      </w:pPr>
      <w:r>
        <w:rPr>
          <w:rFonts w:hint="eastAsia" w:ascii="宋体" w:hAnsi="宋体"/>
          <w:sz w:val="21"/>
          <w:szCs w:val="21"/>
          <w:highlight w:val="none"/>
        </w:rPr>
        <w:t>3.项目</w:t>
      </w:r>
      <w:r>
        <w:rPr>
          <w:rFonts w:hint="eastAsia" w:ascii="宋体" w:hAnsi="宋体" w:eastAsia="宋体"/>
          <w:sz w:val="21"/>
          <w:szCs w:val="21"/>
          <w:highlight w:val="none"/>
          <w:lang w:val="en-US" w:eastAsia="zh-CN"/>
        </w:rPr>
        <w:t>响应</w:t>
      </w:r>
      <w:r>
        <w:rPr>
          <w:rFonts w:hint="eastAsia" w:ascii="宋体" w:hAnsi="宋体"/>
          <w:sz w:val="21"/>
          <w:szCs w:val="21"/>
          <w:highlight w:val="none"/>
        </w:rPr>
        <w:t>文件</w:t>
      </w:r>
    </w:p>
    <w:p w14:paraId="23B71404">
      <w:pPr>
        <w:pStyle w:val="9"/>
        <w:spacing w:line="360" w:lineRule="auto"/>
        <w:rPr>
          <w:rFonts w:hint="eastAsia" w:ascii="宋体" w:hAnsi="宋体"/>
          <w:sz w:val="21"/>
          <w:szCs w:val="21"/>
          <w:highlight w:val="none"/>
        </w:rPr>
      </w:pPr>
      <w:r>
        <w:rPr>
          <w:rFonts w:hint="eastAsia" w:ascii="宋体" w:hAnsi="宋体"/>
          <w:sz w:val="21"/>
          <w:szCs w:val="21"/>
          <w:highlight w:val="none"/>
        </w:rPr>
        <w:t>4.</w:t>
      </w:r>
      <w:r>
        <w:rPr>
          <w:rFonts w:hint="eastAsia" w:ascii="宋体" w:hAnsi="宋体" w:eastAsia="宋体"/>
          <w:sz w:val="21"/>
          <w:szCs w:val="21"/>
          <w:highlight w:val="none"/>
          <w:lang w:val="en-US" w:eastAsia="zh-CN"/>
        </w:rPr>
        <w:t>成交</w:t>
      </w:r>
      <w:r>
        <w:rPr>
          <w:rFonts w:hint="eastAsia" w:ascii="宋体" w:hAnsi="宋体"/>
          <w:sz w:val="21"/>
          <w:szCs w:val="21"/>
          <w:highlight w:val="none"/>
        </w:rPr>
        <w:t>通知书</w:t>
      </w:r>
    </w:p>
    <w:p w14:paraId="5A2B298F">
      <w:pPr>
        <w:pStyle w:val="9"/>
        <w:spacing w:line="360" w:lineRule="auto"/>
        <w:rPr>
          <w:rFonts w:hint="eastAsia" w:ascii="宋体" w:hAnsi="宋体"/>
          <w:sz w:val="21"/>
          <w:szCs w:val="21"/>
          <w:highlight w:val="none"/>
        </w:rPr>
      </w:pPr>
      <w:r>
        <w:rPr>
          <w:rFonts w:hint="eastAsia" w:ascii="宋体" w:hAnsi="宋体"/>
          <w:sz w:val="21"/>
          <w:szCs w:val="21"/>
          <w:highlight w:val="none"/>
        </w:rPr>
        <w:t>5.其他</w:t>
      </w:r>
    </w:p>
    <w:p w14:paraId="6ED47EA3">
      <w:pPr>
        <w:spacing w:line="360" w:lineRule="auto"/>
        <w:rPr>
          <w:rFonts w:hint="eastAsia" w:ascii="宋体" w:hAnsi="宋体"/>
          <w:szCs w:val="21"/>
          <w:highlight w:val="none"/>
        </w:rPr>
      </w:pPr>
    </w:p>
    <w:p w14:paraId="6DF47C50">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5D0CE934">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12CE8AB3">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65E10F8A">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60F198C6">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1CDD4230">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194B04C">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11B98F0C">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E2F87"/>
    <w:rsid w:val="04204C3D"/>
    <w:rsid w:val="273F01E6"/>
    <w:rsid w:val="2A2278FB"/>
    <w:rsid w:val="2D426857"/>
    <w:rsid w:val="3DC06E08"/>
    <w:rsid w:val="43736CCD"/>
    <w:rsid w:val="51F23607"/>
    <w:rsid w:val="6E861244"/>
    <w:rsid w:val="6FF9D3FA"/>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1160</Words>
  <Characters>1201</Characters>
  <Lines>0</Lines>
  <Paragraphs>0</Paragraphs>
  <TotalTime>2</TotalTime>
  <ScaleCrop>false</ScaleCrop>
  <LinksUpToDate>false</LinksUpToDate>
  <CharactersWithSpaces>1293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2025-10-28T17:09:00Z</dcterms:created>
  <dc:creator>Administrator</dc:creator>
  <cp:lastModifiedBy>┏ ☞岗か子™</cp:lastModifiedBy>
  <dcterms:modified xsi:type="dcterms:W3CDTF">2026-07-01T03:37:17Z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eyJoZGlkIjoiNjIxMDI2NjM3MzgyYzQ0NTJmZDVhODRjOWE1OTQyYWMiLCJ1c2VySWQiOiIyMzMyNDUzMjgifQ==</vt:lpwstr>
  </property>
  <property fmtid="{D5CDD505-2E9C-101B-9397-08002B2CF9AE}" pid="4" name="ICV">
    <vt:lpwstr>63CDB9032B1E42E9A29E536BEDA14477_12</vt:lpwstr>
  </property>
</Properties>
</file>