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68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64"/>
        <w:gridCol w:w="1200"/>
        <w:gridCol w:w="6722"/>
      </w:tblGrid>
      <w:tr w14:paraId="5B6952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64" w:type="dxa"/>
            <w:noWrap w:val="0"/>
            <w:vAlign w:val="top"/>
          </w:tcPr>
          <w:p w14:paraId="629E5C50">
            <w:pPr>
              <w:pStyle w:val="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序号</w:t>
            </w:r>
          </w:p>
        </w:tc>
        <w:tc>
          <w:tcPr>
            <w:tcW w:w="1200" w:type="dxa"/>
            <w:noWrap w:val="0"/>
            <w:vAlign w:val="top"/>
          </w:tcPr>
          <w:p w14:paraId="043681C5">
            <w:pPr>
              <w:pStyle w:val="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参数性质</w:t>
            </w:r>
          </w:p>
        </w:tc>
        <w:tc>
          <w:tcPr>
            <w:tcW w:w="6722" w:type="dxa"/>
            <w:noWrap w:val="0"/>
            <w:vAlign w:val="top"/>
          </w:tcPr>
          <w:p w14:paraId="43CC1E5F">
            <w:pPr>
              <w:pStyle w:val="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技术参数与性能指标</w:t>
            </w:r>
          </w:p>
        </w:tc>
      </w:tr>
      <w:tr w14:paraId="1854C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47" w:hRule="atLeast"/>
        </w:trPr>
        <w:tc>
          <w:tcPr>
            <w:tcW w:w="764" w:type="dxa"/>
            <w:noWrap w:val="0"/>
            <w:vAlign w:val="top"/>
          </w:tcPr>
          <w:p w14:paraId="626F97FE">
            <w:pPr>
              <w:pStyle w:val="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00" w:type="dxa"/>
            <w:noWrap w:val="0"/>
            <w:vAlign w:val="top"/>
          </w:tcPr>
          <w:p w14:paraId="75BABA5D">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6722" w:type="dxa"/>
            <w:noWrap w:val="0"/>
            <w:vAlign w:val="top"/>
          </w:tcPr>
          <w:p w14:paraId="11868134">
            <w:pPr>
              <w:pStyle w:val="2"/>
              <w:keepNext w:val="0"/>
              <w:keepLines w:val="0"/>
              <w:pageBreakBefore w:val="0"/>
              <w:kinsoku/>
              <w:wordWrap/>
              <w:overflowPunct/>
              <w:topLinePunct w:val="0"/>
              <w:autoSpaceDE/>
              <w:autoSpaceDN/>
              <w:bidi w:val="0"/>
              <w:adjustRightInd/>
              <w:spacing w:line="240" w:lineRule="auto"/>
              <w:ind w:firstLine="105" w:firstLineChars="5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一、</w:t>
            </w:r>
            <w:r>
              <w:rPr>
                <w:rFonts w:hint="eastAsia" w:ascii="仿宋" w:hAnsi="仿宋" w:eastAsia="仿宋" w:cs="仿宋"/>
                <w:color w:val="auto"/>
                <w:sz w:val="21"/>
                <w:szCs w:val="21"/>
                <w:highlight w:val="none"/>
              </w:rPr>
              <w:t>总体要求：</w:t>
            </w:r>
          </w:p>
          <w:p w14:paraId="1D382976">
            <w:pPr>
              <w:pStyle w:val="2"/>
              <w:keepNext w:val="0"/>
              <w:keepLines w:val="0"/>
              <w:pageBreakBefore w:val="0"/>
              <w:kinsoku/>
              <w:wordWrap/>
              <w:overflowPunct/>
              <w:topLinePunct w:val="0"/>
              <w:autoSpaceDE/>
              <w:autoSpaceDN/>
              <w:bidi w:val="0"/>
              <w:adjustRightInd/>
              <w:spacing w:line="240" w:lineRule="auto"/>
              <w:ind w:firstLine="105" w:firstLineChars="5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本次</w:t>
            </w:r>
            <w:r>
              <w:rPr>
                <w:rFonts w:hint="eastAsia" w:ascii="仿宋" w:hAnsi="仿宋" w:eastAsia="仿宋" w:cs="仿宋"/>
                <w:color w:val="auto"/>
                <w:sz w:val="21"/>
                <w:szCs w:val="21"/>
                <w:highlight w:val="none"/>
                <w:lang w:eastAsia="zh-CN"/>
              </w:rPr>
              <w:t>维护项目应</w:t>
            </w:r>
            <w:r>
              <w:rPr>
                <w:rFonts w:hint="eastAsia" w:ascii="仿宋" w:hAnsi="仿宋" w:eastAsia="仿宋" w:cs="仿宋"/>
                <w:color w:val="auto"/>
                <w:sz w:val="21"/>
                <w:szCs w:val="21"/>
                <w:highlight w:val="none"/>
              </w:rPr>
              <w:t>按照采购文件中相应技术规和服务要求组织专业队伍实施，采购人负责养护期内对供应商的考核。具体考核要求以采购人最终要求的为准。日常养护各项工作严格执行采购人关于设施日常养护的相关制度汇编等。</w:t>
            </w:r>
          </w:p>
          <w:p w14:paraId="5693057D">
            <w:pPr>
              <w:pStyle w:val="2"/>
              <w:keepNext w:val="0"/>
              <w:keepLines w:val="0"/>
              <w:pageBreakBefore w:val="0"/>
              <w:kinsoku/>
              <w:wordWrap/>
              <w:overflowPunct/>
              <w:topLinePunct w:val="0"/>
              <w:autoSpaceDE/>
              <w:autoSpaceDN/>
              <w:bidi w:val="0"/>
              <w:adjustRightInd/>
              <w:spacing w:line="240" w:lineRule="auto"/>
              <w:ind w:firstLine="105" w:firstLineChars="5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物资须符合国家、行业相关标准及快速干道应急处置实际需求，质量合格、性能稳定、安全可靠，能够适应消防、防汛、除冰雪、应急抢险等复杂作业环境，满足本年度各项应急任务的使用要求。</w:t>
            </w:r>
          </w:p>
          <w:p w14:paraId="6F3035BB">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二、采购内容</w:t>
            </w:r>
          </w:p>
          <w:p w14:paraId="61145BA0">
            <w:pPr>
              <w:pStyle w:val="3"/>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0" w:right="0" w:firstLine="0"/>
              <w:textAlignment w:val="auto"/>
              <w:rPr>
                <w:rFonts w:hint="eastAsia" w:ascii="仿宋" w:hAnsi="仿宋" w:eastAsia="仿宋" w:cs="仿宋"/>
                <w:b w:val="0"/>
                <w:bCs/>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安全设施维护类</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对西安市城市快速干道区域内道路、桥梁上的安全附属设施、排水设施按照相关标准进行维修维护。对快速干道现有的</w:t>
            </w:r>
            <w:r>
              <w:rPr>
                <w:rFonts w:hint="eastAsia" w:ascii="仿宋" w:hAnsi="仿宋" w:eastAsia="仿宋" w:cs="仿宋"/>
                <w:color w:val="auto"/>
                <w:sz w:val="21"/>
                <w:szCs w:val="21"/>
                <w:highlight w:val="none"/>
                <w:lang w:val="en-US" w:eastAsia="zh-CN"/>
              </w:rPr>
              <w:t>桥梁结构性安全隐患进行整治。</w:t>
            </w:r>
            <w:r>
              <w:rPr>
                <w:rFonts w:hint="eastAsia" w:ascii="仿宋" w:hAnsi="仿宋" w:eastAsia="仿宋" w:cs="仿宋"/>
                <w:color w:val="auto"/>
                <w:sz w:val="21"/>
                <w:szCs w:val="21"/>
                <w:highlight w:val="none"/>
                <w:lang w:eastAsia="zh-CN"/>
              </w:rPr>
              <w:t>对</w:t>
            </w:r>
            <w:r>
              <w:rPr>
                <w:rFonts w:hint="eastAsia" w:ascii="仿宋" w:hAnsi="仿宋" w:eastAsia="仿宋" w:cs="仿宋"/>
                <w:color w:val="auto"/>
                <w:sz w:val="21"/>
                <w:szCs w:val="21"/>
                <w:highlight w:val="none"/>
                <w:lang w:val="en-US" w:eastAsia="zh-CN"/>
              </w:rPr>
              <w:t>快速干道桥梁周边敏感区域进行隔音屏安装</w:t>
            </w:r>
            <w:r>
              <w:rPr>
                <w:rFonts w:hint="eastAsia" w:ascii="仿宋" w:hAnsi="仿宋" w:eastAsia="仿宋" w:cs="仿宋"/>
                <w:color w:val="auto"/>
                <w:sz w:val="21"/>
                <w:szCs w:val="21"/>
                <w:highlight w:val="none"/>
                <w:lang w:eastAsia="zh-CN"/>
              </w:rPr>
              <w:t>。</w:t>
            </w:r>
          </w:p>
          <w:p w14:paraId="77FD2D0E">
            <w:pPr>
              <w:pStyle w:val="2"/>
              <w:keepNext w:val="0"/>
              <w:keepLines w:val="0"/>
              <w:pageBreakBefore w:val="0"/>
              <w:kinsoku/>
              <w:wordWrap/>
              <w:overflowPunct/>
              <w:topLinePunct w:val="0"/>
              <w:autoSpaceDE/>
              <w:autoSpaceDN/>
              <w:bidi w:val="0"/>
              <w:adjustRightInd/>
              <w:spacing w:line="240" w:lineRule="auto"/>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应急场地维护类</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lang w:val="en-US" w:eastAsia="zh-CN" w:bidi="ar-SA"/>
              </w:rPr>
              <w:t>对东、西快速干道应急抢险场地维护整理。主要包括大门换修，墙体拆筑、绿化维护，垃圾杂物运输整、值班和物资场地整理等。详见工程量清单以及采购人规定的全部工作内容等。</w:t>
            </w:r>
          </w:p>
          <w:p w14:paraId="48D360AB">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应急物资类</w:t>
            </w:r>
            <w:r>
              <w:rPr>
                <w:rFonts w:hint="eastAsia" w:ascii="仿宋" w:hAnsi="仿宋" w:eastAsia="仿宋" w:cs="仿宋"/>
                <w:color w:val="auto"/>
                <w:sz w:val="21"/>
                <w:szCs w:val="21"/>
                <w:highlight w:val="none"/>
              </w:rPr>
              <w:t>：包括但不限于融雪剂、铁锹、雨衣、雨鞋、水泵、应急照明</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灭火器、消防面罩</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急救箱等，须质量可靠、便携实用，能够满足快速干道突发险情的抢险处置、人员急救等需求，部分设备须提供操作说明书及售后技术支持。</w:t>
            </w:r>
          </w:p>
          <w:p w14:paraId="6AF75A78">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三</w:t>
            </w:r>
            <w:r>
              <w:rPr>
                <w:rFonts w:hint="eastAsia" w:ascii="仿宋" w:hAnsi="仿宋" w:eastAsia="仿宋" w:cs="仿宋"/>
                <w:color w:val="auto"/>
                <w:sz w:val="21"/>
                <w:szCs w:val="21"/>
                <w:highlight w:val="none"/>
              </w:rPr>
              <w:t>、采购范围:详见工程量清单以及采购人规定的全部工作内容等。</w:t>
            </w:r>
          </w:p>
          <w:p w14:paraId="7195F8DE">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四</w:t>
            </w:r>
            <w:r>
              <w:rPr>
                <w:rFonts w:hint="eastAsia" w:ascii="仿宋" w:hAnsi="仿宋" w:eastAsia="仿宋" w:cs="仿宋"/>
                <w:color w:val="auto"/>
                <w:sz w:val="21"/>
                <w:szCs w:val="21"/>
                <w:highlight w:val="none"/>
              </w:rPr>
              <w:t>、技术服务求</w:t>
            </w:r>
            <w:r>
              <w:rPr>
                <w:rFonts w:hint="eastAsia" w:ascii="仿宋" w:hAnsi="仿宋" w:eastAsia="仿宋" w:cs="仿宋"/>
                <w:color w:val="auto"/>
                <w:sz w:val="21"/>
                <w:szCs w:val="21"/>
                <w:highlight w:val="none"/>
                <w:lang w:eastAsia="zh-CN"/>
              </w:rPr>
              <w:t>：供应商应</w:t>
            </w:r>
            <w:r>
              <w:rPr>
                <w:rFonts w:hint="eastAsia" w:ascii="仿宋" w:hAnsi="仿宋" w:eastAsia="仿宋" w:cs="仿宋"/>
                <w:color w:val="auto"/>
                <w:sz w:val="21"/>
                <w:szCs w:val="21"/>
                <w:highlight w:val="none"/>
              </w:rPr>
              <w:t>按照采购文件中相应技术规和服务要求组织专业队伍实施，采购人负责养护期内对供应商的考核。具体考核要求以采购人最终要求的为准。</w:t>
            </w:r>
          </w:p>
          <w:p w14:paraId="0F2DF3E0">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各项工作严格执行采购人关于设施日常养护的相关制度汇编等。</w:t>
            </w:r>
          </w:p>
          <w:p w14:paraId="68AF0B04">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五、</w:t>
            </w:r>
            <w:r>
              <w:rPr>
                <w:rFonts w:hint="eastAsia" w:ascii="仿宋" w:hAnsi="仿宋" w:eastAsia="仿宋" w:cs="仿宋"/>
                <w:color w:val="auto"/>
                <w:sz w:val="21"/>
                <w:szCs w:val="21"/>
                <w:highlight w:val="none"/>
              </w:rPr>
              <w:t>服务人员配置要求:</w:t>
            </w:r>
          </w:p>
          <w:p w14:paraId="3E266B50">
            <w:pPr>
              <w:keepNext w:val="0"/>
              <w:keepLines w:val="0"/>
              <w:pageBreakBefore w:val="0"/>
              <w:kinsoku/>
              <w:wordWrap/>
              <w:overflowPunct/>
              <w:topLinePunct w:val="0"/>
              <w:autoSpaceDE/>
              <w:autoSpaceDN/>
              <w:bidi w:val="0"/>
              <w:adjustRightInd/>
              <w:spacing w:before="120" w:after="120" w:line="240" w:lineRule="auto"/>
              <w:ind w:left="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除项目经理外，应配置技术负责人、安全主管、市政设施养护主管、机械设备负责人等主要管理人员各一名。</w:t>
            </w:r>
          </w:p>
          <w:p w14:paraId="1B6A0197">
            <w:pPr>
              <w:pStyle w:val="2"/>
              <w:numPr>
                <w:ilvl w:val="0"/>
                <w:numId w:val="0"/>
              </w:numPr>
              <w:spacing w:line="240" w:lineRule="auto"/>
              <w:ind w:firstLine="420" w:firstLineChars="200"/>
              <w:rPr>
                <w:rFonts w:hint="eastAsia" w:ascii="仿宋" w:hAnsi="仿宋" w:eastAsia="仿宋" w:cs="仿宋"/>
                <w:b w:val="0"/>
                <w:bCs/>
                <w:color w:val="auto"/>
                <w:sz w:val="21"/>
                <w:szCs w:val="21"/>
                <w:highlight w:val="none"/>
              </w:rPr>
            </w:pPr>
          </w:p>
          <w:tbl>
            <w:tblPr>
              <w:tblStyle w:val="4"/>
              <w:tblW w:w="6467" w:type="dxa"/>
              <w:tblInd w:w="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3"/>
              <w:gridCol w:w="478"/>
              <w:gridCol w:w="2707"/>
              <w:gridCol w:w="763"/>
              <w:gridCol w:w="637"/>
              <w:gridCol w:w="1349"/>
            </w:tblGrid>
            <w:tr w14:paraId="38F2C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467" w:type="dxa"/>
                  <w:gridSpan w:val="6"/>
                  <w:tcBorders>
                    <w:top w:val="single" w:color="000000" w:sz="4" w:space="0"/>
                    <w:left w:val="single" w:color="000000" w:sz="4" w:space="0"/>
                    <w:bottom w:val="single" w:color="000000" w:sz="4" w:space="0"/>
                    <w:right w:val="single" w:color="000000" w:sz="4" w:space="0"/>
                  </w:tcBorders>
                  <w:noWrap/>
                  <w:vAlign w:val="center"/>
                </w:tcPr>
                <w:p w14:paraId="707D8BF9">
                  <w:pPr>
                    <w:keepNext w:val="0"/>
                    <w:keepLines w:val="0"/>
                    <w:widowControl/>
                    <w:suppressLineNumbers w:val="0"/>
                    <w:spacing w:line="240" w:lineRule="auto"/>
                    <w:ind w:left="-1683" w:leftChars="-1200" w:right="-1361" w:rightChars="-648" w:hanging="837" w:hangingChars="399"/>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2026年快速干道安全设施维护类清单</w:t>
                  </w:r>
                </w:p>
              </w:tc>
            </w:tr>
            <w:tr w14:paraId="3B76E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533" w:type="dxa"/>
                  <w:vMerge w:val="restart"/>
                  <w:tcBorders>
                    <w:top w:val="nil"/>
                    <w:left w:val="single" w:color="000000" w:sz="8" w:space="0"/>
                    <w:bottom w:val="single" w:color="000000" w:sz="4" w:space="0"/>
                    <w:right w:val="single" w:color="000000" w:sz="4" w:space="0"/>
                  </w:tcBorders>
                  <w:shd w:val="clear" w:color="FFFFFF" w:fill="FFFFFF"/>
                  <w:noWrap w:val="0"/>
                  <w:vAlign w:val="center"/>
                </w:tcPr>
                <w:p w14:paraId="5DDA6ED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序号</w:t>
                  </w:r>
                </w:p>
              </w:tc>
              <w:tc>
                <w:tcPr>
                  <w:tcW w:w="478"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2E719B2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项目编码</w:t>
                  </w:r>
                </w:p>
              </w:tc>
              <w:tc>
                <w:tcPr>
                  <w:tcW w:w="2707"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3434B9E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项目名称</w:t>
                  </w:r>
                </w:p>
              </w:tc>
              <w:tc>
                <w:tcPr>
                  <w:tcW w:w="763"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5DBB7E2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计量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单位</w:t>
                  </w:r>
                </w:p>
              </w:tc>
              <w:tc>
                <w:tcPr>
                  <w:tcW w:w="637"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28F1B9E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工程数量</w:t>
                  </w:r>
                </w:p>
              </w:tc>
              <w:tc>
                <w:tcPr>
                  <w:tcW w:w="1349" w:type="dxa"/>
                  <w:tcBorders>
                    <w:top w:val="nil"/>
                    <w:left w:val="single" w:color="000000" w:sz="4" w:space="0"/>
                    <w:bottom w:val="single" w:color="000000" w:sz="4" w:space="0"/>
                    <w:right w:val="single" w:color="000000" w:sz="4" w:space="0"/>
                  </w:tcBorders>
                  <w:shd w:val="clear" w:color="FFFFFF" w:fill="FFFFFF"/>
                  <w:noWrap w:val="0"/>
                  <w:vAlign w:val="center"/>
                </w:tcPr>
                <w:p w14:paraId="7CC0A408">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金额（元）</w:t>
                  </w:r>
                </w:p>
              </w:tc>
            </w:tr>
            <w:tr w14:paraId="64600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33" w:type="dxa"/>
                  <w:vMerge w:val="continue"/>
                  <w:tcBorders>
                    <w:top w:val="nil"/>
                    <w:left w:val="single" w:color="000000" w:sz="8" w:space="0"/>
                    <w:bottom w:val="single" w:color="000000" w:sz="4" w:space="0"/>
                    <w:right w:val="single" w:color="000000" w:sz="4" w:space="0"/>
                  </w:tcBorders>
                  <w:shd w:val="clear" w:color="FFFFFF" w:fill="FFFFFF"/>
                  <w:noWrap w:val="0"/>
                  <w:vAlign w:val="center"/>
                </w:tcPr>
                <w:p w14:paraId="3AD4DA79">
                  <w:pPr>
                    <w:spacing w:line="240" w:lineRule="auto"/>
                    <w:jc w:val="center"/>
                    <w:rPr>
                      <w:rFonts w:hint="eastAsia" w:ascii="仿宋" w:hAnsi="仿宋" w:eastAsia="仿宋" w:cs="仿宋"/>
                      <w:i w:val="0"/>
                      <w:iCs w:val="0"/>
                      <w:color w:val="auto"/>
                      <w:sz w:val="21"/>
                      <w:szCs w:val="21"/>
                      <w:highlight w:val="none"/>
                      <w:u w:val="none"/>
                    </w:rPr>
                  </w:pPr>
                </w:p>
              </w:tc>
              <w:tc>
                <w:tcPr>
                  <w:tcW w:w="478"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051230CF">
                  <w:pPr>
                    <w:spacing w:line="240" w:lineRule="auto"/>
                    <w:jc w:val="center"/>
                    <w:rPr>
                      <w:rFonts w:hint="eastAsia" w:ascii="仿宋" w:hAnsi="仿宋" w:eastAsia="仿宋" w:cs="仿宋"/>
                      <w:i w:val="0"/>
                      <w:iCs w:val="0"/>
                      <w:color w:val="auto"/>
                      <w:sz w:val="21"/>
                      <w:szCs w:val="21"/>
                      <w:highlight w:val="none"/>
                      <w:u w:val="none"/>
                    </w:rPr>
                  </w:pPr>
                </w:p>
              </w:tc>
              <w:tc>
                <w:tcPr>
                  <w:tcW w:w="2707"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487C122E">
                  <w:pPr>
                    <w:spacing w:line="240" w:lineRule="auto"/>
                    <w:jc w:val="center"/>
                    <w:rPr>
                      <w:rFonts w:hint="eastAsia" w:ascii="仿宋" w:hAnsi="仿宋" w:eastAsia="仿宋" w:cs="仿宋"/>
                      <w:i w:val="0"/>
                      <w:iCs w:val="0"/>
                      <w:color w:val="auto"/>
                      <w:sz w:val="21"/>
                      <w:szCs w:val="21"/>
                      <w:highlight w:val="none"/>
                      <w:u w:val="none"/>
                    </w:rPr>
                  </w:pPr>
                </w:p>
              </w:tc>
              <w:tc>
                <w:tcPr>
                  <w:tcW w:w="763"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53C6253F">
                  <w:pPr>
                    <w:spacing w:line="240" w:lineRule="auto"/>
                    <w:jc w:val="center"/>
                    <w:rPr>
                      <w:rFonts w:hint="eastAsia" w:ascii="仿宋" w:hAnsi="仿宋" w:eastAsia="仿宋" w:cs="仿宋"/>
                      <w:i w:val="0"/>
                      <w:iCs w:val="0"/>
                      <w:color w:val="auto"/>
                      <w:sz w:val="21"/>
                      <w:szCs w:val="21"/>
                      <w:highlight w:val="none"/>
                      <w:u w:val="none"/>
                    </w:rPr>
                  </w:pPr>
                </w:p>
              </w:tc>
              <w:tc>
                <w:tcPr>
                  <w:tcW w:w="637" w:type="dxa"/>
                  <w:vMerge w:val="continue"/>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1D070E">
                  <w:pPr>
                    <w:spacing w:line="240" w:lineRule="auto"/>
                    <w:jc w:val="center"/>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A1D1CE">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综合单价</w:t>
                  </w:r>
                </w:p>
              </w:tc>
            </w:tr>
            <w:tr w14:paraId="3F2AD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DA833C1">
                  <w:pPr>
                    <w:spacing w:line="240" w:lineRule="auto"/>
                    <w:jc w:val="center"/>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59543EA">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DC48AC">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1.应急抢险工作</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ECED1A">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A61887">
                  <w:pPr>
                    <w:spacing w:line="240" w:lineRule="auto"/>
                    <w:jc w:val="center"/>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BA2782">
                  <w:pPr>
                    <w:spacing w:line="240" w:lineRule="auto"/>
                    <w:jc w:val="center"/>
                    <w:rPr>
                      <w:rFonts w:hint="eastAsia" w:ascii="仿宋" w:hAnsi="仿宋" w:eastAsia="仿宋" w:cs="仿宋"/>
                      <w:i w:val="0"/>
                      <w:iCs w:val="0"/>
                      <w:color w:val="auto"/>
                      <w:sz w:val="21"/>
                      <w:szCs w:val="21"/>
                      <w:highlight w:val="none"/>
                      <w:u w:val="none"/>
                    </w:rPr>
                  </w:pPr>
                </w:p>
              </w:tc>
            </w:tr>
            <w:tr w14:paraId="74BBC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50119E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F29CF6">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CAA2813">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应急抢险</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1.应急抢险需要人工费用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1.人工费用</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A5696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工日</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B091CE">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474A4D">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185</w:t>
                  </w:r>
                </w:p>
              </w:tc>
            </w:tr>
            <w:tr w14:paraId="4D74D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C26D57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644D24">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4559FA">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应急抢险</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1.应急抢险需要车辆费用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1.机械费用</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82586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台班</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1C739E">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0A25E6F">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1200</w:t>
                  </w:r>
                </w:p>
              </w:tc>
            </w:tr>
            <w:tr w14:paraId="54E33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233EBC6">
                  <w:pPr>
                    <w:spacing w:line="240" w:lineRule="auto"/>
                    <w:jc w:val="left"/>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9C246E">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98F1A1">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分部小计</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5088E5">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C8F4B2">
                  <w:pPr>
                    <w:spacing w:line="240" w:lineRule="auto"/>
                    <w:jc w:val="right"/>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22ED24">
                  <w:pPr>
                    <w:spacing w:line="240" w:lineRule="auto"/>
                    <w:jc w:val="right"/>
                    <w:rPr>
                      <w:rFonts w:hint="eastAsia" w:ascii="仿宋" w:hAnsi="仿宋" w:eastAsia="仿宋" w:cs="仿宋"/>
                      <w:i w:val="0"/>
                      <w:iCs w:val="0"/>
                      <w:color w:val="auto"/>
                      <w:sz w:val="21"/>
                      <w:szCs w:val="21"/>
                      <w:highlight w:val="none"/>
                      <w:u w:val="none"/>
                    </w:rPr>
                  </w:pPr>
                </w:p>
              </w:tc>
            </w:tr>
            <w:tr w14:paraId="4D557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9BC5DB5">
                  <w:pPr>
                    <w:spacing w:line="240" w:lineRule="auto"/>
                    <w:jc w:val="left"/>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EDCE7F">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C8F709">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2.排水设施维护</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025011">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0BFB6A">
                  <w:pPr>
                    <w:spacing w:line="240" w:lineRule="auto"/>
                    <w:jc w:val="left"/>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BFA102">
                  <w:pPr>
                    <w:spacing w:line="240" w:lineRule="auto"/>
                    <w:jc w:val="left"/>
                    <w:rPr>
                      <w:rFonts w:hint="eastAsia" w:ascii="仿宋" w:hAnsi="仿宋" w:eastAsia="仿宋" w:cs="仿宋"/>
                      <w:i w:val="0"/>
                      <w:iCs w:val="0"/>
                      <w:color w:val="auto"/>
                      <w:sz w:val="21"/>
                      <w:szCs w:val="21"/>
                      <w:highlight w:val="none"/>
                      <w:u w:val="none"/>
                    </w:rPr>
                  </w:pPr>
                </w:p>
              </w:tc>
            </w:tr>
            <w:tr w14:paraId="473F2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B42584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CFAE27B">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70AD57">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疏通桥梁落水管、道路收水井</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1.疏通桥梁落水管、道路收水井</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2.包含垃圾的倾倒费用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1.疏通,清掏,清理场地,垃圾外运</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790EC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A24852">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880B34">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w:t>
                  </w:r>
                </w:p>
              </w:tc>
            </w:tr>
            <w:tr w14:paraId="38D6A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DB86D1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A5BBE7F">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456EE2">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桥面收水井井篦子更换（尺寸：300×500）</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1.更换收水井井篦子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1.拆井口、清理井口                2.井框、井盖就位固定，拌砂浆抹面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BE4A4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BA1E4F">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608D33">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147</w:t>
                  </w:r>
                </w:p>
              </w:tc>
            </w:tr>
            <w:tr w14:paraId="08601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66601325">
                  <w:pPr>
                    <w:spacing w:line="240" w:lineRule="auto"/>
                    <w:jc w:val="left"/>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8277F2">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E003A2">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分部小计</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469684">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B7CF23">
                  <w:pPr>
                    <w:spacing w:line="240" w:lineRule="auto"/>
                    <w:jc w:val="right"/>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F49DAC1">
                  <w:pPr>
                    <w:spacing w:line="240" w:lineRule="auto"/>
                    <w:jc w:val="right"/>
                    <w:rPr>
                      <w:rFonts w:hint="eastAsia" w:ascii="仿宋" w:hAnsi="仿宋" w:eastAsia="仿宋" w:cs="仿宋"/>
                      <w:i w:val="0"/>
                      <w:iCs w:val="0"/>
                      <w:color w:val="auto"/>
                      <w:sz w:val="21"/>
                      <w:szCs w:val="21"/>
                      <w:highlight w:val="none"/>
                      <w:u w:val="none"/>
                    </w:rPr>
                  </w:pPr>
                </w:p>
              </w:tc>
            </w:tr>
            <w:tr w14:paraId="0C0E4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EE5DCF2">
                  <w:pPr>
                    <w:spacing w:line="240" w:lineRule="auto"/>
                    <w:jc w:val="left"/>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822C8AC">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6B1BA57">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3.道路附属设施更换维修</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C8A14DC">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076234">
                  <w:pPr>
                    <w:spacing w:line="240" w:lineRule="auto"/>
                    <w:jc w:val="left"/>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6FC041">
                  <w:pPr>
                    <w:spacing w:line="240" w:lineRule="auto"/>
                    <w:jc w:val="left"/>
                    <w:rPr>
                      <w:rFonts w:hint="eastAsia" w:ascii="仿宋" w:hAnsi="仿宋" w:eastAsia="仿宋" w:cs="仿宋"/>
                      <w:i w:val="0"/>
                      <w:iCs w:val="0"/>
                      <w:color w:val="auto"/>
                      <w:sz w:val="21"/>
                      <w:szCs w:val="21"/>
                      <w:highlight w:val="none"/>
                      <w:u w:val="none"/>
                    </w:rPr>
                  </w:pPr>
                </w:p>
              </w:tc>
            </w:tr>
            <w:tr w14:paraId="74E90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C2BBDD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B70CC3">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32EEEA7">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隔音屏面板维修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1.隔音屏面板维修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2.规格:现场实际测量为准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421D6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m2</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B75D587">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86CBCB">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790</w:t>
                  </w:r>
                </w:p>
              </w:tc>
            </w:tr>
            <w:tr w14:paraId="5C71C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A5C488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31E59E">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0083F1B">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更换安装桥梁落水管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1.更换安装桥梁落水管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2.更换材质PVC</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1.更换、安装</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652C0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874445">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F29B9F">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138.78</w:t>
                  </w:r>
                </w:p>
              </w:tc>
            </w:tr>
            <w:tr w14:paraId="38732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A564B6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33A529">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70C38D">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防眩板更换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1.防眩板更换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2.规格:180*900mm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313FC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2E9204">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12E3C64">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66.3</w:t>
                  </w:r>
                </w:p>
              </w:tc>
            </w:tr>
            <w:tr w14:paraId="40CA9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88BFD8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DA21655">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076DF3">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隔离墩更换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1.隔离墩更换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2.新泽西式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9D085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块</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01D03A">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D9084F">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404.07</w:t>
                  </w:r>
                </w:p>
              </w:tc>
            </w:tr>
            <w:tr w14:paraId="6B84F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A4C28F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65E54D">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DCBC61">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更换隔离栅、隔离护栏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1.隔离栅、隔离护栏更换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9DD6B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5864A00">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C9102B6">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125.53</w:t>
                  </w:r>
                </w:p>
              </w:tc>
            </w:tr>
            <w:tr w14:paraId="5E41E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539878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435B98">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7B1333D">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更换防抛网</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1.防抛网更换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2.1800*2500mm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02F58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AD5195">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96098B">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363</w:t>
                  </w:r>
                </w:p>
              </w:tc>
            </w:tr>
            <w:tr w14:paraId="29103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6C569D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B19F10">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BE4245">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更换波形防撞护栏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1.更换波形防撞护栏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2.双波（含立柱、护双波栏板）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27D3C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D86A55">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98EA30">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314.67</w:t>
                  </w:r>
                </w:p>
              </w:tc>
            </w:tr>
            <w:tr w14:paraId="4077D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DAF5B6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7DEDA6D">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5D4BA1">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更换桥梁钢扶手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1.更换桥梁钢扶手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5ED01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40FD06">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12D6640">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279.93</w:t>
                  </w:r>
                </w:p>
              </w:tc>
            </w:tr>
            <w:tr w14:paraId="678CD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1BBD609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8699CEE">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6754FAA">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更换防撞桶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1.更换防撞桶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2.高度820mm 直径580mm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F65416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0C8ABA">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7A4CE5">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100</w:t>
                  </w:r>
                </w:p>
              </w:tc>
            </w:tr>
            <w:tr w14:paraId="009D1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91B418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67A1C2">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771F7E">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匝道灯更换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1.匝道灯更换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2.规格:252*136*1880mm（长方体）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F6AACA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8983D64">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C74A9D">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611.42</w:t>
                  </w:r>
                </w:p>
              </w:tc>
            </w:tr>
            <w:tr w14:paraId="0F360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4B8C40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103060">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AEB81F7">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Style w:val="7"/>
                      <w:rFonts w:hint="eastAsia" w:ascii="仿宋" w:hAnsi="仿宋" w:eastAsia="仿宋" w:cs="仿宋"/>
                      <w:color w:val="auto"/>
                      <w:sz w:val="21"/>
                      <w:szCs w:val="21"/>
                      <w:highlight w:val="none"/>
                      <w:lang w:val="en-US" w:eastAsia="zh-CN" w:bidi="ar"/>
                    </w:rPr>
                    <w:t>安装标志牌</w:t>
                  </w:r>
                  <w:r>
                    <w:rPr>
                      <w:rFonts w:hint="eastAsia" w:ascii="仿宋" w:hAnsi="仿宋" w:eastAsia="仿宋" w:cs="仿宋"/>
                      <w:i w:val="0"/>
                      <w:iCs w:val="0"/>
                      <w:color w:val="auto"/>
                      <w:kern w:val="0"/>
                      <w:sz w:val="21"/>
                      <w:szCs w:val="21"/>
                      <w:highlight w:val="none"/>
                      <w:u w:val="none"/>
                      <w:lang w:val="en-US" w:eastAsia="zh-CN" w:bidi="ar"/>
                    </w:rPr>
                    <w:t></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[项目特征]</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1.名称:铝合金标志牌</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2.镌字规格、种类:不同规格</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[工作内容]</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1.运输、安装</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FBF7E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块</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C347E9">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814A40">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521.17</w:t>
                  </w:r>
                </w:p>
              </w:tc>
            </w:tr>
            <w:tr w14:paraId="5DE78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C0738D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64C6CD">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8714D5">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雨水井标牌更换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1.名称:雨水井标牌更换2.规格：70*150mm铁质钢印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1.拆除2.安装</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09413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块</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351703E">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12F260">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16</w:t>
                  </w:r>
                </w:p>
              </w:tc>
            </w:tr>
            <w:tr w14:paraId="6A62C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7A9904E8">
                  <w:pPr>
                    <w:spacing w:line="240" w:lineRule="auto"/>
                    <w:jc w:val="left"/>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638FB9">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3728B1">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4.伸缩缝</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1AC0E90">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18164A9">
                  <w:pPr>
                    <w:spacing w:line="240" w:lineRule="auto"/>
                    <w:jc w:val="left"/>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91729E">
                  <w:pPr>
                    <w:spacing w:line="240" w:lineRule="auto"/>
                    <w:jc w:val="left"/>
                    <w:rPr>
                      <w:rFonts w:hint="eastAsia" w:ascii="仿宋" w:hAnsi="仿宋" w:eastAsia="仿宋" w:cs="仿宋"/>
                      <w:i w:val="0"/>
                      <w:iCs w:val="0"/>
                      <w:color w:val="auto"/>
                      <w:sz w:val="21"/>
                      <w:szCs w:val="21"/>
                      <w:highlight w:val="none"/>
                      <w:u w:val="none"/>
                    </w:rPr>
                  </w:pPr>
                </w:p>
              </w:tc>
            </w:tr>
            <w:tr w14:paraId="577A9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1E3573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17</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84C302">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64DB17B">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更换伸缩缝橡胶条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1.更换伸缩缝橡胶条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1.拆除损坏橡胶条、安装橡胶条</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9110F0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C60603B">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542CC88">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256.51</w:t>
                  </w:r>
                </w:p>
              </w:tc>
            </w:tr>
            <w:tr w14:paraId="1D7E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035A7B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A1A71C">
                  <w:pPr>
                    <w:spacing w:line="240" w:lineRule="auto"/>
                    <w:jc w:val="left"/>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EE3FE4">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伸缩缝及砼加强带维修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1.伸缩缝及砼加强带维修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1.更换</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C9BC45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BA8BD62">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101A63">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1835</w:t>
                  </w:r>
                </w:p>
              </w:tc>
            </w:tr>
            <w:tr w14:paraId="14EC6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53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40FD689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19</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D07263C">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DEF6402">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伸缩缝跨缝钢板安装</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1.Fm-80型桥梁伸缩钢板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1伸缩缝钢板拆除及安装</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002E87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块</w:t>
                  </w: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F62A7DB">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FBB8D35">
                  <w:pPr>
                    <w:keepNext w:val="0"/>
                    <w:keepLines w:val="0"/>
                    <w:widowControl/>
                    <w:suppressLineNumbers w:val="0"/>
                    <w:spacing w:line="240" w:lineRule="auto"/>
                    <w:jc w:val="right"/>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354.2925</w:t>
                  </w:r>
                </w:p>
              </w:tc>
            </w:tr>
            <w:tr w14:paraId="16511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4" w:hRule="atLeast"/>
              </w:trPr>
              <w:tc>
                <w:tcPr>
                  <w:tcW w:w="533" w:type="dxa"/>
                  <w:tcBorders>
                    <w:top w:val="single" w:color="000000" w:sz="4" w:space="0"/>
                    <w:left w:val="single" w:color="000000" w:sz="8" w:space="0"/>
                    <w:bottom w:val="nil"/>
                    <w:right w:val="single" w:color="000000" w:sz="4" w:space="0"/>
                  </w:tcBorders>
                  <w:shd w:val="clear" w:color="FFFFFF" w:fill="FFFFFF"/>
                  <w:noWrap w:val="0"/>
                  <w:vAlign w:val="center"/>
                </w:tcPr>
                <w:p w14:paraId="1BB1D072">
                  <w:pPr>
                    <w:spacing w:line="240" w:lineRule="auto"/>
                    <w:jc w:val="center"/>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nil"/>
                    <w:right w:val="single" w:color="000000" w:sz="4" w:space="0"/>
                  </w:tcBorders>
                  <w:shd w:val="clear" w:color="FFFFFF" w:fill="FFFFFF"/>
                  <w:noWrap w:val="0"/>
                  <w:vAlign w:val="center"/>
                </w:tcPr>
                <w:p w14:paraId="208D0B8B">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nil"/>
                    <w:right w:val="single" w:color="000000" w:sz="4" w:space="0"/>
                  </w:tcBorders>
                  <w:shd w:val="clear" w:color="FFFFFF" w:fill="FFFFFF"/>
                  <w:noWrap w:val="0"/>
                  <w:vAlign w:val="center"/>
                </w:tcPr>
                <w:p w14:paraId="62474A80">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5.桥梁结构性安全隐患整治</w:t>
                  </w:r>
                </w:p>
              </w:tc>
              <w:tc>
                <w:tcPr>
                  <w:tcW w:w="763" w:type="dxa"/>
                  <w:tcBorders>
                    <w:top w:val="single" w:color="000000" w:sz="4" w:space="0"/>
                    <w:left w:val="single" w:color="000000" w:sz="4" w:space="0"/>
                    <w:bottom w:val="nil"/>
                    <w:right w:val="single" w:color="000000" w:sz="4" w:space="0"/>
                  </w:tcBorders>
                  <w:shd w:val="clear" w:color="FFFFFF" w:fill="FFFFFF"/>
                  <w:noWrap w:val="0"/>
                  <w:vAlign w:val="center"/>
                </w:tcPr>
                <w:p w14:paraId="1AF73A4E">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nil"/>
                    <w:right w:val="single" w:color="000000" w:sz="4" w:space="0"/>
                  </w:tcBorders>
                  <w:shd w:val="clear" w:color="FFFFFF" w:fill="FFFFFF"/>
                  <w:noWrap w:val="0"/>
                  <w:vAlign w:val="center"/>
                </w:tcPr>
                <w:p w14:paraId="0DDA6330">
                  <w:pPr>
                    <w:spacing w:line="240" w:lineRule="auto"/>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nil"/>
                    <w:right w:val="single" w:color="000000" w:sz="4" w:space="0"/>
                  </w:tcBorders>
                  <w:shd w:val="clear" w:color="FFFFFF" w:fill="FFFFFF"/>
                  <w:noWrap w:val="0"/>
                  <w:vAlign w:val="center"/>
                </w:tcPr>
                <w:p w14:paraId="2D41D5A5">
                  <w:pPr>
                    <w:spacing w:line="240" w:lineRule="auto"/>
                    <w:rPr>
                      <w:rFonts w:hint="eastAsia" w:ascii="仿宋" w:hAnsi="仿宋" w:eastAsia="仿宋" w:cs="仿宋"/>
                      <w:i w:val="0"/>
                      <w:iCs w:val="0"/>
                      <w:color w:val="auto"/>
                      <w:kern w:val="0"/>
                      <w:sz w:val="21"/>
                      <w:szCs w:val="21"/>
                      <w:highlight w:val="none"/>
                      <w:u w:val="none"/>
                      <w:lang w:val="en-US" w:eastAsia="zh-CN" w:bidi="ar"/>
                    </w:rPr>
                  </w:pPr>
                </w:p>
              </w:tc>
            </w:tr>
            <w:tr w14:paraId="4B9FA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3" w:type="dxa"/>
                  <w:tcBorders>
                    <w:top w:val="single" w:color="000000" w:sz="4" w:space="0"/>
                    <w:left w:val="single" w:color="000000" w:sz="8" w:space="0"/>
                    <w:bottom w:val="nil"/>
                    <w:right w:val="single" w:color="000000" w:sz="4" w:space="0"/>
                  </w:tcBorders>
                  <w:shd w:val="clear" w:color="FFFFFF" w:fill="FFFFFF"/>
                  <w:noWrap w:val="0"/>
                  <w:vAlign w:val="center"/>
                </w:tcPr>
                <w:p w14:paraId="7588CED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w:t>
                  </w:r>
                </w:p>
              </w:tc>
              <w:tc>
                <w:tcPr>
                  <w:tcW w:w="478" w:type="dxa"/>
                  <w:tcBorders>
                    <w:top w:val="single" w:color="000000" w:sz="4" w:space="0"/>
                    <w:left w:val="single" w:color="000000" w:sz="4" w:space="0"/>
                    <w:bottom w:val="nil"/>
                    <w:right w:val="single" w:color="000000" w:sz="4" w:space="0"/>
                  </w:tcBorders>
                  <w:shd w:val="clear" w:color="FFFFFF" w:fill="FFFFFF"/>
                  <w:noWrap w:val="0"/>
                  <w:vAlign w:val="center"/>
                </w:tcPr>
                <w:p w14:paraId="6529AB00">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nil"/>
                    <w:right w:val="single" w:color="000000" w:sz="4" w:space="0"/>
                  </w:tcBorders>
                  <w:shd w:val="clear" w:color="FFFFFF" w:fill="FFFFFF"/>
                  <w:noWrap w:val="0"/>
                  <w:vAlign w:val="center"/>
                </w:tcPr>
                <w:p w14:paraId="152D821C">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挡土墙结构病害整治（1100㎡）              [项目特征]                                                          对隐患排查发现的东快速干道2号桥等桥台后侧墙及高路堤浆砌块石挡土墙出现的破损剥落、变形、裂缝、沉降缝渗水等结构病害进行整治，消除安全隐患。          [工作内容]                                                            1、修复标准：符合《公路桥梁加固施工技术规范》（JTG/T 5531-2025）及《公路桥涵养护规范》（JTG 5120-2021）要求，修复后挡墙结构稳定，无松动、塌陷、渗水现象。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施工工艺：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1、破损处理：清除破损剥落部分，凿除松动砌体及砂浆，深度≥5cm，基层凿毛后清理干净并洒水湿润。</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2、裂缝处理：宽度＜0.3mm 裂缝采用压力灌浆封闭，宽度≥0.3mm 裂缝开槽后嵌填聚合物砂浆，裂缝深度采用超声波探伤仪检测，精度≤1cm。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3、沉降缝处理：清除缝内杂物及老化填料，采用遇水膨胀止水条 + 密封胶填充，确保无渗水，缝宽偏差≤2mm。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4、砌筑要求：浆砌块石强度≥MU30，水泥砂浆强度≥M10，砌缝紧密饱满，灰缝厚度 8-12mm，表面平整度偏差≤5mm/2m。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2、质量要求：修复后挡墙无倾斜、滑移，表面整洁，排水孔畅通，承载力恢复至原设计标准。</w:t>
                  </w:r>
                </w:p>
              </w:tc>
              <w:tc>
                <w:tcPr>
                  <w:tcW w:w="763" w:type="dxa"/>
                  <w:tcBorders>
                    <w:top w:val="single" w:color="000000" w:sz="8" w:space="0"/>
                    <w:left w:val="single" w:color="000000" w:sz="8" w:space="0"/>
                    <w:bottom w:val="single" w:color="000000" w:sz="8" w:space="0"/>
                    <w:right w:val="single" w:color="000000" w:sz="8" w:space="0"/>
                  </w:tcBorders>
                  <w:noWrap w:val="0"/>
                  <w:vAlign w:val="center"/>
                </w:tcPr>
                <w:p w14:paraId="4BC5446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平米</w:t>
                  </w:r>
                </w:p>
              </w:tc>
              <w:tc>
                <w:tcPr>
                  <w:tcW w:w="637" w:type="dxa"/>
                  <w:tcBorders>
                    <w:top w:val="single" w:color="000000" w:sz="8" w:space="0"/>
                    <w:left w:val="nil"/>
                    <w:bottom w:val="single" w:color="000000" w:sz="8" w:space="0"/>
                    <w:right w:val="single" w:color="000000" w:sz="8" w:space="0"/>
                  </w:tcBorders>
                  <w:noWrap/>
                  <w:vAlign w:val="center"/>
                </w:tcPr>
                <w:p w14:paraId="4293D0E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8" w:space="0"/>
                    <w:left w:val="nil"/>
                    <w:bottom w:val="single" w:color="000000" w:sz="8" w:space="0"/>
                    <w:right w:val="single" w:color="000000" w:sz="8" w:space="0"/>
                  </w:tcBorders>
                  <w:noWrap/>
                  <w:vAlign w:val="center"/>
                </w:tcPr>
                <w:p w14:paraId="48905C7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350</w:t>
                  </w:r>
                </w:p>
              </w:tc>
            </w:tr>
            <w:tr w14:paraId="754B8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3" w:type="dxa"/>
                  <w:tcBorders>
                    <w:top w:val="single" w:color="000000" w:sz="4" w:space="0"/>
                    <w:left w:val="single" w:color="000000" w:sz="8" w:space="0"/>
                    <w:bottom w:val="nil"/>
                    <w:right w:val="single" w:color="000000" w:sz="4" w:space="0"/>
                  </w:tcBorders>
                  <w:shd w:val="clear" w:color="FFFFFF" w:fill="FFFFFF"/>
                  <w:noWrap w:val="0"/>
                  <w:vAlign w:val="center"/>
                </w:tcPr>
                <w:p w14:paraId="43EEA58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21</w:t>
                  </w:r>
                </w:p>
              </w:tc>
              <w:tc>
                <w:tcPr>
                  <w:tcW w:w="478" w:type="dxa"/>
                  <w:tcBorders>
                    <w:top w:val="single" w:color="000000" w:sz="4" w:space="0"/>
                    <w:left w:val="single" w:color="000000" w:sz="4" w:space="0"/>
                    <w:bottom w:val="nil"/>
                    <w:right w:val="single" w:color="000000" w:sz="4" w:space="0"/>
                  </w:tcBorders>
                  <w:shd w:val="clear" w:color="FFFFFF" w:fill="FFFFFF"/>
                  <w:noWrap w:val="0"/>
                  <w:vAlign w:val="center"/>
                </w:tcPr>
                <w:p w14:paraId="53578EC7">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nil"/>
                    <w:right w:val="single" w:color="000000" w:sz="4" w:space="0"/>
                  </w:tcBorders>
                  <w:shd w:val="clear" w:color="FFFFFF" w:fill="FFFFFF"/>
                  <w:noWrap w:val="0"/>
                  <w:vAlign w:val="top"/>
                </w:tcPr>
                <w:p w14:paraId="3BEC3A0B">
                  <w:pPr>
                    <w:keepNext w:val="0"/>
                    <w:keepLines w:val="0"/>
                    <w:widowControl/>
                    <w:suppressLineNumbers w:val="0"/>
                    <w:spacing w:line="240" w:lineRule="auto"/>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桥梁支座检修（全桥）                                                        [项目特征]     1、技术标准：遵循《公路桥梁支座和伸缩装置养护与更换技术规范》（JTG/T 5532—2023）要求。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1、全面检测：检查支座位移、变形、老化、渗漏情况，采用专业设备检测支座反力及转角参数。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2、清洁维护：清除支座表面杂物、油污及锈蚀，对钢支座进行除锈防腐处理，防腐涂层厚度≥80μm。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3、部件更换：对损坏、老化的支座配件（如橡胶垫、密封圈）进行更换，更换后支座压缩变形量≤3mm，水平位移量符合设计要求。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3、质量要求：检修后支座受力均匀，无异常声响，满足桥梁正常运营的承载及变形需求。</w:t>
                  </w:r>
                </w:p>
              </w:tc>
              <w:tc>
                <w:tcPr>
                  <w:tcW w:w="763" w:type="dxa"/>
                  <w:tcBorders>
                    <w:top w:val="single" w:color="000000" w:sz="4" w:space="0"/>
                    <w:left w:val="single" w:color="000000" w:sz="4" w:space="0"/>
                    <w:bottom w:val="nil"/>
                    <w:right w:val="single" w:color="000000" w:sz="4" w:space="0"/>
                  </w:tcBorders>
                  <w:shd w:val="clear" w:color="FFFFFF" w:fill="FFFFFF"/>
                  <w:noWrap w:val="0"/>
                  <w:vAlign w:val="center"/>
                </w:tcPr>
                <w:p w14:paraId="2C74954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w:t>
                  </w:r>
                </w:p>
              </w:tc>
              <w:tc>
                <w:tcPr>
                  <w:tcW w:w="637" w:type="dxa"/>
                  <w:tcBorders>
                    <w:top w:val="single" w:color="000000" w:sz="4" w:space="0"/>
                    <w:left w:val="single" w:color="000000" w:sz="4" w:space="0"/>
                    <w:bottom w:val="nil"/>
                    <w:right w:val="single" w:color="000000" w:sz="4" w:space="0"/>
                  </w:tcBorders>
                  <w:shd w:val="clear" w:color="FFFFFF" w:fill="FFFFFF"/>
                  <w:noWrap w:val="0"/>
                  <w:vAlign w:val="center"/>
                </w:tcPr>
                <w:p w14:paraId="48B872E2">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nil"/>
                    <w:right w:val="single" w:color="000000" w:sz="4" w:space="0"/>
                  </w:tcBorders>
                  <w:shd w:val="clear" w:color="FFFFFF" w:fill="FFFFFF"/>
                  <w:noWrap w:val="0"/>
                  <w:vAlign w:val="center"/>
                </w:tcPr>
                <w:p w14:paraId="0F1C68C1">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50000</w:t>
                  </w:r>
                </w:p>
              </w:tc>
            </w:tr>
            <w:tr w14:paraId="2733A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3" w:type="dxa"/>
                  <w:tcBorders>
                    <w:top w:val="single" w:color="000000" w:sz="4" w:space="0"/>
                    <w:left w:val="single" w:color="000000" w:sz="8" w:space="0"/>
                    <w:bottom w:val="nil"/>
                    <w:right w:val="single" w:color="000000" w:sz="4" w:space="0"/>
                  </w:tcBorders>
                  <w:shd w:val="clear" w:color="FFFFFF" w:fill="FFFFFF"/>
                  <w:noWrap w:val="0"/>
                  <w:vAlign w:val="center"/>
                </w:tcPr>
                <w:p w14:paraId="71B4C7B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22</w:t>
                  </w:r>
                </w:p>
              </w:tc>
              <w:tc>
                <w:tcPr>
                  <w:tcW w:w="478" w:type="dxa"/>
                  <w:tcBorders>
                    <w:top w:val="single" w:color="000000" w:sz="4" w:space="0"/>
                    <w:left w:val="single" w:color="000000" w:sz="4" w:space="0"/>
                    <w:bottom w:val="nil"/>
                    <w:right w:val="single" w:color="000000" w:sz="4" w:space="0"/>
                  </w:tcBorders>
                  <w:shd w:val="clear" w:color="FFFFFF" w:fill="FFFFFF"/>
                  <w:noWrap w:val="0"/>
                  <w:vAlign w:val="center"/>
                </w:tcPr>
                <w:p w14:paraId="00950D8D">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nil"/>
                    <w:right w:val="single" w:color="000000" w:sz="4" w:space="0"/>
                  </w:tcBorders>
                  <w:shd w:val="clear" w:color="FFFFFF" w:fill="FFFFFF"/>
                  <w:noWrap w:val="0"/>
                  <w:vAlign w:val="top"/>
                </w:tcPr>
                <w:p w14:paraId="7C7E390C">
                  <w:pPr>
                    <w:keepNext w:val="0"/>
                    <w:keepLines w:val="0"/>
                    <w:widowControl/>
                    <w:suppressLineNumbers w:val="0"/>
                    <w:spacing w:line="240" w:lineRule="auto"/>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 xml:space="preserve">桥柱病害钢套箍灌浆法修复（一处）                          技术标准：符合《公路桥梁加固设计规范》（JTG/T 5431-2025）相关规定。       [工作内容]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1、施工工艺：</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1、基层处理：清除桥柱表面松散混凝土、锈蚀钢筋，打磨平整后涂刷界面剂，确保粘结强度≥2.5MPa。</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2、钢套箍制作：采用 Q235B 钢板，厚度≥8mm，根据桥柱尺寸定制，拼接焊缝高度≥6mm，焊缝质量达到二级标准。</w:t>
                  </w:r>
                </w:p>
              </w:tc>
              <w:tc>
                <w:tcPr>
                  <w:tcW w:w="763" w:type="dxa"/>
                  <w:tcBorders>
                    <w:top w:val="single" w:color="000000" w:sz="8" w:space="0"/>
                    <w:left w:val="single" w:color="000000" w:sz="8" w:space="0"/>
                    <w:bottom w:val="nil"/>
                    <w:right w:val="single" w:color="000000" w:sz="8" w:space="0"/>
                  </w:tcBorders>
                  <w:noWrap w:val="0"/>
                  <w:vAlign w:val="center"/>
                </w:tcPr>
                <w:p w14:paraId="5D100D8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w:t>
                  </w:r>
                </w:p>
              </w:tc>
              <w:tc>
                <w:tcPr>
                  <w:tcW w:w="637" w:type="dxa"/>
                  <w:tcBorders>
                    <w:top w:val="single" w:color="000000" w:sz="8" w:space="0"/>
                    <w:left w:val="nil"/>
                    <w:bottom w:val="nil"/>
                    <w:right w:val="single" w:color="000000" w:sz="8" w:space="0"/>
                  </w:tcBorders>
                  <w:noWrap/>
                  <w:vAlign w:val="center"/>
                </w:tcPr>
                <w:p w14:paraId="0158EDC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8" w:space="0"/>
                    <w:left w:val="nil"/>
                    <w:bottom w:val="nil"/>
                    <w:right w:val="single" w:color="000000" w:sz="8" w:space="0"/>
                  </w:tcBorders>
                  <w:noWrap/>
                  <w:vAlign w:val="center"/>
                </w:tcPr>
                <w:p w14:paraId="5C125B05">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27397.13</w:t>
                  </w:r>
                </w:p>
              </w:tc>
            </w:tr>
            <w:tr w14:paraId="5B024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67" w:hRule="atLeast"/>
              </w:trPr>
              <w:tc>
                <w:tcPr>
                  <w:tcW w:w="533" w:type="dxa"/>
                  <w:tcBorders>
                    <w:top w:val="single" w:color="000000" w:sz="4" w:space="0"/>
                    <w:left w:val="single" w:color="000000" w:sz="8" w:space="0"/>
                    <w:bottom w:val="nil"/>
                    <w:right w:val="nil"/>
                  </w:tcBorders>
                  <w:shd w:val="clear" w:color="FFFFFF" w:fill="FFFFFF"/>
                  <w:noWrap w:val="0"/>
                  <w:vAlign w:val="center"/>
                </w:tcPr>
                <w:p w14:paraId="5470892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23</w:t>
                  </w:r>
                </w:p>
              </w:tc>
              <w:tc>
                <w:tcPr>
                  <w:tcW w:w="478" w:type="dxa"/>
                  <w:tcBorders>
                    <w:top w:val="single" w:color="000000" w:sz="4" w:space="0"/>
                    <w:left w:val="single" w:color="000000" w:sz="4" w:space="0"/>
                    <w:bottom w:val="nil"/>
                    <w:right w:val="single" w:color="000000" w:sz="4" w:space="0"/>
                  </w:tcBorders>
                  <w:shd w:val="clear" w:color="FFFFFF" w:fill="FFFFFF"/>
                  <w:noWrap w:val="0"/>
                  <w:vAlign w:val="center"/>
                </w:tcPr>
                <w:p w14:paraId="4270FE46">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nil"/>
                    <w:right w:val="single" w:color="000000" w:sz="4" w:space="0"/>
                  </w:tcBorders>
                  <w:shd w:val="clear" w:color="FFFFFF" w:fill="FFFFFF"/>
                  <w:noWrap w:val="0"/>
                  <w:vAlign w:val="top"/>
                </w:tcPr>
                <w:p w14:paraId="70E9D16F">
                  <w:pPr>
                    <w:keepNext w:val="0"/>
                    <w:keepLines w:val="0"/>
                    <w:widowControl/>
                    <w:suppressLineNumbers w:val="0"/>
                    <w:spacing w:line="240" w:lineRule="auto"/>
                    <w:jc w:val="left"/>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混凝土结构裂缝封闭（200m）                  [项目特征]   技术要求：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1、裂缝检测：采用裂缝宽度仪检测，精度≤0.02mm，记录裂缝位置、长度、宽度及深度数据。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2、封闭材料：采用低粘度环氧树脂灌浆料，粘结强度≥3.0MPa，抗渗等级≥P8，耐老化性能符合行业标准。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                                                       施工工艺：裂缝开槽宽度 10-15mm、深度 8-12mm，清理后埋设灌浆嘴，压力灌浆压力 0.2-0.4MPa，灌浆后采用聚合物砂浆抹平，养护时间≥7 天。</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质量要求：封闭后裂缝无渗漏，表面平整，与原结构外观协调，耐久性满足桥梁设计使用年限要求。</w:t>
                  </w:r>
                </w:p>
              </w:tc>
              <w:tc>
                <w:tcPr>
                  <w:tcW w:w="763" w:type="dxa"/>
                  <w:tcBorders>
                    <w:top w:val="single" w:color="000000" w:sz="8" w:space="0"/>
                    <w:left w:val="single" w:color="000000" w:sz="8" w:space="0"/>
                    <w:bottom w:val="nil"/>
                    <w:right w:val="single" w:color="000000" w:sz="8" w:space="0"/>
                  </w:tcBorders>
                  <w:noWrap w:val="0"/>
                  <w:vAlign w:val="center"/>
                </w:tcPr>
                <w:p w14:paraId="2098A97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米</w:t>
                  </w:r>
                </w:p>
              </w:tc>
              <w:tc>
                <w:tcPr>
                  <w:tcW w:w="637" w:type="dxa"/>
                  <w:tcBorders>
                    <w:top w:val="single" w:color="000000" w:sz="8" w:space="0"/>
                    <w:left w:val="nil"/>
                    <w:bottom w:val="nil"/>
                    <w:right w:val="single" w:color="000000" w:sz="8" w:space="0"/>
                  </w:tcBorders>
                  <w:noWrap/>
                  <w:vAlign w:val="center"/>
                </w:tcPr>
                <w:p w14:paraId="16CE5E3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8" w:space="0"/>
                    <w:left w:val="nil"/>
                    <w:bottom w:val="nil"/>
                    <w:right w:val="single" w:color="000000" w:sz="8" w:space="0"/>
                  </w:tcBorders>
                  <w:noWrap/>
                  <w:vAlign w:val="center"/>
                </w:tcPr>
                <w:p w14:paraId="6BFB18F4">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143.13</w:t>
                  </w:r>
                </w:p>
              </w:tc>
            </w:tr>
            <w:tr w14:paraId="7E132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5" w:hRule="atLeast"/>
              </w:trPr>
              <w:tc>
                <w:tcPr>
                  <w:tcW w:w="53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FB9CC87">
                  <w:pPr>
                    <w:spacing w:line="240" w:lineRule="auto"/>
                    <w:jc w:val="center"/>
                    <w:rPr>
                      <w:rFonts w:hint="eastAsia" w:ascii="仿宋" w:hAnsi="仿宋" w:eastAsia="仿宋" w:cs="仿宋"/>
                      <w:i w:val="0"/>
                      <w:iCs w:val="0"/>
                      <w:color w:val="auto"/>
                      <w:sz w:val="21"/>
                      <w:szCs w:val="21"/>
                      <w:highlight w:val="none"/>
                      <w:u w:val="none"/>
                    </w:rPr>
                  </w:pP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41754E2">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F5589C1">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6.桥梁噪音污染整治</w:t>
                  </w:r>
                </w:p>
              </w:tc>
              <w:tc>
                <w:tcPr>
                  <w:tcW w:w="7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6FE428">
                  <w:pPr>
                    <w:spacing w:line="240" w:lineRule="auto"/>
                    <w:jc w:val="center"/>
                    <w:rPr>
                      <w:rFonts w:hint="eastAsia" w:ascii="仿宋" w:hAnsi="仿宋" w:eastAsia="仿宋" w:cs="仿宋"/>
                      <w:i w:val="0"/>
                      <w:iCs w:val="0"/>
                      <w:color w:val="auto"/>
                      <w:sz w:val="21"/>
                      <w:szCs w:val="21"/>
                      <w:highlight w:val="none"/>
                      <w:u w:val="none"/>
                    </w:rPr>
                  </w:pPr>
                </w:p>
              </w:tc>
              <w:tc>
                <w:tcPr>
                  <w:tcW w:w="637"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32D079D">
                  <w:pPr>
                    <w:spacing w:line="240" w:lineRule="auto"/>
                    <w:rPr>
                      <w:rFonts w:hint="eastAsia" w:ascii="仿宋" w:hAnsi="仿宋" w:eastAsia="仿宋" w:cs="仿宋"/>
                      <w:i w:val="0"/>
                      <w:iCs w:val="0"/>
                      <w:color w:val="auto"/>
                      <w:sz w:val="21"/>
                      <w:szCs w:val="21"/>
                      <w:highlight w:val="none"/>
                      <w:u w:val="none"/>
                    </w:rPr>
                  </w:pPr>
                </w:p>
              </w:tc>
              <w:tc>
                <w:tcPr>
                  <w:tcW w:w="134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043715">
                  <w:pPr>
                    <w:spacing w:line="240" w:lineRule="auto"/>
                    <w:rPr>
                      <w:rFonts w:hint="eastAsia" w:ascii="仿宋" w:hAnsi="仿宋" w:eastAsia="仿宋" w:cs="仿宋"/>
                      <w:i w:val="0"/>
                      <w:iCs w:val="0"/>
                      <w:color w:val="auto"/>
                      <w:kern w:val="0"/>
                      <w:sz w:val="21"/>
                      <w:szCs w:val="21"/>
                      <w:highlight w:val="none"/>
                      <w:u w:val="none"/>
                      <w:lang w:val="en-US" w:eastAsia="zh-CN" w:bidi="ar"/>
                    </w:rPr>
                  </w:pPr>
                </w:p>
              </w:tc>
            </w:tr>
            <w:tr w14:paraId="772D4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trPr>
              <w:tc>
                <w:tcPr>
                  <w:tcW w:w="53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87C021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24</w:t>
                  </w:r>
                </w:p>
              </w:tc>
              <w:tc>
                <w:tcPr>
                  <w:tcW w:w="478"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CDF12C">
                  <w:pPr>
                    <w:spacing w:line="240" w:lineRule="auto"/>
                    <w:jc w:val="center"/>
                    <w:rPr>
                      <w:rFonts w:hint="eastAsia" w:ascii="仿宋" w:hAnsi="仿宋" w:eastAsia="仿宋" w:cs="仿宋"/>
                      <w:i w:val="0"/>
                      <w:iCs w:val="0"/>
                      <w:color w:val="auto"/>
                      <w:sz w:val="21"/>
                      <w:szCs w:val="21"/>
                      <w:highlight w:val="none"/>
                      <w:u w:val="none"/>
                    </w:rPr>
                  </w:pPr>
                </w:p>
              </w:tc>
              <w:tc>
                <w:tcPr>
                  <w:tcW w:w="2707" w:type="dxa"/>
                  <w:tcBorders>
                    <w:top w:val="single" w:color="000000" w:sz="4" w:space="0"/>
                    <w:left w:val="single" w:color="000000" w:sz="4" w:space="0"/>
                    <w:bottom w:val="single" w:color="000000" w:sz="4" w:space="0"/>
                    <w:right w:val="single" w:color="000000" w:sz="4" w:space="0"/>
                  </w:tcBorders>
                  <w:shd w:val="clear" w:color="FFFFFF" w:fill="FFFFFF"/>
                  <w:noWrap w:val="0"/>
                  <w:vAlign w:val="top"/>
                </w:tcPr>
                <w:p w14:paraId="10C93497">
                  <w:pPr>
                    <w:keepNext w:val="0"/>
                    <w:keepLines w:val="0"/>
                    <w:widowControl/>
                    <w:suppressLineNumbers w:val="0"/>
                    <w:spacing w:line="240" w:lineRule="auto"/>
                    <w:jc w:val="left"/>
                    <w:textAlignment w:val="top"/>
                    <w:rPr>
                      <w:rFonts w:hint="eastAsia" w:ascii="仿宋" w:hAnsi="仿宋" w:eastAsia="仿宋" w:cs="仿宋"/>
                      <w:i w:val="0"/>
                      <w:iCs w:val="0"/>
                      <w:color w:val="auto"/>
                      <w:sz w:val="21"/>
                      <w:szCs w:val="21"/>
                      <w:highlight w:val="none"/>
                      <w:u w:val="none"/>
                    </w:rPr>
                  </w:pPr>
                  <w:r>
                    <w:rPr>
                      <w:rStyle w:val="7"/>
                      <w:rFonts w:hint="eastAsia" w:ascii="仿宋" w:hAnsi="仿宋" w:eastAsia="仿宋" w:cs="仿宋"/>
                      <w:color w:val="auto"/>
                      <w:sz w:val="21"/>
                      <w:szCs w:val="21"/>
                      <w:highlight w:val="none"/>
                      <w:lang w:val="en-US" w:eastAsia="zh-CN" w:bidi="ar"/>
                    </w:rPr>
                    <w:t>隔音屏安装                                                    [项目特征]1、吸声屏体</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面板：采用 1.5mm 厚穿孔铝合金板，双面氟碳喷涂，涂层厚度≥60μm，盐雾试验≥1000 小时</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背板：1.5mm 厚镀锌钢板，压条采用 12mm 镀锌钢板，所有金属构件表面喷塑防腐</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吸声材料：100mm 厚离心玻璃棉，容重 48-80kg/m</w:t>
                  </w:r>
                  <w:r>
                    <w:rPr>
                      <w:rFonts w:hint="eastAsia" w:ascii="仿宋" w:hAnsi="仿宋" w:eastAsia="仿宋" w:cs="仿宋"/>
                      <w:i w:val="0"/>
                      <w:iCs w:val="0"/>
                      <w:color w:val="auto"/>
                      <w:kern w:val="0"/>
                      <w:sz w:val="21"/>
                      <w:szCs w:val="21"/>
                      <w:highlight w:val="none"/>
                      <w:u w:val="none"/>
                      <w:lang w:val="en-US" w:eastAsia="zh-CN" w:bidi="ar"/>
                    </w:rPr>
                    <w:t>³</w:t>
                  </w:r>
                  <w:r>
                    <w:rPr>
                      <w:rStyle w:val="7"/>
                      <w:rFonts w:hint="eastAsia" w:ascii="仿宋" w:hAnsi="仿宋" w:eastAsia="仿宋" w:cs="仿宋"/>
                      <w:color w:val="auto"/>
                      <w:sz w:val="21"/>
                      <w:szCs w:val="21"/>
                      <w:highlight w:val="none"/>
                      <w:lang w:val="en-US" w:eastAsia="zh-CN" w:bidi="ar"/>
                    </w:rPr>
                    <w:t>，采用 0.15mm 无碱憎水玻璃布包裹，防火等级达到 GB8624 B1 级（难燃）</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2、结构部件</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立柱：采用 H 型钢，材质 Q235B，表面热镀锌 + 喷塑处理，镀锌层厚度≥85μm，抗弯强度≥30MPa</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连接件：螺栓、角钢等采用热镀锌处理，抗腐蚀性能符合 GB/T 18226 要求，邵氏硬度 70-80 的密封胶条填充拼接缝隙（≤2mm），防止声泄漏</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3、环境适应性：材料耐低温 - 30℃不脆裂，抗老化试验（QUV）≥1000 小时，黄变指数≤3，适应户外长期使用环境                                                                                                                                                                                                  [工作内容]    1、安装精度：立柱垂直度偏差≤1/1000（全长≤5mm），采用全站仪校准；屏体与道路设施衔接紧密，不影响原有结构功能</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2、施工规范：施工过程采取降噪措施，避免施工噪声影响周边敏感区域；严格按照 GB 50205《钢结构工程施工质量验收规范》执行</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3、景观协调：屏体颜色与周边环境适配，学校、居民区附近可采用部分透明屏体（透光率≥85%），避免视觉压抑</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3、灌浆施工：采用高强度无收缩灌浆料，抗压强度≥60MPa，灌浆压力控制在 0.3-0.5MPa，确保灌浆密实，无空鼓现象。</w:t>
                  </w:r>
                  <w:r>
                    <w:rPr>
                      <w:rStyle w:val="7"/>
                      <w:rFonts w:hint="eastAsia" w:ascii="仿宋" w:hAnsi="仿宋" w:eastAsia="仿宋" w:cs="仿宋"/>
                      <w:color w:val="auto"/>
                      <w:sz w:val="21"/>
                      <w:szCs w:val="21"/>
                      <w:highlight w:val="none"/>
                      <w:lang w:val="en-US" w:eastAsia="zh-CN" w:bidi="ar"/>
                    </w:rPr>
                    <w:br w:type="textWrapping"/>
                  </w:r>
                  <w:r>
                    <w:rPr>
                      <w:rStyle w:val="7"/>
                      <w:rFonts w:hint="eastAsia" w:ascii="仿宋" w:hAnsi="仿宋" w:eastAsia="仿宋" w:cs="仿宋"/>
                      <w:color w:val="auto"/>
                      <w:sz w:val="21"/>
                      <w:szCs w:val="21"/>
                      <w:highlight w:val="none"/>
                      <w:lang w:val="en-US" w:eastAsia="zh-CN" w:bidi="ar"/>
                    </w:rPr>
                    <w:t>质量要求：修复后桥柱承载力提升≥30%，钢套箍与桥柱紧密贴合，防腐涂层盐雾试验≥1000 小时。</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2F9F946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平米</w:t>
                  </w:r>
                </w:p>
              </w:tc>
              <w:tc>
                <w:tcPr>
                  <w:tcW w:w="637" w:type="dxa"/>
                  <w:tcBorders>
                    <w:top w:val="single" w:color="000000" w:sz="4" w:space="0"/>
                    <w:left w:val="single" w:color="000000" w:sz="4" w:space="0"/>
                    <w:bottom w:val="single" w:color="000000" w:sz="4" w:space="0"/>
                    <w:right w:val="single" w:color="000000" w:sz="4" w:space="0"/>
                  </w:tcBorders>
                  <w:noWrap/>
                  <w:vAlign w:val="center"/>
                </w:tcPr>
                <w:p w14:paraId="3F9E3B5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1349" w:type="dxa"/>
                  <w:tcBorders>
                    <w:top w:val="single" w:color="000000" w:sz="4" w:space="0"/>
                    <w:left w:val="single" w:color="000000" w:sz="4" w:space="0"/>
                    <w:bottom w:val="single" w:color="000000" w:sz="4" w:space="0"/>
                    <w:right w:val="single" w:color="000000" w:sz="4" w:space="0"/>
                  </w:tcBorders>
                  <w:noWrap/>
                  <w:vAlign w:val="center"/>
                </w:tcPr>
                <w:p w14:paraId="1FF7CE79">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880</w:t>
                  </w:r>
                </w:p>
              </w:tc>
            </w:tr>
          </w:tbl>
          <w:p w14:paraId="583977C4">
            <w:pPr>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p>
          <w:p w14:paraId="3C087096">
            <w:pPr>
              <w:spacing w:line="240" w:lineRule="auto"/>
              <w:rPr>
                <w:rFonts w:hint="eastAsia" w:ascii="仿宋" w:hAnsi="仿宋" w:eastAsia="仿宋" w:cs="仿宋"/>
                <w:color w:val="auto"/>
                <w:sz w:val="21"/>
                <w:szCs w:val="21"/>
                <w:highlight w:val="none"/>
                <w:lang w:val="en-US" w:eastAsia="zh-CN"/>
              </w:rPr>
            </w:pPr>
          </w:p>
          <w:tbl>
            <w:tblPr>
              <w:tblStyle w:val="4"/>
              <w:tblW w:w="611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1"/>
              <w:gridCol w:w="420"/>
              <w:gridCol w:w="3204"/>
              <w:gridCol w:w="663"/>
              <w:gridCol w:w="712"/>
              <w:gridCol w:w="804"/>
            </w:tblGrid>
            <w:tr w14:paraId="00DE9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0" w:hRule="atLeast"/>
              </w:trPr>
              <w:tc>
                <w:tcPr>
                  <w:tcW w:w="6114" w:type="dxa"/>
                  <w:gridSpan w:val="6"/>
                  <w:tcBorders>
                    <w:top w:val="single" w:color="000000" w:sz="4" w:space="0"/>
                    <w:left w:val="single" w:color="000000" w:sz="4" w:space="0"/>
                    <w:bottom w:val="single" w:color="000000" w:sz="4" w:space="0"/>
                    <w:right w:val="single" w:color="000000" w:sz="4" w:space="0"/>
                  </w:tcBorders>
                  <w:noWrap/>
                  <w:vAlign w:val="center"/>
                </w:tcPr>
                <w:p w14:paraId="77674C4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2026年快速干道应急场地维护费用预清单</w:t>
                  </w:r>
                </w:p>
              </w:tc>
            </w:tr>
            <w:tr w14:paraId="631BC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11" w:type="dxa"/>
                  <w:vMerge w:val="restart"/>
                  <w:tcBorders>
                    <w:top w:val="nil"/>
                    <w:left w:val="single" w:color="000000" w:sz="8" w:space="0"/>
                    <w:bottom w:val="single" w:color="000000" w:sz="4" w:space="0"/>
                    <w:right w:val="single" w:color="000000" w:sz="4" w:space="0"/>
                  </w:tcBorders>
                  <w:shd w:val="clear" w:color="FFFFFF" w:fill="FFFFFF"/>
                  <w:noWrap w:val="0"/>
                  <w:vAlign w:val="center"/>
                </w:tcPr>
                <w:p w14:paraId="0FC368B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序号</w:t>
                  </w:r>
                </w:p>
              </w:tc>
              <w:tc>
                <w:tcPr>
                  <w:tcW w:w="420"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25ED83C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项目编码</w:t>
                  </w:r>
                </w:p>
              </w:tc>
              <w:tc>
                <w:tcPr>
                  <w:tcW w:w="3204"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1A15D25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项目名称</w:t>
                  </w:r>
                </w:p>
              </w:tc>
              <w:tc>
                <w:tcPr>
                  <w:tcW w:w="663"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43AFAE3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计量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单位</w:t>
                  </w:r>
                </w:p>
              </w:tc>
              <w:tc>
                <w:tcPr>
                  <w:tcW w:w="712" w:type="dxa"/>
                  <w:vMerge w:val="restart"/>
                  <w:tcBorders>
                    <w:top w:val="nil"/>
                    <w:left w:val="single" w:color="000000" w:sz="4" w:space="0"/>
                    <w:bottom w:val="single" w:color="000000" w:sz="4" w:space="0"/>
                    <w:right w:val="single" w:color="000000" w:sz="4" w:space="0"/>
                  </w:tcBorders>
                  <w:shd w:val="clear" w:color="FFFFFF" w:fill="FFFFFF"/>
                  <w:noWrap w:val="0"/>
                  <w:vAlign w:val="center"/>
                </w:tcPr>
                <w:p w14:paraId="63CFE7D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工程数量</w:t>
                  </w:r>
                </w:p>
              </w:tc>
              <w:tc>
                <w:tcPr>
                  <w:tcW w:w="804" w:type="dxa"/>
                  <w:tcBorders>
                    <w:top w:val="nil"/>
                    <w:left w:val="single" w:color="000000" w:sz="4" w:space="0"/>
                    <w:bottom w:val="single" w:color="000000" w:sz="4" w:space="0"/>
                    <w:right w:val="single" w:color="000000" w:sz="4" w:space="0"/>
                  </w:tcBorders>
                  <w:shd w:val="clear" w:color="FFFFFF" w:fill="FFFFFF"/>
                  <w:noWrap w:val="0"/>
                  <w:vAlign w:val="center"/>
                </w:tcPr>
                <w:p w14:paraId="253B128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金额（元）</w:t>
                  </w:r>
                </w:p>
              </w:tc>
            </w:tr>
            <w:tr w14:paraId="5E8E9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11" w:type="dxa"/>
                  <w:vMerge w:val="continue"/>
                  <w:tcBorders>
                    <w:top w:val="nil"/>
                    <w:left w:val="single" w:color="000000" w:sz="8" w:space="0"/>
                    <w:bottom w:val="single" w:color="000000" w:sz="4" w:space="0"/>
                    <w:right w:val="single" w:color="000000" w:sz="4" w:space="0"/>
                  </w:tcBorders>
                  <w:shd w:val="clear" w:color="FFFFFF" w:fill="FFFFFF"/>
                  <w:noWrap w:val="0"/>
                  <w:vAlign w:val="center"/>
                </w:tcPr>
                <w:p w14:paraId="78DF5A59">
                  <w:pPr>
                    <w:spacing w:line="240" w:lineRule="auto"/>
                    <w:jc w:val="center"/>
                    <w:rPr>
                      <w:rFonts w:hint="eastAsia" w:ascii="仿宋" w:hAnsi="仿宋" w:eastAsia="仿宋" w:cs="仿宋"/>
                      <w:i w:val="0"/>
                      <w:iCs w:val="0"/>
                      <w:color w:val="auto"/>
                      <w:sz w:val="21"/>
                      <w:szCs w:val="21"/>
                      <w:highlight w:val="none"/>
                      <w:u w:val="none"/>
                    </w:rPr>
                  </w:pPr>
                </w:p>
              </w:tc>
              <w:tc>
                <w:tcPr>
                  <w:tcW w:w="420"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5B1F35D0">
                  <w:pPr>
                    <w:spacing w:line="240" w:lineRule="auto"/>
                    <w:jc w:val="center"/>
                    <w:rPr>
                      <w:rFonts w:hint="eastAsia" w:ascii="仿宋" w:hAnsi="仿宋" w:eastAsia="仿宋" w:cs="仿宋"/>
                      <w:i w:val="0"/>
                      <w:iCs w:val="0"/>
                      <w:color w:val="auto"/>
                      <w:sz w:val="21"/>
                      <w:szCs w:val="21"/>
                      <w:highlight w:val="none"/>
                      <w:u w:val="none"/>
                    </w:rPr>
                  </w:pPr>
                </w:p>
              </w:tc>
              <w:tc>
                <w:tcPr>
                  <w:tcW w:w="3204"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2EAB39C4">
                  <w:pPr>
                    <w:spacing w:line="240" w:lineRule="auto"/>
                    <w:jc w:val="center"/>
                    <w:rPr>
                      <w:rFonts w:hint="eastAsia" w:ascii="仿宋" w:hAnsi="仿宋" w:eastAsia="仿宋" w:cs="仿宋"/>
                      <w:i w:val="0"/>
                      <w:iCs w:val="0"/>
                      <w:color w:val="auto"/>
                      <w:sz w:val="21"/>
                      <w:szCs w:val="21"/>
                      <w:highlight w:val="none"/>
                      <w:u w:val="none"/>
                    </w:rPr>
                  </w:pPr>
                </w:p>
              </w:tc>
              <w:tc>
                <w:tcPr>
                  <w:tcW w:w="663"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136B7CFC">
                  <w:pPr>
                    <w:spacing w:line="240" w:lineRule="auto"/>
                    <w:jc w:val="center"/>
                    <w:rPr>
                      <w:rFonts w:hint="eastAsia" w:ascii="仿宋" w:hAnsi="仿宋" w:eastAsia="仿宋" w:cs="仿宋"/>
                      <w:i w:val="0"/>
                      <w:iCs w:val="0"/>
                      <w:color w:val="auto"/>
                      <w:sz w:val="21"/>
                      <w:szCs w:val="21"/>
                      <w:highlight w:val="none"/>
                      <w:u w:val="none"/>
                    </w:rPr>
                  </w:pPr>
                </w:p>
              </w:tc>
              <w:tc>
                <w:tcPr>
                  <w:tcW w:w="712" w:type="dxa"/>
                  <w:vMerge w:val="continue"/>
                  <w:tcBorders>
                    <w:top w:val="nil"/>
                    <w:left w:val="single" w:color="000000" w:sz="4" w:space="0"/>
                    <w:bottom w:val="single" w:color="000000" w:sz="4" w:space="0"/>
                    <w:right w:val="single" w:color="000000" w:sz="4" w:space="0"/>
                  </w:tcBorders>
                  <w:shd w:val="clear" w:color="FFFFFF" w:fill="FFFFFF"/>
                  <w:noWrap w:val="0"/>
                  <w:vAlign w:val="center"/>
                </w:tcPr>
                <w:p w14:paraId="468108A3">
                  <w:pPr>
                    <w:spacing w:line="240" w:lineRule="auto"/>
                    <w:jc w:val="center"/>
                    <w:rPr>
                      <w:rFonts w:hint="eastAsia" w:ascii="仿宋" w:hAnsi="仿宋" w:eastAsia="仿宋" w:cs="仿宋"/>
                      <w:i w:val="0"/>
                      <w:iCs w:val="0"/>
                      <w:color w:val="auto"/>
                      <w:sz w:val="21"/>
                      <w:szCs w:val="21"/>
                      <w:highlight w:val="none"/>
                      <w:u w:val="none"/>
                    </w:rPr>
                  </w:pPr>
                </w:p>
              </w:tc>
              <w:tc>
                <w:tcPr>
                  <w:tcW w:w="8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20C92D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综合单价</w:t>
                  </w:r>
                </w:p>
              </w:tc>
            </w:tr>
            <w:tr w14:paraId="0E345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1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B115954">
                  <w:pPr>
                    <w:spacing w:line="240" w:lineRule="auto"/>
                    <w:jc w:val="center"/>
                    <w:rPr>
                      <w:rFonts w:hint="eastAsia" w:ascii="仿宋" w:hAnsi="仿宋" w:eastAsia="仿宋" w:cs="仿宋"/>
                      <w:i w:val="0"/>
                      <w:iCs w:val="0"/>
                      <w:color w:val="auto"/>
                      <w:sz w:val="21"/>
                      <w:szCs w:val="21"/>
                      <w:highlight w:val="none"/>
                      <w:u w:val="none"/>
                    </w:rPr>
                  </w:pPr>
                </w:p>
              </w:tc>
              <w:tc>
                <w:tcPr>
                  <w:tcW w:w="4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4BF436">
                  <w:pPr>
                    <w:spacing w:line="240" w:lineRule="auto"/>
                    <w:jc w:val="center"/>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22B1EC">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1（一）应急场地换修</w:t>
                  </w:r>
                </w:p>
              </w:tc>
              <w:tc>
                <w:tcPr>
                  <w:tcW w:w="663"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E876234">
                  <w:pPr>
                    <w:spacing w:line="240" w:lineRule="auto"/>
                    <w:jc w:val="center"/>
                    <w:rPr>
                      <w:rFonts w:hint="eastAsia" w:ascii="仿宋" w:hAnsi="仿宋" w:eastAsia="仿宋" w:cs="仿宋"/>
                      <w:i w:val="0"/>
                      <w:iCs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DEDEA7">
                  <w:pPr>
                    <w:spacing w:line="240" w:lineRule="auto"/>
                    <w:jc w:val="center"/>
                    <w:rPr>
                      <w:rFonts w:hint="eastAsia" w:ascii="仿宋" w:hAnsi="仿宋" w:eastAsia="仿宋" w:cs="仿宋"/>
                      <w:i w:val="0"/>
                      <w:iCs w:val="0"/>
                      <w:color w:val="auto"/>
                      <w:sz w:val="21"/>
                      <w:szCs w:val="21"/>
                      <w:highlight w:val="none"/>
                      <w:u w:val="none"/>
                    </w:rPr>
                  </w:pPr>
                </w:p>
              </w:tc>
              <w:tc>
                <w:tcPr>
                  <w:tcW w:w="8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E450D4">
                  <w:pPr>
                    <w:spacing w:line="240" w:lineRule="auto"/>
                    <w:jc w:val="center"/>
                    <w:rPr>
                      <w:rFonts w:hint="eastAsia" w:ascii="仿宋" w:hAnsi="仿宋" w:eastAsia="仿宋" w:cs="仿宋"/>
                      <w:i w:val="0"/>
                      <w:iCs w:val="0"/>
                      <w:color w:val="auto"/>
                      <w:sz w:val="21"/>
                      <w:szCs w:val="21"/>
                      <w:highlight w:val="none"/>
                      <w:u w:val="none"/>
                    </w:rPr>
                  </w:pPr>
                </w:p>
              </w:tc>
            </w:tr>
            <w:tr w14:paraId="0776E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2" w:hRule="atLeast"/>
              </w:trPr>
              <w:tc>
                <w:tcPr>
                  <w:tcW w:w="31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2B4F6D9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4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757B305">
                  <w:pPr>
                    <w:spacing w:line="240" w:lineRule="auto"/>
                    <w:jc w:val="left"/>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4408C2F">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全钢板大门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1.地点:西快速干道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2.开启方式:向外平开</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3.有框、无框:有框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4.含门扇数:2</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5.材料品种、规格:7*2.8m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6.五金种类、规格:带有配套五金件、插销、明锁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7.防护材料种类:防锈处理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8.油漆品种、刷漆遍数:底漆一遍调和漆两遍</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1.拆除旧门                                                        2.门（骨架）制作、运输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3.门、五金配件安装</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4.刷防护材料、油漆</w:t>
                  </w:r>
                </w:p>
              </w:tc>
              <w:tc>
                <w:tcPr>
                  <w:tcW w:w="663"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256003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m2</w:t>
                  </w:r>
                </w:p>
              </w:tc>
              <w:tc>
                <w:tcPr>
                  <w:tcW w:w="712" w:type="dxa"/>
                  <w:tcBorders>
                    <w:top w:val="single" w:color="000000" w:sz="8" w:space="0"/>
                    <w:left w:val="nil"/>
                    <w:bottom w:val="single" w:color="000000" w:sz="8" w:space="0"/>
                    <w:right w:val="single" w:color="000000" w:sz="8" w:space="0"/>
                  </w:tcBorders>
                  <w:shd w:val="clear" w:color="auto" w:fill="FFFFFF"/>
                  <w:noWrap w:val="0"/>
                  <w:vAlign w:val="center"/>
                </w:tcPr>
                <w:p w14:paraId="171DAE1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single" w:color="000000" w:sz="8" w:space="0"/>
                    <w:right w:val="single" w:color="000000" w:sz="8" w:space="0"/>
                  </w:tcBorders>
                  <w:shd w:val="clear" w:color="auto" w:fill="FFFFFF"/>
                  <w:noWrap w:val="0"/>
                  <w:vAlign w:val="center"/>
                </w:tcPr>
                <w:p w14:paraId="56596B4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674.27</w:t>
                  </w:r>
                </w:p>
              </w:tc>
            </w:tr>
            <w:tr w14:paraId="7E9C2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31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3BC6D649">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50DAEA8">
                  <w:pPr>
                    <w:spacing w:line="240" w:lineRule="auto"/>
                    <w:jc w:val="center"/>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single" w:color="000000" w:sz="4" w:space="0"/>
                    <w:right w:val="nil"/>
                  </w:tcBorders>
                  <w:shd w:val="clear" w:color="FFFFFF" w:fill="FFFFFF"/>
                  <w:noWrap w:val="0"/>
                  <w:vAlign w:val="center"/>
                </w:tcPr>
                <w:p w14:paraId="3658E299">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简易钢结构物资及应急车辆遮雨棚</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1.规格尺寸：21m*6m*3m</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 xml:space="preserve">2.结构形式：单坡钢结构（立柱+主梁+檀条+彩钢瓦顶）                                                       </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,立柱,100×100×3.0mm 方管，热镀锌+防锈漆,间距约3m，防锈处理,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2,主梁,100×50×2.5mm 方管，热镀锌+防锈漆,沿21m方向布置2根主梁,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3,檩条,50×50×2.0mm 方管，热镀锌+防锈漆,间距0.75m，共84m×2排,</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4,彩钢瓦顶,0.5mm厚 蓝色/灰色 压型彩钢瓦,泛水、包边、螺丝配件,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5,基础固定,膨胀螺栓+混凝土基础（或预埋件）,含打孔、固定、找平,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6,防锈处理,钢材打磨+防锈底漆+面漆,立柱、主梁、檩条全部喷涂,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7,人工安装费,现场搭建、焊接、安装,施工工具、焊接、安装,</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8,运输费,材料运输到工地,视距离可调整,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9,辅材配件,焊条、螺丝、密封胶、防水胶等,含安装辅材</w:t>
                  </w:r>
                </w:p>
              </w:tc>
              <w:tc>
                <w:tcPr>
                  <w:tcW w:w="663"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372B49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w:t>
                  </w:r>
                </w:p>
              </w:tc>
              <w:tc>
                <w:tcPr>
                  <w:tcW w:w="712" w:type="dxa"/>
                  <w:tcBorders>
                    <w:top w:val="single" w:color="000000" w:sz="8" w:space="0"/>
                    <w:left w:val="nil"/>
                    <w:bottom w:val="single" w:color="000000" w:sz="8" w:space="0"/>
                    <w:right w:val="single" w:color="000000" w:sz="8" w:space="0"/>
                  </w:tcBorders>
                  <w:shd w:val="clear" w:color="auto" w:fill="FFFFFF"/>
                  <w:noWrap w:val="0"/>
                  <w:vAlign w:val="center"/>
                </w:tcPr>
                <w:p w14:paraId="4346EBED">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single" w:color="000000" w:sz="8" w:space="0"/>
                    <w:right w:val="single" w:color="000000" w:sz="8" w:space="0"/>
                  </w:tcBorders>
                  <w:shd w:val="clear" w:color="auto" w:fill="FFFFFF"/>
                  <w:noWrap w:val="0"/>
                  <w:vAlign w:val="center"/>
                </w:tcPr>
                <w:p w14:paraId="51EA10ED">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260</w:t>
                  </w:r>
                </w:p>
              </w:tc>
            </w:tr>
            <w:tr w14:paraId="49A94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114" w:type="dxa"/>
                  <w:gridSpan w:val="6"/>
                  <w:tcBorders>
                    <w:top w:val="single" w:color="000000" w:sz="4" w:space="0"/>
                    <w:left w:val="single" w:color="000000" w:sz="8" w:space="0"/>
                    <w:bottom w:val="single" w:color="000000" w:sz="4" w:space="0"/>
                    <w:right w:val="single" w:color="000000" w:sz="8" w:space="0"/>
                  </w:tcBorders>
                  <w:shd w:val="clear" w:color="FFFFFF" w:fill="FFFFFF"/>
                  <w:noWrap w:val="0"/>
                  <w:vAlign w:val="center"/>
                </w:tcPr>
                <w:p w14:paraId="5DC5727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2.应急场地绿化养护</w:t>
                  </w:r>
                </w:p>
              </w:tc>
            </w:tr>
            <w:tr w14:paraId="3E4D9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8" w:hRule="atLeast"/>
              </w:trPr>
              <w:tc>
                <w:tcPr>
                  <w:tcW w:w="31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0EABE76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w:t>
                  </w:r>
                </w:p>
              </w:tc>
              <w:tc>
                <w:tcPr>
                  <w:tcW w:w="4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40C906">
                  <w:pPr>
                    <w:spacing w:line="240" w:lineRule="auto"/>
                    <w:jc w:val="left"/>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5524315">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栽植乔木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1.地点:东快速干道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2.类型:绿化养护</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3.乔木种类:国槐、构树、银杏、雪松等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4.养护期:合同签订生效之日起起至次年采购合同签订之日止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1.树形及观赏特性的标准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(1)生长健壮，树冠丰满，主侧枝分布均匀，数量适宜，整形树木造型美观。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(2)树叶生长茂盛，一般条件下无黄叶，焦叶，卷叶。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(3)树干不得有钻蛀性害虫危害，生长季节无枯黄叶柱，落叶在10％以下。</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(4)枝干健壮，无明显枯枝死杈，无明显人为损坏。</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2.水肥管理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(1)大型景观乔木每两年进行一次开挖深施肥工作。小乔木每年1次。肥料要选取有机肥为宜，施肥量要适宜。</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(2)根据季节和生长情况适宜浇灌，做好排水，保持适当水分。不耐寒植物冬季必须浇灌防冻水。观花乔木加强春季、夏季浇水，促使开花长叶。</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(3)对于新栽植乔木，每年灌溉次数不得少于8次，但也要注意水害。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3.年修剪次数及日常管理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大型乔木一般全年修剪至少1次，主要是除枯枝，病虫枝，徒长枝等，对于整型小乔木进行修剪要根据植物种类习性制定修剪方法，每年至少修剪5次。</w:t>
                  </w:r>
                </w:p>
              </w:tc>
              <w:tc>
                <w:tcPr>
                  <w:tcW w:w="663"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80D79D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株</w:t>
                  </w:r>
                </w:p>
              </w:tc>
              <w:tc>
                <w:tcPr>
                  <w:tcW w:w="712" w:type="dxa"/>
                  <w:tcBorders>
                    <w:top w:val="single" w:color="000000" w:sz="8" w:space="0"/>
                    <w:left w:val="nil"/>
                    <w:bottom w:val="single" w:color="000000" w:sz="8" w:space="0"/>
                    <w:right w:val="single" w:color="000000" w:sz="8" w:space="0"/>
                  </w:tcBorders>
                  <w:shd w:val="clear" w:color="auto" w:fill="FFFFFF"/>
                  <w:noWrap w:val="0"/>
                  <w:vAlign w:val="center"/>
                </w:tcPr>
                <w:p w14:paraId="57930851">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single" w:color="000000" w:sz="8" w:space="0"/>
                    <w:right w:val="single" w:color="000000" w:sz="8" w:space="0"/>
                  </w:tcBorders>
                  <w:shd w:val="clear" w:color="auto" w:fill="FFFFFF"/>
                  <w:noWrap w:val="0"/>
                  <w:vAlign w:val="center"/>
                </w:tcPr>
                <w:p w14:paraId="3ED3A6A5">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90.96</w:t>
                  </w:r>
                </w:p>
              </w:tc>
            </w:tr>
            <w:tr w14:paraId="146E4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1" w:hRule="atLeast"/>
              </w:trPr>
              <w:tc>
                <w:tcPr>
                  <w:tcW w:w="311" w:type="dxa"/>
                  <w:tcBorders>
                    <w:top w:val="single" w:color="000000" w:sz="4" w:space="0"/>
                    <w:left w:val="single" w:color="000000" w:sz="8" w:space="0"/>
                    <w:bottom w:val="nil"/>
                    <w:right w:val="single" w:color="000000" w:sz="4" w:space="0"/>
                  </w:tcBorders>
                  <w:shd w:val="clear" w:color="FFFFFF" w:fill="FFFFFF"/>
                  <w:noWrap w:val="0"/>
                  <w:vAlign w:val="center"/>
                </w:tcPr>
                <w:p w14:paraId="192BF15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420" w:type="dxa"/>
                  <w:tcBorders>
                    <w:top w:val="single" w:color="000000" w:sz="4" w:space="0"/>
                    <w:left w:val="single" w:color="000000" w:sz="4" w:space="0"/>
                    <w:bottom w:val="nil"/>
                    <w:right w:val="single" w:color="000000" w:sz="4" w:space="0"/>
                  </w:tcBorders>
                  <w:shd w:val="clear" w:color="FFFFFF" w:fill="FFFFFF"/>
                  <w:noWrap w:val="0"/>
                  <w:vAlign w:val="center"/>
                </w:tcPr>
                <w:p w14:paraId="2DDBEF81">
                  <w:pPr>
                    <w:spacing w:line="240" w:lineRule="auto"/>
                    <w:jc w:val="left"/>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nil"/>
                    <w:right w:val="single" w:color="000000" w:sz="4" w:space="0"/>
                  </w:tcBorders>
                  <w:shd w:val="clear" w:color="FFFFFF" w:fill="FFFFFF"/>
                  <w:noWrap w:val="0"/>
                  <w:vAlign w:val="center"/>
                </w:tcPr>
                <w:p w14:paraId="540EE6FD">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栽植灌木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1.地点:东快速干道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2.类型:绿化养护</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3.灌木种类:红叶石楠球、棕竹、红叶李等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4.养护期:合同签订生效之日起起至次年采购合同签订之日止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1.观赏特性要求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（1）长势良好，枝多叶茂，下部不光秃，无枯枝残叶，植株整齐一致。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（2）绿篱及色块植株生长健壮，枝叶繁茂，修剪及时，整齐。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2.水肥管理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（1）灌溉：根据植物的生长及特性进行合理灌溉，适时灌溉。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（2）施肥：一般每年春季，秋季结合除草重点施肥2至3次，促进花芽分化，花芽分化后适当追施磷，钾肥，使花多色艳花期长。肥料不能裸露，使用埋施或水施的方法。</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3.年修剪次数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（1）除杂草：灌木丛周边及从内无杂草，人工拔出，除杂草松土时要注意保护根系，不能伤根系更不能造成黄土裸露。</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修剪：地被灌木修剪要造型美观，年修剪次数不少于8次。花灌木在花芽分化前修剪，避免把花芽剪掉，对于其它灌木应根据生长情况组织修剪。不可出现失修现象，枝条冒顶高度不得高于10㎝，灌木球按照造型要求修剪，其它植物根据不同生态习性及景观要求，及时去除不符合造型的枝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补植、更换：出现死苗，要及时汇报，并及时清理死苗，及时补植。补植回来的苗木种类力求规格，植株接近，以保证良好的景观效果。对于已呈老化或明显与周围环境不协调的灌木，花卉应及时进行汇报更换。</w:t>
                  </w:r>
                </w:p>
              </w:tc>
              <w:tc>
                <w:tcPr>
                  <w:tcW w:w="663" w:type="dxa"/>
                  <w:tcBorders>
                    <w:top w:val="single" w:color="000000" w:sz="8" w:space="0"/>
                    <w:left w:val="single" w:color="000000" w:sz="8" w:space="0"/>
                    <w:bottom w:val="nil"/>
                    <w:right w:val="single" w:color="000000" w:sz="8" w:space="0"/>
                  </w:tcBorders>
                  <w:shd w:val="clear" w:color="auto" w:fill="FFFFFF"/>
                  <w:noWrap w:val="0"/>
                  <w:vAlign w:val="center"/>
                </w:tcPr>
                <w:p w14:paraId="18A1EED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株</w:t>
                  </w:r>
                </w:p>
              </w:tc>
              <w:tc>
                <w:tcPr>
                  <w:tcW w:w="712" w:type="dxa"/>
                  <w:tcBorders>
                    <w:top w:val="single" w:color="000000" w:sz="8" w:space="0"/>
                    <w:left w:val="nil"/>
                    <w:bottom w:val="nil"/>
                    <w:right w:val="single" w:color="000000" w:sz="8" w:space="0"/>
                  </w:tcBorders>
                  <w:shd w:val="clear" w:color="auto" w:fill="FFFFFF"/>
                  <w:noWrap w:val="0"/>
                  <w:vAlign w:val="center"/>
                </w:tcPr>
                <w:p w14:paraId="47773221">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nil"/>
                    <w:right w:val="single" w:color="000000" w:sz="8" w:space="0"/>
                  </w:tcBorders>
                  <w:shd w:val="clear" w:color="auto" w:fill="FFFFFF"/>
                  <w:noWrap w:val="0"/>
                  <w:vAlign w:val="center"/>
                </w:tcPr>
                <w:p w14:paraId="79851D02">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41.5</w:t>
                  </w:r>
                </w:p>
              </w:tc>
            </w:tr>
            <w:tr w14:paraId="753D3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9" w:hRule="atLeast"/>
              </w:trPr>
              <w:tc>
                <w:tcPr>
                  <w:tcW w:w="311"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3962469">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4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9DD3089">
                  <w:pPr>
                    <w:spacing w:line="240" w:lineRule="auto"/>
                    <w:jc w:val="center"/>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nil"/>
                    <w:right w:val="single" w:color="000000" w:sz="4" w:space="0"/>
                  </w:tcBorders>
                  <w:shd w:val="clear" w:color="FFFFFF" w:fill="FFFFFF"/>
                  <w:noWrap w:val="0"/>
                  <w:vAlign w:val="center"/>
                </w:tcPr>
                <w:p w14:paraId="63DEF7C2">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栽植灌木</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1.地点:东快速干道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2.类型:绿化养护</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3.灌木种类:海桐、金叶女贞等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4.养护期:合同签订生效之日起起至次年采购合同签订之日止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1.观赏特性要求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（1）长势良好，枝多叶茂，下部不光秃，无枯枝残叶，植株整齐一致。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（2）绿篱及色块植株生长健壮，枝叶繁茂，修剪及时，整齐。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2.水肥管理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（1）灌溉：根据植物的生长及特性进行合理灌溉，适时灌溉。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（2）施肥：一般每年春季，秋季结合除草重点施肥2至3次，促进花芽分化，花芽分化后适当追施磷，钾肥，使花多色艳花期长。肥料不能裸露，使用埋施或水施的方法。</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3.年修剪次数</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（1）除杂草：灌木丛周边及从内无杂草，人工拔出，除杂草松土时要注意保护根系，不能伤根系更不能造成黄土裸露。</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修剪：地被灌木修剪要造型美观，年修剪次数不少于8次。花灌木在花芽分化前修剪，避免把花芽剪掉，对于其它灌木应根据生长情况组织修剪。不可出现失修现象，枝条冒顶高度不得高于10㎝，灌木球按照造型要求修剪，其它植物根据不同生态习性及景观要求，及时去除不符合造型的枝条。</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补植、更换：出现死苗，要及时汇报，并及时清理死苗，及时补植。补植回来的苗木种类力求规格，植株接近，以保证良好的景观效果。对于已呈老化或明显与周围环境不协调的灌木，花卉应及时进行汇报更换。</w:t>
                  </w:r>
                </w:p>
              </w:tc>
              <w:tc>
                <w:tcPr>
                  <w:tcW w:w="663" w:type="dxa"/>
                  <w:tcBorders>
                    <w:top w:val="single" w:color="000000" w:sz="8" w:space="0"/>
                    <w:left w:val="single" w:color="000000" w:sz="8" w:space="0"/>
                    <w:bottom w:val="nil"/>
                    <w:right w:val="single" w:color="000000" w:sz="8" w:space="0"/>
                  </w:tcBorders>
                  <w:shd w:val="clear" w:color="auto" w:fill="FFFFFF"/>
                  <w:noWrap w:val="0"/>
                  <w:vAlign w:val="center"/>
                </w:tcPr>
                <w:p w14:paraId="1524BD7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m2</w:t>
                  </w:r>
                </w:p>
              </w:tc>
              <w:tc>
                <w:tcPr>
                  <w:tcW w:w="712" w:type="dxa"/>
                  <w:tcBorders>
                    <w:top w:val="single" w:color="000000" w:sz="8" w:space="0"/>
                    <w:left w:val="nil"/>
                    <w:bottom w:val="nil"/>
                    <w:right w:val="single" w:color="000000" w:sz="8" w:space="0"/>
                  </w:tcBorders>
                  <w:shd w:val="clear" w:color="auto" w:fill="FFFFFF"/>
                  <w:noWrap w:val="0"/>
                  <w:vAlign w:val="center"/>
                </w:tcPr>
                <w:p w14:paraId="31EC8514">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nil"/>
                    <w:right w:val="single" w:color="000000" w:sz="8" w:space="0"/>
                  </w:tcBorders>
                  <w:shd w:val="clear" w:color="auto" w:fill="FFFFFF"/>
                  <w:noWrap w:val="0"/>
                  <w:vAlign w:val="center"/>
                </w:tcPr>
                <w:p w14:paraId="2F0DAD4D">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34.4</w:t>
                  </w:r>
                </w:p>
              </w:tc>
            </w:tr>
            <w:tr w14:paraId="23B80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0" w:hRule="atLeast"/>
              </w:trPr>
              <w:tc>
                <w:tcPr>
                  <w:tcW w:w="311" w:type="dxa"/>
                  <w:tcBorders>
                    <w:top w:val="nil"/>
                    <w:left w:val="nil"/>
                    <w:bottom w:val="single" w:color="000000" w:sz="4" w:space="0"/>
                    <w:right w:val="single" w:color="000000" w:sz="4" w:space="0"/>
                  </w:tcBorders>
                  <w:shd w:val="clear" w:color="FFFFFF" w:fill="FFFFFF"/>
                  <w:noWrap w:val="0"/>
                  <w:vAlign w:val="center"/>
                </w:tcPr>
                <w:p w14:paraId="02B6DF2B">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420" w:type="dxa"/>
                  <w:tcBorders>
                    <w:top w:val="nil"/>
                    <w:left w:val="single" w:color="000000" w:sz="4" w:space="0"/>
                    <w:bottom w:val="single" w:color="000000" w:sz="4" w:space="0"/>
                    <w:right w:val="nil"/>
                  </w:tcBorders>
                  <w:shd w:val="clear" w:color="FFFFFF" w:fill="FFFFFF"/>
                  <w:noWrap w:val="0"/>
                  <w:vAlign w:val="center"/>
                </w:tcPr>
                <w:p w14:paraId="6E69862F">
                  <w:pPr>
                    <w:spacing w:line="240" w:lineRule="auto"/>
                    <w:jc w:val="center"/>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E6D9526">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铺种草皮</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1.地点:东快速干道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2.类型:绿化养护</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3.草皮种类:混播草，黑麦、早熟禾、高羊茅</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4.养护期:合同签订生效之日起起至次年采购合同签订之日止</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1.观赏特性要求</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长势旺盛，叶片健壮，叶片浓绿，无枯黄叶，修剪及时，高度适宜，无病虫害。覆盖率不低于95％，无明显杂草。</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2.水肥及日常管理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（1）灌溉：根据草坪植物的生长需要加强淋水和施肥，保证水肥充</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足。雨季缺水季节，适时灌溉。春秋季应在每月进行2次灌溉，夏季应在每周进行一次灌溉。保证土壤表层5㎝至7㎝范围内土壤墒情良好。春季应对草坪浇灌返青水，冬季必须对草坪在寒潮来之前浇灌一次防冻水。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（2）施肥：在植物休眠期间应增加淋水施肥，使草坪保持优良的长势。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（3）除杂草：松土及时清除杂草，方法合理彻底，一般采用人工拔除。草坪纯度标准为每平方米不超过10柱非目的草种。</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3.水肥及日常管理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灌溉：根据草坪植物的生长需要加强淋水和施肥，保证水肥充足。雨季缺水季节，适时灌溉。春秋季应在每月进行2次灌溉，夏季应在每周进行一次灌溉。保证土壤表层5㎝至7㎝范围内土壤墒情良好。春季应对草坪浇灌返青水，冬季必须对草坪在寒潮来之前浇灌一次防冻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（2）施肥：在植物休眠期间应增加淋水施肥，使草坪保持优良的长势。</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（3）除杂草：松土及时清除杂草，方法合理彻底，一般采用人工拔除。草坪纯度标准为每平方米不超过10柱非目的草种。</w:t>
                  </w:r>
                </w:p>
              </w:tc>
              <w:tc>
                <w:tcPr>
                  <w:tcW w:w="663" w:type="dxa"/>
                  <w:tcBorders>
                    <w:top w:val="single" w:color="000000" w:sz="8" w:space="0"/>
                    <w:left w:val="single" w:color="000000" w:sz="8" w:space="0"/>
                    <w:bottom w:val="nil"/>
                    <w:right w:val="single" w:color="000000" w:sz="8" w:space="0"/>
                  </w:tcBorders>
                  <w:shd w:val="clear" w:color="auto" w:fill="FFFFFF"/>
                  <w:noWrap w:val="0"/>
                  <w:vAlign w:val="center"/>
                </w:tcPr>
                <w:p w14:paraId="06B3ACB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m2</w:t>
                  </w:r>
                </w:p>
              </w:tc>
              <w:tc>
                <w:tcPr>
                  <w:tcW w:w="712" w:type="dxa"/>
                  <w:tcBorders>
                    <w:top w:val="single" w:color="000000" w:sz="8" w:space="0"/>
                    <w:left w:val="nil"/>
                    <w:bottom w:val="nil"/>
                    <w:right w:val="single" w:color="000000" w:sz="8" w:space="0"/>
                  </w:tcBorders>
                  <w:shd w:val="clear" w:color="auto" w:fill="FFFFFF"/>
                  <w:noWrap w:val="0"/>
                  <w:vAlign w:val="center"/>
                </w:tcPr>
                <w:p w14:paraId="041023D5">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nil"/>
                    <w:right w:val="single" w:color="000000" w:sz="8" w:space="0"/>
                  </w:tcBorders>
                  <w:shd w:val="clear" w:color="auto" w:fill="FFFFFF"/>
                  <w:noWrap w:val="0"/>
                  <w:vAlign w:val="center"/>
                </w:tcPr>
                <w:p w14:paraId="6210C8ED">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16.84</w:t>
                  </w:r>
                </w:p>
              </w:tc>
            </w:tr>
            <w:tr w14:paraId="3A909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6114" w:type="dxa"/>
                  <w:gridSpan w:val="6"/>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461D1A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3.杂物及垃圾规整</w:t>
                  </w:r>
                </w:p>
              </w:tc>
            </w:tr>
            <w:tr w14:paraId="22C2A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5" w:hRule="atLeast"/>
              </w:trPr>
              <w:tc>
                <w:tcPr>
                  <w:tcW w:w="311" w:type="dxa"/>
                  <w:tcBorders>
                    <w:top w:val="nil"/>
                    <w:left w:val="single" w:color="000000" w:sz="8" w:space="0"/>
                    <w:bottom w:val="single" w:color="000000" w:sz="4" w:space="0"/>
                    <w:right w:val="single" w:color="000000" w:sz="4" w:space="0"/>
                  </w:tcBorders>
                  <w:shd w:val="clear" w:color="FFFFFF" w:fill="FFFFFF"/>
                  <w:noWrap w:val="0"/>
                  <w:vAlign w:val="center"/>
                </w:tcPr>
                <w:p w14:paraId="4FD1F03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420" w:type="dxa"/>
                  <w:tcBorders>
                    <w:top w:val="nil"/>
                    <w:left w:val="single" w:color="000000" w:sz="4" w:space="0"/>
                    <w:bottom w:val="single" w:color="000000" w:sz="4" w:space="0"/>
                    <w:right w:val="single" w:color="000000" w:sz="4" w:space="0"/>
                  </w:tcBorders>
                  <w:shd w:val="clear" w:color="FFFFFF" w:fill="FFFFFF"/>
                  <w:noWrap w:val="0"/>
                  <w:vAlign w:val="center"/>
                </w:tcPr>
                <w:p w14:paraId="62DB94F8">
                  <w:pPr>
                    <w:spacing w:line="240" w:lineRule="auto"/>
                    <w:jc w:val="left"/>
                    <w:rPr>
                      <w:rFonts w:hint="eastAsia" w:ascii="仿宋" w:hAnsi="仿宋" w:eastAsia="仿宋" w:cs="仿宋"/>
                      <w:i w:val="0"/>
                      <w:iCs w:val="0"/>
                      <w:color w:val="auto"/>
                      <w:sz w:val="21"/>
                      <w:szCs w:val="21"/>
                      <w:highlight w:val="none"/>
                      <w:u w:val="none"/>
                    </w:rPr>
                  </w:pPr>
                </w:p>
              </w:tc>
              <w:tc>
                <w:tcPr>
                  <w:tcW w:w="3204" w:type="dxa"/>
                  <w:tcBorders>
                    <w:top w:val="nil"/>
                    <w:left w:val="single" w:color="000000" w:sz="4" w:space="0"/>
                    <w:bottom w:val="single" w:color="000000" w:sz="4" w:space="0"/>
                    <w:right w:val="single" w:color="000000" w:sz="4" w:space="0"/>
                  </w:tcBorders>
                  <w:shd w:val="clear" w:color="FFFFFF" w:fill="FFFFFF"/>
                  <w:noWrap w:val="0"/>
                  <w:vAlign w:val="center"/>
                </w:tcPr>
                <w:p w14:paraId="2D6E92DC">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杂物规整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1.地点:东、西快速干道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2.类型:场地内挪移报废车辆、杂物。以现场实际为准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1.报废车辆及杂物规整</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2.甲方指定位置堆放</w:t>
                  </w:r>
                </w:p>
              </w:tc>
              <w:tc>
                <w:tcPr>
                  <w:tcW w:w="663" w:type="dxa"/>
                  <w:tcBorders>
                    <w:top w:val="nil"/>
                    <w:left w:val="single" w:color="000000" w:sz="8" w:space="0"/>
                    <w:bottom w:val="single" w:color="000000" w:sz="8" w:space="0"/>
                    <w:right w:val="single" w:color="000000" w:sz="8" w:space="0"/>
                  </w:tcBorders>
                  <w:shd w:val="clear" w:color="auto" w:fill="FFFFFF"/>
                  <w:noWrap w:val="0"/>
                  <w:vAlign w:val="center"/>
                </w:tcPr>
                <w:p w14:paraId="65430C2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w:t>
                  </w:r>
                </w:p>
              </w:tc>
              <w:tc>
                <w:tcPr>
                  <w:tcW w:w="712" w:type="dxa"/>
                  <w:tcBorders>
                    <w:top w:val="nil"/>
                    <w:left w:val="nil"/>
                    <w:bottom w:val="single" w:color="000000" w:sz="8" w:space="0"/>
                    <w:right w:val="single" w:color="000000" w:sz="8" w:space="0"/>
                  </w:tcBorders>
                  <w:shd w:val="clear" w:color="auto" w:fill="FFFFFF"/>
                  <w:noWrap w:val="0"/>
                  <w:vAlign w:val="center"/>
                </w:tcPr>
                <w:p w14:paraId="00C91329">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nil"/>
                    <w:left w:val="nil"/>
                    <w:bottom w:val="single" w:color="000000" w:sz="8" w:space="0"/>
                    <w:right w:val="single" w:color="000000" w:sz="8" w:space="0"/>
                  </w:tcBorders>
                  <w:shd w:val="clear" w:color="auto" w:fill="FFFFFF"/>
                  <w:noWrap w:val="0"/>
                  <w:vAlign w:val="center"/>
                </w:tcPr>
                <w:p w14:paraId="76F14A5D">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5533.8</w:t>
                  </w:r>
                </w:p>
              </w:tc>
            </w:tr>
            <w:tr w14:paraId="16889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5" w:hRule="atLeast"/>
              </w:trPr>
              <w:tc>
                <w:tcPr>
                  <w:tcW w:w="311"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14:paraId="51F53FC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420"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C588FF0">
                  <w:pPr>
                    <w:spacing w:line="240" w:lineRule="auto"/>
                    <w:jc w:val="left"/>
                    <w:rPr>
                      <w:rFonts w:hint="eastAsia" w:ascii="仿宋" w:hAnsi="仿宋" w:eastAsia="仿宋" w:cs="仿宋"/>
                      <w:i w:val="0"/>
                      <w:iCs w:val="0"/>
                      <w:color w:val="auto"/>
                      <w:sz w:val="21"/>
                      <w:szCs w:val="21"/>
                      <w:highlight w:val="none"/>
                      <w:u w:val="none"/>
                    </w:rPr>
                  </w:pPr>
                </w:p>
              </w:tc>
              <w:tc>
                <w:tcPr>
                  <w:tcW w:w="320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B01464A">
                  <w:pPr>
                    <w:keepNext w:val="0"/>
                    <w:keepLines w:val="0"/>
                    <w:widowControl/>
                    <w:suppressLineNumbers w:val="0"/>
                    <w:spacing w:line="240" w:lineRule="auto"/>
                    <w:jc w:val="lef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垃圾外运</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[项目特征]</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1.地点:东、西快速干道</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2.类型:建筑垃圾。场地内已有废弃物和此次施工产生的建筑垃圾</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[工作内容]</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1.场地建筑垃圾清理</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2.垃圾外运，自找弃置点</w:t>
                  </w:r>
                </w:p>
              </w:tc>
              <w:tc>
                <w:tcPr>
                  <w:tcW w:w="663"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4BAA11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m3</w:t>
                  </w:r>
                </w:p>
              </w:tc>
              <w:tc>
                <w:tcPr>
                  <w:tcW w:w="712" w:type="dxa"/>
                  <w:tcBorders>
                    <w:top w:val="single" w:color="000000" w:sz="8" w:space="0"/>
                    <w:left w:val="nil"/>
                    <w:bottom w:val="single" w:color="000000" w:sz="8" w:space="0"/>
                    <w:right w:val="single" w:color="000000" w:sz="8" w:space="0"/>
                  </w:tcBorders>
                  <w:shd w:val="clear" w:color="auto" w:fill="FFFFFF"/>
                  <w:noWrap w:val="0"/>
                  <w:vAlign w:val="center"/>
                </w:tcPr>
                <w:p w14:paraId="5E61A279">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4" w:type="dxa"/>
                  <w:tcBorders>
                    <w:top w:val="single" w:color="000000" w:sz="8" w:space="0"/>
                    <w:left w:val="nil"/>
                    <w:bottom w:val="single" w:color="000000" w:sz="8" w:space="0"/>
                    <w:right w:val="single" w:color="000000" w:sz="8" w:space="0"/>
                  </w:tcBorders>
                  <w:shd w:val="clear" w:color="auto" w:fill="FFFFFF"/>
                  <w:noWrap w:val="0"/>
                  <w:vAlign w:val="center"/>
                </w:tcPr>
                <w:p w14:paraId="17E104DF">
                  <w:pPr>
                    <w:keepNext w:val="0"/>
                    <w:keepLines w:val="0"/>
                    <w:widowControl/>
                    <w:suppressLineNumbers w:val="0"/>
                    <w:spacing w:line="240" w:lineRule="auto"/>
                    <w:jc w:val="right"/>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106.51</w:t>
                  </w:r>
                </w:p>
              </w:tc>
            </w:tr>
          </w:tbl>
          <w:p w14:paraId="7BD86EAD">
            <w:pPr>
              <w:spacing w:line="24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p>
          <w:p w14:paraId="396C0310">
            <w:pPr>
              <w:spacing w:line="240" w:lineRule="auto"/>
              <w:rPr>
                <w:rFonts w:hint="eastAsia" w:ascii="仿宋" w:hAnsi="仿宋" w:eastAsia="仿宋" w:cs="仿宋"/>
                <w:color w:val="auto"/>
                <w:sz w:val="21"/>
                <w:szCs w:val="21"/>
                <w:highlight w:val="none"/>
                <w:lang w:val="en-US" w:eastAsia="zh-CN"/>
              </w:rPr>
            </w:pPr>
          </w:p>
          <w:tbl>
            <w:tblPr>
              <w:tblStyle w:val="4"/>
              <w:tblW w:w="61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1"/>
              <w:gridCol w:w="504"/>
              <w:gridCol w:w="914"/>
              <w:gridCol w:w="1909"/>
              <w:gridCol w:w="736"/>
              <w:gridCol w:w="750"/>
              <w:gridCol w:w="805"/>
            </w:tblGrid>
            <w:tr w14:paraId="02E79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6119" w:type="dxa"/>
                  <w:gridSpan w:val="7"/>
                  <w:tcBorders>
                    <w:top w:val="nil"/>
                    <w:left w:val="nil"/>
                    <w:bottom w:val="nil"/>
                    <w:right w:val="nil"/>
                  </w:tcBorders>
                  <w:noWrap w:val="0"/>
                  <w:vAlign w:val="center"/>
                </w:tcPr>
                <w:p w14:paraId="19DEA5B6">
                  <w:pPr>
                    <w:keepNext w:val="0"/>
                    <w:keepLines w:val="0"/>
                    <w:widowControl/>
                    <w:suppressLineNumbers w:val="0"/>
                    <w:spacing w:line="240" w:lineRule="auto"/>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2026年快速干道管理所安全应急物资清单</w:t>
                  </w:r>
                </w:p>
              </w:tc>
            </w:tr>
            <w:tr w14:paraId="4A5F2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6F584943">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1295DE2C">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类别</w:t>
                  </w: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306F4FB5">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名称</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66B26085">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品牌型号规格</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6925FD33">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单位</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2498939">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数量</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5B34E39B">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单价</w:t>
                  </w:r>
                </w:p>
              </w:tc>
            </w:tr>
            <w:tr w14:paraId="3C574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6A1C20C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504" w:type="dxa"/>
                  <w:vMerge w:val="restart"/>
                  <w:tcBorders>
                    <w:top w:val="single" w:color="000000" w:sz="4" w:space="0"/>
                    <w:left w:val="single" w:color="000000" w:sz="4" w:space="0"/>
                    <w:bottom w:val="single" w:color="000000" w:sz="4" w:space="0"/>
                    <w:right w:val="single" w:color="000000" w:sz="4" w:space="0"/>
                  </w:tcBorders>
                  <w:noWrap/>
                  <w:vAlign w:val="center"/>
                </w:tcPr>
                <w:p w14:paraId="0F8C475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防汛除冰</w:t>
                  </w: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184865A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实木铁锹把</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55A9212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槐木1.4米</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403CE38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根</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47075F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5FF4430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22</w:t>
                  </w:r>
                </w:p>
              </w:tc>
            </w:tr>
            <w:tr w14:paraId="2B62C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459D3BE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289FA60D">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1F0B74A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线手套</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3FC11EF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棉纱加厚</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0954ADF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双</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A0C100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2A35CF5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4.5</w:t>
                  </w:r>
                </w:p>
              </w:tc>
            </w:tr>
            <w:tr w14:paraId="41EF7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73EE7B1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1AC1036B">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75BD86D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油锯</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0A8CEC7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四冲程大功率2200W</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234519F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台</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E1437F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2DD5683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1600</w:t>
                  </w:r>
                </w:p>
              </w:tc>
            </w:tr>
            <w:tr w14:paraId="19C26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3AACE6E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5056A9C1">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692C5DC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手锯</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487559C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高锰钢折叠展开长55厘米</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71D764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把</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B84373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0BA4611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89</w:t>
                  </w:r>
                </w:p>
              </w:tc>
            </w:tr>
            <w:tr w14:paraId="3E319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3549489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7DDA64DB">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6A695BC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强光手电</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50AD983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PLUS7500毫安</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45395B0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把</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DC8C87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4A266AC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230</w:t>
                  </w:r>
                </w:p>
              </w:tc>
            </w:tr>
            <w:tr w14:paraId="57B1F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7A7548C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4B63ED9A">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7CA9B53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爆闪灯</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4E99E7D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太阳能爆闪灯4组灯12v大号</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6E8CD44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565671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07501AA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355</w:t>
                  </w:r>
                </w:p>
              </w:tc>
            </w:tr>
            <w:tr w14:paraId="62313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4EC45EA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34F6F5CB">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5222E39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反光雨衣套装</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55A5598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茵光色短款170码6件175码8件180码7件185码4件</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B9E1D4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组</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6B031E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164B774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150</w:t>
                  </w:r>
                </w:p>
              </w:tc>
            </w:tr>
            <w:tr w14:paraId="5ECE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3F1F3BD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4C776C27">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4BA46FB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锥形桶</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35AA98B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国标橙色锥形桶</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3BB4DB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组</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4060BC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35186A1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55</w:t>
                  </w:r>
                </w:p>
              </w:tc>
            </w:tr>
            <w:tr w14:paraId="44AA7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2815311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0750CC32">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1E7AA78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充气泵</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47B45C2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汽车用充气、搭电一体</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14800A0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CF0163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70C5491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300</w:t>
                  </w:r>
                </w:p>
              </w:tc>
            </w:tr>
            <w:tr w14:paraId="50B31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058320F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61F850F5">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6EE949B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雪糕锥桶</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05E30CC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LED发光路锥</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599DB4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0D1FD9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795DD5A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280</w:t>
                  </w:r>
                </w:p>
              </w:tc>
            </w:tr>
            <w:tr w14:paraId="1CE5C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6D0F85E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516ABC9B">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1BCBA9E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蓝底指示牌</w:t>
                  </w:r>
                </w:p>
              </w:tc>
              <w:tc>
                <w:tcPr>
                  <w:tcW w:w="1909" w:type="dxa"/>
                  <w:tcBorders>
                    <w:top w:val="single" w:color="000000" w:sz="4" w:space="0"/>
                    <w:left w:val="single" w:color="000000" w:sz="4" w:space="0"/>
                    <w:bottom w:val="single" w:color="000000" w:sz="4" w:space="0"/>
                    <w:right w:val="single" w:color="000000" w:sz="4" w:space="0"/>
                  </w:tcBorders>
                  <w:noWrap w:val="0"/>
                  <w:vAlign w:val="center"/>
                </w:tcPr>
                <w:p w14:paraId="0ADD602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方向指示、施工标识1.2*1.0米</w:t>
                  </w:r>
                  <w:r>
                    <w:rPr>
                      <w:rFonts w:hint="eastAsia" w:ascii="仿宋" w:hAnsi="仿宋" w:eastAsia="仿宋" w:cs="仿宋"/>
                      <w:i w:val="0"/>
                      <w:iCs w:val="0"/>
                      <w:color w:val="auto"/>
                      <w:kern w:val="0"/>
                      <w:sz w:val="21"/>
                      <w:szCs w:val="21"/>
                      <w:highlight w:val="none"/>
                      <w:u w:val="none"/>
                      <w:lang w:val="en-US" w:eastAsia="zh-CN" w:bidi="ar"/>
                    </w:rPr>
                    <w:br w:type="textWrapping"/>
                  </w:r>
                  <w:r>
                    <w:rPr>
                      <w:rFonts w:hint="eastAsia" w:ascii="仿宋" w:hAnsi="仿宋" w:eastAsia="仿宋" w:cs="仿宋"/>
                      <w:i w:val="0"/>
                      <w:iCs w:val="0"/>
                      <w:color w:val="auto"/>
                      <w:kern w:val="0"/>
                      <w:sz w:val="21"/>
                      <w:szCs w:val="21"/>
                      <w:highlight w:val="none"/>
                      <w:u w:val="none"/>
                      <w:lang w:val="en-US" w:eastAsia="zh-CN" w:bidi="ar"/>
                    </w:rPr>
                    <w:t>LED灯带字体（定制）</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6B16F0A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块</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FBCC985">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3FADFAB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600</w:t>
                  </w:r>
                </w:p>
              </w:tc>
            </w:tr>
            <w:tr w14:paraId="729AB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4263F91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10B1048E">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1B30776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应急医疗箱</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3654965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18寸双开药箱 内含急救用品</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2C38D05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套</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F6265E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1AF8C1B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295</w:t>
                  </w:r>
                </w:p>
              </w:tc>
            </w:tr>
            <w:tr w14:paraId="04FF8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205F79E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13A45E37">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5F69991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电池</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1A6F2F7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1号碱性电池</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7C8B795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节</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7D9020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lang w:val="en-US" w:eastAsia="zh-CN"/>
                    </w:rPr>
                  </w:pPr>
                  <w:r>
                    <w:rPr>
                      <w:rFonts w:hint="eastAsia" w:ascii="仿宋" w:hAnsi="仿宋" w:eastAsia="仿宋" w:cs="仿宋"/>
                      <w:i w:val="0"/>
                      <w:iCs w:val="0"/>
                      <w:color w:val="auto"/>
                      <w:sz w:val="21"/>
                      <w:szCs w:val="21"/>
                      <w:highlight w:val="none"/>
                      <w:u w:val="none"/>
                      <w:lang w:val="en-US" w:eastAsia="zh-CN"/>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3D3D7ED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w:t>
                  </w:r>
                </w:p>
              </w:tc>
            </w:tr>
            <w:tr w14:paraId="6BF07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0B2AA03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5B7228C4">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6BDB434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防尘口罩</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4BD76AA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KN95</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78E6733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盒</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F8E2FD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51757AC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45</w:t>
                  </w:r>
                </w:p>
              </w:tc>
            </w:tr>
            <w:tr w14:paraId="728B3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2F5F805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06141A3E">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034FFA3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融雪剂</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5B8431A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环保颗粒性</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637F4E8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吨</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7CAFEA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07E602F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1250</w:t>
                  </w:r>
                </w:p>
              </w:tc>
            </w:tr>
            <w:tr w14:paraId="16AF2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4616EFCC">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w:t>
                  </w:r>
                </w:p>
              </w:tc>
              <w:tc>
                <w:tcPr>
                  <w:tcW w:w="504" w:type="dxa"/>
                  <w:vMerge w:val="restart"/>
                  <w:tcBorders>
                    <w:top w:val="single" w:color="000000" w:sz="4" w:space="0"/>
                    <w:left w:val="single" w:color="000000" w:sz="4" w:space="0"/>
                    <w:bottom w:val="single" w:color="000000" w:sz="4" w:space="0"/>
                    <w:right w:val="single" w:color="000000" w:sz="4" w:space="0"/>
                  </w:tcBorders>
                  <w:noWrap/>
                  <w:vAlign w:val="center"/>
                </w:tcPr>
                <w:p w14:paraId="2A5F8AA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消安</w:t>
                  </w: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3F05555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干粉灭火器</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4A740BD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5KG</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B294AA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4302E2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687302A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135</w:t>
                  </w:r>
                </w:p>
              </w:tc>
            </w:tr>
            <w:tr w14:paraId="04399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721042C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17</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173D2E45">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5C3051C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二氧化碳灭火器</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21DEDFD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3KG</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899E3F8">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816019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43AA970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189</w:t>
                  </w:r>
                </w:p>
              </w:tc>
            </w:tr>
            <w:tr w14:paraId="49AB1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0D8F2F4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18</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69758ABA">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6259C08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水基灭火器</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0003FD7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3L</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32E115F9">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18CDC0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4525C96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159</w:t>
                  </w:r>
                </w:p>
              </w:tc>
            </w:tr>
            <w:tr w14:paraId="64592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0472695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19</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04C2BE3B">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2C00EE03">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车载水基灭火器</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1010849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620ML</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7E50AE8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1A0A9D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6E7406E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59</w:t>
                  </w:r>
                </w:p>
              </w:tc>
            </w:tr>
            <w:tr w14:paraId="5E75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5F59209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692A3309">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0E03E94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七氟丙烷气体</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0A31807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4L</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533CCD0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1326E1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222903D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550</w:t>
                  </w:r>
                </w:p>
              </w:tc>
            </w:tr>
            <w:tr w14:paraId="7D25C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0FA2DE34">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21</w:t>
                  </w:r>
                </w:p>
              </w:tc>
              <w:tc>
                <w:tcPr>
                  <w:tcW w:w="504" w:type="dxa"/>
                  <w:vMerge w:val="continue"/>
                  <w:tcBorders>
                    <w:top w:val="single" w:color="000000" w:sz="4" w:space="0"/>
                    <w:left w:val="single" w:color="000000" w:sz="4" w:space="0"/>
                    <w:bottom w:val="single" w:color="000000" w:sz="4" w:space="0"/>
                    <w:right w:val="single" w:color="000000" w:sz="4" w:space="0"/>
                  </w:tcBorders>
                  <w:noWrap/>
                  <w:vAlign w:val="center"/>
                </w:tcPr>
                <w:p w14:paraId="023FFF47">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24E89CED">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气溶胶灭火装置</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716295A6">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20G自动灭火</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7378E4A1">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3CE0B7">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2CA757FE">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160</w:t>
                  </w:r>
                </w:p>
              </w:tc>
            </w:tr>
            <w:tr w14:paraId="79396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501" w:type="dxa"/>
                  <w:tcBorders>
                    <w:top w:val="single" w:color="000000" w:sz="4" w:space="0"/>
                    <w:left w:val="single" w:color="000000" w:sz="4" w:space="0"/>
                    <w:bottom w:val="single" w:color="000000" w:sz="4" w:space="0"/>
                    <w:right w:val="single" w:color="000000" w:sz="4" w:space="0"/>
                  </w:tcBorders>
                  <w:noWrap/>
                  <w:vAlign w:val="center"/>
                </w:tcPr>
                <w:p w14:paraId="09140F42">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22</w:t>
                  </w:r>
                </w:p>
              </w:tc>
              <w:tc>
                <w:tcPr>
                  <w:tcW w:w="504" w:type="dxa"/>
                  <w:tcBorders>
                    <w:top w:val="single" w:color="000000" w:sz="4" w:space="0"/>
                    <w:left w:val="single" w:color="000000" w:sz="4" w:space="0"/>
                    <w:bottom w:val="single" w:color="000000" w:sz="4" w:space="0"/>
                    <w:right w:val="single" w:color="000000" w:sz="4" w:space="0"/>
                  </w:tcBorders>
                  <w:noWrap/>
                  <w:vAlign w:val="center"/>
                </w:tcPr>
                <w:p w14:paraId="48143C5F">
                  <w:pPr>
                    <w:spacing w:line="240" w:lineRule="auto"/>
                    <w:jc w:val="center"/>
                    <w:rPr>
                      <w:rFonts w:hint="eastAsia" w:ascii="仿宋" w:hAnsi="仿宋" w:eastAsia="仿宋" w:cs="仿宋"/>
                      <w:i w:val="0"/>
                      <w:iCs w:val="0"/>
                      <w:color w:val="auto"/>
                      <w:sz w:val="21"/>
                      <w:szCs w:val="21"/>
                      <w:highlight w:val="none"/>
                      <w:u w:val="none"/>
                    </w:rPr>
                  </w:pPr>
                </w:p>
              </w:tc>
              <w:tc>
                <w:tcPr>
                  <w:tcW w:w="914" w:type="dxa"/>
                  <w:tcBorders>
                    <w:top w:val="single" w:color="000000" w:sz="4" w:space="0"/>
                    <w:left w:val="single" w:color="000000" w:sz="4" w:space="0"/>
                    <w:bottom w:val="single" w:color="000000" w:sz="4" w:space="0"/>
                    <w:right w:val="single" w:color="000000" w:sz="4" w:space="0"/>
                  </w:tcBorders>
                  <w:noWrap/>
                  <w:vAlign w:val="center"/>
                </w:tcPr>
                <w:p w14:paraId="042932B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灭火器支架</w:t>
                  </w:r>
                </w:p>
              </w:tc>
              <w:tc>
                <w:tcPr>
                  <w:tcW w:w="1909" w:type="dxa"/>
                  <w:tcBorders>
                    <w:top w:val="single" w:color="000000" w:sz="4" w:space="0"/>
                    <w:left w:val="single" w:color="000000" w:sz="4" w:space="0"/>
                    <w:bottom w:val="single" w:color="000000" w:sz="4" w:space="0"/>
                    <w:right w:val="single" w:color="000000" w:sz="4" w:space="0"/>
                  </w:tcBorders>
                  <w:noWrap/>
                  <w:vAlign w:val="center"/>
                </w:tcPr>
                <w:p w14:paraId="0AF876F0">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车用</w:t>
                  </w:r>
                </w:p>
              </w:tc>
              <w:tc>
                <w:tcPr>
                  <w:tcW w:w="736" w:type="dxa"/>
                  <w:tcBorders>
                    <w:top w:val="single" w:color="000000" w:sz="4" w:space="0"/>
                    <w:left w:val="single" w:color="000000" w:sz="4" w:space="0"/>
                    <w:bottom w:val="single" w:color="000000" w:sz="4" w:space="0"/>
                    <w:right w:val="single" w:color="000000" w:sz="4" w:space="0"/>
                  </w:tcBorders>
                  <w:noWrap/>
                  <w:vAlign w:val="center"/>
                </w:tcPr>
                <w:p w14:paraId="05CF176F">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个</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80BC19A">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w:t>
                  </w:r>
                </w:p>
              </w:tc>
              <w:tc>
                <w:tcPr>
                  <w:tcW w:w="805" w:type="dxa"/>
                  <w:tcBorders>
                    <w:top w:val="single" w:color="000000" w:sz="4" w:space="0"/>
                    <w:left w:val="single" w:color="000000" w:sz="4" w:space="0"/>
                    <w:bottom w:val="single" w:color="000000" w:sz="4" w:space="0"/>
                    <w:right w:val="single" w:color="000000" w:sz="4" w:space="0"/>
                  </w:tcBorders>
                  <w:noWrap/>
                  <w:vAlign w:val="center"/>
                </w:tcPr>
                <w:p w14:paraId="04A31E5B">
                  <w:pPr>
                    <w:keepNext w:val="0"/>
                    <w:keepLines w:val="0"/>
                    <w:widowControl/>
                    <w:suppressLineNumbers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50</w:t>
                  </w:r>
                </w:p>
              </w:tc>
            </w:tr>
          </w:tbl>
          <w:p w14:paraId="769E55B7">
            <w:pPr>
              <w:rPr>
                <w:rFonts w:hint="eastAsia" w:ascii="仿宋" w:hAnsi="仿宋" w:eastAsia="仿宋" w:cs="仿宋"/>
                <w:color w:val="auto"/>
                <w:sz w:val="21"/>
                <w:szCs w:val="21"/>
                <w:highlight w:val="none"/>
                <w:lang w:val="en-US" w:eastAsia="zh-CN"/>
              </w:rPr>
            </w:pPr>
          </w:p>
          <w:p w14:paraId="1F63560A">
            <w:pPr>
              <w:pStyle w:val="6"/>
              <w:rPr>
                <w:rFonts w:hint="eastAsia" w:ascii="仿宋" w:hAnsi="仿宋" w:eastAsia="仿宋" w:cs="仿宋"/>
                <w:color w:val="auto"/>
                <w:sz w:val="21"/>
                <w:szCs w:val="21"/>
                <w:highlight w:val="none"/>
              </w:rPr>
            </w:pPr>
          </w:p>
        </w:tc>
      </w:tr>
      <w:tr w14:paraId="5619A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21" w:hRule="atLeast"/>
        </w:trPr>
        <w:tc>
          <w:tcPr>
            <w:tcW w:w="764" w:type="dxa"/>
            <w:noWrap w:val="0"/>
            <w:vAlign w:val="top"/>
          </w:tcPr>
          <w:p w14:paraId="465FFE23">
            <w:pPr>
              <w:pStyle w:val="6"/>
              <w:rPr>
                <w:rFonts w:hint="eastAsia" w:ascii="仿宋" w:hAnsi="仿宋" w:eastAsia="仿宋" w:cs="仿宋"/>
                <w:color w:val="auto"/>
                <w:sz w:val="21"/>
                <w:szCs w:val="21"/>
                <w:highlight w:val="none"/>
              </w:rPr>
            </w:pPr>
          </w:p>
        </w:tc>
        <w:tc>
          <w:tcPr>
            <w:tcW w:w="1200" w:type="dxa"/>
            <w:noWrap w:val="0"/>
            <w:vAlign w:val="top"/>
          </w:tcPr>
          <w:p w14:paraId="33608C9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6722" w:type="dxa"/>
            <w:noWrap w:val="0"/>
            <w:vAlign w:val="top"/>
          </w:tcPr>
          <w:p w14:paraId="5EB1F289">
            <w:pPr>
              <w:pStyle w:val="2"/>
              <w:keepNext w:val="0"/>
              <w:keepLines w:val="0"/>
              <w:pageBreakBefore w:val="0"/>
              <w:kinsoku/>
              <w:wordWrap/>
              <w:overflowPunct/>
              <w:topLinePunct w:val="0"/>
              <w:autoSpaceDE/>
              <w:autoSpaceDN/>
              <w:bidi w:val="0"/>
              <w:adjustRightInd/>
              <w:spacing w:line="360" w:lineRule="auto"/>
              <w:textAlignment w:val="auto"/>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商务要求</w:t>
            </w:r>
          </w:p>
          <w:p w14:paraId="49A604B3">
            <w:pPr>
              <w:pStyle w:val="2"/>
              <w:keepNext w:val="0"/>
              <w:keepLines w:val="0"/>
              <w:pageBreakBefore w:val="0"/>
              <w:kinsoku/>
              <w:wordWrap/>
              <w:overflowPunct/>
              <w:topLinePunct w:val="0"/>
              <w:autoSpaceDE/>
              <w:autoSpaceDN/>
              <w:bidi w:val="0"/>
              <w:adjustRightInd/>
              <w:spacing w:line="360" w:lineRule="auto"/>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(一)服务期限:合同签订生效之日起至次年采购合同签订之日止，具体以采购人确认的日期为准。</w:t>
            </w:r>
          </w:p>
          <w:p w14:paraId="12B72101">
            <w:pPr>
              <w:pStyle w:val="2"/>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(二)款项结算</w:t>
            </w:r>
          </w:p>
          <w:p w14:paraId="356DA295">
            <w:pPr>
              <w:pStyle w:val="2"/>
              <w:keepNext w:val="0"/>
              <w:keepLines w:val="0"/>
              <w:pageBreakBefore w:val="0"/>
              <w:numPr>
                <w:ilvl w:val="0"/>
                <w:numId w:val="0"/>
              </w:numPr>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val="en-US" w:eastAsia="zh-Hans"/>
              </w:rPr>
              <w:t>在合同签订之日后 30 日历天内甲方向乙方支付合同价款的50%费用，承</w:t>
            </w:r>
            <w:r>
              <w:rPr>
                <w:rFonts w:hint="eastAsia" w:ascii="仿宋" w:hAnsi="仿宋" w:eastAsia="仿宋" w:cs="仿宋"/>
                <w:b w:val="0"/>
                <w:bCs/>
                <w:color w:val="auto"/>
                <w:sz w:val="21"/>
                <w:szCs w:val="21"/>
                <w:highlight w:val="none"/>
                <w:lang w:val="en-US" w:eastAsia="zh-CN"/>
              </w:rPr>
              <w:t>包</w:t>
            </w:r>
            <w:r>
              <w:rPr>
                <w:rFonts w:hint="eastAsia" w:ascii="仿宋" w:hAnsi="仿宋" w:eastAsia="仿宋" w:cs="仿宋"/>
                <w:b w:val="0"/>
                <w:bCs/>
                <w:color w:val="auto"/>
                <w:sz w:val="21"/>
                <w:szCs w:val="21"/>
                <w:highlight w:val="none"/>
                <w:lang w:val="en-US" w:eastAsia="zh-Hans"/>
              </w:rPr>
              <w:t>人</w:t>
            </w:r>
            <w:r>
              <w:rPr>
                <w:rFonts w:hint="eastAsia" w:ascii="仿宋" w:hAnsi="仿宋" w:eastAsia="仿宋" w:cs="仿宋"/>
                <w:b w:val="0"/>
                <w:bCs/>
                <w:color w:val="auto"/>
                <w:sz w:val="21"/>
                <w:szCs w:val="21"/>
                <w:highlight w:val="none"/>
                <w:lang w:val="en-US" w:eastAsia="zh-CN"/>
              </w:rPr>
              <w:t>每月</w:t>
            </w:r>
            <w:r>
              <w:rPr>
                <w:rFonts w:hint="eastAsia" w:ascii="仿宋" w:hAnsi="仿宋" w:eastAsia="仿宋" w:cs="仿宋"/>
                <w:b w:val="0"/>
                <w:bCs/>
                <w:color w:val="auto"/>
                <w:sz w:val="21"/>
                <w:szCs w:val="21"/>
                <w:highlight w:val="none"/>
                <w:lang w:val="en-US" w:eastAsia="zh-Hans"/>
              </w:rPr>
              <w:t>报送的工程结算</w:t>
            </w:r>
            <w:r>
              <w:rPr>
                <w:rFonts w:hint="eastAsia" w:ascii="仿宋" w:hAnsi="仿宋" w:eastAsia="仿宋" w:cs="仿宋"/>
                <w:b w:val="0"/>
                <w:bCs/>
                <w:color w:val="auto"/>
                <w:sz w:val="21"/>
                <w:szCs w:val="21"/>
                <w:highlight w:val="none"/>
                <w:lang w:val="en-US" w:eastAsia="zh-CN"/>
              </w:rPr>
              <w:t>，经</w:t>
            </w:r>
            <w:r>
              <w:rPr>
                <w:rFonts w:hint="eastAsia" w:ascii="仿宋" w:hAnsi="仿宋" w:eastAsia="仿宋" w:cs="仿宋"/>
                <w:b w:val="0"/>
                <w:bCs/>
                <w:color w:val="auto"/>
                <w:sz w:val="21"/>
                <w:szCs w:val="21"/>
                <w:highlight w:val="none"/>
                <w:lang w:val="en-US" w:eastAsia="zh-Hans"/>
              </w:rPr>
              <w:t>发包人对所报工程实际完成的工作量核定</w:t>
            </w:r>
            <w:r>
              <w:rPr>
                <w:rFonts w:hint="eastAsia" w:ascii="仿宋" w:hAnsi="仿宋" w:eastAsia="仿宋" w:cs="仿宋"/>
                <w:b w:val="0"/>
                <w:bCs/>
                <w:color w:val="auto"/>
                <w:sz w:val="21"/>
                <w:szCs w:val="21"/>
                <w:highlight w:val="none"/>
                <w:lang w:val="en-US" w:eastAsia="zh-CN"/>
              </w:rPr>
              <w:t>达到总工程的80%</w:t>
            </w:r>
            <w:r>
              <w:rPr>
                <w:rFonts w:hint="eastAsia" w:ascii="仿宋" w:hAnsi="仿宋" w:eastAsia="仿宋" w:cs="仿宋"/>
                <w:b w:val="0"/>
                <w:bCs/>
                <w:color w:val="auto"/>
                <w:sz w:val="21"/>
                <w:szCs w:val="21"/>
                <w:highlight w:val="none"/>
                <w:lang w:val="en-US" w:eastAsia="zh-Hans"/>
              </w:rPr>
              <w:t xml:space="preserve"> </w:t>
            </w:r>
            <w:r>
              <w:rPr>
                <w:rFonts w:hint="eastAsia" w:ascii="仿宋" w:hAnsi="仿宋" w:eastAsia="仿宋" w:cs="仿宋"/>
                <w:b w:val="0"/>
                <w:bCs/>
                <w:color w:val="auto"/>
                <w:sz w:val="21"/>
                <w:szCs w:val="21"/>
                <w:highlight w:val="none"/>
                <w:lang w:val="en-US" w:eastAsia="zh-CN"/>
              </w:rPr>
              <w:t>时</w:t>
            </w:r>
            <w:r>
              <w:rPr>
                <w:rFonts w:hint="eastAsia" w:ascii="仿宋" w:hAnsi="仿宋" w:eastAsia="仿宋" w:cs="仿宋"/>
                <w:b w:val="0"/>
                <w:bCs/>
                <w:color w:val="auto"/>
                <w:sz w:val="21"/>
                <w:szCs w:val="21"/>
                <w:highlight w:val="none"/>
                <w:lang w:val="en-US" w:eastAsia="zh-Hans"/>
              </w:rPr>
              <w:t>支付至合同价款的80%，</w:t>
            </w:r>
            <w:r>
              <w:rPr>
                <w:rFonts w:hint="eastAsia" w:ascii="仿宋" w:hAnsi="仿宋" w:eastAsia="仿宋" w:cs="仿宋"/>
                <w:b w:val="0"/>
                <w:bCs/>
                <w:color w:val="auto"/>
                <w:sz w:val="21"/>
                <w:szCs w:val="21"/>
                <w:highlight w:val="none"/>
                <w:lang w:eastAsia="zh-CN"/>
              </w:rPr>
              <w:t>待所有该工程完成并审核</w:t>
            </w:r>
            <w:r>
              <w:rPr>
                <w:rFonts w:hint="eastAsia" w:ascii="仿宋" w:hAnsi="仿宋" w:eastAsia="仿宋" w:cs="仿宋"/>
                <w:b w:val="0"/>
                <w:bCs/>
                <w:color w:val="auto"/>
                <w:sz w:val="21"/>
                <w:szCs w:val="21"/>
                <w:highlight w:val="none"/>
              </w:rPr>
              <w:t>后，</w:t>
            </w:r>
            <w:r>
              <w:rPr>
                <w:rFonts w:hint="eastAsia" w:ascii="仿宋" w:hAnsi="仿宋" w:eastAsia="仿宋" w:cs="仿宋"/>
                <w:b w:val="0"/>
                <w:bCs/>
                <w:color w:val="auto"/>
                <w:sz w:val="21"/>
                <w:szCs w:val="21"/>
                <w:highlight w:val="none"/>
                <w:lang w:val="en-US" w:eastAsia="zh-Hans"/>
              </w:rPr>
              <w:t>支付</w:t>
            </w:r>
            <w:r>
              <w:rPr>
                <w:rFonts w:hint="eastAsia" w:ascii="仿宋" w:hAnsi="仿宋" w:eastAsia="仿宋" w:cs="仿宋"/>
                <w:b w:val="0"/>
                <w:bCs/>
                <w:color w:val="auto"/>
                <w:sz w:val="21"/>
                <w:szCs w:val="21"/>
                <w:highlight w:val="none"/>
                <w:lang w:val="en-US" w:eastAsia="zh-CN"/>
              </w:rPr>
              <w:t>至审核总</w:t>
            </w:r>
            <w:r>
              <w:rPr>
                <w:rFonts w:hint="eastAsia" w:ascii="仿宋" w:hAnsi="仿宋" w:eastAsia="仿宋" w:cs="仿宋"/>
                <w:b w:val="0"/>
                <w:bCs/>
                <w:color w:val="auto"/>
                <w:sz w:val="21"/>
                <w:szCs w:val="21"/>
                <w:highlight w:val="none"/>
                <w:lang w:val="en-US" w:eastAsia="zh-Hans"/>
              </w:rPr>
              <w:t xml:space="preserve">价款的 </w:t>
            </w:r>
            <w:r>
              <w:rPr>
                <w:rFonts w:hint="eastAsia" w:ascii="仿宋" w:hAnsi="仿宋" w:eastAsia="仿宋" w:cs="仿宋"/>
                <w:b w:val="0"/>
                <w:bCs/>
                <w:color w:val="auto"/>
                <w:sz w:val="21"/>
                <w:szCs w:val="21"/>
                <w:highlight w:val="none"/>
                <w:lang w:val="en-US" w:eastAsia="zh-CN"/>
              </w:rPr>
              <w:t>100</w:t>
            </w:r>
            <w:r>
              <w:rPr>
                <w:rFonts w:hint="eastAsia" w:ascii="仿宋" w:hAnsi="仿宋" w:eastAsia="仿宋" w:cs="仿宋"/>
                <w:b w:val="0"/>
                <w:bCs/>
                <w:color w:val="auto"/>
                <w:sz w:val="21"/>
                <w:szCs w:val="21"/>
                <w:highlight w:val="none"/>
                <w:lang w:val="en-US" w:eastAsia="zh-Hans"/>
              </w:rPr>
              <w:t>%</w:t>
            </w:r>
            <w:r>
              <w:rPr>
                <w:rFonts w:hint="eastAsia" w:ascii="仿宋" w:hAnsi="仿宋" w:eastAsia="仿宋" w:cs="仿宋"/>
                <w:b w:val="0"/>
                <w:bCs/>
                <w:color w:val="auto"/>
                <w:sz w:val="21"/>
                <w:szCs w:val="21"/>
                <w:highlight w:val="none"/>
              </w:rPr>
              <w:t>。</w:t>
            </w:r>
          </w:p>
          <w:p w14:paraId="1C8659E7">
            <w:pPr>
              <w:pStyle w:val="2"/>
              <w:keepNext w:val="0"/>
              <w:keepLines w:val="0"/>
              <w:pageBreakBefore w:val="0"/>
              <w:numPr>
                <w:ilvl w:val="0"/>
                <w:numId w:val="0"/>
              </w:numPr>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)如遇特殊应急、突发应急情况(由发包人认定)，发包人可根据承包人实际发生费用， 进行核定后额外拨付。</w:t>
            </w:r>
          </w:p>
          <w:p w14:paraId="645AD89C">
            <w:pPr>
              <w:pStyle w:val="2"/>
              <w:keepNext w:val="0"/>
              <w:keepLines w:val="0"/>
              <w:pageBreakBefore w:val="0"/>
              <w:numPr>
                <w:ilvl w:val="0"/>
                <w:numId w:val="0"/>
              </w:numPr>
              <w:kinsoku/>
              <w:wordWrap/>
              <w:overflowPunct/>
              <w:topLinePunct w:val="0"/>
              <w:autoSpaceDE/>
              <w:autoSpaceDN/>
              <w:bidi w:val="0"/>
              <w:adjustRightInd/>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w:t>
            </w:r>
            <w:r>
              <w:rPr>
                <w:rFonts w:hint="eastAsia" w:ascii="仿宋" w:hAnsi="仿宋" w:eastAsia="仿宋" w:cs="仿宋"/>
                <w:b w:val="0"/>
                <w:bCs/>
                <w:color w:val="auto"/>
                <w:sz w:val="21"/>
                <w:szCs w:val="21"/>
                <w:highlight w:val="none"/>
                <w:lang w:val="en-US" w:eastAsia="zh-CN"/>
              </w:rPr>
              <w:t>3</w:t>
            </w:r>
            <w:r>
              <w:rPr>
                <w:rFonts w:hint="eastAsia" w:ascii="仿宋" w:hAnsi="仿宋" w:eastAsia="仿宋" w:cs="仿宋"/>
                <w:b w:val="0"/>
                <w:bCs/>
                <w:color w:val="auto"/>
                <w:sz w:val="21"/>
                <w:szCs w:val="21"/>
                <w:highlight w:val="none"/>
              </w:rPr>
              <w:t>)最终工程结算价款总金额应不能超过政府采购预算，若超过则由发包人与承包人协商并按照政府采购有关规定执行。</w:t>
            </w:r>
          </w:p>
        </w:tc>
      </w:tr>
      <w:tr w14:paraId="389D6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764" w:type="dxa"/>
            <w:noWrap w:val="0"/>
            <w:vAlign w:val="top"/>
          </w:tcPr>
          <w:p w14:paraId="6037329A">
            <w:pPr>
              <w:pStyle w:val="6"/>
              <w:rPr>
                <w:rFonts w:hint="eastAsia" w:ascii="仿宋" w:hAnsi="仿宋" w:eastAsia="仿宋" w:cs="仿宋"/>
                <w:color w:val="auto"/>
                <w:sz w:val="21"/>
                <w:szCs w:val="21"/>
                <w:highlight w:val="none"/>
              </w:rPr>
            </w:pPr>
          </w:p>
        </w:tc>
        <w:tc>
          <w:tcPr>
            <w:tcW w:w="1200" w:type="dxa"/>
            <w:noWrap w:val="0"/>
            <w:vAlign w:val="top"/>
          </w:tcPr>
          <w:p w14:paraId="437B7B6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tc>
        <w:tc>
          <w:tcPr>
            <w:tcW w:w="6722" w:type="dxa"/>
            <w:noWrap w:val="0"/>
            <w:vAlign w:val="top"/>
          </w:tcPr>
          <w:p w14:paraId="5C8D92A9">
            <w:pPr>
              <w:pStyle w:val="2"/>
              <w:keepNext w:val="0"/>
              <w:keepLines w:val="0"/>
              <w:pageBreakBefore w:val="0"/>
              <w:numPr>
                <w:ilvl w:val="0"/>
                <w:numId w:val="0"/>
              </w:numPr>
              <w:kinsoku/>
              <w:wordWrap/>
              <w:overflowPunct/>
              <w:topLinePunct w:val="0"/>
              <w:autoSpaceDE/>
              <w:autoSpaceDN/>
              <w:bidi w:val="0"/>
              <w:adjustRightInd/>
              <w:spacing w:line="360" w:lineRule="auto"/>
              <w:textAlignment w:val="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报价要求</w:t>
            </w:r>
          </w:p>
          <w:p w14:paraId="0AFB5096">
            <w:pPr>
              <w:pStyle w:val="2"/>
              <w:keepNext w:val="0"/>
              <w:keepLines w:val="0"/>
              <w:pageBreakBefore w:val="0"/>
              <w:numPr>
                <w:ilvl w:val="0"/>
                <w:numId w:val="0"/>
              </w:numPr>
              <w:kinsoku/>
              <w:wordWrap/>
              <w:overflowPunct/>
              <w:topLinePunct w:val="0"/>
              <w:autoSpaceDE/>
              <w:autoSpaceDN/>
              <w:bidi w:val="0"/>
              <w:adjustRightInd/>
              <w:spacing w:line="360" w:lineRule="auto"/>
              <w:ind w:firstLine="420" w:firstLineChars="200"/>
              <w:textAlignment w:val="auto"/>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本项目报价为下浮率，供应商应根据给定的清单中单价预算作为参考值。报出一个统一的下浮率，最终根据单价预算*（1-下浮率）*实际发生量进行结算。</w:t>
            </w:r>
          </w:p>
        </w:tc>
      </w:tr>
    </w:tbl>
    <w:p w14:paraId="5840E8A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8C2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6">
    <w:name w:val="null3"/>
    <w:uiPriority w:val="0"/>
    <w:rPr>
      <w:rFonts w:hint="eastAsia" w:ascii="Calibri" w:hAnsi="Calibri" w:eastAsia="宋体" w:cs="Times New Roman"/>
      <w:lang w:val="en-US" w:eastAsia="zh-Hans"/>
    </w:rPr>
  </w:style>
  <w:style w:type="character" w:customStyle="1" w:styleId="7">
    <w:name w:val="font4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2026-07-01T03:54:15Z</dcterms:created>
  <dc:creator>Administrator</dc:creator>
  <cp:lastModifiedBy>┏ ☞岗か子™</cp:lastModifiedBy>
  <dcterms:modified xsi:type="dcterms:W3CDTF">2026-07-01T03:54:35Z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eyJoZGlkIjoiNjIxMDI2NjM3MzgyYzQ0NTJmZDVhODRjOWE1OTQyYWMiLCJ1c2VySWQiOiIyMzMyNDUzMjgifQ==</vt:lpwstr>
  </property>
  <property fmtid="{D5CDD505-2E9C-101B-9397-08002B2CF9AE}" pid="4" name="ICV">
    <vt:lpwstr>5915D29B6C5140FE834EE6E3D4D36D83_12</vt:lpwstr>
  </property>
</Properties>
</file>