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C68E7">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u w:val="single"/>
          <w:lang w:val="en-US" w:eastAsia="zh-CN"/>
        </w:rPr>
        <w:t xml:space="preserve">              </w:t>
      </w:r>
    </w:p>
    <w:p w14:paraId="3FDEA6B7">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1EA1EF09">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2FE993DB">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6D0E84A5">
      <w:pPr>
        <w:pStyle w:val="3"/>
        <w:rPr>
          <w:rFonts w:hint="eastAsia" w:ascii="Times New Roman" w:hAnsi="Times New Roman" w:eastAsia="宋体" w:cs="Times New Roman"/>
          <w:color w:val="auto"/>
          <w:kern w:val="2"/>
          <w:sz w:val="21"/>
          <w:szCs w:val="21"/>
          <w:highlight w:val="none"/>
          <w:lang w:val="en-US" w:eastAsia="zh-CN" w:bidi="ar-SA"/>
        </w:rPr>
      </w:pPr>
    </w:p>
    <w:p w14:paraId="6C7427E2">
      <w:pPr>
        <w:rPr>
          <w:rFonts w:hint="eastAsia"/>
          <w:lang w:val="en-US" w:eastAsia="zh-CN"/>
        </w:rPr>
      </w:pPr>
    </w:p>
    <w:p w14:paraId="2F2B7118">
      <w:pPr>
        <w:pStyle w:val="2"/>
        <w:ind w:left="0" w:leftChars="0" w:hanging="7" w:firstLineChars="0"/>
        <w:jc w:val="center"/>
        <w:rPr>
          <w:rFonts w:hint="default" w:ascii="宋体" w:hAnsi="宋体" w:eastAsia="宋体" w:cs="宋体"/>
          <w:b/>
          <w:bCs/>
          <w:color w:val="auto"/>
          <w:kern w:val="0"/>
          <w:sz w:val="44"/>
          <w:szCs w:val="44"/>
          <w:highlight w:val="none"/>
          <w:u w:val="none"/>
          <w:lang w:val="en-US" w:eastAsia="zh-CN"/>
        </w:rPr>
      </w:pPr>
      <w:r>
        <w:rPr>
          <w:rFonts w:hint="default" w:ascii="宋体" w:hAnsi="宋体" w:eastAsia="宋体" w:cs="宋体"/>
          <w:b/>
          <w:bCs/>
          <w:color w:val="auto"/>
          <w:kern w:val="0"/>
          <w:sz w:val="44"/>
          <w:szCs w:val="44"/>
          <w:highlight w:val="none"/>
          <w:u w:val="none"/>
          <w:lang w:val="en-US" w:eastAsia="zh-CN"/>
        </w:rPr>
        <w:t>公路养护质量检测及评价项目</w:t>
      </w:r>
    </w:p>
    <w:p w14:paraId="14A6E802">
      <w:pPr>
        <w:pStyle w:val="2"/>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34341984">
      <w:pPr>
        <w:spacing w:line="324" w:lineRule="auto"/>
        <w:rPr>
          <w:rFonts w:hint="eastAsia" w:ascii="Times New Roman" w:hAnsi="宋体" w:eastAsia="宋体" w:cs="宋体"/>
          <w:color w:val="auto"/>
          <w:sz w:val="18"/>
          <w:szCs w:val="21"/>
          <w:highlight w:val="none"/>
        </w:rPr>
      </w:pPr>
    </w:p>
    <w:p w14:paraId="5820909F">
      <w:pPr>
        <w:spacing w:line="324" w:lineRule="auto"/>
        <w:rPr>
          <w:rFonts w:hint="eastAsia" w:ascii="Times New Roman" w:hAnsi="宋体" w:eastAsia="宋体" w:cs="宋体"/>
          <w:color w:val="auto"/>
          <w:sz w:val="18"/>
          <w:szCs w:val="21"/>
          <w:highlight w:val="none"/>
        </w:rPr>
      </w:pPr>
    </w:p>
    <w:p w14:paraId="30501C82">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09624151">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56A9F15">
      <w:pPr>
        <w:spacing w:line="324" w:lineRule="auto"/>
        <w:rPr>
          <w:rFonts w:hint="eastAsia" w:ascii="Times New Roman" w:hAnsi="宋体" w:eastAsia="宋体" w:cs="宋体"/>
          <w:color w:val="auto"/>
          <w:sz w:val="18"/>
          <w:szCs w:val="21"/>
          <w:highlight w:val="none"/>
        </w:rPr>
      </w:pPr>
    </w:p>
    <w:p w14:paraId="2FEC6D19">
      <w:pPr>
        <w:spacing w:line="324" w:lineRule="auto"/>
        <w:rPr>
          <w:rFonts w:hint="eastAsia" w:ascii="Times New Roman" w:hAnsi="宋体" w:eastAsia="宋体" w:cs="宋体"/>
          <w:color w:val="auto"/>
          <w:sz w:val="18"/>
          <w:szCs w:val="21"/>
          <w:highlight w:val="none"/>
        </w:rPr>
      </w:pPr>
      <w:bookmarkStart w:id="1" w:name="_GoBack"/>
      <w:bookmarkEnd w:id="1"/>
    </w:p>
    <w:p w14:paraId="2A766A74">
      <w:pPr>
        <w:spacing w:line="324" w:lineRule="auto"/>
        <w:jc w:val="center"/>
        <w:rPr>
          <w:rFonts w:hint="eastAsia" w:ascii="Times New Roman" w:hAnsi="宋体" w:eastAsia="宋体" w:cs="宋体"/>
          <w:b/>
          <w:color w:val="auto"/>
          <w:sz w:val="28"/>
          <w:szCs w:val="28"/>
          <w:highlight w:val="none"/>
        </w:rPr>
      </w:pPr>
    </w:p>
    <w:p w14:paraId="3712469A">
      <w:pPr>
        <w:spacing w:before="163" w:beforeLines="50" w:line="360" w:lineRule="auto"/>
        <w:rPr>
          <w:rFonts w:hint="eastAsia" w:ascii="Times New Roman" w:hAnsi="宋体" w:eastAsia="宋体" w:cs="宋体"/>
          <w:bCs/>
          <w:color w:val="auto"/>
          <w:sz w:val="40"/>
          <w:szCs w:val="40"/>
          <w:highlight w:val="none"/>
        </w:rPr>
      </w:pPr>
    </w:p>
    <w:p w14:paraId="357E3696">
      <w:pPr>
        <w:spacing w:before="163" w:beforeLines="50" w:line="360" w:lineRule="auto"/>
        <w:jc w:val="center"/>
        <w:rPr>
          <w:rFonts w:hint="eastAsia" w:ascii="Times New Roman" w:hAnsi="宋体" w:eastAsia="宋体" w:cs="宋体"/>
          <w:b/>
          <w:bCs/>
          <w:color w:val="auto"/>
          <w:sz w:val="28"/>
          <w:szCs w:val="28"/>
          <w:highlight w:val="none"/>
        </w:rPr>
      </w:pPr>
    </w:p>
    <w:p w14:paraId="3AA81781">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 xml:space="preserve">                    </w:t>
      </w:r>
    </w:p>
    <w:p w14:paraId="0B62166D">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2AB5FEB8">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1157EFFB">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7A73E475">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57A3D0E1">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42D286A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66ED462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12A822B7">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4D24C81B">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eastAsia="zh-CN"/>
        </w:rPr>
        <w:t>公路养护质量检测及评价项目(</w:t>
      </w:r>
      <w:r>
        <w:rPr>
          <w:rFonts w:hint="eastAsia" w:ascii="宋体" w:hAnsi="宋体" w:eastAsia="宋体" w:cs="宋体"/>
          <w:color w:val="auto"/>
          <w:sz w:val="28"/>
          <w:szCs w:val="28"/>
          <w:highlight w:val="none"/>
          <w:u w:val="single"/>
          <w:lang w:val="en-US" w:eastAsia="zh-CN"/>
        </w:rPr>
        <w:t>X</w:t>
      </w:r>
      <w:r>
        <w:rPr>
          <w:rFonts w:hint="eastAsia" w:ascii="宋体" w:hAnsi="宋体" w:eastAsia="宋体" w:cs="宋体"/>
          <w:color w:val="auto"/>
          <w:sz w:val="28"/>
          <w:szCs w:val="28"/>
          <w:highlight w:val="none"/>
          <w:u w:val="single"/>
          <w:lang w:eastAsia="zh-CN"/>
        </w:rPr>
        <w:t>标段）</w:t>
      </w:r>
    </w:p>
    <w:p w14:paraId="1080A42E">
      <w:pPr>
        <w:pStyle w:val="2"/>
        <w:ind w:firstLine="560" w:firstLineChars="200"/>
        <w:rPr>
          <w:rFonts w:hint="default"/>
          <w:b w:val="0"/>
          <w:bCs w:val="0"/>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b w:val="0"/>
          <w:bCs w:val="0"/>
          <w:color w:val="auto"/>
          <w:sz w:val="28"/>
          <w:szCs w:val="28"/>
          <w:highlight w:val="none"/>
          <w:u w:val="single"/>
          <w:lang w:val="en-US" w:eastAsia="zh-CN"/>
        </w:rPr>
        <w:t xml:space="preserve">                                   </w:t>
      </w:r>
    </w:p>
    <w:p w14:paraId="027B7A70">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59407F5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一标段：</w:t>
      </w:r>
      <w:r>
        <w:rPr>
          <w:rFonts w:hint="eastAsia" w:ascii="宋体" w:hAnsi="宋体" w:eastAsia="宋体" w:cs="宋体"/>
          <w:color w:val="auto"/>
          <w:sz w:val="28"/>
          <w:szCs w:val="28"/>
          <w:highlight w:val="none"/>
          <w:u w:val="none"/>
          <w:lang w:eastAsia="zh-CN"/>
        </w:rPr>
        <w:t>运用车载快速检测装备，检测截至2025年底前通车运营的全省普通国道、市公路局及陕西交控集团管养省道。</w:t>
      </w:r>
    </w:p>
    <w:p w14:paraId="5BBC1234">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二标段</w:t>
      </w:r>
      <w:r>
        <w:rPr>
          <w:rFonts w:hint="eastAsia" w:ascii="宋体" w:hAnsi="宋体" w:eastAsia="宋体" w:cs="宋体"/>
          <w:color w:val="auto"/>
          <w:sz w:val="28"/>
          <w:szCs w:val="28"/>
          <w:highlight w:val="none"/>
          <w:u w:val="none"/>
          <w:lang w:eastAsia="zh-CN"/>
        </w:rPr>
        <w:t>：运用车载快速检测装备，检测截至2025年底前通车运营的高速公路。</w:t>
      </w:r>
    </w:p>
    <w:p w14:paraId="1DB460E8">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5A6ADFA0">
      <w:pPr>
        <w:pageBreakBefore w:val="0"/>
        <w:wordWrap/>
        <w:overflowPunct/>
        <w:topLinePunct w:val="0"/>
        <w:autoSpaceDE/>
        <w:autoSpaceDN/>
        <w:bidi w:val="0"/>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2332609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（根据合同内容予以确定），甲方无需再向乙方支付其他任何费用</w:t>
      </w:r>
      <w:r>
        <w:rPr>
          <w:rFonts w:hint="eastAsia" w:ascii="宋体" w:hAnsi="宋体" w:eastAsia="宋体" w:cs="宋体"/>
          <w:color w:val="auto"/>
          <w:sz w:val="28"/>
          <w:szCs w:val="28"/>
          <w:highlight w:val="none"/>
        </w:rPr>
        <w:t>。按单价测算据实结算。</w:t>
      </w:r>
    </w:p>
    <w:p w14:paraId="6FD77F17">
      <w:pPr>
        <w:pStyle w:val="2"/>
        <w:rPr>
          <w:rFonts w:hint="default" w:eastAsia="宋体"/>
          <w:u w:val="single"/>
          <w:lang w:val="en-US" w:eastAsia="zh-CN"/>
        </w:rPr>
      </w:pPr>
      <w:r>
        <w:rPr>
          <w:rFonts w:hint="eastAsia" w:ascii="宋体" w:hAnsi="宋体" w:eastAsia="宋体" w:cs="宋体"/>
          <w:color w:val="auto"/>
          <w:sz w:val="28"/>
          <w:szCs w:val="28"/>
          <w:highlight w:val="none"/>
          <w:lang w:val="en-US" w:eastAsia="zh-CN"/>
        </w:rPr>
        <w:t xml:space="preserve">    检测单价：</w:t>
      </w:r>
      <w:r>
        <w:rPr>
          <w:rFonts w:hint="eastAsia" w:ascii="宋体" w:hAnsi="宋体" w:eastAsia="宋体" w:cs="宋体"/>
          <w:color w:val="auto"/>
          <w:sz w:val="28"/>
          <w:szCs w:val="28"/>
          <w:highlight w:val="none"/>
          <w:u w:val="single"/>
          <w:lang w:val="en-US" w:eastAsia="zh-CN"/>
        </w:rPr>
        <w:t xml:space="preserve">            </w:t>
      </w:r>
    </w:p>
    <w:p w14:paraId="3194B1FB">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3CE1C0A0">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合同服务期为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u w:val="single"/>
          <w:lang w:val="en-US" w:eastAsia="zh-CN"/>
        </w:rPr>
        <w:t xml:space="preserve">                  </w:t>
      </w:r>
    </w:p>
    <w:p w14:paraId="55BF6F3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3ED96C0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489EE927">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费用结算采用银行转账方式，乙方应在甲方每次付款前，按照甲方要求的发票类型和金额，向甲方开具合法有效的发票，税费由乙方承担。否则，甲方有权拒绝付款且不承担迟延支付的违约责任。</w:t>
      </w:r>
    </w:p>
    <w:p w14:paraId="18F8FD0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2464236C">
      <w:pPr>
        <w:pStyle w:val="9"/>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合同签订后，甲方收到乙方提交的履约保证金及合规有效的增值税发票之日起15日内，甲方向乙方支付合同总金额的60%；乙方提交项目成果并经采购人技术审查确认满足要求之日起15日内，甲方向乙方支付合同总金额的40%；若未完成约定全部工作量，甲方按合同单价和乙方实际完成工作量计算并支付剩余合同价款。</w:t>
      </w:r>
    </w:p>
    <w:p w14:paraId="4BCD5264">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3475E7B2">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2AF264A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一标段：对全省普通国道、市公路局及陕西交控集团管养省道共约12500车道公里普通国省道开展路面破损、平整度和有效修补率指标检测，其中对一级公路还需开展车辙、跳车、磨耗指标检测。按时限要求完成外业检测数据采集及工作报告（含数据及存储盘），完成数据处理、分析评定、集成需求分析等，分类完成全省普通干线公路路况检评分析总报告、分报告、白皮书、养护需求分析报告等编制工作。根据需要协助采购人完成年度普通国省道养护管理评价路况质量评分等工作。按照部省有关养护管理要求，做好路况检测数据录入陕西公路养护管理系统等系统，能在陕西公路养护管理系统自动生成需求报告并提交相关报告等。对2024年-2025年部分普通国省道路面养护工程实施效果进行后评估并单独形成报告。对全省普通国道交安设施利用前方图像评价不少于500公里，评价指标包括但不限于标志标牌、线形诱导标、防眩板破损、变形或遮蔽，反光膜缺损或污染，立柱变形或歪斜，交通标线缺损，波形梁护栏破损、变形、严重锈蚀、拼接方向错误、过渡段或端头缺失，交通标线缺损，依据数据成果，分析形成既有交安设施的评价报告。</w:t>
      </w:r>
    </w:p>
    <w:p w14:paraId="13D1D847">
      <w:pPr>
        <w:pStyle w:val="2"/>
        <w:ind w:firstLine="560" w:firstLineChars="200"/>
        <w:rPr>
          <w:rFonts w:hint="default"/>
          <w:lang w:val="en-US" w:eastAsia="zh-CN"/>
        </w:rPr>
      </w:pPr>
      <w:r>
        <w:rPr>
          <w:rFonts w:hint="eastAsia" w:ascii="宋体" w:hAnsi="宋体" w:eastAsia="宋体" w:cs="宋体"/>
          <w:color w:val="auto"/>
          <w:kern w:val="2"/>
          <w:sz w:val="28"/>
          <w:szCs w:val="28"/>
          <w:highlight w:val="none"/>
          <w:lang w:val="en-US" w:eastAsia="zh-CN" w:bidi="ar-SA"/>
        </w:rPr>
        <w:t>二标段：</w:t>
      </w:r>
      <w:r>
        <w:rPr>
          <w:rFonts w:hint="eastAsia" w:ascii="宋体" w:hAnsi="宋体" w:eastAsia="宋体" w:cs="宋体"/>
          <w:color w:val="auto"/>
          <w:sz w:val="28"/>
          <w:szCs w:val="28"/>
          <w:highlight w:val="none"/>
          <w:lang w:val="en-US" w:eastAsia="zh-CN"/>
        </w:rPr>
        <w:t>对2025年底通车运营的约13000车道公里高速公路进行路面破损、平整度、车辙、跳车、磨耗及有效修补率指标进行数据采集，按时限要求完成外业检测数据采集及工作报告（含数据及存储盘），完成数据处理、分析评定、集成需求分析等，分类完成全省高速公路路况检评分析总报告、分报告、白皮书、养护需求分析报告等编制工作，协助采购人完成年度高速公路养护管理评价评分等工作。按照部省有关养护管理要求，做好路况检测数据录入陕西公路养护管理系统等系统，能在陕西公路养护管理系统自动生成需求报告并提交相关报告等。对2024年-2025年部分高速公路路面养护工程实施效果进行后评估并单独形成报告。对全省高速公路交安设施利用前方图像评价不少于500公里，检测评价指标包括但不限于标志标牌、线形诱导标、防眩板破损、变形或遮蔽，反光膜缺损或污染，立柱变形或歪斜，交通标线缺损，波形梁护栏破损、变形、严重锈蚀、拼接方向错误、过渡段或端头缺失，交通标线缺损，依据数据成果，分析形成既有交安设施的评价报告。</w:t>
      </w:r>
    </w:p>
    <w:p w14:paraId="4B69A187">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4BD00375">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rPr>
        <w:t>满足交通运输部、陕西省交通运输主管部门印发的规范性文件以及招标文件相关技术要求，提交的检测报告需通过咨询单位的技术审查。</w:t>
      </w:r>
    </w:p>
    <w:p w14:paraId="3E6778DC">
      <w:pPr>
        <w:pageBreakBefore w:val="0"/>
        <w:wordWrap/>
        <w:overflowPunct/>
        <w:topLinePunct w:val="0"/>
        <w:autoSpaceDE/>
        <w:autoSpaceDN/>
        <w:bidi w:val="0"/>
        <w:spacing w:line="520" w:lineRule="exact"/>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p>
    <w:p w14:paraId="6B159C7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及有关承诺执行，提供7*24小时电话咨询服务，出现问题时，</w:t>
      </w:r>
      <w:r>
        <w:rPr>
          <w:rFonts w:hint="eastAsia" w:ascii="宋体" w:hAnsi="宋体" w:eastAsia="宋体" w:cs="宋体"/>
          <w:color w:val="auto"/>
          <w:sz w:val="28"/>
          <w:szCs w:val="28"/>
          <w:highlight w:val="none"/>
          <w:u w:val="single"/>
          <w:lang w:val="en-US" w:eastAsia="zh-CN"/>
        </w:rPr>
        <w:t>1</w:t>
      </w:r>
      <w:r>
        <w:rPr>
          <w:rFonts w:hint="eastAsia" w:ascii="宋体" w:hAnsi="宋体" w:eastAsia="宋体" w:cs="宋体"/>
          <w:color w:val="auto"/>
          <w:sz w:val="28"/>
          <w:szCs w:val="28"/>
          <w:highlight w:val="none"/>
        </w:rPr>
        <w:t>小时内电话响应，</w:t>
      </w:r>
      <w:r>
        <w:rPr>
          <w:rFonts w:hint="eastAsia" w:ascii="宋体" w:hAnsi="宋体" w:eastAsia="宋体" w:cs="宋体"/>
          <w:color w:val="auto"/>
          <w:sz w:val="28"/>
          <w:szCs w:val="28"/>
          <w:highlight w:val="none"/>
          <w:u w:val="single"/>
          <w:lang w:val="en-US" w:eastAsia="zh-CN"/>
        </w:rPr>
        <w:t>4</w:t>
      </w:r>
      <w:r>
        <w:rPr>
          <w:rFonts w:hint="eastAsia" w:ascii="宋体" w:hAnsi="宋体" w:eastAsia="宋体" w:cs="宋体"/>
          <w:color w:val="auto"/>
          <w:sz w:val="28"/>
          <w:szCs w:val="28"/>
          <w:highlight w:val="none"/>
        </w:rPr>
        <w:t>小时内电话解决问题，如有需要</w:t>
      </w:r>
      <w:r>
        <w:rPr>
          <w:rFonts w:hint="eastAsia" w:ascii="宋体" w:hAnsi="宋体" w:eastAsia="宋体" w:cs="宋体"/>
          <w:color w:val="auto"/>
          <w:sz w:val="28"/>
          <w:szCs w:val="28"/>
          <w:highlight w:val="none"/>
          <w:u w:val="single"/>
          <w:lang w:val="en-US" w:eastAsia="zh-CN"/>
        </w:rPr>
        <w:t>48</w:t>
      </w:r>
      <w:r>
        <w:rPr>
          <w:rFonts w:hint="eastAsia" w:ascii="宋体" w:hAnsi="宋体" w:eastAsia="宋体" w:cs="宋体"/>
          <w:color w:val="auto"/>
          <w:sz w:val="28"/>
          <w:szCs w:val="28"/>
          <w:highlight w:val="none"/>
        </w:rPr>
        <w:t>小时内到达故障现场解决问题。</w:t>
      </w:r>
    </w:p>
    <w:p w14:paraId="2F25DC9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售后服务联系方式:</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7BAAA49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如</w:t>
      </w:r>
      <w:r>
        <w:rPr>
          <w:rFonts w:hint="eastAsia" w:ascii="宋体" w:hAnsi="宋体" w:eastAsia="宋体" w:cs="宋体"/>
          <w:color w:val="auto"/>
          <w:sz w:val="28"/>
          <w:szCs w:val="28"/>
          <w:highlight w:val="none"/>
          <w:lang w:eastAsia="zh-CN"/>
        </w:rPr>
        <w:t>因</w:t>
      </w:r>
      <w:r>
        <w:rPr>
          <w:rFonts w:hint="eastAsia" w:ascii="宋体" w:hAnsi="宋体" w:eastAsia="宋体" w:cs="宋体"/>
          <w:color w:val="auto"/>
          <w:sz w:val="28"/>
          <w:szCs w:val="28"/>
          <w:highlight w:val="none"/>
        </w:rPr>
        <w:t>乙方自身原因或不能履行售后服务义务,甲方有权委托第三方处理，由此产生的费用和风险由乙方承担</w:t>
      </w:r>
      <w:r>
        <w:rPr>
          <w:rFonts w:hint="eastAsia" w:ascii="宋体" w:hAnsi="宋体" w:eastAsia="宋体" w:cs="宋体"/>
          <w:color w:val="auto"/>
          <w:sz w:val="28"/>
          <w:szCs w:val="28"/>
          <w:highlight w:val="none"/>
          <w:lang w:eastAsia="zh-CN"/>
        </w:rPr>
        <w:t>。</w:t>
      </w:r>
    </w:p>
    <w:p w14:paraId="6A5614B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5CCB526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w:t>
      </w:r>
    </w:p>
    <w:p w14:paraId="2691ACD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bookmarkStart w:id="0" w:name="OLE_LINK1"/>
      <w:r>
        <w:rPr>
          <w:rFonts w:hint="eastAsia" w:ascii="宋体" w:hAnsi="宋体" w:eastAsia="宋体" w:cs="宋体"/>
          <w:color w:val="auto"/>
          <w:sz w:val="28"/>
          <w:szCs w:val="28"/>
          <w:highlight w:val="none"/>
          <w:lang w:val="en-US" w:eastAsia="zh-CN"/>
        </w:rPr>
        <w:t>《公路路面技术状况自动化检测规程》(JTG/TE61—2014)</w:t>
      </w:r>
    </w:p>
    <w:p w14:paraId="0DEBC3ED">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《公路养护技术标准》（JTG5110-2023）</w:t>
      </w:r>
    </w:p>
    <w:p w14:paraId="7455A25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《公路路基路面现场测试规程》（JTG3450—2019）</w:t>
      </w:r>
    </w:p>
    <w:p w14:paraId="0E139E4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《公路技术状况评定标准》（JTG5210-2018）</w:t>
      </w:r>
    </w:p>
    <w:p w14:paraId="2F16FB5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《公路沥青路面养护技术规范》（JTG5421-2018）</w:t>
      </w:r>
    </w:p>
    <w:p w14:paraId="1E48A71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《公路水泥混凝土路面养护技术规范》（JTJ073.1—2001）</w:t>
      </w:r>
    </w:p>
    <w:p w14:paraId="2AC70686">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《公路工程质量检验评定标准》（JTGF80/1--2017）</w:t>
      </w:r>
      <w:bookmarkEnd w:id="0"/>
    </w:p>
    <w:p w14:paraId="5F6D7A4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《公路养护工程质量检验评定标准第一册土建工程》（JTG5220--2020）</w:t>
      </w:r>
    </w:p>
    <w:p w14:paraId="6FE10EA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344E0054">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（三）验收依据：①本合同及附件文本；②招标文件、投标文件、澄清表（函）；③国家相应的标准、规范。</w:t>
      </w:r>
    </w:p>
    <w:p w14:paraId="5FEEB05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3A6E5759">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04AA75C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40F9838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%的违约金，给甲方造成损失的，乙方还应予以赔偿。</w:t>
      </w:r>
    </w:p>
    <w:p w14:paraId="64333B06">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08087DE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%的违约金，给甲方造成损失的，乙方应予以赔偿。</w:t>
      </w:r>
    </w:p>
    <w:p w14:paraId="41F31528">
      <w:pPr>
        <w:pStyle w:val="4"/>
        <w:rPr>
          <w:rFonts w:hint="eastAsia" w:eastAsiaTheme="minorEastAsia"/>
          <w:lang w:eastAsia="zh-CN"/>
        </w:rPr>
      </w:pPr>
      <w:r>
        <w:rPr>
          <w:rFonts w:hint="eastAsia" w:ascii="宋体" w:hAnsi="宋体" w:eastAsia="宋体" w:cs="宋体"/>
          <w:b/>
          <w:bCs/>
          <w:color w:val="auto"/>
          <w:sz w:val="28"/>
          <w:szCs w:val="28"/>
          <w:highlight w:val="none"/>
          <w:lang w:val="en-US" w:eastAsia="zh-CN"/>
        </w:rPr>
        <w:t xml:space="preserve">     十一、违约责任</w:t>
      </w:r>
    </w:p>
    <w:p w14:paraId="717F35B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2B5510B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23B8C9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2052966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lang w:val="en-US" w:eastAsia="zh-CN"/>
        </w:rPr>
        <w:t>0.2</w:t>
      </w:r>
      <w:r>
        <w:rPr>
          <w:rFonts w:hint="eastAsia" w:ascii="宋体" w:hAnsi="宋体" w:eastAsia="宋体" w:cs="宋体"/>
          <w:color w:val="auto"/>
          <w:sz w:val="28"/>
          <w:szCs w:val="28"/>
          <w:highlight w:val="none"/>
          <w:lang w:val="en-US" w:eastAsia="zh-CN"/>
        </w:rPr>
        <w:t>%的违约金，逾期</w:t>
      </w:r>
      <w:r>
        <w:rPr>
          <w:rFonts w:hint="eastAsia" w:ascii="宋体" w:hAnsi="宋体" w:eastAsia="宋体" w:cs="宋体"/>
          <w:color w:val="auto"/>
          <w:sz w:val="28"/>
          <w:szCs w:val="28"/>
          <w:highlight w:val="none"/>
          <w:u w:val="single"/>
          <w:lang w:val="en-US" w:eastAsia="zh-CN"/>
        </w:rPr>
        <w:t>15</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3A9EBB3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10</w:t>
      </w:r>
      <w:r>
        <w:rPr>
          <w:rFonts w:hint="eastAsia" w:ascii="宋体" w:hAnsi="宋体" w:eastAsia="宋体" w:cs="宋体"/>
          <w:color w:val="auto"/>
          <w:sz w:val="28"/>
          <w:szCs w:val="28"/>
          <w:highlight w:val="none"/>
          <w:lang w:val="en-US" w:eastAsia="zh-CN"/>
        </w:rPr>
        <w:t>%的违约金。</w:t>
      </w:r>
    </w:p>
    <w:p w14:paraId="6AB254E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10</w:t>
      </w:r>
      <w:r>
        <w:rPr>
          <w:rFonts w:hint="eastAsia" w:ascii="宋体" w:hAnsi="宋体" w:eastAsia="宋体" w:cs="宋体"/>
          <w:color w:val="auto"/>
          <w:sz w:val="28"/>
          <w:szCs w:val="28"/>
          <w:highlight w:val="none"/>
          <w:lang w:val="en-US" w:eastAsia="zh-CN"/>
        </w:rPr>
        <w:t>%的违约金。</w:t>
      </w:r>
    </w:p>
    <w:p w14:paraId="219AEC6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4411636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 方要求提供服务的，每出现一次应承担合同总价款【</w:t>
      </w:r>
      <w:r>
        <w:rPr>
          <w:rFonts w:hint="eastAsia" w:ascii="宋体" w:hAnsi="宋体" w:eastAsia="宋体" w:cs="宋体"/>
          <w:b w:val="0"/>
          <w:bCs w:val="0"/>
          <w:color w:val="auto"/>
          <w:sz w:val="28"/>
          <w:szCs w:val="28"/>
          <w:highlight w:val="none"/>
          <w:lang w:val="en-US" w:eastAsia="zh-CN"/>
        </w:rPr>
        <w:t>10</w:t>
      </w:r>
      <w:r>
        <w:rPr>
          <w:rFonts w:hint="eastAsia" w:ascii="宋体" w:hAnsi="宋体" w:eastAsia="宋体" w:cs="宋体"/>
          <w:b w:val="0"/>
          <w:bCs w:val="0"/>
          <w:color w:val="auto"/>
          <w:sz w:val="28"/>
          <w:szCs w:val="28"/>
          <w:highlight w:val="none"/>
        </w:rPr>
        <w:t>】%的违约金，出现【</w:t>
      </w: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5089526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6CD5B1A1">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693AE8E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727CDE1D">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306557B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45C8DFF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559E8B5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4F3285A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6CE6F8BD">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4209F95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09919A0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0D03D626">
      <w:pPr>
        <w:pStyle w:val="2"/>
        <w:rPr>
          <w:rFonts w:hint="eastAsia"/>
          <w:lang w:val="en-US" w:eastAsia="zh-CN"/>
        </w:rPr>
      </w:pPr>
    </w:p>
    <w:p w14:paraId="2A0D2C8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781AF04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59D57449">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387338BF">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4E57C210">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4DE215ED">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67CDD8DE">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31FD8B13">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248714D6">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CN"/>
        </w:rPr>
      </w:pPr>
      <w:r>
        <w:rPr>
          <w:rFonts w:hint="eastAsia"/>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2E6DC4BF">
      <w:pPr>
        <w:pageBreakBefore w:val="0"/>
        <w:widowControl w:val="0"/>
        <w:shd w:val="clear"/>
        <w:kinsoku/>
        <w:wordWrap/>
        <w:overflowPunct/>
        <w:topLinePunct w:val="0"/>
        <w:autoSpaceDE/>
        <w:autoSpaceDN/>
        <w:bidi w:val="0"/>
        <w:adjustRightInd/>
        <w:snapToGrid/>
        <w:spacing w:line="520" w:lineRule="exact"/>
        <w:ind w:firstLine="1400" w:firstLineChars="5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1C1D80F2">
      <w:pPr>
        <w:pStyle w:val="9"/>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4EB25E0E">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0FE1F050">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4587E28F">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09765C72">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51318D91">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131E3451">
      <w:pPr>
        <w:rPr>
          <w:rFonts w:hint="eastAsia" w:ascii="宋体" w:hAnsi="宋体" w:eastAsia="宋体" w:cs="宋体"/>
          <w:color w:val="auto"/>
          <w:sz w:val="28"/>
          <w:szCs w:val="28"/>
          <w:highlight w:val="none"/>
          <w:lang w:val="en-US" w:eastAsia="zh-Hans"/>
        </w:rPr>
      </w:pPr>
      <w:r>
        <w:rPr>
          <w:rFonts w:hint="eastAsia" w:ascii="宋体" w:hAnsi="宋体" w:eastAsia="宋体" w:cs="宋体"/>
          <w:color w:val="auto"/>
          <w:sz w:val="28"/>
          <w:szCs w:val="28"/>
          <w:highlight w:val="none"/>
          <w:lang w:val="en-US" w:eastAsia="zh-Hans"/>
        </w:rPr>
        <w:br w:type="page"/>
      </w:r>
    </w:p>
    <w:p w14:paraId="0B5DF412">
      <w:pPr>
        <w:spacing w:line="300" w:lineRule="auto"/>
        <w:jc w:val="center"/>
        <w:rPr>
          <w:rFonts w:hint="eastAsia" w:ascii="方正小标宋简体" w:hAnsi="方正小标宋简体" w:eastAsia="方正小标宋简体" w:cs="方正小标宋简体"/>
          <w:b/>
          <w:sz w:val="32"/>
          <w:szCs w:val="32"/>
        </w:rPr>
      </w:pPr>
      <w:r>
        <w:rPr>
          <w:rFonts w:hint="eastAsia" w:ascii="方正小标宋简体" w:hAnsi="方正小标宋简体" w:eastAsia="方正小标宋简体" w:cs="方正小标宋简体"/>
          <w:b/>
          <w:sz w:val="32"/>
          <w:szCs w:val="32"/>
        </w:rPr>
        <w:t>安全生产合同</w:t>
      </w:r>
    </w:p>
    <w:p w14:paraId="292E0DD4">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w:t>
      </w:r>
      <w:r>
        <w:rPr>
          <w:rFonts w:hint="eastAsia" w:ascii="仿宋_GB2312" w:hAnsi="仿宋_GB2312" w:eastAsia="仿宋_GB2312" w:cs="仿宋_GB2312"/>
          <w:sz w:val="28"/>
          <w:szCs w:val="28"/>
          <w:lang w:val="en-US" w:eastAsia="zh-CN"/>
        </w:rPr>
        <w:t>给</w:t>
      </w:r>
      <w:r>
        <w:rPr>
          <w:rFonts w:hint="eastAsia" w:ascii="仿宋_GB2312" w:hAnsi="仿宋_GB2312" w:eastAsia="仿宋_GB2312" w:cs="仿宋_GB2312"/>
          <w:sz w:val="28"/>
          <w:szCs w:val="28"/>
        </w:rPr>
        <w:t>检测项目合同的实施过程创造安全的工作环境，切实搞好本项目的安全管理工作，</w:t>
      </w:r>
      <w:r>
        <w:rPr>
          <w:rFonts w:hint="eastAsia" w:ascii="仿宋_GB2312" w:hAnsi="仿宋_GB2312" w:eastAsia="仿宋_GB2312" w:cs="仿宋_GB2312"/>
          <w:sz w:val="28"/>
          <w:szCs w:val="28"/>
          <w:lang w:val="en-US" w:eastAsia="zh-CN"/>
        </w:rPr>
        <w:t>本合同的采购人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（以下简称“甲方”）与</w:t>
      </w: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（以下简称“乙方”），特此签订安全生产合同：</w:t>
      </w:r>
    </w:p>
    <w:p w14:paraId="5CCCCA2C">
      <w:pPr>
        <w:spacing w:line="560" w:lineRule="exact"/>
        <w:ind w:firstLine="632" w:firstLineChars="225"/>
        <w:rPr>
          <w:rFonts w:hint="eastAsia" w:ascii="黑体" w:hAnsi="黑体" w:eastAsia="黑体" w:cs="黑体"/>
          <w:b/>
          <w:bCs/>
          <w:sz w:val="28"/>
          <w:szCs w:val="28"/>
        </w:rPr>
      </w:pPr>
      <w:r>
        <w:rPr>
          <w:rFonts w:hint="eastAsia" w:ascii="黑体" w:hAnsi="黑体" w:eastAsia="黑体" w:cs="黑体"/>
          <w:b/>
          <w:bCs/>
          <w:sz w:val="28"/>
          <w:szCs w:val="28"/>
        </w:rPr>
        <w:t>一、甲方职责</w:t>
      </w:r>
    </w:p>
    <w:p w14:paraId="2CD20492">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严格遵守国家有关安全生产的法律法规，认真执行项目承包合同中有关安全的要求。</w:t>
      </w:r>
    </w:p>
    <w:p w14:paraId="4E2014BE">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严格遵守国务院《突发公共卫生事件应急条例》及《陕西省突发公共卫生事件应急实施办法》等安全生产规定。</w:t>
      </w:r>
    </w:p>
    <w:p w14:paraId="65169116">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按照“安全第一、预防为主”和坚持“管生产必须管安全”的原则进行安全生产管理，做到生产与安全工作同时计划、布置、检查。</w:t>
      </w:r>
    </w:p>
    <w:p w14:paraId="25B95E7E">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重要的安全设施必须坚持与主体工程“三同时”的原则，即：同时设计、审批，同时施工，同时验收，方可投入使用。</w:t>
      </w:r>
    </w:p>
    <w:p w14:paraId="5FCBA00B">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及时传达中央及地方有关安全生产的精神。</w:t>
      </w:r>
    </w:p>
    <w:p w14:paraId="5DE5A716">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监督乙方及时处理发现的各种安全隐患。</w:t>
      </w:r>
    </w:p>
    <w:p w14:paraId="170286F5">
      <w:pPr>
        <w:spacing w:line="560" w:lineRule="exact"/>
        <w:ind w:firstLine="632" w:firstLineChars="225"/>
        <w:rPr>
          <w:rFonts w:hint="eastAsia" w:ascii="黑体" w:hAnsi="黑体" w:eastAsia="黑体" w:cs="黑体"/>
          <w:b/>
          <w:bCs/>
          <w:sz w:val="28"/>
          <w:szCs w:val="28"/>
        </w:rPr>
      </w:pPr>
      <w:r>
        <w:rPr>
          <w:rFonts w:hint="eastAsia" w:ascii="黑体" w:hAnsi="黑体" w:eastAsia="黑体" w:cs="黑体"/>
          <w:b/>
          <w:bCs/>
          <w:sz w:val="28"/>
          <w:szCs w:val="28"/>
        </w:rPr>
        <w:t>二、乙方职责</w:t>
      </w:r>
    </w:p>
    <w:p w14:paraId="228D299B">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严格遵守国家有关安全生产的法律法规，认真执行项目承包合同中有关安全的要求。</w:t>
      </w:r>
    </w:p>
    <w:p w14:paraId="71731935">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严格遵守国务院《突发公共卫生事件应急条例》及陕西省《陕西省突发公共卫生事件应急实施办法》等安全生产规定。</w:t>
      </w:r>
    </w:p>
    <w:p w14:paraId="73E2630F">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2BB98C3D">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建立健全安全生产责任制。从派往实施项目的项目负责人到生产工人（包括临时雇请的民工）的安全生产管理系统必须做到纵向到底，一环不漏；各职能部门、人员的安全生产责任制做到横向到边，人人有责。项目负责人是安全生产的第一责任人。现场设置的安全机构，应按合同配备安全员，专职负责所有员工的安全和治安保卫工作及预防事故的发生。安全机构人员，有权按有关规定发布指令，并采取保护性措施防止事故发生。</w:t>
      </w:r>
    </w:p>
    <w:p w14:paraId="67CF1172">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乙方在任何时候都应采取各种合理的预防措施，防止其员工发生任何违法、违禁、暴力或妨碍治安的行为。</w:t>
      </w:r>
    </w:p>
    <w:p w14:paraId="0359B7A5">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参加检测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检测现场如出现特种作业无证操作现象时，项目负责人必须承担管理责任。</w:t>
      </w:r>
    </w:p>
    <w:p w14:paraId="425CB15C">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对于易燃易爆的材料除应专门妥善保管之外，还应配备有足够的消防设施，所有检测人员都应熟悉消防设备的性能和使用方法；乙方不得将任何种类的爆炸物给予、易货或以其他方式转让给任何其他人，或允许、容忍上述同样行为。</w:t>
      </w:r>
    </w:p>
    <w:p w14:paraId="5E7642E2">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在现场的所有检测人员，都应统一着装，否则，检测人员不得上岗。</w:t>
      </w:r>
    </w:p>
    <w:p w14:paraId="44473867">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九</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操作人员上岗，必须按规定穿戴防护用品。检测负责人和安全检查员应随时检查劳动防护用品的穿戴情况，不按规定穿戴防护用品的人员不得上岗。</w:t>
      </w:r>
    </w:p>
    <w:p w14:paraId="54A31D9E">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十</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所有检测机具设备和高空作业的设备均应定期检查，并有安全员的签字记录，保证其经常处于完好状态；不合格的机具、设备和劳动保护用品严禁使用。</w:t>
      </w:r>
    </w:p>
    <w:p w14:paraId="19EECF4E">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十一</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检测中采用新技术、新工艺、新设备、新材料时，必须制定相应的安全技术措施，检测现场必须具有相关的安全标志牌。</w:t>
      </w:r>
    </w:p>
    <w:p w14:paraId="622D8F14">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十二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必须按照本项目特点，组织制定本项目实施中的生产安全事故应急救援预案；如果发生安全事故，应按照《国务院关于特大安全事故行政责任追究的规定》以及其它有关规定，及时上报有关部门，并坚持“三不放过”的原则，严肃处理相关责任人。</w:t>
      </w:r>
    </w:p>
    <w:p w14:paraId="115D13DB">
      <w:pPr>
        <w:spacing w:line="560" w:lineRule="exact"/>
        <w:ind w:firstLine="632" w:firstLineChars="225"/>
        <w:rPr>
          <w:rFonts w:hint="eastAsia" w:ascii="黑体" w:hAnsi="黑体" w:eastAsia="黑体" w:cs="黑体"/>
          <w:b/>
          <w:bCs/>
          <w:sz w:val="28"/>
          <w:szCs w:val="28"/>
        </w:rPr>
      </w:pPr>
      <w:r>
        <w:rPr>
          <w:rFonts w:hint="eastAsia" w:ascii="黑体" w:hAnsi="黑体" w:eastAsia="黑体" w:cs="黑体"/>
          <w:b/>
          <w:bCs/>
          <w:sz w:val="28"/>
          <w:szCs w:val="28"/>
        </w:rPr>
        <w:t>三、违约责任</w:t>
      </w:r>
    </w:p>
    <w:p w14:paraId="4C75F374">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如因甲方或乙方原因违约造成安全事故，将依法追究责任。</w:t>
      </w:r>
    </w:p>
    <w:p w14:paraId="171B7465">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捌</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份，双方各执</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肆 </w:t>
      </w:r>
      <w:r>
        <w:rPr>
          <w:rFonts w:hint="eastAsia" w:ascii="仿宋_GB2312" w:hAnsi="仿宋_GB2312" w:eastAsia="仿宋_GB2312" w:cs="仿宋_GB2312"/>
          <w:sz w:val="28"/>
          <w:szCs w:val="28"/>
        </w:rPr>
        <w:t>份，具有同等法律效力，</w:t>
      </w:r>
      <w:r>
        <w:rPr>
          <w:rFonts w:hint="eastAsia" w:ascii="仿宋_GB2312" w:hAnsi="仿宋_GB2312" w:eastAsia="仿宋_GB2312" w:cs="仿宋_GB2312"/>
          <w:kern w:val="0"/>
          <w:sz w:val="28"/>
          <w:szCs w:val="28"/>
        </w:rPr>
        <w:t>本合同经双方法定代表人（负责人）或授权代表签字并加盖单位公章之日起生效</w:t>
      </w:r>
      <w:r>
        <w:rPr>
          <w:rFonts w:hint="eastAsia" w:ascii="仿宋_GB2312" w:hAnsi="仿宋_GB2312" w:eastAsia="仿宋_GB2312" w:cs="仿宋_GB2312"/>
          <w:sz w:val="28"/>
          <w:szCs w:val="28"/>
        </w:rPr>
        <w:t>，全部项目竣工验收后失效。</w:t>
      </w:r>
    </w:p>
    <w:p w14:paraId="1FE628BA">
      <w:pPr>
        <w:spacing w:line="560" w:lineRule="exact"/>
        <w:rPr>
          <w:rFonts w:hint="eastAsia" w:ascii="仿宋_GB2312" w:hAnsi="仿宋_GB2312" w:eastAsia="仿宋_GB2312" w:cs="仿宋_GB2312"/>
          <w:sz w:val="28"/>
          <w:szCs w:val="28"/>
        </w:rPr>
      </w:pPr>
    </w:p>
    <w:p w14:paraId="5108A613">
      <w:pPr>
        <w:snapToGrid w:val="0"/>
        <w:spacing w:line="360" w:lineRule="auto"/>
        <w:rPr>
          <w:rFonts w:hint="eastAsia" w:ascii="仿宋_GB2312" w:hAnsi="仿宋_GB2312" w:eastAsia="仿宋_GB2312" w:cs="仿宋_GB2312"/>
          <w:snapToGrid w:val="0"/>
          <w:kern w:val="0"/>
          <w:sz w:val="28"/>
          <w:szCs w:val="28"/>
        </w:rPr>
      </w:pPr>
    </w:p>
    <w:p w14:paraId="139F40A2">
      <w:pPr>
        <w:snapToGrid w:val="0"/>
        <w:spacing w:line="360" w:lineRule="auto"/>
        <w:rPr>
          <w:rFonts w:hint="eastAsia" w:ascii="仿宋_GB2312" w:hAnsi="仿宋_GB2312" w:eastAsia="仿宋_GB2312" w:cs="仿宋_GB2312"/>
          <w:snapToGrid w:val="0"/>
          <w:kern w:val="0"/>
          <w:sz w:val="28"/>
          <w:szCs w:val="28"/>
        </w:rPr>
      </w:pPr>
    </w:p>
    <w:p w14:paraId="1515B046">
      <w:pPr>
        <w:snapToGrid w:val="0"/>
        <w:spacing w:line="360" w:lineRule="auto"/>
        <w:ind w:firstLine="560" w:firstLineChars="200"/>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甲  方：</w:t>
      </w:r>
    </w:p>
    <w:p w14:paraId="1033CB3D">
      <w:pPr>
        <w:snapToGrid w:val="0"/>
        <w:spacing w:line="360" w:lineRule="auto"/>
        <w:ind w:firstLine="560" w:firstLineChars="200"/>
        <w:rPr>
          <w:rFonts w:hint="eastAsia" w:ascii="仿宋_GB2312" w:hAnsi="仿宋_GB2312" w:eastAsia="仿宋_GB2312" w:cs="仿宋_GB2312"/>
          <w:snapToGrid w:val="0"/>
          <w:kern w:val="0"/>
          <w:sz w:val="28"/>
          <w:szCs w:val="28"/>
          <w:u w:val="single"/>
        </w:rPr>
      </w:pPr>
      <w:r>
        <w:rPr>
          <w:rFonts w:hint="eastAsia" w:ascii="仿宋_GB2312" w:hAnsi="仿宋_GB2312" w:eastAsia="仿宋_GB2312" w:cs="仿宋_GB2312"/>
          <w:snapToGrid w:val="0"/>
          <w:kern w:val="0"/>
          <w:sz w:val="28"/>
          <w:szCs w:val="28"/>
        </w:rPr>
        <w:t>法定代表人或其委托代理人：</w:t>
      </w:r>
      <w:r>
        <w:rPr>
          <w:rFonts w:hint="eastAsia" w:ascii="仿宋_GB2312" w:hAnsi="仿宋_GB2312" w:eastAsia="仿宋_GB2312" w:cs="仿宋_GB2312"/>
          <w:snapToGrid w:val="0"/>
          <w:kern w:val="0"/>
          <w:sz w:val="28"/>
          <w:szCs w:val="28"/>
          <w:u w:val="single"/>
        </w:rPr>
        <w:t xml:space="preserve">（签字）                </w:t>
      </w:r>
    </w:p>
    <w:p w14:paraId="5DFF54F4">
      <w:pPr>
        <w:widowControl/>
        <w:autoSpaceDE w:val="0"/>
        <w:autoSpaceDN w:val="0"/>
        <w:spacing w:line="360" w:lineRule="auto"/>
        <w:ind w:firstLine="560" w:firstLineChars="200"/>
        <w:jc w:val="right"/>
        <w:textAlignment w:val="bottom"/>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   月  日</w:t>
      </w:r>
    </w:p>
    <w:p w14:paraId="0D9DAC1F">
      <w:pPr>
        <w:snapToGrid w:val="0"/>
        <w:spacing w:line="360" w:lineRule="auto"/>
        <w:rPr>
          <w:rFonts w:hint="eastAsia" w:ascii="仿宋_GB2312" w:hAnsi="仿宋_GB2312" w:eastAsia="仿宋_GB2312" w:cs="仿宋_GB2312"/>
          <w:snapToGrid w:val="0"/>
          <w:kern w:val="0"/>
          <w:sz w:val="28"/>
          <w:szCs w:val="28"/>
        </w:rPr>
      </w:pPr>
    </w:p>
    <w:p w14:paraId="17FAE6A8">
      <w:pPr>
        <w:snapToGrid w:val="0"/>
        <w:spacing w:line="360" w:lineRule="auto"/>
        <w:rPr>
          <w:rFonts w:hint="eastAsia" w:ascii="仿宋_GB2312" w:hAnsi="仿宋_GB2312" w:eastAsia="仿宋_GB2312" w:cs="仿宋_GB2312"/>
          <w:snapToGrid w:val="0"/>
          <w:kern w:val="0"/>
          <w:sz w:val="28"/>
          <w:szCs w:val="28"/>
        </w:rPr>
      </w:pPr>
    </w:p>
    <w:p w14:paraId="29F7B38E">
      <w:pPr>
        <w:snapToGrid w:val="0"/>
        <w:spacing w:line="360" w:lineRule="auto"/>
        <w:ind w:firstLine="560" w:firstLineChars="200"/>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乙  方：</w:t>
      </w:r>
    </w:p>
    <w:p w14:paraId="57DC223F">
      <w:pPr>
        <w:snapToGrid w:val="0"/>
        <w:spacing w:line="360" w:lineRule="auto"/>
        <w:ind w:firstLine="560" w:firstLineChars="200"/>
        <w:rPr>
          <w:rFonts w:hint="eastAsia" w:ascii="仿宋_GB2312" w:hAnsi="仿宋_GB2312" w:eastAsia="仿宋_GB2312" w:cs="仿宋_GB2312"/>
          <w:snapToGrid w:val="0"/>
          <w:kern w:val="0"/>
          <w:sz w:val="28"/>
          <w:szCs w:val="28"/>
          <w:u w:val="single"/>
        </w:rPr>
      </w:pPr>
      <w:r>
        <w:rPr>
          <w:rFonts w:hint="eastAsia" w:ascii="仿宋_GB2312" w:hAnsi="仿宋_GB2312" w:eastAsia="仿宋_GB2312" w:cs="仿宋_GB2312"/>
          <w:snapToGrid w:val="0"/>
          <w:kern w:val="0"/>
          <w:sz w:val="28"/>
          <w:szCs w:val="28"/>
        </w:rPr>
        <w:t>法定代表人或其委托代理人：</w:t>
      </w:r>
      <w:r>
        <w:rPr>
          <w:rFonts w:hint="eastAsia" w:ascii="仿宋_GB2312" w:hAnsi="仿宋_GB2312" w:eastAsia="仿宋_GB2312" w:cs="仿宋_GB2312"/>
          <w:snapToGrid w:val="0"/>
          <w:kern w:val="0"/>
          <w:sz w:val="28"/>
          <w:szCs w:val="28"/>
          <w:u w:val="single"/>
        </w:rPr>
        <w:t xml:space="preserve">（签字）                </w:t>
      </w:r>
    </w:p>
    <w:p w14:paraId="75DCAC75">
      <w:pPr>
        <w:spacing w:line="300" w:lineRule="auto"/>
        <w:ind w:firstLine="48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   月  日</w:t>
      </w:r>
    </w:p>
    <w:p w14:paraId="11E3AE19">
      <w:pPr>
        <w:spacing w:line="560" w:lineRule="exact"/>
        <w:jc w:val="center"/>
        <w:rPr>
          <w:rFonts w:hint="eastAsia" w:ascii="仿宋_GB2312" w:hAnsi="仿宋_GB2312" w:eastAsia="仿宋_GB2312" w:cs="仿宋_GB2312"/>
          <w:b/>
          <w:sz w:val="28"/>
          <w:szCs w:val="28"/>
        </w:rPr>
      </w:pPr>
      <w:r>
        <w:rPr>
          <w:rFonts w:hint="eastAsia" w:ascii="仿宋" w:hAnsi="仿宋" w:eastAsia="仿宋" w:cs="楷体"/>
          <w:b/>
          <w:sz w:val="24"/>
          <w:szCs w:val="24"/>
        </w:rPr>
        <w:br w:type="page"/>
      </w:r>
      <w:r>
        <w:rPr>
          <w:rFonts w:hint="eastAsia" w:ascii="方正小标宋简体" w:hAnsi="方正小标宋简体" w:eastAsia="方正小标宋简体" w:cs="方正小标宋简体"/>
          <w:b/>
          <w:sz w:val="32"/>
          <w:szCs w:val="32"/>
        </w:rPr>
        <w:t>廉政合同</w:t>
      </w:r>
    </w:p>
    <w:p w14:paraId="3CB55E58">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参照交通</w:t>
      </w:r>
      <w:r>
        <w:rPr>
          <w:rFonts w:hint="eastAsia" w:ascii="仿宋_GB2312" w:hAnsi="仿宋_GB2312" w:eastAsia="仿宋_GB2312" w:cs="仿宋_GB2312"/>
          <w:sz w:val="28"/>
          <w:szCs w:val="28"/>
          <w:lang w:val="en-US" w:eastAsia="zh-CN"/>
        </w:rPr>
        <w:t>运输</w:t>
      </w:r>
      <w:r>
        <w:rPr>
          <w:rFonts w:hint="eastAsia" w:ascii="仿宋_GB2312" w:hAnsi="仿宋_GB2312" w:eastAsia="仿宋_GB2312" w:cs="仿宋_GB2312"/>
          <w:sz w:val="28"/>
          <w:szCs w:val="28"/>
        </w:rPr>
        <w:t>部《关于在交通基础设施建设中加强廉政建设的若干意见》以及有关工程廉政建设的规定，</w:t>
      </w:r>
      <w:r>
        <w:rPr>
          <w:rFonts w:hint="eastAsia" w:ascii="仿宋_GB2312" w:hAnsi="仿宋_GB2312" w:eastAsia="仿宋_GB2312" w:cs="仿宋_GB2312"/>
          <w:sz w:val="28"/>
          <w:szCs w:val="28"/>
          <w:lang w:val="en-US" w:eastAsia="zh-CN"/>
        </w:rPr>
        <w:t>为</w:t>
      </w:r>
      <w:r>
        <w:rPr>
          <w:rFonts w:hint="eastAsia" w:ascii="仿宋_GB2312" w:hAnsi="仿宋_GB2312" w:eastAsia="仿宋_GB2312" w:cs="仿宋_GB2312"/>
          <w:sz w:val="28"/>
          <w:szCs w:val="28"/>
        </w:rPr>
        <w:t>保证</w:t>
      </w:r>
      <w:r>
        <w:rPr>
          <w:rFonts w:hint="eastAsia" w:ascii="仿宋_GB2312" w:hAnsi="仿宋_GB2312" w:eastAsia="仿宋_GB2312" w:cs="仿宋_GB2312"/>
          <w:sz w:val="28"/>
          <w:szCs w:val="28"/>
          <w:lang w:val="en-US" w:eastAsia="zh-CN"/>
        </w:rPr>
        <w:t>检测</w:t>
      </w:r>
      <w:r>
        <w:rPr>
          <w:rFonts w:hint="eastAsia" w:ascii="仿宋_GB2312" w:hAnsi="仿宋_GB2312" w:eastAsia="仿宋_GB2312" w:cs="仿宋_GB2312"/>
          <w:sz w:val="28"/>
          <w:szCs w:val="28"/>
        </w:rPr>
        <w:t>项目高效优质</w:t>
      </w:r>
      <w:r>
        <w:rPr>
          <w:rFonts w:hint="eastAsia" w:ascii="仿宋_GB2312" w:hAnsi="仿宋_GB2312" w:eastAsia="仿宋_GB2312" w:cs="仿宋_GB2312"/>
          <w:sz w:val="28"/>
          <w:szCs w:val="28"/>
          <w:lang w:val="en-US" w:eastAsia="zh-CN"/>
        </w:rPr>
        <w:t>完成</w:t>
      </w:r>
      <w:r>
        <w:rPr>
          <w:rFonts w:hint="eastAsia" w:ascii="仿宋_GB2312" w:hAnsi="仿宋_GB2312" w:eastAsia="仿宋_GB2312" w:cs="仿宋_GB2312"/>
          <w:sz w:val="28"/>
          <w:szCs w:val="28"/>
        </w:rPr>
        <w:t>，保证资金的安全和有效使用以及投资效益，本合同的</w:t>
      </w:r>
      <w:r>
        <w:rPr>
          <w:rFonts w:hint="eastAsia" w:ascii="仿宋_GB2312" w:hAnsi="仿宋_GB2312" w:eastAsia="仿宋_GB2312" w:cs="仿宋_GB2312"/>
          <w:sz w:val="28"/>
          <w:szCs w:val="28"/>
          <w:lang w:val="en-US" w:eastAsia="zh-CN"/>
        </w:rPr>
        <w:t>采购人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（以下称</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rPr>
        <w:t>甲方</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rPr>
        <w:t>）</w:t>
      </w:r>
      <w:r>
        <w:rPr>
          <w:rFonts w:hint="eastAsia" w:ascii="仿宋_GB2312" w:hAnsi="仿宋_GB2312" w:eastAsia="仿宋_GB2312" w:cs="仿宋_GB2312"/>
          <w:sz w:val="28"/>
          <w:szCs w:val="28"/>
        </w:rPr>
        <w:t>与</w:t>
      </w:r>
      <w:r>
        <w:rPr>
          <w:rFonts w:hint="eastAsia" w:ascii="仿宋_GB2312" w:hAnsi="仿宋_GB2312" w:eastAsia="仿宋_GB2312" w:cs="仿宋_GB2312"/>
          <w:sz w:val="28"/>
          <w:szCs w:val="28"/>
          <w:lang w:val="en-US" w:eastAsia="zh-CN"/>
        </w:rPr>
        <w:t>供应商</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（以下称</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rPr>
        <w:t>乙方</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u w:val="single"/>
        </w:rPr>
        <w:t>）</w:t>
      </w:r>
      <w:r>
        <w:rPr>
          <w:rFonts w:hint="eastAsia" w:ascii="仿宋_GB2312" w:hAnsi="仿宋_GB2312" w:eastAsia="仿宋_GB2312" w:cs="仿宋_GB2312"/>
          <w:sz w:val="28"/>
          <w:szCs w:val="28"/>
        </w:rPr>
        <w:t>，特订立以下合同。</w:t>
      </w:r>
    </w:p>
    <w:p w14:paraId="6FA237B0">
      <w:pPr>
        <w:spacing w:line="560" w:lineRule="exact"/>
        <w:ind w:firstLine="630" w:firstLineChars="225"/>
        <w:rPr>
          <w:rFonts w:hint="eastAsia" w:ascii="黑体" w:hAnsi="黑体" w:eastAsia="黑体" w:cs="黑体"/>
          <w:sz w:val="28"/>
          <w:szCs w:val="28"/>
        </w:rPr>
      </w:pPr>
      <w:r>
        <w:rPr>
          <w:rFonts w:hint="eastAsia" w:ascii="黑体" w:hAnsi="黑体" w:eastAsia="黑体" w:cs="黑体"/>
          <w:sz w:val="28"/>
          <w:szCs w:val="28"/>
          <w:lang w:val="en-US" w:eastAsia="zh-CN"/>
        </w:rPr>
        <w:t>一、</w:t>
      </w:r>
      <w:r>
        <w:rPr>
          <w:rFonts w:hint="eastAsia" w:ascii="黑体" w:hAnsi="黑体" w:eastAsia="黑体" w:cs="黑体"/>
          <w:sz w:val="28"/>
          <w:szCs w:val="28"/>
        </w:rPr>
        <w:t>甲乙双方的权利和义务</w:t>
      </w:r>
    </w:p>
    <w:p w14:paraId="504E6A1E">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）严格遵守党和国家有关法律法规及有关廉政规定。</w:t>
      </w:r>
    </w:p>
    <w:p w14:paraId="01DB36F6">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）严格执行项目的合同文件，自觉按合同办事。</w:t>
      </w:r>
    </w:p>
    <w:p w14:paraId="101BD933">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）双方的业务活动坚持公开、公正、诚信、透明的原则（除法律认定的商业秘密和合同文件另有规定之外），不得损害国家和集体的利益，违反本项目管理的各种规章制度。</w:t>
      </w:r>
    </w:p>
    <w:p w14:paraId="2ABAA642">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）建立健全廉政制度，开展廉政教育，监督并认真查处违法违纪行为。</w:t>
      </w:r>
    </w:p>
    <w:p w14:paraId="271F69E5">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）发现对方在业务活动中有违反廉政规定的行为，有及时提醒对方纠正的权利和义务。</w:t>
      </w:r>
    </w:p>
    <w:p w14:paraId="40CC62AD">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）发现对方严重违反本合同义务条款的行为，有向其上级有关部门举报、建议给予处理并要求告知处理结果的权利。</w:t>
      </w:r>
    </w:p>
    <w:p w14:paraId="302FEE98">
      <w:pPr>
        <w:spacing w:line="560" w:lineRule="exact"/>
        <w:ind w:firstLine="630" w:firstLineChars="225"/>
        <w:rPr>
          <w:rFonts w:hint="eastAsia" w:ascii="黑体" w:hAnsi="黑体" w:eastAsia="黑体" w:cs="黑体"/>
          <w:sz w:val="28"/>
          <w:szCs w:val="28"/>
        </w:rPr>
      </w:pPr>
      <w:r>
        <w:rPr>
          <w:rFonts w:hint="eastAsia" w:ascii="黑体" w:hAnsi="黑体" w:eastAsia="黑体" w:cs="黑体"/>
          <w:sz w:val="28"/>
          <w:szCs w:val="28"/>
          <w:lang w:val="en-US" w:eastAsia="zh-CN"/>
        </w:rPr>
        <w:t>二、</w:t>
      </w:r>
      <w:r>
        <w:rPr>
          <w:rFonts w:hint="eastAsia" w:ascii="黑体" w:hAnsi="黑体" w:eastAsia="黑体" w:cs="黑体"/>
          <w:sz w:val="28"/>
          <w:szCs w:val="28"/>
        </w:rPr>
        <w:t>甲方的义务</w:t>
      </w:r>
    </w:p>
    <w:p w14:paraId="40C2CE30">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）甲方及其工作人员不得索要或接受乙方的礼金、有价证券和贵重物品，不得在乙方报销任何应由甲方或个人支付的费用。</w:t>
      </w:r>
    </w:p>
    <w:p w14:paraId="6DCBB4CF">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）甲方工作人员不得参加乙方安排的超标准宴请和娱乐活动，不得接受乙方提供的通讯和高档办公用品。</w:t>
      </w:r>
    </w:p>
    <w:p w14:paraId="40105392">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）甲方及其工作人员不得要求或者接受乙方为其住房装修、婚丧嫁娶活动、配偶子女的工作安排以及出国出境、旅游等提供方便。</w:t>
      </w:r>
    </w:p>
    <w:p w14:paraId="1675D6A5">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）甲方工作人员的配偶、子女不得从事与甲方有关的材料设备供应、工程分包、劳务等经济活动。</w:t>
      </w:r>
    </w:p>
    <w:p w14:paraId="6B358018">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）甲方及其工作人员不得以任何理由向乙方推荐分包单位，不得要求乙方购买合同规定外的材料和设备。</w:t>
      </w:r>
    </w:p>
    <w:p w14:paraId="18C27544">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）甲方工作人员要秉公办事，不准营私舞弊，不准利用职权从事各种个人有偿中介活动和安排个人检测队伍。</w:t>
      </w:r>
    </w:p>
    <w:p w14:paraId="12024403">
      <w:pPr>
        <w:spacing w:line="560" w:lineRule="exact"/>
        <w:ind w:firstLine="630" w:firstLineChars="225"/>
        <w:rPr>
          <w:rFonts w:hint="eastAsia" w:ascii="黑体" w:hAnsi="黑体" w:eastAsia="黑体" w:cs="黑体"/>
          <w:sz w:val="28"/>
          <w:szCs w:val="28"/>
        </w:rPr>
      </w:pPr>
      <w:r>
        <w:rPr>
          <w:rFonts w:hint="eastAsia" w:ascii="黑体" w:hAnsi="黑体" w:eastAsia="黑体" w:cs="黑体"/>
          <w:sz w:val="28"/>
          <w:szCs w:val="28"/>
          <w:lang w:val="en-US" w:eastAsia="zh-CN"/>
        </w:rPr>
        <w:t>三、</w:t>
      </w:r>
      <w:r>
        <w:rPr>
          <w:rFonts w:hint="eastAsia" w:ascii="黑体" w:hAnsi="黑体" w:eastAsia="黑体" w:cs="黑体"/>
          <w:sz w:val="28"/>
          <w:szCs w:val="28"/>
        </w:rPr>
        <w:t>乙方义务</w:t>
      </w:r>
    </w:p>
    <w:p w14:paraId="4D3B2587">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）乙方不得以任何名义向甲方及其工作人员馈赠礼金、有价证券、贵重礼品。</w:t>
      </w:r>
    </w:p>
    <w:p w14:paraId="024687D8">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）乙方不得以任何名义为甲方及其工作人员报销由甲方单位或个人支付的费用。</w:t>
      </w:r>
    </w:p>
    <w:p w14:paraId="39B52E43">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）乙方不得以任何理由安排甲方工作人员参加超标准宴请及娱乐活动。</w:t>
      </w:r>
    </w:p>
    <w:p w14:paraId="76E6021C">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）乙方不得为甲方单位和个人购置或提供通讯工具和高档办公用品。</w:t>
      </w:r>
    </w:p>
    <w:p w14:paraId="4F4C4884">
      <w:pPr>
        <w:spacing w:line="560" w:lineRule="exact"/>
        <w:ind w:firstLine="630" w:firstLineChars="225"/>
        <w:rPr>
          <w:rFonts w:hint="eastAsia" w:ascii="黑体" w:hAnsi="黑体" w:eastAsia="黑体" w:cs="黑体"/>
          <w:sz w:val="28"/>
          <w:szCs w:val="28"/>
        </w:rPr>
      </w:pPr>
      <w:r>
        <w:rPr>
          <w:rFonts w:hint="eastAsia" w:ascii="黑体" w:hAnsi="黑体" w:eastAsia="黑体" w:cs="黑体"/>
          <w:sz w:val="28"/>
          <w:szCs w:val="28"/>
          <w:lang w:val="en-US" w:eastAsia="zh-CN"/>
        </w:rPr>
        <w:t>四、</w:t>
      </w:r>
      <w:r>
        <w:rPr>
          <w:rFonts w:hint="eastAsia" w:ascii="黑体" w:hAnsi="黑体" w:eastAsia="黑体" w:cs="黑体"/>
          <w:sz w:val="28"/>
          <w:szCs w:val="28"/>
        </w:rPr>
        <w:t>违约责任</w:t>
      </w:r>
    </w:p>
    <w:p w14:paraId="2A0CF53C">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甲方及其工作人员违反本合同第一、二条，按管理权限，依据有关规定给予党纪、政纪或组织处理；涉嫌犯罪的，移交司法机关追究刑事责任；给乙方单位造成经济损失的，应予以赔偿。</w:t>
      </w:r>
    </w:p>
    <w:p w14:paraId="433F0529">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乙方及其工作人员违反本合同第一、三条，按管理权限，依据有关规定，建议给予党纪、政纪或组织处理；给甲方单位造成经济损失的应予以赔偿；情节严重的，甲方建议主管部门给予乙方三年内不得进入其主管的公路检测市场的处罚。</w:t>
      </w:r>
    </w:p>
    <w:p w14:paraId="14A2FC05">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14:paraId="13955A7C">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本合同有效期为甲乙双方签署之日起至该项目竣工验收后止。</w:t>
      </w:r>
    </w:p>
    <w:p w14:paraId="7B3D0A07">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七、</w:t>
      </w:r>
      <w:r>
        <w:rPr>
          <w:rFonts w:hint="eastAsia" w:ascii="仿宋_GB2312" w:hAnsi="仿宋_GB2312" w:eastAsia="仿宋_GB2312" w:cs="仿宋_GB2312"/>
          <w:sz w:val="28"/>
          <w:szCs w:val="28"/>
        </w:rPr>
        <w:t>本合同作为项目合同的附件，与项目合同具有同等的法律效力，</w:t>
      </w:r>
      <w:r>
        <w:rPr>
          <w:rFonts w:hint="eastAsia" w:ascii="仿宋_GB2312" w:hAnsi="仿宋_GB2312" w:eastAsia="仿宋_GB2312" w:cs="仿宋_GB2312"/>
          <w:kern w:val="0"/>
          <w:sz w:val="28"/>
          <w:szCs w:val="28"/>
        </w:rPr>
        <w:t>本合同经双方法定代表人（负责人）或授权代表签字并加盖单位公章之日起生效</w:t>
      </w:r>
      <w:r>
        <w:rPr>
          <w:rFonts w:hint="eastAsia" w:ascii="仿宋_GB2312" w:hAnsi="仿宋_GB2312" w:eastAsia="仿宋_GB2312" w:cs="仿宋_GB2312"/>
          <w:sz w:val="28"/>
          <w:szCs w:val="28"/>
        </w:rPr>
        <w:t>。</w:t>
      </w:r>
    </w:p>
    <w:p w14:paraId="6780E320">
      <w:pPr>
        <w:spacing w:line="560" w:lineRule="exact"/>
        <w:ind w:firstLine="630" w:firstLineChars="225"/>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八、</w:t>
      </w: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捌</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份，双方各执</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 肆 </w:t>
      </w:r>
      <w:r>
        <w:rPr>
          <w:rFonts w:hint="eastAsia" w:ascii="仿宋_GB2312" w:hAnsi="仿宋_GB2312" w:eastAsia="仿宋_GB2312" w:cs="仿宋_GB2312"/>
          <w:sz w:val="28"/>
          <w:szCs w:val="28"/>
        </w:rPr>
        <w:t>份，具有同等法律效力。</w:t>
      </w:r>
    </w:p>
    <w:p w14:paraId="339A9B27">
      <w:pPr>
        <w:pStyle w:val="2"/>
        <w:spacing w:line="560" w:lineRule="exact"/>
        <w:rPr>
          <w:rFonts w:hint="eastAsia" w:ascii="仿宋_GB2312" w:hAnsi="仿宋_GB2312" w:eastAsia="仿宋_GB2312" w:cs="仿宋_GB2312"/>
          <w:sz w:val="28"/>
          <w:szCs w:val="28"/>
        </w:rPr>
      </w:pPr>
    </w:p>
    <w:p w14:paraId="17CA26D3">
      <w:pPr>
        <w:snapToGrid w:val="0"/>
        <w:spacing w:line="560" w:lineRule="exact"/>
        <w:ind w:firstLine="560" w:firstLineChars="200"/>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甲  方：</w:t>
      </w:r>
    </w:p>
    <w:p w14:paraId="0349DEAB">
      <w:pPr>
        <w:snapToGrid w:val="0"/>
        <w:spacing w:line="560" w:lineRule="exact"/>
        <w:ind w:firstLine="560" w:firstLineChars="200"/>
        <w:rPr>
          <w:rFonts w:hint="eastAsia" w:ascii="仿宋_GB2312" w:hAnsi="仿宋_GB2312" w:eastAsia="仿宋_GB2312" w:cs="仿宋_GB2312"/>
          <w:snapToGrid w:val="0"/>
          <w:kern w:val="0"/>
          <w:sz w:val="28"/>
          <w:szCs w:val="28"/>
          <w:u w:val="single"/>
        </w:rPr>
      </w:pPr>
      <w:r>
        <w:rPr>
          <w:rFonts w:hint="eastAsia" w:ascii="仿宋_GB2312" w:hAnsi="仿宋_GB2312" w:eastAsia="仿宋_GB2312" w:cs="仿宋_GB2312"/>
          <w:snapToGrid w:val="0"/>
          <w:kern w:val="0"/>
          <w:sz w:val="28"/>
          <w:szCs w:val="28"/>
        </w:rPr>
        <w:t>法定代表人或其委托代理人：</w:t>
      </w:r>
      <w:r>
        <w:rPr>
          <w:rFonts w:hint="eastAsia" w:ascii="仿宋_GB2312" w:hAnsi="仿宋_GB2312" w:eastAsia="仿宋_GB2312" w:cs="仿宋_GB2312"/>
          <w:snapToGrid w:val="0"/>
          <w:kern w:val="0"/>
          <w:sz w:val="28"/>
          <w:szCs w:val="28"/>
          <w:u w:val="single"/>
        </w:rPr>
        <w:t xml:space="preserve">（签字）                </w:t>
      </w:r>
    </w:p>
    <w:p w14:paraId="0780328F">
      <w:pPr>
        <w:widowControl/>
        <w:autoSpaceDE w:val="0"/>
        <w:autoSpaceDN w:val="0"/>
        <w:spacing w:line="560" w:lineRule="exact"/>
        <w:ind w:firstLine="1120" w:firstLineChars="400"/>
        <w:jc w:val="center"/>
        <w:textAlignment w:val="bottom"/>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14:paraId="0DDEC033">
      <w:pPr>
        <w:snapToGrid w:val="0"/>
        <w:spacing w:line="560" w:lineRule="exact"/>
        <w:ind w:firstLine="560" w:firstLineChars="200"/>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乙  方：</w:t>
      </w:r>
    </w:p>
    <w:p w14:paraId="66922281">
      <w:pPr>
        <w:snapToGrid w:val="0"/>
        <w:spacing w:line="560" w:lineRule="exact"/>
        <w:ind w:firstLine="560" w:firstLineChars="200"/>
        <w:rPr>
          <w:rFonts w:hint="eastAsia" w:ascii="仿宋_GB2312" w:hAnsi="仿宋_GB2312" w:eastAsia="仿宋_GB2312" w:cs="仿宋_GB2312"/>
          <w:snapToGrid w:val="0"/>
          <w:kern w:val="0"/>
          <w:sz w:val="28"/>
          <w:szCs w:val="28"/>
        </w:rPr>
      </w:pPr>
      <w:r>
        <w:rPr>
          <w:rFonts w:hint="eastAsia" w:ascii="仿宋_GB2312" w:hAnsi="仿宋_GB2312" w:eastAsia="仿宋_GB2312" w:cs="仿宋_GB2312"/>
          <w:snapToGrid w:val="0"/>
          <w:kern w:val="0"/>
          <w:sz w:val="28"/>
          <w:szCs w:val="28"/>
        </w:rPr>
        <w:t>法定代表人或其委托代理人：</w:t>
      </w:r>
      <w:r>
        <w:rPr>
          <w:rFonts w:hint="eastAsia" w:ascii="仿宋_GB2312" w:hAnsi="仿宋_GB2312" w:eastAsia="仿宋_GB2312" w:cs="仿宋_GB2312"/>
          <w:snapToGrid w:val="0"/>
          <w:kern w:val="0"/>
          <w:sz w:val="28"/>
          <w:szCs w:val="28"/>
          <w:u w:val="single"/>
        </w:rPr>
        <w:t xml:space="preserve">（签字）                </w:t>
      </w:r>
      <w:r>
        <w:rPr>
          <w:rFonts w:hint="eastAsia" w:ascii="仿宋_GB2312" w:hAnsi="仿宋_GB2312" w:eastAsia="仿宋_GB2312" w:cs="仿宋_GB2312"/>
          <w:snapToGrid w:val="0"/>
          <w:kern w:val="0"/>
          <w:sz w:val="28"/>
          <w:szCs w:val="28"/>
        </w:rPr>
        <w:t xml:space="preserve">             </w:t>
      </w:r>
    </w:p>
    <w:p w14:paraId="79B8400D">
      <w:pPr>
        <w:snapToGrid w:val="0"/>
        <w:spacing w:line="560" w:lineRule="exact"/>
        <w:ind w:firstLine="7000" w:firstLineChars="25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年   月  日</w:t>
      </w:r>
    </w:p>
    <w:p w14:paraId="588274A0">
      <w:pPr>
        <w:pStyle w:val="2"/>
        <w:spacing w:line="560" w:lineRule="exact"/>
        <w:rPr>
          <w:rFonts w:hint="eastAsia" w:ascii="仿宋_GB2312" w:hAnsi="仿宋_GB2312" w:eastAsia="仿宋_GB2312" w:cs="仿宋_GB2312"/>
          <w:sz w:val="28"/>
          <w:szCs w:val="28"/>
        </w:rPr>
      </w:pPr>
    </w:p>
    <w:p w14:paraId="4D851DF0">
      <w:pPr>
        <w:pStyle w:val="2"/>
        <w:rPr>
          <w:rFonts w:hint="eastAsia"/>
          <w:lang w:val="en-US" w:eastAsia="zh-CN"/>
        </w:rPr>
      </w:pPr>
    </w:p>
    <w:p w14:paraId="5882C9F2">
      <w:pPr>
        <w:rPr>
          <w:rFonts w:hint="eastAsia"/>
        </w:rPr>
      </w:pPr>
    </w:p>
    <w:sectPr>
      <w:footerReference r:id="rId3" w:type="default"/>
      <w:pgSz w:w="11906" w:h="16838"/>
      <w:pgMar w:top="2098" w:right="1474" w:bottom="1984" w:left="1587"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D0E9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45C95">
                          <w:pPr>
                            <w:pStyle w:val="5"/>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C045C95">
                    <w:pPr>
                      <w:pStyle w:val="5"/>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OTQ5ZTU2ZGRiOWRjMTNkZDlkNDZkYTU3NDc5NGEifQ=="/>
  </w:docVars>
  <w:rsids>
    <w:rsidRoot w:val="00000000"/>
    <w:rsid w:val="02847A6B"/>
    <w:rsid w:val="06B10B1D"/>
    <w:rsid w:val="0A977EFA"/>
    <w:rsid w:val="0ADD07FC"/>
    <w:rsid w:val="0D597341"/>
    <w:rsid w:val="132C440E"/>
    <w:rsid w:val="152C72C0"/>
    <w:rsid w:val="181D0AC3"/>
    <w:rsid w:val="1B6E0CDF"/>
    <w:rsid w:val="1BDF6F79"/>
    <w:rsid w:val="2F7B4B5A"/>
    <w:rsid w:val="311A2431"/>
    <w:rsid w:val="385F6D12"/>
    <w:rsid w:val="3B377D80"/>
    <w:rsid w:val="3B737EDE"/>
    <w:rsid w:val="3F5C7BB0"/>
    <w:rsid w:val="4061371B"/>
    <w:rsid w:val="455E191A"/>
    <w:rsid w:val="493F20D6"/>
    <w:rsid w:val="4AE43AC7"/>
    <w:rsid w:val="528200EC"/>
    <w:rsid w:val="53FF2328"/>
    <w:rsid w:val="54467418"/>
    <w:rsid w:val="564E369C"/>
    <w:rsid w:val="579857A6"/>
    <w:rsid w:val="5B530EB2"/>
    <w:rsid w:val="60A16616"/>
    <w:rsid w:val="6220088D"/>
    <w:rsid w:val="691174A4"/>
    <w:rsid w:val="77EDE4C1"/>
    <w:rsid w:val="791428E7"/>
    <w:rsid w:val="7E2077C1"/>
    <w:rsid w:val="CF2B90E7"/>
    <w:rsid w:val="FFFF4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4">
    <w:name w:val="annotation text"/>
    <w:basedOn w:val="1"/>
    <w:qFormat/>
    <w:uiPriority w:val="0"/>
    <w:pPr>
      <w:jc w:val="left"/>
    </w:pPr>
  </w:style>
  <w:style w:type="paragraph" w:styleId="5">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6">
    <w:name w:val="Normal (Web)"/>
    <w:basedOn w:val="1"/>
    <w:qFormat/>
    <w:uiPriority w:val="0"/>
    <w:rPr>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7184</Words>
  <Characters>7358</Characters>
  <Lines>0</Lines>
  <Paragraphs>0</Paragraphs>
  <TotalTime>1</TotalTime>
  <ScaleCrop>false</ScaleCrop>
  <LinksUpToDate>false</LinksUpToDate>
  <CharactersWithSpaces>8277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2025-05-15T15:31:00Z</dcterms:created>
  <dc:creator>Administrator.PC-20221020ZCWL</dc:creator>
  <cp:lastModifiedBy>大十三哥</cp:lastModifiedBy>
  <dcterms:modified xsi:type="dcterms:W3CDTF">2026-05-20T14:32:56Z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eyJoZGlkIjoiYjMxZWNiN2UxNmRhMzllNTllZWFkNmM0M2JlOGE2NTEiLCJ1c2VySWQiOiIzMDYwNzg5NjUifQ==</vt:lpwstr>
  </property>
  <property fmtid="{D5CDD505-2E9C-101B-9397-08002B2CF9AE}" pid="4" name="ICV">
    <vt:lpwstr>09930421417D4F09A5F49E7FD0EF1A50_13</vt:lpwstr>
  </property>
</Properties>
</file>