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DE586">
      <w:pPr>
        <w:rPr>
          <w:rFonts w:hint="eastAsia" w:ascii="宋体" w:hAnsi="宋体" w:cs="宋体"/>
          <w:b/>
          <w:bCs/>
          <w:color w:val="000000" w:themeColor="text1"/>
          <w:sz w:val="32"/>
          <w:szCs w:val="32"/>
          <w:lang w:eastAsia="zh-CN"/>
          <w14:textFill>
            <w14:solidFill>
              <w14:schemeClr w14:val="tx1"/>
            </w14:solidFill>
          </w14:textFill>
        </w:rPr>
      </w:pPr>
      <w:bookmarkStart w:id="0" w:name="_Toc15591"/>
      <w:bookmarkStart w:id="987" w:name="_GoBack"/>
      <w:bookmarkEnd w:id="987"/>
      <w:r>
        <w:rPr>
          <w:rFonts w:hint="eastAsia" w:ascii="宋体" w:hAnsi="宋体" w:cs="宋体"/>
          <w:b/>
          <w:bCs/>
          <w:color w:val="000000" w:themeColor="text1"/>
          <w:sz w:val="32"/>
          <w:szCs w:val="32"/>
          <w14:textFill>
            <w14:solidFill>
              <w14:schemeClr w14:val="tx1"/>
            </w14:solidFill>
          </w14:textFill>
        </w:rPr>
        <w:t>项目编号：</w:t>
      </w:r>
      <w:r>
        <w:rPr>
          <w:rFonts w:hint="eastAsia" w:ascii="宋体" w:hAnsi="宋体" w:cs="宋体"/>
          <w:b/>
          <w:bCs/>
          <w:color w:val="000000" w:themeColor="text1"/>
          <w:sz w:val="32"/>
          <w:szCs w:val="32"/>
          <w:lang w:eastAsia="zh-CN"/>
          <w14:textFill>
            <w14:solidFill>
              <w14:schemeClr w14:val="tx1"/>
            </w14:solidFill>
          </w14:textFill>
        </w:rPr>
        <w:t>SXCY2026-13.1B1</w:t>
      </w:r>
    </w:p>
    <w:p w14:paraId="224CEAD1">
      <w:pPr>
        <w:jc w:val="both"/>
        <w:rPr>
          <w:rFonts w:hint="eastAsia" w:ascii="宋体" w:hAnsi="宋体" w:cs="宋体"/>
          <w:b/>
          <w:bCs/>
          <w:color w:val="000000" w:themeColor="text1"/>
          <w:sz w:val="48"/>
          <w:szCs w:val="48"/>
          <w14:textFill>
            <w14:solidFill>
              <w14:schemeClr w14:val="tx1"/>
            </w14:solidFill>
          </w14:textFill>
        </w:rPr>
      </w:pPr>
    </w:p>
    <w:p w14:paraId="252BB882">
      <w:pPr>
        <w:jc w:val="center"/>
        <w:rPr>
          <w:rFonts w:hint="eastAsia" w:ascii="宋体" w:hAnsi="宋体" w:cs="宋体"/>
          <w:b/>
          <w:bCs/>
          <w:color w:val="000000" w:themeColor="text1"/>
          <w:sz w:val="48"/>
          <w:szCs w:val="48"/>
          <w14:textFill>
            <w14:solidFill>
              <w14:schemeClr w14:val="tx1"/>
            </w14:solidFill>
          </w14:textFill>
        </w:rPr>
      </w:pPr>
    </w:p>
    <w:p w14:paraId="57ABC585">
      <w:pPr>
        <w:jc w:val="center"/>
        <w:rPr>
          <w:rFonts w:hint="eastAsia" w:ascii="宋体" w:hAnsi="宋体" w:cs="宋体"/>
          <w:b/>
          <w:bCs/>
          <w:color w:val="000000" w:themeColor="text1"/>
          <w:sz w:val="48"/>
          <w:szCs w:val="48"/>
          <w14:textFill>
            <w14:solidFill>
              <w14:schemeClr w14:val="tx1"/>
            </w14:solidFill>
          </w14:textFill>
        </w:rPr>
      </w:pPr>
    </w:p>
    <w:p w14:paraId="42A61BEB">
      <w:pPr>
        <w:pStyle w:val="11"/>
        <w:rPr>
          <w:rFonts w:hint="eastAsia"/>
          <w:color w:val="000000" w:themeColor="text1"/>
          <w14:textFill>
            <w14:solidFill>
              <w14:schemeClr w14:val="tx1"/>
            </w14:solidFill>
          </w14:textFill>
        </w:rPr>
      </w:pPr>
    </w:p>
    <w:p w14:paraId="203CEBD0">
      <w:pPr>
        <w:pStyle w:val="11"/>
        <w:rPr>
          <w:rFonts w:hint="eastAsia"/>
          <w:color w:val="000000" w:themeColor="text1"/>
          <w14:textFill>
            <w14:solidFill>
              <w14:schemeClr w14:val="tx1"/>
            </w14:solidFill>
          </w14:textFill>
        </w:rPr>
      </w:pPr>
    </w:p>
    <w:p w14:paraId="37917588">
      <w:pPr>
        <w:jc w:val="center"/>
        <w:rPr>
          <w:rFonts w:hint="eastAsia"/>
          <w:b/>
          <w:bCs/>
          <w:color w:val="000000" w:themeColor="text1"/>
          <w:sz w:val="48"/>
          <w:szCs w:val="44"/>
          <w:lang w:eastAsia="zh-CN"/>
          <w14:textFill>
            <w14:solidFill>
              <w14:schemeClr w14:val="tx1"/>
            </w14:solidFill>
          </w14:textFill>
        </w:rPr>
      </w:pPr>
      <w:bookmarkStart w:id="1" w:name="_Toc15395"/>
      <w:bookmarkStart w:id="2" w:name="_Toc27774"/>
      <w:bookmarkStart w:id="3" w:name="_Toc26697"/>
      <w:r>
        <w:rPr>
          <w:rFonts w:hint="eastAsia"/>
          <w:b/>
          <w:bCs/>
          <w:color w:val="000000" w:themeColor="text1"/>
          <w:sz w:val="48"/>
          <w:szCs w:val="44"/>
          <w:lang w:eastAsia="zh-CN"/>
          <w14:textFill>
            <w14:solidFill>
              <w14:schemeClr w14:val="tx1"/>
            </w14:solidFill>
          </w14:textFill>
        </w:rPr>
        <w:t>延安市公安局交通管理支队延安市中心城区停车引导系统建设项目（二次）</w:t>
      </w:r>
    </w:p>
    <w:p w14:paraId="556E0A33">
      <w:pPr>
        <w:pStyle w:val="8"/>
        <w:rPr>
          <w:rFonts w:hint="eastAsia"/>
          <w:color w:val="000000" w:themeColor="text1"/>
          <w:lang w:eastAsia="zh-CN"/>
          <w14:textFill>
            <w14:solidFill>
              <w14:schemeClr w14:val="tx1"/>
            </w14:solidFill>
          </w14:textFill>
        </w:rPr>
      </w:pPr>
    </w:p>
    <w:p w14:paraId="07805F6A">
      <w:pPr>
        <w:rPr>
          <w:rFonts w:hint="eastAsia"/>
          <w:color w:val="000000" w:themeColor="text1"/>
          <w14:textFill>
            <w14:solidFill>
              <w14:schemeClr w14:val="tx1"/>
            </w14:solidFill>
          </w14:textFill>
        </w:rPr>
      </w:pPr>
    </w:p>
    <w:p w14:paraId="4D8C4F07">
      <w:pPr>
        <w:rPr>
          <w:rFonts w:hint="eastAsia"/>
          <w:color w:val="000000" w:themeColor="text1"/>
          <w14:textFill>
            <w14:solidFill>
              <w14:schemeClr w14:val="tx1"/>
            </w14:solidFill>
          </w14:textFill>
        </w:rPr>
      </w:pPr>
    </w:p>
    <w:p w14:paraId="62EBE04A">
      <w:pPr>
        <w:rPr>
          <w:rFonts w:hint="eastAsia"/>
          <w:color w:val="000000" w:themeColor="text1"/>
          <w14:textFill>
            <w14:solidFill>
              <w14:schemeClr w14:val="tx1"/>
            </w14:solidFill>
          </w14:textFill>
        </w:rPr>
      </w:pPr>
    </w:p>
    <w:p w14:paraId="1E067AC5">
      <w:pPr>
        <w:pStyle w:val="11"/>
        <w:rPr>
          <w:rFonts w:hint="eastAsia"/>
          <w:color w:val="000000" w:themeColor="text1"/>
          <w14:textFill>
            <w14:solidFill>
              <w14:schemeClr w14:val="tx1"/>
            </w14:solidFill>
          </w14:textFill>
        </w:rPr>
      </w:pPr>
    </w:p>
    <w:p w14:paraId="20421A4A">
      <w:pPr>
        <w:rPr>
          <w:rFonts w:hint="eastAsia"/>
          <w:color w:val="000000" w:themeColor="text1"/>
          <w14:textFill>
            <w14:solidFill>
              <w14:schemeClr w14:val="tx1"/>
            </w14:solidFill>
          </w14:textFill>
        </w:rPr>
      </w:pPr>
    </w:p>
    <w:p w14:paraId="279EC3DD">
      <w:pPr>
        <w:rPr>
          <w:rFonts w:hint="eastAsia"/>
          <w:color w:val="000000" w:themeColor="text1"/>
          <w14:textFill>
            <w14:solidFill>
              <w14:schemeClr w14:val="tx1"/>
            </w14:solidFill>
          </w14:textFill>
        </w:rPr>
      </w:pPr>
    </w:p>
    <w:p w14:paraId="532A4B70">
      <w:pPr>
        <w:rPr>
          <w:rFonts w:hint="eastAsia"/>
          <w:color w:val="000000" w:themeColor="text1"/>
          <w14:textFill>
            <w14:solidFill>
              <w14:schemeClr w14:val="tx1"/>
            </w14:solidFill>
          </w14:textFill>
        </w:rPr>
      </w:pPr>
    </w:p>
    <w:p w14:paraId="7B307B1A">
      <w:pPr>
        <w:rPr>
          <w:rFonts w:hint="eastAsia"/>
          <w:color w:val="000000" w:themeColor="text1"/>
          <w14:textFill>
            <w14:solidFill>
              <w14:schemeClr w14:val="tx1"/>
            </w14:solidFill>
          </w14:textFill>
        </w:rPr>
      </w:pPr>
    </w:p>
    <w:p w14:paraId="4CEB4799">
      <w:pPr>
        <w:spacing w:before="360" w:beforeLines="150"/>
        <w:jc w:val="center"/>
        <w:rPr>
          <w:rFonts w:hint="eastAsia" w:ascii="宋体" w:hAnsi="宋体" w:cs="宋体"/>
          <w:b/>
          <w:color w:val="000000" w:themeColor="text1"/>
          <w:spacing w:val="4"/>
          <w:sz w:val="60"/>
          <w:szCs w:val="60"/>
          <w14:textFill>
            <w14:solidFill>
              <w14:schemeClr w14:val="tx1"/>
            </w14:solidFill>
          </w14:textFill>
        </w:rPr>
      </w:pPr>
      <w:r>
        <w:rPr>
          <w:rFonts w:hint="eastAsia" w:ascii="宋体" w:hAnsi="宋体" w:cs="宋体"/>
          <w:b/>
          <w:color w:val="000000" w:themeColor="text1"/>
          <w:spacing w:val="4"/>
          <w:sz w:val="60"/>
          <w:szCs w:val="60"/>
          <w14:textFill>
            <w14:solidFill>
              <w14:schemeClr w14:val="tx1"/>
            </w14:solidFill>
          </w14:textFill>
        </w:rPr>
        <w:t>招 标 文 件</w:t>
      </w:r>
      <w:bookmarkEnd w:id="0"/>
      <w:bookmarkEnd w:id="1"/>
      <w:bookmarkEnd w:id="2"/>
      <w:bookmarkEnd w:id="3"/>
    </w:p>
    <w:p w14:paraId="580D4260">
      <w:pPr>
        <w:jc w:val="center"/>
        <w:rPr>
          <w:rFonts w:hint="eastAsia" w:ascii="宋体" w:hAnsi="宋体" w:cs="宋体"/>
          <w:b/>
          <w:color w:val="000000" w:themeColor="text1"/>
          <w:spacing w:val="4"/>
          <w:sz w:val="24"/>
          <w14:textFill>
            <w14:solidFill>
              <w14:schemeClr w14:val="tx1"/>
            </w14:solidFill>
          </w14:textFill>
        </w:rPr>
      </w:pPr>
    </w:p>
    <w:p w14:paraId="44A92F85">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727F548F">
      <w:pPr>
        <w:pStyle w:val="11"/>
        <w:rPr>
          <w:rFonts w:hint="eastAsia"/>
          <w:color w:val="000000" w:themeColor="text1"/>
          <w14:textFill>
            <w14:solidFill>
              <w14:schemeClr w14:val="tx1"/>
            </w14:solidFill>
          </w14:textFill>
        </w:rPr>
      </w:pPr>
    </w:p>
    <w:p w14:paraId="2B51A5C6">
      <w:pPr>
        <w:rPr>
          <w:rFonts w:hint="eastAsia"/>
          <w:color w:val="000000" w:themeColor="text1"/>
          <w14:textFill>
            <w14:solidFill>
              <w14:schemeClr w14:val="tx1"/>
            </w14:solidFill>
          </w14:textFill>
        </w:rPr>
      </w:pPr>
    </w:p>
    <w:p w14:paraId="55E59DA6">
      <w:pPr>
        <w:rPr>
          <w:rFonts w:hint="eastAsia"/>
          <w:color w:val="000000" w:themeColor="text1"/>
          <w14:textFill>
            <w14:solidFill>
              <w14:schemeClr w14:val="tx1"/>
            </w14:solidFill>
          </w14:textFill>
        </w:rPr>
      </w:pPr>
    </w:p>
    <w:p w14:paraId="68DB540D">
      <w:pPr>
        <w:rPr>
          <w:rFonts w:hint="eastAsia"/>
          <w:color w:val="000000" w:themeColor="text1"/>
          <w14:textFill>
            <w14:solidFill>
              <w14:schemeClr w14:val="tx1"/>
            </w14:solidFill>
          </w14:textFill>
        </w:rPr>
      </w:pPr>
    </w:p>
    <w:p w14:paraId="7F15B853">
      <w:pPr>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ascii="宋体" w:hAnsi="宋体" w:eastAsia="宋体" w:cs="宋体"/>
          <w:b/>
          <w:color w:val="000000" w:themeColor="text1"/>
          <w:sz w:val="32"/>
          <w:szCs w:val="36"/>
          <w:lang w:eastAsia="zh-CN"/>
          <w14:textFill>
            <w14:solidFill>
              <w14:schemeClr w14:val="tx1"/>
            </w14:solidFill>
          </w14:textFill>
        </w:rPr>
      </w:pPr>
      <w:r>
        <w:rPr>
          <w:rFonts w:hint="eastAsia" w:ascii="宋体" w:hAnsi="宋体" w:cs="宋体"/>
          <w:b/>
          <w:color w:val="000000" w:themeColor="text1"/>
          <w:sz w:val="32"/>
          <w:szCs w:val="36"/>
          <w14:textFill>
            <w14:solidFill>
              <w14:schemeClr w14:val="tx1"/>
            </w14:solidFill>
          </w14:textFill>
        </w:rPr>
        <w:t>采</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购</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人：</w:t>
      </w:r>
      <w:r>
        <w:rPr>
          <w:rFonts w:hint="eastAsia" w:ascii="宋体" w:hAnsi="宋体" w:cs="宋体"/>
          <w:b/>
          <w:color w:val="000000" w:themeColor="text1"/>
          <w:sz w:val="32"/>
          <w:szCs w:val="36"/>
          <w:lang w:eastAsia="zh-CN"/>
          <w14:textFill>
            <w14:solidFill>
              <w14:schemeClr w14:val="tx1"/>
            </w14:solidFill>
          </w14:textFill>
        </w:rPr>
        <w:t>延安市公安局交通管理支队</w:t>
      </w:r>
    </w:p>
    <w:p w14:paraId="05FE7BA1">
      <w:pPr>
        <w:pStyle w:val="11"/>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color w:val="000000" w:themeColor="text1"/>
          <w14:textFill>
            <w14:solidFill>
              <w14:schemeClr w14:val="tx1"/>
            </w14:solidFill>
          </w14:textFill>
        </w:rPr>
      </w:pPr>
      <w:r>
        <w:rPr>
          <w:rFonts w:hint="eastAsia" w:cs="宋体"/>
          <w:b/>
          <w:color w:val="000000" w:themeColor="text1"/>
          <w:sz w:val="32"/>
          <w:szCs w:val="36"/>
          <w14:textFill>
            <w14:solidFill>
              <w14:schemeClr w14:val="tx1"/>
            </w14:solidFill>
          </w14:textFill>
        </w:rPr>
        <w:t>采购代理机构：陕西宸永项目管理有限公司</w:t>
      </w:r>
    </w:p>
    <w:p w14:paraId="1DD87828">
      <w:pPr>
        <w:keepNext w:val="0"/>
        <w:keepLines w:val="0"/>
        <w:pageBreakBefore w:val="0"/>
        <w:widowControl w:val="0"/>
        <w:kinsoku/>
        <w:wordWrap/>
        <w:overflowPunct/>
        <w:topLinePunct w:val="0"/>
        <w:autoSpaceDE/>
        <w:autoSpaceDN/>
        <w:bidi w:val="0"/>
        <w:adjustRightInd/>
        <w:snapToGrid/>
        <w:spacing w:line="800" w:lineRule="exact"/>
        <w:ind w:firstLine="964" w:firstLineChars="300"/>
        <w:jc w:val="both"/>
        <w:textAlignment w:val="auto"/>
        <w:rPr>
          <w:rFonts w:hint="eastAsia"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32"/>
          <w:szCs w:val="36"/>
          <w:lang w:val="en-US" w:eastAsia="zh-CN"/>
          <w14:textFill>
            <w14:solidFill>
              <w14:schemeClr w14:val="tx1"/>
            </w14:solidFill>
          </w14:textFill>
        </w:rPr>
        <w:t>日        期：</w:t>
      </w:r>
      <w:r>
        <w:rPr>
          <w:rFonts w:hint="eastAsia" w:ascii="宋体" w:hAnsi="宋体" w:cs="宋体"/>
          <w:b/>
          <w:color w:val="000000" w:themeColor="text1"/>
          <w:sz w:val="32"/>
          <w:szCs w:val="36"/>
          <w14:textFill>
            <w14:solidFill>
              <w14:schemeClr w14:val="tx1"/>
            </w14:solidFill>
          </w14:textFill>
        </w:rPr>
        <w:t>二○二</w:t>
      </w:r>
      <w:r>
        <w:rPr>
          <w:rFonts w:hint="eastAsia" w:ascii="宋体" w:hAnsi="宋体" w:cs="宋体"/>
          <w:b/>
          <w:color w:val="000000" w:themeColor="text1"/>
          <w:sz w:val="32"/>
          <w:szCs w:val="36"/>
          <w:lang w:val="en-US" w:eastAsia="zh-CN"/>
          <w14:textFill>
            <w14:solidFill>
              <w14:schemeClr w14:val="tx1"/>
            </w14:solidFill>
          </w14:textFill>
        </w:rPr>
        <w:t>六</w:t>
      </w:r>
      <w:r>
        <w:rPr>
          <w:rFonts w:hint="eastAsia" w:ascii="宋体" w:hAnsi="宋体" w:cs="宋体"/>
          <w:b/>
          <w:color w:val="000000" w:themeColor="text1"/>
          <w:sz w:val="32"/>
          <w:szCs w:val="36"/>
          <w14:textFill>
            <w14:solidFill>
              <w14:schemeClr w14:val="tx1"/>
            </w14:solidFill>
          </w14:textFill>
        </w:rPr>
        <w:t>年</w:t>
      </w:r>
      <w:r>
        <w:rPr>
          <w:rFonts w:hint="eastAsia" w:ascii="宋体" w:hAnsi="宋体" w:cs="宋体"/>
          <w:b/>
          <w:color w:val="000000" w:themeColor="text1"/>
          <w:sz w:val="32"/>
          <w:szCs w:val="36"/>
          <w:lang w:val="en-US" w:eastAsia="zh-CN"/>
          <w14:textFill>
            <w14:solidFill>
              <w14:schemeClr w14:val="tx1"/>
            </w14:solidFill>
          </w14:textFill>
        </w:rPr>
        <w:t>八</w:t>
      </w:r>
      <w:r>
        <w:rPr>
          <w:rFonts w:hint="eastAsia" w:ascii="宋体" w:hAnsi="宋体" w:cs="宋体"/>
          <w:b/>
          <w:color w:val="000000" w:themeColor="text1"/>
          <w:sz w:val="32"/>
          <w:szCs w:val="36"/>
          <w14:textFill>
            <w14:solidFill>
              <w14:schemeClr w14:val="tx1"/>
            </w14:solidFill>
          </w14:textFill>
        </w:rPr>
        <w:t>月</w:t>
      </w:r>
    </w:p>
    <w:p w14:paraId="4053A7AB">
      <w:pPr>
        <w:keepNext w:val="0"/>
        <w:keepLines w:val="0"/>
        <w:pageBreakBefore w:val="0"/>
        <w:widowControl w:val="0"/>
        <w:kinsoku/>
        <w:wordWrap/>
        <w:overflowPunct/>
        <w:topLinePunct w:val="0"/>
        <w:autoSpaceDE/>
        <w:autoSpaceDN/>
        <w:bidi w:val="0"/>
        <w:adjustRightInd/>
        <w:snapToGrid/>
        <w:spacing w:before="340" w:after="120" w:line="480" w:lineRule="auto"/>
        <w:jc w:val="center"/>
        <w:textAlignment w:val="auto"/>
        <w:rPr>
          <w:color w:val="000000" w:themeColor="text1"/>
          <w:sz w:val="16"/>
          <w:szCs w:val="15"/>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目  录</w:t>
      </w:r>
    </w:p>
    <w:p w14:paraId="4AC925F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TOC \o "1-1" \h \u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_Toc11630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第一章 招标公告</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_Toc11630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79BBBEF6">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_Toc2596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_Toc2596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7C3151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_Toc3162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第三章 投标人资格证明文件及审核</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_Toc3162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244C34D">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_Toc11405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第四章 评标办法前附表及评标办法</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_Toc11405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DF78D2C">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_Toc3834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第五章 合同（拟签订</w:t>
      </w:r>
      <w:r>
        <w:rPr>
          <w:rFonts w:hint="eastAsia" w:ascii="宋体" w:hAnsi="宋体" w:cs="宋体"/>
          <w:b/>
          <w:bCs/>
          <w:color w:val="000000" w:themeColor="text1"/>
          <w:sz w:val="28"/>
          <w:szCs w:val="28"/>
          <w:lang w:val="en-US" w:eastAsia="zh-CN"/>
          <w14:textFill>
            <w14:solidFill>
              <w14:schemeClr w14:val="tx1"/>
            </w14:solidFill>
          </w14:textFill>
        </w:rPr>
        <w:t>合同</w:t>
      </w:r>
      <w:r>
        <w:rPr>
          <w:rFonts w:hint="eastAsia" w:ascii="宋体" w:hAnsi="宋体" w:eastAsia="宋体" w:cs="宋体"/>
          <w:b/>
          <w:bCs/>
          <w:color w:val="000000" w:themeColor="text1"/>
          <w:sz w:val="28"/>
          <w:szCs w:val="28"/>
          <w14:textFill>
            <w14:solidFill>
              <w14:schemeClr w14:val="tx1"/>
            </w14:solidFill>
          </w14:textFill>
        </w:rPr>
        <w:t>文本）</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_Toc3834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3FB18D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_Toc7956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第六章 </w:t>
      </w:r>
      <w:r>
        <w:rPr>
          <w:rFonts w:hint="eastAsia" w:ascii="宋体" w:hAnsi="宋体" w:eastAsia="宋体" w:cs="宋体"/>
          <w:b/>
          <w:bCs/>
          <w:color w:val="000000" w:themeColor="text1"/>
          <w:sz w:val="28"/>
          <w:szCs w:val="28"/>
          <w14:textFill>
            <w14:solidFill>
              <w14:schemeClr w14:val="tx1"/>
            </w14:solidFill>
          </w14:textFill>
        </w:rPr>
        <w:t>技术要求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_Toc7956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88</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1E68E0E">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_Toc2255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第七章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cs="宋体"/>
          <w:b/>
          <w:bCs/>
          <w:color w:val="000000" w:themeColor="text1"/>
          <w:sz w:val="28"/>
          <w:szCs w:val="28"/>
          <w:lang w:val="en-US" w:eastAsia="zh-CN"/>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cs="宋体"/>
          <w:b/>
          <w:bCs/>
          <w:color w:val="000000" w:themeColor="text1"/>
          <w:sz w:val="28"/>
          <w:szCs w:val="28"/>
          <w:lang w:val="en-US" w:eastAsia="zh-CN"/>
          <w14:textFill>
            <w14:solidFill>
              <w14:schemeClr w14:val="tx1"/>
            </w14:solidFill>
          </w14:textFill>
        </w:rPr>
        <w:t>32</w:t>
      </w:r>
    </w:p>
    <w:p w14:paraId="5893E845">
      <w:pPr>
        <w:pStyle w:val="23"/>
        <w:tabs>
          <w:tab w:val="right" w:leader="dot" w:pos="9355"/>
        </w:tabs>
        <w:rPr>
          <w:color w:val="000000" w:themeColor="text1"/>
          <w14:textFill>
            <w14:solidFill>
              <w14:schemeClr w14:val="tx1"/>
            </w14:solidFill>
          </w14:textFill>
        </w:rPr>
      </w:pPr>
    </w:p>
    <w:p w14:paraId="4650657D">
      <w:pPr>
        <w:pStyle w:val="81"/>
        <w:spacing w:line="480" w:lineRule="auto"/>
        <w:rPr>
          <w:rFonts w:hint="eastAsia" w:eastAsia="宋体"/>
          <w:color w:val="000000" w:themeColor="text1"/>
          <w:lang w:val="en-US" w:eastAsia="zh-CN"/>
          <w14:textFill>
            <w14:solidFill>
              <w14:schemeClr w14:val="tx1"/>
            </w14:solidFill>
          </w14:textFill>
        </w:rPr>
        <w:sectPr>
          <w:headerReference r:id="rId4" w:type="first"/>
          <w:headerReference r:id="rId3" w:type="default"/>
          <w:pgSz w:w="11906" w:h="16838"/>
          <w:pgMar w:top="1803" w:right="1134" w:bottom="1803" w:left="1417" w:header="851" w:footer="992" w:gutter="0"/>
          <w:pgBorders>
            <w:top w:val="none" w:sz="0" w:space="0"/>
            <w:left w:val="none" w:sz="0" w:space="0"/>
            <w:bottom w:val="none" w:sz="0" w:space="0"/>
            <w:right w:val="none" w:sz="0" w:space="0"/>
          </w:pgBorders>
          <w:pgNumType w:start="1"/>
          <w:cols w:space="720" w:num="1"/>
          <w:titlePg/>
          <w:docGrid w:linePitch="312" w:charSpace="0"/>
        </w:sectPr>
      </w:pPr>
      <w:r>
        <w:rPr>
          <w:rFonts w:hint="eastAsia" w:ascii="宋体" w:hAnsi="宋体" w:cs="宋体"/>
          <w:color w:val="000000" w:themeColor="text1"/>
          <w:szCs w:val="30"/>
          <w14:textFill>
            <w14:solidFill>
              <w14:schemeClr w14:val="tx1"/>
            </w14:solidFill>
          </w14:textFill>
        </w:rPr>
        <w:fldChar w:fldCharType="end"/>
      </w:r>
      <w:bookmarkStart w:id="4" w:name="_Toc18626"/>
      <w:bookmarkStart w:id="5" w:name="_Toc15401"/>
      <w:bookmarkStart w:id="6" w:name="_Toc23366"/>
      <w:bookmarkStart w:id="7" w:name="_Toc12582"/>
      <w:bookmarkStart w:id="8" w:name="_Toc14920"/>
      <w:bookmarkStart w:id="9" w:name="_Toc18591"/>
      <w:r>
        <w:rPr>
          <w:rFonts w:hint="eastAsia" w:ascii="宋体" w:hAnsi="宋体" w:cs="宋体"/>
          <w:color w:val="000000" w:themeColor="text1"/>
          <w:szCs w:val="30"/>
          <w:lang w:val="en-US" w:eastAsia="zh-CN"/>
          <w14:textFill>
            <w14:solidFill>
              <w14:schemeClr w14:val="tx1"/>
            </w14:solidFill>
          </w14:textFill>
        </w:rPr>
        <w:t xml:space="preserve"> </w:t>
      </w:r>
    </w:p>
    <w:p w14:paraId="431E820C">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color w:val="000000" w:themeColor="text1"/>
          <w:sz w:val="30"/>
          <w:szCs w:val="30"/>
          <w14:textFill>
            <w14:solidFill>
              <w14:schemeClr w14:val="tx1"/>
            </w14:solidFill>
          </w14:textFill>
        </w:rPr>
      </w:pPr>
      <w:r>
        <w:rPr>
          <w:rFonts w:hint="eastAsia"/>
          <w:b/>
          <w:bCs/>
          <w:color w:val="000000" w:themeColor="text1"/>
          <w:sz w:val="30"/>
          <w:szCs w:val="30"/>
          <w14:textFill>
            <w14:solidFill>
              <w14:schemeClr w14:val="tx1"/>
            </w14:solidFill>
          </w14:textFill>
        </w:rPr>
        <w:t xml:space="preserve"> </w:t>
      </w:r>
      <w:bookmarkStart w:id="10" w:name="_Toc11630"/>
      <w:r>
        <w:rPr>
          <w:rFonts w:hint="eastAsia"/>
          <w:b/>
          <w:bCs/>
          <w:color w:val="000000" w:themeColor="text1"/>
          <w:sz w:val="30"/>
          <w:szCs w:val="30"/>
          <w14:textFill>
            <w14:solidFill>
              <w14:schemeClr w14:val="tx1"/>
            </w14:solidFill>
          </w14:textFill>
        </w:rPr>
        <w:t>招标公告</w:t>
      </w:r>
      <w:bookmarkEnd w:id="4"/>
      <w:bookmarkEnd w:id="5"/>
      <w:bookmarkEnd w:id="6"/>
      <w:bookmarkEnd w:id="7"/>
      <w:bookmarkEnd w:id="8"/>
      <w:bookmarkEnd w:id="9"/>
      <w:bookmarkEnd w:id="10"/>
      <w:bookmarkStart w:id="11" w:name="_Toc5839"/>
      <w:bookmarkStart w:id="12" w:name="_Toc1675"/>
    </w:p>
    <w:p w14:paraId="5D25C4D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t>项目概况</w:t>
      </w:r>
    </w:p>
    <w:p w14:paraId="6909E569">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延安市公安局交通管理支队延安市中心城区停车引导系统建设项目（二次）</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的潜在供应商应在全国公共资源交易平台（陕西省·延安市）平台获取采购文件，并于202</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年</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月</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26</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日</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时</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 分（北京时间）前提交投标文件。</w:t>
      </w:r>
    </w:p>
    <w:p w14:paraId="0E4EF4D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一</w:t>
      </w:r>
      <w:r>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、项目基本情况</w:t>
      </w:r>
    </w:p>
    <w:p w14:paraId="69848FF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SXCY2026-13.1B1</w:t>
      </w:r>
    </w:p>
    <w:p w14:paraId="6C6A157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延安市公安局交通管理支队延安市中心城区停车引导系统建设项目（二次）</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 </w:t>
      </w:r>
    </w:p>
    <w:p w14:paraId="37B6AA77">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采购方式：公开招标</w:t>
      </w:r>
    </w:p>
    <w:p w14:paraId="1B86360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left"/>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7311900.00元</w:t>
      </w:r>
    </w:p>
    <w:p w14:paraId="01C0B745">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采购需求：</w:t>
      </w:r>
    </w:p>
    <w:p w14:paraId="17860E5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延安市公安局交通管理支队延安市中心城区停车引导系统建设项目（二次）</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w:t>
      </w:r>
    </w:p>
    <w:p w14:paraId="23BA173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7311900.00</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元</w:t>
      </w:r>
    </w:p>
    <w:p w14:paraId="5E623CCA">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合同包最高限价：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7311900.00</w:t>
      </w: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元</w:t>
      </w:r>
    </w:p>
    <w:tbl>
      <w:tblPr>
        <w:tblStyle w:val="35"/>
        <w:tblW w:w="86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8"/>
        <w:gridCol w:w="1247"/>
        <w:gridCol w:w="2243"/>
        <w:gridCol w:w="1163"/>
        <w:gridCol w:w="1685"/>
        <w:gridCol w:w="1377"/>
      </w:tblGrid>
      <w:tr w14:paraId="3D81E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3" w:hRule="atLeast"/>
          <w:tblHeader/>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157FD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4C1C8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w:t>
            </w:r>
          </w:p>
          <w:p w14:paraId="0559D26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名称</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9CEDA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left="0" w:leftChars="0" w:right="0" w:rightChars="0" w:firstLine="883" w:firstLineChars="4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采购标的</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E1FA1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数量</w:t>
            </w:r>
          </w:p>
          <w:p w14:paraId="0F48E52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（单位）</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8FFC5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4D112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品目预算</w:t>
            </w:r>
          </w:p>
          <w:p w14:paraId="7DB0C80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(元)</w:t>
            </w:r>
          </w:p>
        </w:tc>
      </w:tr>
      <w:tr w14:paraId="0918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193C7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306C9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default" w:ascii="宋体" w:hAnsi="宋体" w:eastAsia="宋体" w:cs="宋体"/>
                <w:color w:val="000000" w:themeColor="text1"/>
                <w:sz w:val="22"/>
                <w:szCs w:val="22"/>
                <w:lang w:val="en-US" w:eastAsia="zh-CN"/>
                <w14:textFill>
                  <w14:solidFill>
                    <w14:schemeClr w14:val="tx1"/>
                  </w14:solidFill>
                </w14:textFill>
              </w:rPr>
              <w:t>其他终端设备</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45CC8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360" w:lineRule="auto"/>
              <w:ind w:right="0" w:rightChars="0"/>
              <w:jc w:val="center"/>
              <w:textAlignment w:val="center"/>
              <w:rPr>
                <w:rFonts w:hint="default" w:ascii="宋体" w:hAnsi="宋体" w:eastAsia="宋体" w:cs="宋体"/>
                <w:color w:val="000000" w:themeColor="text1"/>
                <w:sz w:val="22"/>
                <w:szCs w:val="22"/>
                <w:lang w:val="en-US"/>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延安市中心城区停车引导系统建设项目</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9C6EA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0" w:firstLineChars="100"/>
              <w:jc w:val="both"/>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w:t>
            </w:r>
            <w:r>
              <w:rPr>
                <w:rFonts w:hint="eastAsia" w:ascii="宋体" w:hAnsi="宋体" w:cs="宋体"/>
                <w:color w:val="000000" w:themeColor="text1"/>
                <w:kern w:val="0"/>
                <w:sz w:val="22"/>
                <w:szCs w:val="22"/>
                <w:lang w:val="en-US" w:eastAsia="zh-CN" w:bidi="ar"/>
                <w14:textFill>
                  <w14:solidFill>
                    <w14:schemeClr w14:val="tx1"/>
                  </w14:solidFill>
                </w14:textFill>
              </w:rPr>
              <w:t>批</w:t>
            </w:r>
            <w:r>
              <w:rPr>
                <w:rFonts w:hint="eastAsia" w:ascii="宋体" w:hAnsi="宋体" w:eastAsia="宋体" w:cs="宋体"/>
                <w:color w:val="000000" w:themeColor="text1"/>
                <w:kern w:val="0"/>
                <w:sz w:val="22"/>
                <w:szCs w:val="22"/>
                <w:lang w:val="en-US" w:eastAsia="zh-CN" w:bidi="ar"/>
                <w14:textFill>
                  <w14:solidFill>
                    <w14:schemeClr w14:val="tx1"/>
                  </w14:solidFill>
                </w14:textFill>
              </w:rPr>
              <w:t>)</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B3FE9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kern w:val="0"/>
                <w:sz w:val="22"/>
                <w:szCs w:val="22"/>
                <w:lang w:val="en-US" w:eastAsia="zh-CN" w:bidi="ar"/>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详见采购</w:t>
            </w:r>
          </w:p>
          <w:p w14:paraId="38E39C1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947617">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Autospacing="0" w:afterAutospacing="0" w:line="240" w:lineRule="auto"/>
              <w:ind w:right="0" w:rightChars="0"/>
              <w:jc w:val="both"/>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7311900.00</w:t>
            </w:r>
          </w:p>
        </w:tc>
      </w:tr>
    </w:tbl>
    <w:p w14:paraId="0CC5C1A8">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本合同包不接受联合体投标</w:t>
      </w:r>
    </w:p>
    <w:p w14:paraId="0EC77DD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合同履行期限：</w:t>
      </w:r>
      <w:r>
        <w:rPr>
          <w:rFonts w:hint="eastAsia" w:cs="宋体"/>
          <w:color w:val="000000" w:themeColor="text1"/>
          <w:spacing w:val="0"/>
          <w:sz w:val="24"/>
          <w:szCs w:val="24"/>
          <w:lang w:val="en-US" w:eastAsia="zh-CN"/>
          <w14:textFill>
            <w14:solidFill>
              <w14:schemeClr w14:val="tx1"/>
            </w14:solidFill>
          </w14:textFill>
        </w:rPr>
        <w:t>自合同签订之日起30天。</w:t>
      </w:r>
    </w:p>
    <w:p w14:paraId="1B74F76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二、申请人的资格要求：</w:t>
      </w:r>
    </w:p>
    <w:p w14:paraId="0137686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1.满足《中华人民共和国政府采购法》第二十二条规定；</w:t>
      </w:r>
    </w:p>
    <w:p w14:paraId="408378B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2.落实政府采购政策需满足的资格要求：</w:t>
      </w:r>
    </w:p>
    <w:p w14:paraId="706CC41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延安市公安局交通管理支队延安市中心城区停车引导系统建设项目（二次）</w:t>
      </w:r>
      <w:r>
        <w:rPr>
          <w:rFonts w:hint="eastAsia" w:ascii="宋体" w:hAnsi="宋体" w:eastAsia="宋体" w:cs="宋体"/>
          <w:color w:val="000000" w:themeColor="text1"/>
          <w:spacing w:val="0"/>
          <w:sz w:val="24"/>
          <w:szCs w:val="24"/>
          <w:lang w:val="en-US" w:eastAsia="zh-CN"/>
          <w14:textFill>
            <w14:solidFill>
              <w14:schemeClr w14:val="tx1"/>
            </w14:solidFill>
          </w14:textFill>
        </w:rPr>
        <w:t>)落实政府采购政策需满足的资格要求如下:</w:t>
      </w:r>
    </w:p>
    <w:p w14:paraId="70F3EDD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依据《中华人民共和国政府采购法》和《中华人民共和国政府采购法实施条例》的有关规定，落实政府采购政策</w:t>
      </w:r>
      <w:r>
        <w:rPr>
          <w:rFonts w:hint="eastAsia" w:ascii="宋体" w:hAnsi="宋体" w:eastAsia="宋体" w:cs="宋体"/>
          <w:color w:val="000000" w:themeColor="text1"/>
          <w:sz w:val="24"/>
          <w:szCs w:val="24"/>
          <w14:textFill>
            <w14:solidFill>
              <w14:schemeClr w14:val="tx1"/>
            </w14:solidFill>
          </w14:textFill>
        </w:rPr>
        <w:t>(详见招标文件)</w:t>
      </w:r>
      <w:r>
        <w:rPr>
          <w:rFonts w:hint="eastAsia"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0"/>
          <w:sz w:val="24"/>
          <w:szCs w:val="24"/>
          <w:lang w:val="en-US" w:eastAsia="zh-CN"/>
          <w14:textFill>
            <w14:solidFill>
              <w14:schemeClr w14:val="tx1"/>
            </w14:solidFill>
          </w14:textFill>
        </w:rPr>
        <w:t> </w:t>
      </w:r>
    </w:p>
    <w:p w14:paraId="5DA6828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2.1《政府采购促进中小企业发展管理办法》的通知（财库〔2020〕46号）； </w:t>
      </w:r>
    </w:p>
    <w:p w14:paraId="356C555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2.2财政部司法部关于政府采购支持监狱企业发展有关问题的通知--财库〔2014〕68号； </w:t>
      </w:r>
    </w:p>
    <w:p w14:paraId="00ED13F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2.3《国务院办公厅关于建立政府强制采购节能产品制度的通知》--国办发〔2007〕51号。 </w:t>
      </w:r>
    </w:p>
    <w:p w14:paraId="145F8EA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2.4《关于印发环境标志产品政府采购品目清单的通知》（财库〔2019〕18号）； </w:t>
      </w:r>
    </w:p>
    <w:p w14:paraId="640E72C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2.5《关于印发节能产品政府采购品目清单的通知》（财库〔2019〕19号）； </w:t>
      </w:r>
    </w:p>
    <w:p w14:paraId="65AE2D3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2.6《关于促进残疾人就业政府采购政策的通知》财库〔2017〕141号；  </w:t>
      </w:r>
    </w:p>
    <w:p w14:paraId="754EDE6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2.7陕西省财政厅关于印发《陕西省中小企业政府采购信用融资办法》（陕财办采〔2018〕23号）</w:t>
      </w:r>
      <w:r>
        <w:rPr>
          <w:rFonts w:hint="eastAsia" w:cs="宋体"/>
          <w:color w:val="000000" w:themeColor="text1"/>
          <w:spacing w:val="0"/>
          <w:sz w:val="24"/>
          <w:szCs w:val="24"/>
          <w:lang w:val="en-US" w:eastAsia="zh-CN"/>
          <w14:textFill>
            <w14:solidFill>
              <w14:schemeClr w14:val="tx1"/>
            </w14:solidFill>
          </w14:textFill>
        </w:rPr>
        <w:t>；</w:t>
      </w:r>
    </w:p>
    <w:p w14:paraId="4C4958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2.8国务院办公厅印发《关于在政府采购中实施本国产品标准及相关政策的通知》国办发〔2025〕34号</w:t>
      </w:r>
      <w:r>
        <w:rPr>
          <w:rFonts w:hint="eastAsia" w:cs="宋体"/>
          <w:color w:val="000000" w:themeColor="text1"/>
          <w:spacing w:val="0"/>
          <w:sz w:val="24"/>
          <w:szCs w:val="24"/>
          <w:lang w:val="en-US" w:eastAsia="zh-CN"/>
          <w14:textFill>
            <w14:solidFill>
              <w14:schemeClr w14:val="tx1"/>
            </w14:solidFill>
          </w14:textFill>
        </w:rPr>
        <w:t>；</w:t>
      </w:r>
    </w:p>
    <w:p w14:paraId="527AF31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2.9其他需要落实的政府采购政策（如有最新颁布的政府采购政策，按最新的文件执</w:t>
      </w:r>
    </w:p>
    <w:p w14:paraId="427A385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jc w:val="both"/>
        <w:textAlignment w:val="auto"/>
        <w:outlineLvl w:val="9"/>
        <w:rPr>
          <w:rFonts w:hint="default"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行）。</w:t>
      </w:r>
    </w:p>
    <w:p w14:paraId="6CA4A56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3.本项目的特定资格要求：</w:t>
      </w:r>
    </w:p>
    <w:p w14:paraId="1AAEA78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延安市公安局交通管理支队延安市中心城区停车引导系统建设项目（二次）</w:t>
      </w:r>
      <w:r>
        <w:rPr>
          <w:rFonts w:hint="eastAsia" w:ascii="宋体" w:hAnsi="宋体" w:eastAsia="宋体" w:cs="宋体"/>
          <w:color w:val="000000" w:themeColor="text1"/>
          <w:spacing w:val="0"/>
          <w:sz w:val="24"/>
          <w:szCs w:val="24"/>
          <w:lang w:val="en-US" w:eastAsia="zh-CN"/>
          <w14:textFill>
            <w14:solidFill>
              <w14:schemeClr w14:val="tx1"/>
            </w14:solidFill>
          </w14:textFill>
        </w:rPr>
        <w:t>)特定资格要求如下:</w:t>
      </w:r>
    </w:p>
    <w:p w14:paraId="75CE225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3.1具有独立承担民事责任能力的法人、其他组织或自然人，并出具合法有效的营业执照或事业单位法人证书等国家规定的相关证明，自然人参与的提供其身份证明； </w:t>
      </w:r>
    </w:p>
    <w:p w14:paraId="6B9DFD2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法定代表人授权委托书及被授权人身份证（法定代表人直接参加时，只须出示法定代表人身份证)； </w:t>
      </w:r>
    </w:p>
    <w:p w14:paraId="576C11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提供参加政府采购活动前3年内经营活动中没有重大违法记录声明； </w:t>
      </w:r>
    </w:p>
    <w:p w14:paraId="78EF31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月1日以来已缴纳的至少一个月的纳税证明或完税证明，纳税证明或完税证明上应有代收机构或税务机关的公章。依法免税的供应商应提供相关文件证明； </w:t>
      </w:r>
    </w:p>
    <w:p w14:paraId="0AE6934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月1日以来已缴存的至少一个月的社会保障资金缴存单据或社保机构开具的社会保险参保缴费情况证明，依法不需要缴纳社会保障资金的供应商应提供相关文件证明； </w:t>
      </w:r>
    </w:p>
    <w:p w14:paraId="752AA1E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6财务状况报告：提供2024或2025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1EFE3AE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B695F8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57E3575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本项目不接受联合体投标。</w:t>
      </w:r>
    </w:p>
    <w:p w14:paraId="277A5E2F">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三、获取招标文件</w:t>
      </w:r>
    </w:p>
    <w:p w14:paraId="636B5C9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w:t>
      </w:r>
      <w:r>
        <w:rPr>
          <w:rFonts w:hint="eastAsia" w:ascii="宋体" w:hAnsi="宋体" w:cs="宋体"/>
          <w:b w:val="0"/>
          <w:bCs w:val="0"/>
          <w:color w:val="000000" w:themeColor="text1"/>
          <w:spacing w:val="0"/>
          <w:sz w:val="24"/>
          <w:szCs w:val="24"/>
          <w:lang w:val="en-US" w:eastAsia="zh-CN"/>
          <w14:textFill>
            <w14:solidFill>
              <w14:schemeClr w14:val="tx1"/>
            </w14:solidFill>
          </w14:textFill>
        </w:rPr>
        <w:t>：</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日8时00分至202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12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日18时00分（北京时间）</w:t>
      </w:r>
    </w:p>
    <w:p w14:paraId="5365F52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cs="宋体"/>
          <w:b w:val="0"/>
          <w:bCs w:val="0"/>
          <w:color w:val="000000" w:themeColor="text1"/>
          <w:spacing w:val="0"/>
          <w:sz w:val="24"/>
          <w:szCs w:val="24"/>
          <w:lang w:val="en-US" w:eastAsia="zh-CN"/>
          <w14:textFill>
            <w14:solidFill>
              <w14:schemeClr w14:val="tx1"/>
            </w14:solidFill>
          </w14:textFill>
        </w:rPr>
        <w:t>途径</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：全国公共资源交易平台（陕西省·延安市）</w:t>
      </w:r>
    </w:p>
    <w:p w14:paraId="3FF06FF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方式：在线获取</w:t>
      </w:r>
    </w:p>
    <w:p w14:paraId="5F79F75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售价：</w:t>
      </w:r>
      <w:r>
        <w:rPr>
          <w:rFonts w:hint="eastAsia" w:cs="宋体"/>
          <w:b w:val="0"/>
          <w:bCs w:val="0"/>
          <w:color w:val="000000" w:themeColor="text1"/>
          <w:spacing w:val="0"/>
          <w:sz w:val="24"/>
          <w:szCs w:val="24"/>
          <w:lang w:val="en-US" w:eastAsia="zh-CN"/>
          <w14:textFill>
            <w14:solidFill>
              <w14:schemeClr w14:val="tx1"/>
            </w14:solidFill>
          </w14:textFill>
        </w:rPr>
        <w:t>0元</w:t>
      </w:r>
    </w:p>
    <w:p w14:paraId="78CE6D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四、提交投标文件截止时间、开标时间和地点</w:t>
      </w:r>
    </w:p>
    <w:p w14:paraId="22C768F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cs="宋体"/>
          <w:b w:val="0"/>
          <w:bCs w:val="0"/>
          <w:color w:val="000000" w:themeColor="text1"/>
          <w:spacing w:val="0"/>
          <w:sz w:val="24"/>
          <w:szCs w:val="24"/>
          <w:lang w:val="en-US" w:eastAsia="zh-CN"/>
          <w14:textFill>
            <w14:solidFill>
              <w14:schemeClr w14:val="tx1"/>
            </w14:solidFill>
          </w14:textFill>
        </w:rPr>
        <w:t>26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w:t>
      </w:r>
      <w:r>
        <w:rPr>
          <w:rFonts w:hint="eastAsia"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时00分00秒（北京时间）</w:t>
      </w:r>
    </w:p>
    <w:p w14:paraId="528A58B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提交投标文件地点：延安市公共资源交易中心</w:t>
      </w:r>
      <w:r>
        <w:rPr>
          <w:rFonts w:hint="eastAsia" w:cs="宋体"/>
          <w:b w:val="0"/>
          <w:bCs w:val="0"/>
          <w:color w:val="000000" w:themeColor="text1"/>
          <w:spacing w:val="0"/>
          <w:sz w:val="24"/>
          <w:szCs w:val="24"/>
          <w:lang w:val="en-US" w:eastAsia="zh-CN"/>
          <w14:textFill>
            <w14:solidFill>
              <w14:schemeClr w14:val="tx1"/>
            </w14:solidFill>
          </w14:textFill>
        </w:rPr>
        <w:t>开标6室</w:t>
      </w:r>
    </w:p>
    <w:p w14:paraId="7CB8967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开标地点：延安市公共资源交易中心</w:t>
      </w:r>
      <w:r>
        <w:rPr>
          <w:rFonts w:hint="eastAsia" w:cs="宋体"/>
          <w:b w:val="0"/>
          <w:bCs w:val="0"/>
          <w:color w:val="000000" w:themeColor="text1"/>
          <w:spacing w:val="0"/>
          <w:sz w:val="24"/>
          <w:szCs w:val="24"/>
          <w:lang w:val="en-US" w:eastAsia="zh-CN"/>
          <w14:textFill>
            <w14:solidFill>
              <w14:schemeClr w14:val="tx1"/>
            </w14:solidFill>
          </w14:textFill>
        </w:rPr>
        <w:t>开</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标</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室</w:t>
      </w:r>
    </w:p>
    <w:p w14:paraId="3B3BA78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五、公告期限</w:t>
      </w:r>
    </w:p>
    <w:p w14:paraId="1C7F021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自本公告发布之日起5个工作日。</w:t>
      </w:r>
    </w:p>
    <w:p w14:paraId="3DC32205">
      <w:pPr>
        <w:pStyle w:val="32"/>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六、其他补充事宜</w:t>
      </w:r>
    </w:p>
    <w:p w14:paraId="7EE958A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（1）请投标人按照陕西省财政厅关于政府采购供应商注册登记有关事项的通知中的要求，通过陕西省政府采购网（http://www.ccgp-shaanxi.gov.cn/）注册登记加入陕西省政府采购供应商库。</w:t>
      </w:r>
    </w:p>
    <w:p w14:paraId="6FA6B8A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获取方式：投标人可登录全国公共资源交易平台（陕西省•延安市）（http：//ya.sxggzyjy.cn/）,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7008B4F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7FBF39E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（4）供应商初次使用交易平台，需前往陕西省数字证书认证中心股份有限公司办理CA锁，办理流程可参照https://www.snca.com.cn/notice/show/533.html，现场办理地址：延安市新区为民服务中心南区东楼（7号楼）A2 楼，咨询电话：0911-2162266。</w:t>
      </w:r>
    </w:p>
    <w:p w14:paraId="7AC62D4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（5）本项目</w:t>
      </w:r>
      <w:r>
        <w:rPr>
          <w:rFonts w:hint="eastAsia" w:cs="宋体"/>
          <w:b w:val="0"/>
          <w:bCs w:val="0"/>
          <w:color w:val="000000" w:themeColor="text1"/>
          <w:spacing w:val="0"/>
          <w:sz w:val="24"/>
          <w:szCs w:val="24"/>
          <w:lang w:val="en-US" w:eastAsia="zh-CN"/>
          <w14:textFill>
            <w14:solidFill>
              <w14:schemeClr w14:val="tx1"/>
            </w14:solidFill>
          </w14:textFill>
        </w:rPr>
        <w:t>不</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专门面向</w:t>
      </w:r>
      <w:r>
        <w:rPr>
          <w:rFonts w:hint="eastAsia" w:cs="宋体"/>
          <w:b w:val="0"/>
          <w:bCs w:val="0"/>
          <w:color w:val="000000" w:themeColor="text1"/>
          <w:spacing w:val="0"/>
          <w:sz w:val="24"/>
          <w:szCs w:val="24"/>
          <w:lang w:val="en-US" w:eastAsia="zh-CN"/>
          <w14:textFill>
            <w14:solidFill>
              <w14:schemeClr w14:val="tx1"/>
            </w14:solidFill>
          </w14:textFill>
        </w:rPr>
        <w:t>中小</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企业采购。</w:t>
      </w:r>
    </w:p>
    <w:p w14:paraId="566C53F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（6）本项目采用线上不见面形式。</w:t>
      </w:r>
    </w:p>
    <w:p w14:paraId="49AF6D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（7）发布公告的媒介：本次招标公告在《陕西省政府采购网》、《全国公共资源交易平台（陕西省·延安市）》上同时发布。</w:t>
      </w:r>
    </w:p>
    <w:p w14:paraId="63A9001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七、凡对本次采购提出询问，请按以下方式联系。</w:t>
      </w:r>
    </w:p>
    <w:p w14:paraId="66E2FFC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1.采购人信息</w:t>
      </w:r>
    </w:p>
    <w:p w14:paraId="02B6F8C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w:t>
      </w:r>
      <w:r>
        <w:rPr>
          <w:rFonts w:hint="eastAsia" w:cs="宋体"/>
          <w:b w:val="0"/>
          <w:bCs w:val="0"/>
          <w:color w:val="000000" w:themeColor="text1"/>
          <w:spacing w:val="0"/>
          <w:sz w:val="24"/>
          <w:szCs w:val="24"/>
          <w:lang w:val="en-US" w:eastAsia="zh-CN"/>
          <w14:textFill>
            <w14:solidFill>
              <w14:schemeClr w14:val="tx1"/>
            </w14:solidFill>
          </w14:textFill>
        </w:rPr>
        <w:t>延安市公安局交通管理支队</w:t>
      </w:r>
    </w:p>
    <w:p w14:paraId="66099F9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地址：延安市宝塔区</w:t>
      </w:r>
      <w:r>
        <w:rPr>
          <w:rFonts w:hint="eastAsia" w:cs="宋体"/>
          <w:b w:val="0"/>
          <w:bCs w:val="0"/>
          <w:color w:val="000000" w:themeColor="text1"/>
          <w:spacing w:val="0"/>
          <w:sz w:val="24"/>
          <w:szCs w:val="24"/>
          <w:lang w:val="en-US" w:eastAsia="zh-CN"/>
          <w14:textFill>
            <w14:solidFill>
              <w14:schemeClr w14:val="tx1"/>
            </w14:solidFill>
          </w14:textFill>
        </w:rPr>
        <w:t>双拥大道</w:t>
      </w:r>
    </w:p>
    <w:p w14:paraId="32C9C02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w:t>
      </w:r>
      <w:r>
        <w:rPr>
          <w:rFonts w:hint="eastAsia" w:cs="宋体"/>
          <w:b w:val="0"/>
          <w:bCs w:val="0"/>
          <w:color w:val="000000" w:themeColor="text1"/>
          <w:spacing w:val="0"/>
          <w:sz w:val="24"/>
          <w:szCs w:val="24"/>
          <w:lang w:val="en-US" w:eastAsia="zh-CN"/>
          <w14:textFill>
            <w14:solidFill>
              <w14:schemeClr w14:val="tx1"/>
            </w14:solidFill>
          </w14:textFill>
        </w:rPr>
        <w:t>0911-2221673</w:t>
      </w:r>
    </w:p>
    <w:p w14:paraId="47EA3DE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2.采购代理机构信息</w:t>
      </w:r>
    </w:p>
    <w:p w14:paraId="35C9920B">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名称：陕西宸永项目管理有限公司</w:t>
      </w:r>
    </w:p>
    <w:p w14:paraId="30CF8D0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地址：延安市新区盛世花园北区12号楼一单元802室</w:t>
      </w:r>
    </w:p>
    <w:p w14:paraId="2B369A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联系方式：0911-8688810</w:t>
      </w:r>
    </w:p>
    <w:p w14:paraId="0EC73D3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3.项目联系方式</w:t>
      </w:r>
    </w:p>
    <w:p w14:paraId="11C2C07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项目联系人：杨工</w:t>
      </w:r>
    </w:p>
    <w:p w14:paraId="68D0C50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8"/>
          <w:szCs w:val="28"/>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电话：0911-8688810</w:t>
      </w:r>
    </w:p>
    <w:p w14:paraId="6982DD1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pacing w:beforeAutospacing="0" w:afterAutospacing="0" w:line="560" w:lineRule="exact"/>
        <w:ind w:leftChars="0" w:right="0" w:rightChars="0" w:firstLine="420" w:firstLineChars="200"/>
        <w:jc w:val="center"/>
        <w:rPr>
          <w:rFonts w:hint="eastAsia" w:ascii="宋体" w:hAnsi="宋体" w:cs="宋体"/>
          <w:color w:val="000000" w:themeColor="text1"/>
          <w14:textFill>
            <w14:solidFill>
              <w14:schemeClr w14:val="tx1"/>
            </w14:solidFill>
          </w14:textFill>
        </w:rPr>
        <w:sectPr>
          <w:footerReference r:id="rId7" w:type="first"/>
          <w:headerReference r:id="rId5" w:type="default"/>
          <w:footerReference r:id="rId6" w:type="default"/>
          <w:pgSz w:w="11906" w:h="16838"/>
          <w:pgMar w:top="1417" w:right="1134" w:bottom="1417" w:left="1417" w:header="851" w:footer="992" w:gutter="0"/>
          <w:pgBorders>
            <w:top w:val="none" w:sz="0" w:space="0"/>
            <w:left w:val="none" w:sz="0" w:space="0"/>
            <w:bottom w:val="none" w:sz="0" w:space="0"/>
            <w:right w:val="none" w:sz="0" w:space="0"/>
          </w:pgBorders>
          <w:pgNumType w:fmt="decimal" w:start="1"/>
          <w:cols w:space="720" w:num="1"/>
          <w:docGrid w:linePitch="312" w:charSpace="0"/>
        </w:sectPr>
      </w:pPr>
    </w:p>
    <w:p w14:paraId="2EB0EF2E">
      <w:pPr>
        <w:pStyle w:val="2"/>
        <w:spacing w:line="240" w:lineRule="auto"/>
        <w:jc w:val="center"/>
        <w:rPr>
          <w:rFonts w:hint="eastAsia" w:ascii="宋体" w:hAnsi="宋体" w:cs="宋体"/>
          <w:color w:val="000000" w:themeColor="text1"/>
          <w:sz w:val="30"/>
          <w:szCs w:val="30"/>
          <w14:textFill>
            <w14:solidFill>
              <w14:schemeClr w14:val="tx1"/>
            </w14:solidFill>
          </w14:textFill>
        </w:rPr>
      </w:pPr>
      <w:bookmarkStart w:id="13" w:name="_Toc10411"/>
      <w:bookmarkStart w:id="14" w:name="_Toc2596"/>
      <w:bookmarkStart w:id="15" w:name="_Toc23672"/>
      <w:bookmarkStart w:id="16" w:name="_Toc16762"/>
      <w:r>
        <w:rPr>
          <w:rFonts w:hint="eastAsia" w:ascii="宋体" w:hAnsi="宋体" w:cs="宋体"/>
          <w:color w:val="000000" w:themeColor="text1"/>
          <w:sz w:val="30"/>
          <w:szCs w:val="30"/>
          <w14:textFill>
            <w14:solidFill>
              <w14:schemeClr w14:val="tx1"/>
            </w14:solidFill>
          </w14:textFill>
        </w:rPr>
        <w:t>第二章  投标人须知</w:t>
      </w:r>
      <w:bookmarkEnd w:id="11"/>
      <w:bookmarkEnd w:id="12"/>
      <w:bookmarkEnd w:id="13"/>
      <w:bookmarkEnd w:id="14"/>
      <w:bookmarkEnd w:id="15"/>
      <w:bookmarkEnd w:id="16"/>
    </w:p>
    <w:p w14:paraId="39DA9270">
      <w:pPr>
        <w:pStyle w:val="2"/>
        <w:spacing w:after="0" w:line="240" w:lineRule="auto"/>
        <w:rPr>
          <w:rFonts w:hint="eastAsia" w:ascii="宋体" w:hAnsi="宋体" w:cs="宋体"/>
          <w:color w:val="000000" w:themeColor="text1"/>
          <w:sz w:val="24"/>
          <w:szCs w:val="40"/>
          <w14:textFill>
            <w14:solidFill>
              <w14:schemeClr w14:val="tx1"/>
            </w14:solidFill>
          </w14:textFill>
        </w:rPr>
      </w:pPr>
      <w:bookmarkStart w:id="17" w:name="_Toc15597"/>
      <w:bookmarkStart w:id="18" w:name="_Toc25587"/>
      <w:bookmarkStart w:id="19" w:name="_Toc3573"/>
      <w:bookmarkStart w:id="20" w:name="_Toc32301"/>
      <w:bookmarkStart w:id="21" w:name="_Toc11843"/>
      <w:bookmarkStart w:id="22" w:name="_Toc26053"/>
      <w:bookmarkStart w:id="23" w:name="_Toc13763"/>
      <w:bookmarkStart w:id="24" w:name="_Toc16081"/>
      <w:bookmarkStart w:id="25" w:name="_Toc24259"/>
      <w:bookmarkStart w:id="26" w:name="_Toc25163"/>
      <w:bookmarkStart w:id="27" w:name="_Toc22961"/>
      <w:bookmarkStart w:id="28" w:name="_Toc12247"/>
      <w:r>
        <w:rPr>
          <w:rFonts w:hint="eastAsia" w:ascii="宋体" w:hAnsi="宋体" w:cs="宋体"/>
          <w:color w:val="000000" w:themeColor="text1"/>
          <w:sz w:val="24"/>
          <w:szCs w:val="40"/>
          <w14:textFill>
            <w14:solidFill>
              <w14:schemeClr w14:val="tx1"/>
            </w14:solidFill>
          </w14:textFill>
        </w:rPr>
        <w:t>投标人须知前附表</w:t>
      </w:r>
      <w:bookmarkEnd w:id="17"/>
      <w:bookmarkEnd w:id="18"/>
      <w:bookmarkEnd w:id="19"/>
      <w:bookmarkEnd w:id="20"/>
      <w:bookmarkEnd w:id="21"/>
      <w:bookmarkEnd w:id="22"/>
      <w:bookmarkEnd w:id="23"/>
      <w:bookmarkEnd w:id="24"/>
      <w:bookmarkEnd w:id="25"/>
      <w:bookmarkEnd w:id="26"/>
      <w:bookmarkEnd w:id="27"/>
      <w:bookmarkEnd w:id="28"/>
    </w:p>
    <w:tbl>
      <w:tblPr>
        <w:tblStyle w:val="35"/>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616"/>
        <w:gridCol w:w="6703"/>
      </w:tblGrid>
      <w:tr w14:paraId="356691B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AA3BCDC">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条款号</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978784">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  款  名  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B914DBF">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编  列  内  容</w:t>
            </w:r>
          </w:p>
        </w:tc>
      </w:tr>
      <w:tr w14:paraId="22D156BC">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E6EE6B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E6A96F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AE3CEBE">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w:t>
            </w:r>
            <w:r>
              <w:rPr>
                <w:rFonts w:hint="eastAsia" w:ascii="宋体" w:hAnsi="宋体" w:cs="宋体"/>
                <w:color w:val="000000" w:themeColor="text1"/>
                <w:sz w:val="22"/>
                <w:szCs w:val="22"/>
                <w:lang w:eastAsia="zh-CN"/>
                <w14:textFill>
                  <w14:solidFill>
                    <w14:schemeClr w14:val="tx1"/>
                  </w14:solidFill>
                </w14:textFill>
              </w:rPr>
              <w:t>延安市公安局交通管理支队</w:t>
            </w:r>
          </w:p>
          <w:p w14:paraId="1B5B041B">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w:t>
            </w:r>
            <w:r>
              <w:rPr>
                <w:rFonts w:hint="eastAsia" w:ascii="宋体" w:hAnsi="宋体" w:eastAsia="宋体" w:cs="宋体"/>
                <w:color w:val="000000" w:themeColor="text1"/>
                <w:sz w:val="22"/>
                <w:szCs w:val="22"/>
                <w:lang w:val="en-US" w:eastAsia="zh-CN"/>
                <w14:textFill>
                  <w14:solidFill>
                    <w14:schemeClr w14:val="tx1"/>
                  </w14:solidFill>
                </w14:textFill>
              </w:rPr>
              <w:t>延安市宝塔区双拥大道</w:t>
            </w:r>
          </w:p>
          <w:p w14:paraId="70A19285">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联系人：崔鑫</w:t>
            </w:r>
          </w:p>
          <w:p w14:paraId="3CE9E61F">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 话：</w:t>
            </w:r>
            <w:r>
              <w:rPr>
                <w:rFonts w:hint="eastAsia" w:ascii="宋体" w:hAnsi="宋体" w:cs="宋体"/>
                <w:color w:val="000000" w:themeColor="text1"/>
                <w:sz w:val="22"/>
                <w:szCs w:val="22"/>
                <w:lang w:val="en-US" w:eastAsia="zh-CN"/>
                <w14:textFill>
                  <w14:solidFill>
                    <w14:schemeClr w14:val="tx1"/>
                  </w14:solidFill>
                </w14:textFill>
              </w:rPr>
              <w:t>0911-2221673</w:t>
            </w:r>
          </w:p>
        </w:tc>
      </w:tr>
      <w:tr w14:paraId="382D480D">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30730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EA6E57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采购代理机构</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31D24B">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称：陕西宸永项目管理有限公司</w:t>
            </w:r>
          </w:p>
          <w:p w14:paraId="311ED5D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址：延安市新区盛世花园北区12号楼1单元802室</w:t>
            </w:r>
          </w:p>
          <w:p w14:paraId="28476E0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联系人：杨工       </w:t>
            </w:r>
          </w:p>
          <w:p w14:paraId="56847DF0">
            <w:pPr>
              <w:widowControl/>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电话：0911-8688810</w:t>
            </w:r>
            <w:r>
              <w:rPr>
                <w:rFonts w:hint="eastAsia" w:ascii="宋体" w:hAnsi="宋体" w:eastAsia="宋体" w:cs="宋体"/>
                <w:color w:val="000000" w:themeColor="text1"/>
                <w:kern w:val="0"/>
                <w:sz w:val="22"/>
                <w:szCs w:val="22"/>
                <w14:textFill>
                  <w14:solidFill>
                    <w14:schemeClr w14:val="tx1"/>
                  </w14:solidFill>
                </w14:textFill>
              </w:rPr>
              <w:t xml:space="preserve"> </w:t>
            </w:r>
          </w:p>
        </w:tc>
      </w:tr>
      <w:tr w14:paraId="5AE9E7F8">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88E4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B6C456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项目名称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B961E1">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延安市公安局交通管理支队延安市中心城区停车引导系统建设项目（二次）</w:t>
            </w:r>
          </w:p>
        </w:tc>
      </w:tr>
      <w:tr w14:paraId="06946E55">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0BFA0C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1.1.5</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B574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781363">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延安市公安局交通管理支队</w:t>
            </w:r>
            <w:r>
              <w:rPr>
                <w:rFonts w:hint="eastAsia" w:ascii="宋体" w:hAnsi="宋体" w:eastAsia="宋体" w:cs="宋体"/>
                <w:color w:val="000000" w:themeColor="text1"/>
                <w:sz w:val="22"/>
                <w:szCs w:val="22"/>
                <w:lang w:eastAsia="zh-CN"/>
                <w14:textFill>
                  <w14:solidFill>
                    <w14:schemeClr w14:val="tx1"/>
                  </w14:solidFill>
                </w14:textFill>
              </w:rPr>
              <w:t>指定地点</w:t>
            </w:r>
          </w:p>
        </w:tc>
      </w:tr>
      <w:tr w14:paraId="0DEC0542">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E3F7C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031F8C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资金来源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99B907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财政资金  　　　</w:t>
            </w:r>
          </w:p>
        </w:tc>
      </w:tr>
      <w:tr w14:paraId="6A512914">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BE6BA9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640057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项目预算</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08E0C1D">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7311900.00</w:t>
            </w:r>
            <w:r>
              <w:rPr>
                <w:rFonts w:hint="eastAsia" w:ascii="宋体" w:hAnsi="宋体" w:eastAsia="宋体" w:cs="宋体"/>
                <w:color w:val="000000" w:themeColor="text1"/>
                <w:sz w:val="22"/>
                <w:szCs w:val="22"/>
                <w:lang w:val="en-US" w:eastAsia="zh-CN"/>
                <w14:textFill>
                  <w14:solidFill>
                    <w14:schemeClr w14:val="tx1"/>
                  </w14:solidFill>
                </w14:textFill>
              </w:rPr>
              <w:t>元</w:t>
            </w:r>
          </w:p>
        </w:tc>
      </w:tr>
      <w:tr w14:paraId="6BA996CC">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2485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59E501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招标内容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B5B0">
            <w:pPr>
              <w:spacing w:line="360" w:lineRule="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cs="宋体"/>
                <w:b w:val="0"/>
                <w:bCs w:val="0"/>
                <w:color w:val="000000" w:themeColor="text1"/>
                <w:sz w:val="22"/>
                <w:szCs w:val="22"/>
                <w:lang w:val="en-US" w:eastAsia="zh-CN"/>
                <w14:textFill>
                  <w14:solidFill>
                    <w14:schemeClr w14:val="tx1"/>
                  </w14:solidFill>
                </w14:textFill>
              </w:rPr>
              <w:t>延安市中心城区停车引导系统建设</w:t>
            </w:r>
          </w:p>
          <w:p w14:paraId="0CFC3B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核心产品：人脸车牌卡口抓拍机</w:t>
            </w:r>
            <w:r>
              <w:rPr>
                <w:rFonts w:hint="eastAsia" w:ascii="宋体" w:hAnsi="宋体" w:cs="宋体"/>
                <w:b/>
                <w:bCs/>
                <w:color w:val="000000" w:themeColor="text1"/>
                <w:sz w:val="22"/>
                <w:szCs w:val="22"/>
                <w:lang w:val="en-US" w:eastAsia="zh-CN"/>
                <w14:textFill>
                  <w14:solidFill>
                    <w14:schemeClr w14:val="tx1"/>
                  </w14:solidFill>
                </w14:textFill>
              </w:rPr>
              <w:t>；软件部分（1.城市停车诱导监管平台、2.信息发布管理平台、3.数据集成软件平台、4.交通综合管控平台）</w:t>
            </w:r>
            <w:r>
              <w:rPr>
                <w:rFonts w:hint="eastAsia" w:ascii="宋体" w:hAnsi="宋体" w:eastAsia="宋体" w:cs="宋体"/>
                <w:b/>
                <w:bCs/>
                <w:color w:val="000000" w:themeColor="text1"/>
                <w:sz w:val="22"/>
                <w:szCs w:val="22"/>
                <w:lang w:val="en-US" w:eastAsia="zh-CN"/>
                <w14:textFill>
                  <w14:solidFill>
                    <w14:schemeClr w14:val="tx1"/>
                  </w14:solidFill>
                </w14:textFill>
              </w:rPr>
              <w:t>。</w:t>
            </w:r>
          </w:p>
        </w:tc>
      </w:tr>
      <w:tr w14:paraId="73CDC48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B2189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60B2F98">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工期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4A999">
            <w:pPr>
              <w:spacing w:line="360" w:lineRule="auto"/>
              <w:jc w:val="left"/>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30天</w:t>
            </w:r>
          </w:p>
        </w:tc>
      </w:tr>
      <w:tr w14:paraId="5849E1FA">
        <w:tblPrEx>
          <w:tblCellMar>
            <w:top w:w="0" w:type="dxa"/>
            <w:left w:w="108" w:type="dxa"/>
            <w:bottom w:w="0" w:type="dxa"/>
            <w:right w:w="108" w:type="dxa"/>
          </w:tblCellMar>
        </w:tblPrEx>
        <w:trPr>
          <w:trHeight w:val="43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47EC38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1.3.3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BFF142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质保期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FF9D13B">
            <w:pPr>
              <w:spacing w:line="360" w:lineRule="auto"/>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一年</w:t>
            </w:r>
          </w:p>
        </w:tc>
      </w:tr>
      <w:tr w14:paraId="0BE5C0CB">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BE980E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57D396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投标人应具备承担本项目的资质条件、能力和信誉</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87569B4">
            <w:pPr>
              <w:numPr>
                <w:ilvl w:val="0"/>
                <w:numId w:val="0"/>
              </w:num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bidi="ar-SA"/>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基本资格条件：</w:t>
            </w:r>
          </w:p>
          <w:p w14:paraId="05D85200">
            <w:pPr>
              <w:numPr>
                <w:ilvl w:val="0"/>
                <w:numId w:val="0"/>
              </w:num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符合《中华人民共和国政府采购法》第二十二条的规定；</w:t>
            </w:r>
          </w:p>
          <w:p w14:paraId="11C82C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（2）特定资格条件：</w:t>
            </w:r>
          </w:p>
          <w:p w14:paraId="14D6AA3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p>
          <w:p w14:paraId="421AD20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.法定代表人授权委托书及被授权人身份证（法定代表人直接参加时，只须出示法定代表人身份证)；</w:t>
            </w:r>
          </w:p>
          <w:p w14:paraId="3C06E0D2">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eastAsia="zh-CN"/>
                <w14:textFill>
                  <w14:solidFill>
                    <w14:schemeClr w14:val="tx1"/>
                  </w14:solidFill>
                </w14:textFill>
              </w:rPr>
              <w:t>提供参加政府采购活动前3年内经营活动中没有重大违法记录声明</w:t>
            </w:r>
            <w:r>
              <w:rPr>
                <w:rFonts w:hint="eastAsia" w:ascii="宋体" w:hAnsi="宋体" w:eastAsia="宋体" w:cs="宋体"/>
                <w:color w:val="000000" w:themeColor="text1"/>
                <w:sz w:val="22"/>
                <w:szCs w:val="22"/>
                <w14:textFill>
                  <w14:solidFill>
                    <w14:schemeClr w14:val="tx1"/>
                  </w14:solidFill>
                </w14:textFill>
              </w:rPr>
              <w:t>；</w:t>
            </w:r>
          </w:p>
          <w:p w14:paraId="618692A9">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.税收缴纳证明：自202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6963C0A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.社会保障资金缴纳证明：自202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997262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财务状况报告：提供202</w:t>
            </w: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lang w:val="en-US" w:eastAsia="zh-CN"/>
                <w14:textFill>
                  <w14:solidFill>
                    <w14:schemeClr w14:val="tx1"/>
                  </w14:solidFill>
                </w14:textFill>
              </w:rPr>
              <w:t>或202</w:t>
            </w: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08B750BB">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D137BF9">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.提供投标保证金的银行转账或电汇凭证并确保投标文件递交截止时间前到达采购文件指定账户；</w:t>
            </w:r>
          </w:p>
          <w:p w14:paraId="634C62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14:textFill>
                  <w14:solidFill>
                    <w14:schemeClr w14:val="tx1"/>
                  </w14:solidFill>
                </w14:textFill>
              </w:rPr>
              <w:t>.本项目不接受联合体投标。</w:t>
            </w:r>
          </w:p>
        </w:tc>
      </w:tr>
      <w:tr w14:paraId="4C04020E">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A8941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5F8C70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是否接受联合体投标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D48801B">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不接受</w:t>
            </w:r>
          </w:p>
        </w:tc>
      </w:tr>
      <w:tr w14:paraId="63E0B27D">
        <w:tblPrEx>
          <w:tblCellMar>
            <w:top w:w="0" w:type="dxa"/>
            <w:left w:w="108" w:type="dxa"/>
            <w:bottom w:w="0" w:type="dxa"/>
            <w:right w:w="108" w:type="dxa"/>
          </w:tblCellMar>
        </w:tblPrEx>
        <w:trPr>
          <w:trHeight w:val="51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CF46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1.9.1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40211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踏勘现场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1F57036">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不组织</w:t>
            </w:r>
          </w:p>
        </w:tc>
      </w:tr>
      <w:tr w14:paraId="70CA8797">
        <w:tblPrEx>
          <w:tblCellMar>
            <w:top w:w="0" w:type="dxa"/>
            <w:left w:w="108" w:type="dxa"/>
            <w:bottom w:w="0" w:type="dxa"/>
            <w:right w:w="108" w:type="dxa"/>
          </w:tblCellMar>
        </w:tblPrEx>
        <w:trPr>
          <w:trHeight w:val="42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9C62B0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2530B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投标预备会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775E4A5">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不召开</w:t>
            </w:r>
          </w:p>
        </w:tc>
      </w:tr>
      <w:tr w14:paraId="282EC1C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80BB40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771746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投标人提出问题的截止时间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683BCF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w:t>
            </w:r>
            <w:r>
              <w:rPr>
                <w:rFonts w:hint="eastAsia" w:ascii="宋体" w:hAnsi="宋体" w:eastAsia="宋体" w:cs="宋体"/>
                <w:color w:val="000000" w:themeColor="text1"/>
                <w:sz w:val="22"/>
                <w:szCs w:val="22"/>
                <w:lang w:val="en-US" w:eastAsia="zh-CN"/>
                <w14:textFill>
                  <w14:solidFill>
                    <w14:schemeClr w14:val="tx1"/>
                  </w14:solidFill>
                </w14:textFill>
              </w:rPr>
              <w:t>15</w:t>
            </w:r>
            <w:r>
              <w:rPr>
                <w:rFonts w:hint="eastAsia" w:ascii="宋体" w:hAnsi="宋体" w:eastAsia="宋体" w:cs="宋体"/>
                <w:color w:val="000000" w:themeColor="text1"/>
                <w:sz w:val="22"/>
                <w:szCs w:val="22"/>
                <w14:textFill>
                  <w14:solidFill>
                    <w14:schemeClr w14:val="tx1"/>
                  </w14:solidFill>
                </w14:textFill>
              </w:rPr>
              <w:t>日前</w:t>
            </w:r>
          </w:p>
        </w:tc>
      </w:tr>
      <w:tr w14:paraId="1B3FCF1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9942E9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33C98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采购人书面澄清的时间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1E4D9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投标截止时间至少15日前</w:t>
            </w:r>
          </w:p>
        </w:tc>
      </w:tr>
      <w:tr w14:paraId="510A3AF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134B1A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92EAA4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获取</w:t>
            </w:r>
            <w:r>
              <w:rPr>
                <w:rFonts w:hint="eastAsia" w:ascii="宋体" w:hAnsi="宋体" w:eastAsia="宋体" w:cs="宋体"/>
                <w:color w:val="000000" w:themeColor="text1"/>
                <w:sz w:val="22"/>
                <w:szCs w:val="22"/>
                <w14:textFill>
                  <w14:solidFill>
                    <w14:schemeClr w14:val="tx1"/>
                  </w14:solidFill>
                </w14:textFill>
              </w:rPr>
              <w:t>招标文件的时间、地点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A86A58">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时间：202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日8时00分至 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12</w:t>
            </w:r>
            <w:r>
              <w:rPr>
                <w:rFonts w:hint="eastAsia" w:ascii="宋体" w:hAnsi="宋体" w:eastAsia="宋体" w:cs="宋体"/>
                <w:color w:val="000000" w:themeColor="text1"/>
                <w:sz w:val="22"/>
                <w:szCs w:val="22"/>
                <w:lang w:val="en-US" w:eastAsia="zh-CN"/>
                <w14:textFill>
                  <w14:solidFill>
                    <w14:schemeClr w14:val="tx1"/>
                  </w14:solidFill>
                </w14:textFill>
              </w:rPr>
              <w:t>日18时00分（北京时间）持CA锁在《全国公共资源交易平台（陕西省·延安市）》电子招投标系统报名，报名成功后在《全国公共资源交易平台（陕西省·延安市）》下载招标文件。</w:t>
            </w:r>
          </w:p>
        </w:tc>
      </w:tr>
      <w:tr w14:paraId="55623BE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4CED8A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BA8F5A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招标文件的组成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4CB374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（1）招标公告；</w:t>
            </w:r>
          </w:p>
          <w:p w14:paraId="1EE18D72">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（2）投标人须知；</w:t>
            </w:r>
          </w:p>
          <w:p w14:paraId="5CAB21AD">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投标人资格证明文件及审核</w:t>
            </w:r>
            <w:r>
              <w:rPr>
                <w:rFonts w:hint="eastAsia" w:ascii="宋体" w:hAnsi="宋体" w:eastAsia="宋体" w:cs="宋体"/>
                <w:color w:val="000000" w:themeColor="text1"/>
                <w:sz w:val="22"/>
                <w:szCs w:val="22"/>
                <w:lang w:eastAsia="zh-CN"/>
                <w14:textFill>
                  <w14:solidFill>
                    <w14:schemeClr w14:val="tx1"/>
                  </w14:solidFill>
                </w14:textFill>
              </w:rPr>
              <w:t>；</w:t>
            </w:r>
          </w:p>
          <w:p w14:paraId="0434302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）评标办法前附表及评标办法；</w:t>
            </w:r>
          </w:p>
          <w:p w14:paraId="24BAB22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）合同（拟签订</w:t>
            </w:r>
            <w:r>
              <w:rPr>
                <w:rFonts w:hint="eastAsia" w:ascii="宋体" w:hAnsi="宋体" w:eastAsia="宋体" w:cs="宋体"/>
                <w:color w:val="000000" w:themeColor="text1"/>
                <w:sz w:val="22"/>
                <w:szCs w:val="22"/>
                <w:lang w:val="en-US" w:eastAsia="zh-CN"/>
                <w14:textFill>
                  <w14:solidFill>
                    <w14:schemeClr w14:val="tx1"/>
                  </w14:solidFill>
                </w14:textFill>
              </w:rPr>
              <w:t>合同</w:t>
            </w:r>
            <w:r>
              <w:rPr>
                <w:rFonts w:hint="eastAsia" w:ascii="宋体" w:hAnsi="宋体" w:eastAsia="宋体" w:cs="宋体"/>
                <w:color w:val="000000" w:themeColor="text1"/>
                <w:sz w:val="22"/>
                <w:szCs w:val="22"/>
                <w14:textFill>
                  <w14:solidFill>
                    <w14:schemeClr w14:val="tx1"/>
                  </w14:solidFill>
                </w14:textFill>
              </w:rPr>
              <w:t>文本）；</w:t>
            </w:r>
          </w:p>
          <w:p w14:paraId="6DFB8B6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）技术要求；</w:t>
            </w:r>
          </w:p>
          <w:p w14:paraId="62D02E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）投标文件格式。</w:t>
            </w:r>
          </w:p>
        </w:tc>
      </w:tr>
      <w:tr w14:paraId="5FAB2F8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067F15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2ECCF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投标人要求澄清招标文件的截止时间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E6F062">
            <w:pPr>
              <w:spacing w:line="360" w:lineRule="auto"/>
              <w:rPr>
                <w:rFonts w:hint="eastAsia" w:ascii="宋体" w:hAnsi="宋体" w:eastAsia="宋体" w:cs="宋体"/>
                <w:color w:val="000000" w:themeColor="text1"/>
                <w:spacing w:val="-8"/>
                <w:sz w:val="22"/>
                <w:szCs w:val="22"/>
                <w14:textFill>
                  <w14:solidFill>
                    <w14:schemeClr w14:val="tx1"/>
                  </w14:solidFill>
                </w14:textFill>
              </w:rPr>
            </w:pPr>
            <w:r>
              <w:rPr>
                <w:rFonts w:hint="eastAsia" w:ascii="宋体" w:hAnsi="宋体" w:eastAsia="宋体" w:cs="宋体"/>
                <w:color w:val="000000" w:themeColor="text1"/>
                <w:spacing w:val="-8"/>
                <w:sz w:val="22"/>
                <w:szCs w:val="22"/>
                <w14:textFill>
                  <w14:solidFill>
                    <w14:schemeClr w14:val="tx1"/>
                  </w14:solidFill>
                </w14:textFill>
              </w:rPr>
              <w:t>投标截止</w:t>
            </w:r>
            <w:r>
              <w:rPr>
                <w:rFonts w:hint="eastAsia" w:ascii="宋体" w:hAnsi="宋体" w:eastAsia="宋体" w:cs="宋体"/>
                <w:color w:val="000000" w:themeColor="text1"/>
                <w:spacing w:val="-8"/>
                <w:sz w:val="22"/>
                <w:szCs w:val="22"/>
                <w:lang w:val="en-US" w:eastAsia="zh-CN"/>
                <w14:textFill>
                  <w14:solidFill>
                    <w14:schemeClr w14:val="tx1"/>
                  </w14:solidFill>
                </w14:textFill>
              </w:rPr>
              <w:t>时间前15日</w:t>
            </w:r>
            <w:r>
              <w:rPr>
                <w:rFonts w:hint="eastAsia" w:ascii="宋体" w:hAnsi="宋体" w:eastAsia="宋体" w:cs="宋体"/>
                <w:color w:val="000000" w:themeColor="text1"/>
                <w:spacing w:val="-8"/>
                <w:sz w:val="22"/>
                <w:szCs w:val="22"/>
                <w14:textFill>
                  <w14:solidFill>
                    <w14:schemeClr w14:val="tx1"/>
                  </w14:solidFill>
                </w14:textFill>
              </w:rPr>
              <w:t>以书面形式通知采购代理机构，并电话确认代理公司相关联系人收到答疑书面文件。</w:t>
            </w:r>
          </w:p>
        </w:tc>
      </w:tr>
      <w:tr w14:paraId="2DBFFAB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DD347F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8281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FCA9E47">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2026年8月</w:t>
            </w:r>
            <w:r>
              <w:rPr>
                <w:rFonts w:hint="eastAsia" w:ascii="宋体" w:hAnsi="宋体" w:cs="宋体"/>
                <w:color w:val="000000" w:themeColor="text1"/>
                <w:sz w:val="22"/>
                <w:szCs w:val="22"/>
                <w:lang w:val="en-US" w:eastAsia="zh-CN"/>
                <w14:textFill>
                  <w14:solidFill>
                    <w14:schemeClr w14:val="tx1"/>
                  </w14:solidFill>
                </w14:textFill>
              </w:rPr>
              <w:t>26</w:t>
            </w:r>
            <w:r>
              <w:rPr>
                <w:rFonts w:hint="eastAsia" w:ascii="宋体" w:hAnsi="宋体" w:eastAsia="宋体" w:cs="宋体"/>
                <w:color w:val="000000" w:themeColor="text1"/>
                <w:sz w:val="22"/>
                <w:szCs w:val="22"/>
                <w:lang w:val="en-US" w:eastAsia="zh-CN"/>
                <w14:textFill>
                  <w14:solidFill>
                    <w14:schemeClr w14:val="tx1"/>
                  </w14:solidFill>
                </w14:textFill>
              </w:rPr>
              <w:t>日</w:t>
            </w: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lang w:val="en-US" w:eastAsia="zh-CN"/>
                <w14:textFill>
                  <w14:solidFill>
                    <w14:schemeClr w14:val="tx1"/>
                  </w14:solidFill>
                </w14:textFill>
              </w:rPr>
              <w:t>时00分00秒（北京时间）</w:t>
            </w:r>
          </w:p>
        </w:tc>
      </w:tr>
      <w:tr w14:paraId="062FFF4A">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DE3C35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 2.2.4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1E82EA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5FB31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收到澄清文件当日内完成</w:t>
            </w:r>
          </w:p>
        </w:tc>
      </w:tr>
      <w:tr w14:paraId="5103DE42">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30301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09D76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投标人确认收到招标文件修改的时间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D5295F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收到修改文件当日内完成</w:t>
            </w:r>
          </w:p>
        </w:tc>
      </w:tr>
      <w:tr w14:paraId="34BF5124">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BDCFEC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791D01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投标有效期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377227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自开标大会之日起不得少于90天</w:t>
            </w:r>
          </w:p>
        </w:tc>
      </w:tr>
      <w:tr w14:paraId="37E658A4">
        <w:tblPrEx>
          <w:tblCellMar>
            <w:top w:w="0" w:type="dxa"/>
            <w:left w:w="108" w:type="dxa"/>
            <w:bottom w:w="0" w:type="dxa"/>
            <w:right w:w="108" w:type="dxa"/>
          </w:tblCellMar>
        </w:tblPrEx>
        <w:trPr>
          <w:trHeight w:val="56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712E6C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64BA9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投标保证金</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E10F6B2">
            <w:pPr>
              <w:pageBreakBefore w:val="0"/>
              <w:widowControl w:val="0"/>
              <w:wordWrap/>
              <w:topLinePunct w:val="0"/>
              <w:bidi w:val="0"/>
              <w:spacing w:line="360" w:lineRule="auto"/>
              <w:jc w:val="both"/>
              <w:rPr>
                <w:rFonts w:hint="eastAsia" w:ascii="宋体" w:hAnsi="宋体" w:eastAsia="宋体" w:cs="宋体"/>
                <w:b/>
                <w:bCs/>
                <w:color w:val="000000" w:themeColor="text1"/>
                <w:kern w:val="2"/>
                <w:sz w:val="22"/>
                <w:szCs w:val="22"/>
                <w:u w:val="none"/>
                <w:lang w:eastAsia="zh-CN"/>
                <w14:textFill>
                  <w14:solidFill>
                    <w14:schemeClr w14:val="tx1"/>
                  </w14:solidFill>
                </w14:textFill>
              </w:rPr>
            </w:pPr>
            <w:r>
              <w:rPr>
                <w:rFonts w:hint="eastAsia" w:ascii="宋体" w:hAnsi="宋体" w:eastAsia="宋体" w:cs="宋体"/>
                <w:b/>
                <w:bCs/>
                <w:color w:val="000000" w:themeColor="text1"/>
                <w:kern w:val="2"/>
                <w:sz w:val="22"/>
                <w:szCs w:val="22"/>
                <w:lang w:val="en-US" w:eastAsia="zh-CN"/>
                <w14:textFill>
                  <w14:solidFill>
                    <w14:schemeClr w14:val="tx1"/>
                  </w14:solidFill>
                </w14:textFill>
              </w:rPr>
              <w:t>投标</w:t>
            </w:r>
            <w:r>
              <w:rPr>
                <w:rFonts w:hint="eastAsia" w:ascii="宋体" w:hAnsi="宋体" w:eastAsia="宋体" w:cs="宋体"/>
                <w:b/>
                <w:bCs/>
                <w:color w:val="000000" w:themeColor="text1"/>
                <w:kern w:val="2"/>
                <w:sz w:val="22"/>
                <w:szCs w:val="22"/>
                <w14:textFill>
                  <w14:solidFill>
                    <w14:schemeClr w14:val="tx1"/>
                  </w14:solidFill>
                </w14:textFill>
              </w:rPr>
              <w:t>保证金：</w:t>
            </w:r>
            <w:r>
              <w:rPr>
                <w:rFonts w:hint="eastAsia" w:ascii="宋体" w:hAnsi="宋体" w:cs="宋体"/>
                <w:b/>
                <w:bCs/>
                <w:color w:val="000000" w:themeColor="text1"/>
                <w:kern w:val="2"/>
                <w:sz w:val="22"/>
                <w:szCs w:val="22"/>
                <w:lang w:val="en-US" w:eastAsia="zh-CN"/>
                <w14:textFill>
                  <w14:solidFill>
                    <w14:schemeClr w14:val="tx1"/>
                  </w14:solidFill>
                </w14:textFill>
              </w:rPr>
              <w:t>80000</w:t>
            </w:r>
            <w:r>
              <w:rPr>
                <w:rFonts w:hint="eastAsia" w:ascii="宋体" w:hAnsi="宋体" w:eastAsia="宋体" w:cs="宋体"/>
                <w:b/>
                <w:bCs/>
                <w:color w:val="000000" w:themeColor="text1"/>
                <w:kern w:val="2"/>
                <w:sz w:val="22"/>
                <w:szCs w:val="22"/>
                <w:u w:val="none"/>
                <w14:textFill>
                  <w14:solidFill>
                    <w14:schemeClr w14:val="tx1"/>
                  </w14:solidFill>
                </w14:textFill>
              </w:rPr>
              <w:t>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r>
              <w:rPr>
                <w:rFonts w:hint="eastAsia" w:ascii="宋体" w:hAnsi="宋体" w:cs="宋体"/>
                <w:b/>
                <w:bCs/>
                <w:color w:val="000000" w:themeColor="text1"/>
                <w:kern w:val="2"/>
                <w:sz w:val="22"/>
                <w:szCs w:val="22"/>
                <w:u w:val="none"/>
                <w:lang w:val="en-US" w:eastAsia="zh-CN"/>
                <w14:textFill>
                  <w14:solidFill>
                    <w14:schemeClr w14:val="tx1"/>
                  </w14:solidFill>
                </w14:textFill>
              </w:rPr>
              <w:t>捌万元整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p>
          <w:p w14:paraId="2A814112">
            <w:pPr>
              <w:pStyle w:val="13"/>
              <w:pageBreakBefore w:val="0"/>
              <w:wordWrap/>
              <w:topLinePunct w:val="0"/>
              <w:bidi w:val="0"/>
              <w:spacing w:line="360" w:lineRule="auto"/>
              <w:ind w:left="0" w:leftChars="0" w:firstLine="0" w:firstLineChars="0"/>
              <w:jc w:val="both"/>
              <w:rPr>
                <w:rFonts w:hint="eastAsia" w:ascii="宋体" w:hAnsi="宋体" w:eastAsia="宋体" w:cs="宋体"/>
                <w:b/>
                <w:bCs/>
                <w:color w:val="000000" w:themeColor="text1"/>
                <w:kern w:val="2"/>
                <w:sz w:val="22"/>
                <w:szCs w:val="22"/>
                <w14:textFill>
                  <w14:solidFill>
                    <w14:schemeClr w14:val="tx1"/>
                  </w14:solidFill>
                </w14:textFill>
              </w:rPr>
            </w:pP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备注：</w:t>
            </w:r>
            <w:r>
              <w:rPr>
                <w:rFonts w:hint="eastAsia" w:ascii="宋体" w:hAnsi="宋体" w:cs="宋体"/>
                <w:b/>
                <w:bCs/>
                <w:color w:val="000000" w:themeColor="text1"/>
                <w:kern w:val="2"/>
                <w:sz w:val="22"/>
                <w:szCs w:val="22"/>
                <w:lang w:val="en-US" w:eastAsia="zh-CN" w:bidi="ar-SA"/>
                <w14:textFill>
                  <w14:solidFill>
                    <w14:schemeClr w14:val="tx1"/>
                  </w14:solidFill>
                </w14:textFill>
              </w:rPr>
              <w:t>SXCY2026-13.1B1</w:t>
            </w: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投标保证金</w:t>
            </w:r>
          </w:p>
          <w:p w14:paraId="7EF64462">
            <w:pPr>
              <w:pageBreakBefore w:val="0"/>
              <w:widowControl w:val="0"/>
              <w:wordWrap/>
              <w:topLinePunct w:val="0"/>
              <w:bidi w:val="0"/>
              <w:spacing w:line="360" w:lineRule="auto"/>
              <w:ind w:firstLine="440" w:firstLineChars="200"/>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保证金有效期限：</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保证金的有效期与</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有效期一致。</w:t>
            </w:r>
          </w:p>
          <w:p w14:paraId="7DC2A27C">
            <w:pPr>
              <w:pageBreakBefore w:val="0"/>
              <w:tabs>
                <w:tab w:val="left" w:pos="0"/>
              </w:tabs>
              <w:kinsoku w:val="0"/>
              <w:wordWrap/>
              <w:topLinePunct w:val="0"/>
              <w:bidi w:val="0"/>
              <w:spacing w:line="360" w:lineRule="auto"/>
              <w:ind w:firstLine="440" w:firstLineChars="200"/>
              <w:jc w:val="both"/>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交款方式：</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保证金应当以支票、汇票、本票、网上银行支付或者金融机构、担保机构出具的保函等非现金形式交纳。供应商未按照采购文件要求提交</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保证金的，</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文件无效。请</w:t>
            </w:r>
            <w:r>
              <w:rPr>
                <w:rFonts w:hint="eastAsia" w:ascii="宋体" w:hAnsi="宋体" w:eastAsia="宋体" w:cs="宋体"/>
                <w:color w:val="000000" w:themeColor="text1"/>
                <w:sz w:val="22"/>
                <w:szCs w:val="22"/>
                <w:lang w:eastAsia="zh-CN"/>
                <w14:textFill>
                  <w14:solidFill>
                    <w14:schemeClr w14:val="tx1"/>
                  </w14:solidFill>
                </w14:textFill>
              </w:rPr>
              <w:t>供应商在</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eastAsia="zh-CN"/>
                <w14:textFill>
                  <w14:solidFill>
                    <w14:schemeClr w14:val="tx1"/>
                  </w14:solidFill>
                </w14:textFill>
              </w:rPr>
              <w:t>文件递交截止时间</w:t>
            </w:r>
            <w:r>
              <w:rPr>
                <w:rFonts w:hint="eastAsia" w:ascii="宋体" w:hAnsi="宋体" w:eastAsia="宋体" w:cs="宋体"/>
                <w:color w:val="000000" w:themeColor="text1"/>
                <w:sz w:val="22"/>
                <w:szCs w:val="22"/>
                <w:lang w:val="en-US" w:eastAsia="zh-CN"/>
                <w14:textFill>
                  <w14:solidFill>
                    <w14:schemeClr w14:val="tx1"/>
                  </w14:solidFill>
                </w14:textFill>
              </w:rPr>
              <w:t>前将投标保证金由公司账户（投标保证金的交付单位和投标供应商的名称必须一致）缴纳到下列账户：</w:t>
            </w:r>
          </w:p>
          <w:p w14:paraId="3B2B5190">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开户单位：</w:t>
            </w:r>
            <w:r>
              <w:rPr>
                <w:rFonts w:hint="eastAsia" w:ascii="宋体" w:hAnsi="宋体" w:eastAsia="宋体" w:cs="宋体"/>
                <w:b/>
                <w:bCs/>
                <w:color w:val="000000" w:themeColor="text1"/>
                <w:sz w:val="22"/>
                <w:szCs w:val="22"/>
                <w:lang w:eastAsia="zh-CN"/>
                <w14:textFill>
                  <w14:solidFill>
                    <w14:schemeClr w14:val="tx1"/>
                  </w14:solidFill>
                </w14:textFill>
              </w:rPr>
              <w:t>陕西宸永项目管理有限公司</w:t>
            </w:r>
          </w:p>
          <w:p w14:paraId="49E13785">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开户行名称：</w:t>
            </w:r>
            <w:r>
              <w:rPr>
                <w:rFonts w:hint="eastAsia" w:ascii="宋体" w:hAnsi="宋体" w:eastAsia="宋体" w:cs="宋体"/>
                <w:b/>
                <w:bCs/>
                <w:color w:val="000000" w:themeColor="text1"/>
                <w:sz w:val="22"/>
                <w:szCs w:val="22"/>
                <w:lang w:val="en-US" w:eastAsia="zh-CN"/>
                <w14:textFill>
                  <w14:solidFill>
                    <w14:schemeClr w14:val="tx1"/>
                  </w14:solidFill>
                </w14:textFill>
              </w:rPr>
              <w:t>中国建设银行股份有限公司延安马家湾支行</w:t>
            </w:r>
          </w:p>
          <w:p w14:paraId="628AB32C">
            <w:pPr>
              <w:spacing w:line="360" w:lineRule="auto"/>
              <w:jc w:val="left"/>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账      号：</w:t>
            </w:r>
            <w:r>
              <w:rPr>
                <w:rFonts w:hint="eastAsia" w:ascii="宋体" w:hAnsi="宋体" w:eastAsia="宋体" w:cs="宋体"/>
                <w:b/>
                <w:bCs/>
                <w:color w:val="000000" w:themeColor="text1"/>
                <w:sz w:val="22"/>
                <w:szCs w:val="22"/>
                <w:lang w:val="en-US" w:eastAsia="zh-CN"/>
                <w14:textFill>
                  <w14:solidFill>
                    <w14:schemeClr w14:val="tx1"/>
                  </w14:solidFill>
                </w14:textFill>
              </w:rPr>
              <w:t>61050168980000000758</w:t>
            </w:r>
          </w:p>
        </w:tc>
      </w:tr>
      <w:tr w14:paraId="5C56A4EE">
        <w:tblPrEx>
          <w:tblCellMar>
            <w:top w:w="0" w:type="dxa"/>
            <w:left w:w="108" w:type="dxa"/>
            <w:bottom w:w="0" w:type="dxa"/>
            <w:right w:w="108" w:type="dxa"/>
          </w:tblCellMar>
        </w:tblPrEx>
        <w:trPr>
          <w:trHeight w:val="140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515CD0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1B79D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签字或盖章要求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C74D71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w:t>
            </w:r>
            <w:r>
              <w:rPr>
                <w:rFonts w:hint="eastAsia" w:ascii="宋体" w:hAnsi="宋体" w:eastAsia="宋体" w:cs="宋体"/>
                <w:color w:val="000000" w:themeColor="text1"/>
                <w:sz w:val="22"/>
                <w:szCs w:val="22"/>
                <w:lang w:val="en-US" w:eastAsia="zh-CN"/>
                <w14:textFill>
                  <w14:solidFill>
                    <w14:schemeClr w14:val="tx1"/>
                  </w14:solidFill>
                </w14:textFill>
              </w:rPr>
              <w:t>须在</w:t>
            </w:r>
            <w:r>
              <w:rPr>
                <w:rFonts w:hint="eastAsia" w:ascii="宋体" w:hAnsi="宋体" w:eastAsia="宋体" w:cs="宋体"/>
                <w:color w:val="000000" w:themeColor="text1"/>
                <w:sz w:val="22"/>
                <w:szCs w:val="22"/>
                <w:lang w:eastAsia="zh-CN"/>
                <w14:textFill>
                  <w14:solidFill>
                    <w14:schemeClr w14:val="tx1"/>
                  </w14:solidFill>
                </w14:textFill>
              </w:rPr>
              <w:t>指定位置</w:t>
            </w:r>
            <w:r>
              <w:rPr>
                <w:rFonts w:hint="eastAsia" w:ascii="宋体" w:hAnsi="宋体" w:eastAsia="宋体" w:cs="宋体"/>
                <w:color w:val="000000" w:themeColor="text1"/>
                <w:sz w:val="22"/>
                <w:szCs w:val="22"/>
                <w14:textFill>
                  <w14:solidFill>
                    <w14:schemeClr w14:val="tx1"/>
                  </w14:solidFill>
                </w14:textFill>
              </w:rPr>
              <w:t>加盖公章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鲜章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并经法定代表人或其委托代理人</w:t>
            </w:r>
            <w:r>
              <w:rPr>
                <w:rFonts w:hint="eastAsia" w:ascii="宋体" w:hAnsi="宋体" w:eastAsia="宋体" w:cs="宋体"/>
                <w:color w:val="000000" w:themeColor="text1"/>
                <w:sz w:val="22"/>
                <w:szCs w:val="22"/>
                <w:lang w:eastAsia="zh-CN"/>
                <w14:textFill>
                  <w14:solidFill>
                    <w14:schemeClr w14:val="tx1"/>
                  </w14:solidFill>
                </w14:textFill>
              </w:rPr>
              <w:t>于指定位置</w:t>
            </w:r>
            <w:r>
              <w:rPr>
                <w:rFonts w:hint="eastAsia" w:ascii="宋体" w:hAnsi="宋体" w:eastAsia="宋体" w:cs="宋体"/>
                <w:color w:val="000000" w:themeColor="text1"/>
                <w:sz w:val="22"/>
                <w:szCs w:val="22"/>
                <w14:textFill>
                  <w14:solidFill>
                    <w14:schemeClr w14:val="tx1"/>
                  </w14:solidFill>
                </w14:textFill>
              </w:rPr>
              <w:t>签字或盖章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由委托代理人签字或盖章的在投标文件中须同时提交投标文件签署授权委托书。</w:t>
            </w:r>
          </w:p>
        </w:tc>
      </w:tr>
      <w:tr w14:paraId="45031FD0">
        <w:tblPrEx>
          <w:tblCellMar>
            <w:top w:w="0" w:type="dxa"/>
            <w:left w:w="108" w:type="dxa"/>
            <w:bottom w:w="0" w:type="dxa"/>
            <w:right w:w="108" w:type="dxa"/>
          </w:tblCellMar>
        </w:tblPrEx>
        <w:trPr>
          <w:trHeight w:val="1139" w:hRule="atLeast"/>
          <w:jc w:val="center"/>
        </w:trPr>
        <w:tc>
          <w:tcPr>
            <w:tcW w:w="968" w:type="dxa"/>
            <w:vMerge w:val="restart"/>
            <w:tcBorders>
              <w:top w:val="single" w:color="auto" w:sz="4" w:space="0"/>
              <w:left w:val="single" w:color="auto" w:sz="4" w:space="0"/>
              <w:right w:val="single" w:color="auto" w:sz="4" w:space="0"/>
            </w:tcBorders>
            <w:noWrap w:val="0"/>
            <w:vAlign w:val="center"/>
          </w:tcPr>
          <w:p w14:paraId="71B1C5A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8D8425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投标文件编制及递交要求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27F2267">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 xml:space="preserve">本项目采用电子化招投标的形式。 </w:t>
            </w:r>
          </w:p>
          <w:p w14:paraId="6F6E43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编制电子响应文件时，应使用最新发布的电子</w:t>
            </w:r>
            <w:r>
              <w:rPr>
                <w:rFonts w:hint="eastAsia" w:ascii="宋体" w:hAnsi="宋体" w:cs="宋体"/>
                <w:color w:val="000000" w:themeColor="text1"/>
                <w:sz w:val="22"/>
                <w:szCs w:val="22"/>
                <w:lang w:val="en-US" w:eastAsia="zh-CN"/>
                <w14:textFill>
                  <w14:solidFill>
                    <w14:schemeClr w14:val="tx1"/>
                  </w14:solidFill>
                </w14:textFill>
              </w:rPr>
              <w:t>招标</w:t>
            </w:r>
            <w:r>
              <w:rPr>
                <w:rFonts w:hint="eastAsia" w:ascii="宋体" w:hAnsi="宋体" w:eastAsia="宋体" w:cs="宋体"/>
                <w:color w:val="000000" w:themeColor="text1"/>
                <w:sz w:val="22"/>
                <w:szCs w:val="22"/>
                <w:lang w:val="en-US" w:eastAsia="zh-CN"/>
                <w14:textFill>
                  <w14:solidFill>
                    <w14:schemeClr w14:val="tx1"/>
                  </w14:solidFill>
                </w14:textFill>
              </w:rPr>
              <w:t>文件及专用制作工具进行编制。并使用数字认证证书（CA 锁）对电子</w:t>
            </w:r>
            <w:r>
              <w:rPr>
                <w:rFonts w:hint="eastAsia" w:ascii="宋体" w:hAnsi="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val="en-US" w:eastAsia="zh-CN"/>
                <w14:textFill>
                  <w14:solidFill>
                    <w14:schemeClr w14:val="tx1"/>
                  </w14:solidFill>
                </w14:textFill>
              </w:rPr>
              <w:t>文件进行</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签署、加密、递交、解密等相关操作。 </w:t>
            </w:r>
          </w:p>
          <w:p w14:paraId="25106AB0">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0FDC4A2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注意：该项目如有变更文件，则应点击“项目流程&gt;答疑文件下载” 下载更新后的电子招标文件（*.SXSCF），使用旧版电子招标文件制作的电子投标文件，系统将拒绝接收。 </w:t>
            </w:r>
          </w:p>
          <w:p w14:paraId="201B7BA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56A17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③制作电子响应文件。电子响应文件同样需要使用上述软件进行编制。在编制过程中，如有技术性问题，请先翻阅操作手册，或致电软件开发商。 </w:t>
            </w:r>
          </w:p>
          <w:p w14:paraId="563DCE04">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技术支持热线：0512</w:t>
            </w:r>
            <w:r>
              <w:rPr>
                <w:rFonts w:hint="eastAsia" w:ascii="宋体" w:hAnsi="宋体" w:eastAsia="宋体" w:cs="宋体"/>
                <w:color w:val="000000" w:themeColor="text1"/>
                <w:sz w:val="22"/>
                <w:szCs w:val="22"/>
                <w:lang w:val="en-US" w:eastAsia="zh-CN"/>
                <w14:textFill>
                  <w14:solidFill>
                    <w14:schemeClr w14:val="tx1"/>
                  </w14:solidFill>
                </w14:textFill>
              </w:rPr>
              <w:t>58188039</w:t>
            </w:r>
          </w:p>
          <w:p w14:paraId="5EC36A6B">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lang w:eastAsia="zh-CN"/>
                <w14:textFill>
                  <w14:solidFill>
                    <w14:schemeClr w14:val="tx1"/>
                  </w14:solidFill>
                </w14:textFill>
              </w:rPr>
              <w:t>电子投标文件上传递交至延安市公共资源交易中心网电子招标投标系统；</w:t>
            </w:r>
          </w:p>
          <w:p w14:paraId="41A6EB7E">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纸质投标文件递交要求：正本壹份，副本</w:t>
            </w:r>
            <w:r>
              <w:rPr>
                <w:rFonts w:hint="eastAsia" w:ascii="宋体" w:hAnsi="宋体" w:eastAsia="宋体" w:cs="宋体"/>
                <w:color w:val="000000" w:themeColor="text1"/>
                <w:sz w:val="22"/>
                <w:szCs w:val="22"/>
                <w:lang w:val="en-US" w:eastAsia="zh-CN"/>
                <w14:textFill>
                  <w14:solidFill>
                    <w14:schemeClr w14:val="tx1"/>
                  </w14:solidFill>
                </w14:textFill>
              </w:rPr>
              <w:t>贰</w:t>
            </w:r>
            <w:r>
              <w:rPr>
                <w:rFonts w:hint="eastAsia" w:ascii="宋体" w:hAnsi="宋体" w:eastAsia="宋体" w:cs="宋体"/>
                <w:color w:val="000000" w:themeColor="text1"/>
                <w:sz w:val="22"/>
                <w:szCs w:val="22"/>
                <w:lang w:eastAsia="zh-CN"/>
                <w14:textFill>
                  <w14:solidFill>
                    <w14:schemeClr w14:val="tx1"/>
                  </w14:solidFill>
                </w14:textFill>
              </w:rPr>
              <w:t>份（</w:t>
            </w:r>
            <w:r>
              <w:rPr>
                <w:rFonts w:hint="eastAsia" w:ascii="宋体" w:hAnsi="宋体" w:eastAsia="宋体" w:cs="宋体"/>
                <w:color w:val="000000" w:themeColor="text1"/>
                <w:sz w:val="22"/>
                <w:szCs w:val="22"/>
                <w:lang w:val="en-US" w:eastAsia="zh-CN"/>
                <w14:textFill>
                  <w14:solidFill>
                    <w14:schemeClr w14:val="tx1"/>
                  </w14:solidFill>
                </w14:textFill>
              </w:rPr>
              <w:t>副本可采用正本复印件</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w:t>
            </w:r>
          </w:p>
          <w:p w14:paraId="2B2261D4">
            <w:pPr>
              <w:spacing w:line="360" w:lineRule="auto"/>
              <w:ind w:firstLine="442"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注：本项目纸质投标文件须留档保存，接受邮寄（纸质投标文件须与电子投标文件保持一致），开标结束后三日内邮寄到：延安市新区盛世花园北区12号楼一单元802室，电话：0911-8688810。</w:t>
            </w:r>
          </w:p>
        </w:tc>
      </w:tr>
      <w:tr w14:paraId="43281B9D">
        <w:tblPrEx>
          <w:tblCellMar>
            <w:top w:w="0" w:type="dxa"/>
            <w:left w:w="108" w:type="dxa"/>
            <w:bottom w:w="0" w:type="dxa"/>
            <w:right w:w="108" w:type="dxa"/>
          </w:tblCellMar>
        </w:tblPrEx>
        <w:trPr>
          <w:trHeight w:val="1139" w:hRule="atLeast"/>
          <w:jc w:val="center"/>
        </w:trPr>
        <w:tc>
          <w:tcPr>
            <w:tcW w:w="968" w:type="dxa"/>
            <w:vMerge w:val="continue"/>
            <w:tcBorders>
              <w:left w:val="single" w:color="auto" w:sz="4" w:space="0"/>
              <w:right w:val="single" w:color="auto" w:sz="4" w:space="0"/>
            </w:tcBorders>
            <w:noWrap w:val="0"/>
            <w:vAlign w:val="center"/>
          </w:tcPr>
          <w:p w14:paraId="5BEF1360">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6E582B1">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投标文件电子版要求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A9B6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递交</w:t>
            </w:r>
            <w:r>
              <w:rPr>
                <w:rFonts w:hint="eastAsia" w:ascii="宋体" w:hAnsi="宋体" w:eastAsia="宋体" w:cs="宋体"/>
                <w:color w:val="000000" w:themeColor="text1"/>
                <w:sz w:val="22"/>
                <w:szCs w:val="22"/>
                <w:lang w:eastAsia="zh-CN"/>
                <w14:textFill>
                  <w14:solidFill>
                    <w14:schemeClr w14:val="tx1"/>
                  </w14:solidFill>
                </w14:textFill>
              </w:rPr>
              <w:t>纸质</w:t>
            </w:r>
            <w:r>
              <w:rPr>
                <w:rFonts w:hint="eastAsia" w:ascii="宋体" w:hAnsi="宋体" w:eastAsia="宋体" w:cs="宋体"/>
                <w:color w:val="000000" w:themeColor="text1"/>
                <w:sz w:val="22"/>
                <w:szCs w:val="22"/>
                <w14:textFill>
                  <w14:solidFill>
                    <w14:schemeClr w14:val="tx1"/>
                  </w14:solidFill>
                </w14:textFill>
              </w:rPr>
              <w:t>投标文件时</w:t>
            </w:r>
            <w:r>
              <w:rPr>
                <w:rFonts w:hint="eastAsia" w:ascii="宋体" w:hAnsi="宋体" w:eastAsia="宋体" w:cs="宋体"/>
                <w:color w:val="000000" w:themeColor="text1"/>
                <w:sz w:val="22"/>
                <w:szCs w:val="22"/>
                <w:lang w:eastAsia="zh-CN"/>
                <w14:textFill>
                  <w14:solidFill>
                    <w14:schemeClr w14:val="tx1"/>
                  </w14:solidFill>
                </w14:textFill>
              </w:rPr>
              <w:t>须</w:t>
            </w:r>
            <w:r>
              <w:rPr>
                <w:rFonts w:hint="eastAsia" w:ascii="宋体" w:hAnsi="宋体" w:eastAsia="宋体" w:cs="宋体"/>
                <w:color w:val="000000" w:themeColor="text1"/>
                <w:sz w:val="22"/>
                <w:szCs w:val="22"/>
                <w14:textFill>
                  <w14:solidFill>
                    <w14:schemeClr w14:val="tx1"/>
                  </w14:solidFill>
                </w14:textFill>
              </w:rPr>
              <w:t>同时提交内容与纸质投标文件内容一致的电子版U盘1份；</w:t>
            </w:r>
          </w:p>
          <w:p w14:paraId="23BDE58F">
            <w:pPr>
              <w:spacing w:line="360" w:lineRule="auto"/>
              <w:ind w:firstLine="440" w:firstLineChars="200"/>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文件命名要求：项目编号+投标人名称；</w:t>
            </w:r>
          </w:p>
        </w:tc>
      </w:tr>
      <w:tr w14:paraId="43325E5F">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C716DA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76682D3">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开标时间和地点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AD0676A">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时间：</w:t>
            </w:r>
            <w:r>
              <w:rPr>
                <w:rFonts w:hint="eastAsia" w:ascii="宋体" w:hAnsi="宋体" w:eastAsia="宋体" w:cs="宋体"/>
                <w:color w:val="000000" w:themeColor="text1"/>
                <w:sz w:val="22"/>
                <w:szCs w:val="22"/>
                <w:lang w:val="en-US" w:eastAsia="zh-CN"/>
                <w14:textFill>
                  <w14:solidFill>
                    <w14:schemeClr w14:val="tx1"/>
                  </w14:solidFill>
                </w14:textFill>
              </w:rPr>
              <w:t>2026年8月</w:t>
            </w:r>
            <w:r>
              <w:rPr>
                <w:rFonts w:hint="eastAsia" w:ascii="宋体" w:hAnsi="宋体" w:cs="宋体"/>
                <w:color w:val="000000" w:themeColor="text1"/>
                <w:sz w:val="22"/>
                <w:szCs w:val="22"/>
                <w:lang w:val="en-US" w:eastAsia="zh-CN"/>
                <w14:textFill>
                  <w14:solidFill>
                    <w14:schemeClr w14:val="tx1"/>
                  </w14:solidFill>
                </w14:textFill>
              </w:rPr>
              <w:t>26</w:t>
            </w:r>
            <w:r>
              <w:rPr>
                <w:rFonts w:hint="eastAsia" w:ascii="宋体" w:hAnsi="宋体" w:eastAsia="宋体" w:cs="宋体"/>
                <w:color w:val="000000" w:themeColor="text1"/>
                <w:sz w:val="22"/>
                <w:szCs w:val="22"/>
                <w:lang w:val="en-US" w:eastAsia="zh-CN"/>
                <w14:textFill>
                  <w14:solidFill>
                    <w14:schemeClr w14:val="tx1"/>
                  </w14:solidFill>
                </w14:textFill>
              </w:rPr>
              <w:t>日</w:t>
            </w: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lang w:val="en-US" w:eastAsia="zh-CN"/>
                <w14:textFill>
                  <w14:solidFill>
                    <w14:schemeClr w14:val="tx1"/>
                  </w14:solidFill>
                </w14:textFill>
              </w:rPr>
              <w:t>时00分00秒（北京时间）</w:t>
            </w:r>
          </w:p>
          <w:p w14:paraId="296D587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地点：</w:t>
            </w:r>
            <w:r>
              <w:rPr>
                <w:rFonts w:hint="eastAsia" w:ascii="宋体" w:hAnsi="宋体" w:eastAsia="宋体" w:cs="宋体"/>
                <w:color w:val="000000" w:themeColor="text1"/>
                <w:sz w:val="22"/>
                <w:szCs w:val="22"/>
                <w:lang w:val="en-US" w:eastAsia="zh-CN"/>
                <w14:textFill>
                  <w14:solidFill>
                    <w14:schemeClr w14:val="tx1"/>
                  </w14:solidFill>
                </w14:textFill>
              </w:rPr>
              <w:t>延安市公共资源交易中心开标</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室</w:t>
            </w:r>
          </w:p>
        </w:tc>
      </w:tr>
      <w:tr w14:paraId="333C524F">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8BEA66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C0F866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是否退还投标文件</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5E6A247">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w:t>
            </w:r>
          </w:p>
        </w:tc>
      </w:tr>
      <w:tr w14:paraId="2705873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8F4250D">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01770C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开标程序</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A4ADD78">
            <w:pPr>
              <w:spacing w:line="360" w:lineRule="auto"/>
              <w:ind w:firstLine="440" w:firstLineChars="200"/>
              <w:jc w:val="left"/>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采购人和采购代理机构将按投标人须知前附表中规定的开标时间和地点组织开标。投标人不足3家的，不予开标。</w:t>
            </w:r>
          </w:p>
          <w:p w14:paraId="096F33CD">
            <w:pPr>
              <w:spacing w:line="360" w:lineRule="auto"/>
              <w:ind w:firstLine="440" w:firstLineChars="200"/>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2.</w:t>
            </w:r>
            <w:r>
              <w:rPr>
                <w:rFonts w:hint="eastAsia" w:ascii="宋体" w:hAnsi="宋体" w:eastAsia="宋体" w:cs="宋体"/>
                <w:color w:val="000000" w:themeColor="text1"/>
                <w:kern w:val="0"/>
                <w:sz w:val="22"/>
                <w:szCs w:val="22"/>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tc>
      </w:tr>
      <w:tr w14:paraId="31854715">
        <w:tblPrEx>
          <w:tblCellMar>
            <w:top w:w="0" w:type="dxa"/>
            <w:left w:w="108" w:type="dxa"/>
            <w:bottom w:w="0" w:type="dxa"/>
            <w:right w:w="108" w:type="dxa"/>
          </w:tblCellMar>
        </w:tblPrEx>
        <w:trPr>
          <w:trHeight w:val="119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381ADB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6.1.1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428C93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评标委员会的组建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88EF0C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评标委员会构成：</w:t>
            </w:r>
            <w:r>
              <w:rPr>
                <w:rFonts w:hint="eastAsia" w:ascii="宋体" w:hAnsi="宋体" w:eastAsia="宋体" w:cs="宋体"/>
                <w:color w:val="000000" w:themeColor="text1"/>
                <w:kern w:val="0"/>
                <w:sz w:val="22"/>
                <w:szCs w:val="22"/>
                <w:lang w:val="en-US" w:eastAsia="zh-CN"/>
                <w14:textFill>
                  <w14:solidFill>
                    <w14:schemeClr w14:val="tx1"/>
                  </w14:solidFill>
                </w14:textFill>
              </w:rPr>
              <w:t>5</w:t>
            </w:r>
            <w:r>
              <w:rPr>
                <w:rFonts w:hint="eastAsia" w:ascii="宋体" w:hAnsi="宋体" w:eastAsia="宋体" w:cs="宋体"/>
                <w:color w:val="000000" w:themeColor="text1"/>
                <w:kern w:val="0"/>
                <w:sz w:val="22"/>
                <w:szCs w:val="22"/>
                <w14:textFill>
                  <w14:solidFill>
                    <w14:schemeClr w14:val="tx1"/>
                  </w14:solidFill>
                </w14:textFill>
              </w:rPr>
              <w:t>人；其中采购人代表</w:t>
            </w: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人；专家</w:t>
            </w:r>
            <w:r>
              <w:rPr>
                <w:rFonts w:hint="eastAsia" w:ascii="宋体" w:hAnsi="宋体" w:eastAsia="宋体" w:cs="宋体"/>
                <w:color w:val="000000" w:themeColor="text1"/>
                <w:kern w:val="0"/>
                <w:sz w:val="22"/>
                <w:szCs w:val="22"/>
                <w:lang w:val="en-US" w:eastAsia="zh-CN"/>
                <w14:textFill>
                  <w14:solidFill>
                    <w14:schemeClr w14:val="tx1"/>
                  </w14:solidFill>
                </w14:textFill>
              </w:rPr>
              <w:t>4</w:t>
            </w:r>
            <w:r>
              <w:rPr>
                <w:rFonts w:hint="eastAsia" w:ascii="宋体" w:hAnsi="宋体" w:eastAsia="宋体" w:cs="宋体"/>
                <w:color w:val="000000" w:themeColor="text1"/>
                <w:kern w:val="0"/>
                <w:sz w:val="22"/>
                <w:szCs w:val="22"/>
                <w14:textFill>
                  <w14:solidFill>
                    <w14:schemeClr w14:val="tx1"/>
                  </w14:solidFill>
                </w14:textFill>
              </w:rPr>
              <w:t>人</w:t>
            </w:r>
          </w:p>
          <w:p w14:paraId="165C1BB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评标专家确定方式：陕西</w:t>
            </w:r>
            <w:r>
              <w:rPr>
                <w:rFonts w:hint="eastAsia" w:ascii="宋体" w:hAnsi="宋体" w:eastAsia="宋体" w:cs="宋体"/>
                <w:color w:val="000000" w:themeColor="text1"/>
                <w:sz w:val="22"/>
                <w:szCs w:val="22"/>
                <w:lang w:val="en-US" w:eastAsia="zh-CN"/>
                <w14:textFill>
                  <w14:solidFill>
                    <w14:schemeClr w14:val="tx1"/>
                  </w14:solidFill>
                </w14:textFill>
              </w:rPr>
              <w:t>省</w:t>
            </w:r>
            <w:r>
              <w:rPr>
                <w:rFonts w:hint="eastAsia" w:ascii="宋体" w:hAnsi="宋体" w:eastAsia="宋体" w:cs="宋体"/>
                <w:color w:val="000000" w:themeColor="text1"/>
                <w:sz w:val="22"/>
                <w:szCs w:val="22"/>
                <w14:textFill>
                  <w14:solidFill>
                    <w14:schemeClr w14:val="tx1"/>
                  </w14:solidFill>
                </w14:textFill>
              </w:rPr>
              <w:t>政府采购综合管理平台专家库中随机抽取。</w:t>
            </w:r>
          </w:p>
        </w:tc>
      </w:tr>
      <w:tr w14:paraId="532817FA">
        <w:tblPrEx>
          <w:tblCellMar>
            <w:top w:w="0" w:type="dxa"/>
            <w:left w:w="108" w:type="dxa"/>
            <w:bottom w:w="0" w:type="dxa"/>
            <w:right w:w="108" w:type="dxa"/>
          </w:tblCellMar>
        </w:tblPrEx>
        <w:trPr>
          <w:trHeight w:val="139"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80C4DD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B64116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是否授权评标委员会确定中标人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58EC62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否，推荐3名中标候选供应商</w:t>
            </w:r>
          </w:p>
        </w:tc>
      </w:tr>
      <w:tr w14:paraId="0B4FD0E6">
        <w:tblPrEx>
          <w:tblCellMar>
            <w:top w:w="0" w:type="dxa"/>
            <w:left w:w="108" w:type="dxa"/>
            <w:bottom w:w="0" w:type="dxa"/>
            <w:right w:w="108" w:type="dxa"/>
          </w:tblCellMar>
        </w:tblPrEx>
        <w:trPr>
          <w:trHeight w:val="49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6E23FB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5B0292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履约担保</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CD0395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无</w:t>
            </w:r>
          </w:p>
        </w:tc>
      </w:tr>
      <w:tr w14:paraId="4783D796">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222F15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8</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50F48F0">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是否专门面向中小企业采购</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B878428">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w:t>
            </w:r>
            <w:r>
              <w:rPr>
                <w:rFonts w:hint="eastAsia" w:ascii="宋体" w:hAnsi="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否</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cs="宋体"/>
                <w:color w:val="000000" w:themeColor="text1"/>
                <w:sz w:val="22"/>
                <w:szCs w:val="22"/>
                <w:lang w:eastAsia="zh-CN"/>
                <w14:textFill>
                  <w14:solidFill>
                    <w14:schemeClr w14:val="tx1"/>
                  </w14:solidFill>
                </w14:textFill>
              </w:rPr>
              <w:t>☑</w:t>
            </w:r>
          </w:p>
        </w:tc>
      </w:tr>
      <w:tr w14:paraId="2BEC6BC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E6B75DD">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3998307">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进口设备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C2618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不接受进口设备</w:t>
            </w:r>
          </w:p>
        </w:tc>
      </w:tr>
      <w:tr w14:paraId="1C44F2F8">
        <w:tblPrEx>
          <w:tblCellMar>
            <w:top w:w="0" w:type="dxa"/>
            <w:left w:w="108" w:type="dxa"/>
            <w:bottom w:w="0" w:type="dxa"/>
            <w:right w:w="108" w:type="dxa"/>
          </w:tblCellMar>
        </w:tblPrEx>
        <w:trPr>
          <w:trHeight w:val="6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557BFE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10</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AD920C2">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采购标的所属行业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FBE6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工业</w:t>
            </w:r>
          </w:p>
        </w:tc>
      </w:tr>
      <w:tr w14:paraId="297740DB">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050918B">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p>
        </w:tc>
        <w:tc>
          <w:tcPr>
            <w:tcW w:w="8319" w:type="dxa"/>
            <w:gridSpan w:val="2"/>
            <w:tcBorders>
              <w:top w:val="single" w:color="auto" w:sz="4" w:space="0"/>
              <w:left w:val="single" w:color="auto" w:sz="4" w:space="0"/>
              <w:bottom w:val="single" w:color="auto" w:sz="4" w:space="0"/>
              <w:right w:val="single" w:color="auto" w:sz="4" w:space="0"/>
            </w:tcBorders>
            <w:noWrap w:val="0"/>
            <w:vAlign w:val="center"/>
          </w:tcPr>
          <w:p w14:paraId="67EF373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需要补充的其他内容</w:t>
            </w:r>
          </w:p>
        </w:tc>
      </w:tr>
      <w:tr w14:paraId="7D391C57">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AD04ADF">
            <w:pPr>
              <w:spacing w:line="360" w:lineRule="auto"/>
              <w:jc w:val="center"/>
              <w:rPr>
                <w:rFonts w:hint="eastAsia" w:ascii="宋体" w:hAnsi="宋体" w:eastAsia="宋体" w:cs="宋体"/>
                <w:color w:val="000000" w:themeColor="text1"/>
                <w:sz w:val="22"/>
                <w:szCs w:val="22"/>
                <w:highlight w:val="yellow"/>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72FFFAF">
            <w:pPr>
              <w:spacing w:line="360" w:lineRule="auto"/>
              <w:rPr>
                <w:rFonts w:hint="eastAsia" w:ascii="宋体" w:hAnsi="宋体" w:eastAsia="宋体" w:cs="宋体"/>
                <w:color w:val="000000" w:themeColor="text1"/>
                <w:sz w:val="22"/>
                <w:szCs w:val="22"/>
                <w:highlight w:val="yellow"/>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招标代理服务费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CB097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代理服务费收费标准：采购代理机构参照国家计委关于印发《招标代理服务收费管理暂行办法》计价格[2002]1980号文和《国家发展改革委关于降低部分建设项目收费标准规范收费行为等有关问题的通知》发改价格[2011]534号规定标准</w:t>
            </w:r>
            <w:r>
              <w:rPr>
                <w:rFonts w:hint="eastAsia" w:ascii="宋体" w:hAnsi="宋体" w:eastAsia="宋体" w:cs="宋体"/>
                <w:color w:val="000000" w:themeColor="text1"/>
                <w:sz w:val="22"/>
                <w:szCs w:val="22"/>
                <w:lang w:val="en-US" w:eastAsia="zh-CN"/>
                <w14:textFill>
                  <w14:solidFill>
                    <w14:schemeClr w14:val="tx1"/>
                  </w14:solidFill>
                </w14:textFill>
              </w:rPr>
              <w:t>向</w:t>
            </w:r>
            <w:r>
              <w:rPr>
                <w:rFonts w:hint="eastAsia" w:ascii="宋体" w:hAnsi="宋体" w:cs="宋体"/>
                <w:color w:val="000000" w:themeColor="text1"/>
                <w:sz w:val="22"/>
                <w:szCs w:val="22"/>
                <w:lang w:val="en-US" w:eastAsia="zh-CN"/>
                <w14:textFill>
                  <w14:solidFill>
                    <w14:schemeClr w14:val="tx1"/>
                  </w14:solidFill>
                </w14:textFill>
              </w:rPr>
              <w:t>采购人</w:t>
            </w:r>
            <w:r>
              <w:rPr>
                <w:rFonts w:hint="eastAsia" w:ascii="宋体" w:hAnsi="宋体" w:eastAsia="宋体" w:cs="宋体"/>
                <w:color w:val="000000" w:themeColor="text1"/>
                <w:sz w:val="22"/>
                <w:szCs w:val="22"/>
                <w14:textFill>
                  <w14:solidFill>
                    <w14:schemeClr w14:val="tx1"/>
                  </w14:solidFill>
                </w14:textFill>
              </w:rPr>
              <w:t>收取代理服务费。</w:t>
            </w:r>
          </w:p>
          <w:p w14:paraId="3BCD1A7A">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代理服务费</w:t>
            </w:r>
            <w:r>
              <w:rPr>
                <w:rFonts w:hint="eastAsia" w:ascii="宋体" w:hAnsi="宋体" w:eastAsia="宋体" w:cs="宋体"/>
                <w:b/>
                <w:bCs/>
                <w:color w:val="000000" w:themeColor="text1"/>
                <w:sz w:val="22"/>
                <w:szCs w:val="22"/>
                <w:lang w:val="en-US" w:eastAsia="zh-CN"/>
                <w14:textFill>
                  <w14:solidFill>
                    <w14:schemeClr w14:val="tx1"/>
                  </w14:solidFill>
                </w14:textFill>
              </w:rPr>
              <w:t>缴纳账户：</w:t>
            </w:r>
          </w:p>
          <w:p w14:paraId="212E93A6">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开户单位：陕西宸永项目管理有限公司</w:t>
            </w:r>
          </w:p>
          <w:p w14:paraId="73CD7C2E">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开户行名称：中国建设银行股份有限公司延安马家湾支行</w:t>
            </w:r>
          </w:p>
          <w:p w14:paraId="57BBEA26">
            <w:pPr>
              <w:spacing w:line="360" w:lineRule="auto"/>
              <w:ind w:firstLine="442"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账      号：61050168980000000758</w:t>
            </w:r>
          </w:p>
        </w:tc>
      </w:tr>
      <w:tr w14:paraId="7C58BDA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B1FCF9">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bookmarkStart w:id="29" w:name="_Toc12768"/>
            <w:bookmarkStart w:id="30" w:name="_Toc23962"/>
            <w:bookmarkStart w:id="31" w:name="_Toc247085689"/>
            <w:bookmarkStart w:id="32" w:name="_Toc246996918"/>
            <w:bookmarkStart w:id="33" w:name="_Toc179632546"/>
            <w:bookmarkStart w:id="34" w:name="_Toc144974497"/>
            <w:bookmarkStart w:id="35" w:name="_Toc20614"/>
            <w:bookmarkStart w:id="36" w:name="_Toc246996175"/>
            <w:bookmarkStart w:id="37" w:name="_Toc152042305"/>
            <w:bookmarkStart w:id="38" w:name="_Toc152045529"/>
            <w:bookmarkStart w:id="39" w:name="_Toc9105"/>
            <w:bookmarkStart w:id="40" w:name="_Toc30835"/>
            <w:bookmarkStart w:id="41" w:name="_Toc23617"/>
            <w:bookmarkStart w:id="42" w:name="_Toc16773"/>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cs="宋体"/>
                <w:color w:val="000000" w:themeColor="text1"/>
                <w:sz w:val="22"/>
                <w:szCs w:val="22"/>
                <w:lang w:val="en-US" w:eastAsia="zh-CN"/>
                <w14:textFill>
                  <w14:solidFill>
                    <w14:schemeClr w14:val="tx1"/>
                  </w14:solidFill>
                </w14:textFill>
              </w:rPr>
              <w:t>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80D7FF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电子投标注意事项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2C1A">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bl>
    <w:p w14:paraId="3269A8B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328CE31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04896176">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p>
    <w:p w14:paraId="61F13D8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2C3EA5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555D6A8">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2F2B6F60">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7B7E7E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41F7D9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FDBCFB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B410B1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8F884CD">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52849C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1A6409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2346C6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C0F04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D3AFB2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CD5B6E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BCD619F">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553598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8C9BA9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3E21E4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01DED0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4FFE64F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0B6C5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767371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1B922E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B104E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7AFDF1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93713A7">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1.总则</w:t>
      </w:r>
      <w:bookmarkEnd w:id="29"/>
      <w:bookmarkEnd w:id="30"/>
      <w:bookmarkEnd w:id="31"/>
      <w:bookmarkEnd w:id="32"/>
      <w:bookmarkEnd w:id="33"/>
      <w:bookmarkEnd w:id="34"/>
      <w:bookmarkEnd w:id="35"/>
      <w:bookmarkEnd w:id="36"/>
      <w:bookmarkEnd w:id="37"/>
      <w:bookmarkEnd w:id="38"/>
    </w:p>
    <w:p w14:paraId="7B8F0DD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 w:name="_Toc247085690"/>
      <w:bookmarkStart w:id="44" w:name="_Toc11216"/>
      <w:bookmarkStart w:id="45" w:name="_Toc152042306"/>
      <w:bookmarkStart w:id="46" w:name="_Toc246996176"/>
      <w:bookmarkStart w:id="47" w:name="_Toc152045530"/>
      <w:bookmarkStart w:id="48" w:name="_Toc31044"/>
      <w:bookmarkStart w:id="49" w:name="_Toc144974498"/>
      <w:bookmarkStart w:id="50" w:name="_Toc7660"/>
      <w:bookmarkStart w:id="51" w:name="_Toc246996919"/>
      <w:bookmarkStart w:id="52" w:name="_Toc179632547"/>
      <w:r>
        <w:rPr>
          <w:rFonts w:hint="eastAsia" w:ascii="宋体" w:hAnsi="宋体" w:eastAsia="宋体" w:cs="宋体"/>
          <w:color w:val="000000" w:themeColor="text1"/>
          <w:sz w:val="24"/>
          <w:szCs w:val="24"/>
          <w14:textFill>
            <w14:solidFill>
              <w14:schemeClr w14:val="tx1"/>
            </w14:solidFill>
          </w14:textFill>
        </w:rPr>
        <w:t>1.1 项目概况</w:t>
      </w:r>
      <w:bookmarkEnd w:id="43"/>
      <w:bookmarkEnd w:id="44"/>
      <w:bookmarkEnd w:id="45"/>
      <w:bookmarkEnd w:id="46"/>
      <w:bookmarkEnd w:id="47"/>
      <w:bookmarkEnd w:id="48"/>
      <w:bookmarkEnd w:id="49"/>
      <w:bookmarkEnd w:id="50"/>
      <w:bookmarkEnd w:id="51"/>
      <w:bookmarkEnd w:id="52"/>
    </w:p>
    <w:p w14:paraId="71E179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1.1.1根据《中华人民共和国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》等有关法律、法规和规章的规定，本招标项目已具备招标条件，现对本项目进行招标。</w:t>
      </w:r>
    </w:p>
    <w:p w14:paraId="4F562D8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 本采购项目采购人：见投标人须知前附表。</w:t>
      </w:r>
    </w:p>
    <w:p w14:paraId="5A0EBD1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 本采购项目采购代理机构：见投标人须知前附表。</w:t>
      </w:r>
    </w:p>
    <w:p w14:paraId="065822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 本采购项目名称：见投标人须知前附表。</w:t>
      </w:r>
    </w:p>
    <w:p w14:paraId="471807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1.1.5 本采购项目地点：见投标人须知前附表。</w:t>
      </w:r>
    </w:p>
    <w:p w14:paraId="4CE806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1.1.6 招标文件各章内容对投标事宜提出明确要求，投标人须仔细阅读和正确理解。因投标人在阅读、理解招标文件方面产生疏漏和误解，而导致投标不利后果的或者被废标的，其责任由投标人自负。</w:t>
      </w:r>
    </w:p>
    <w:p w14:paraId="37BADD7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53" w:name="_Toc30959"/>
      <w:bookmarkStart w:id="54" w:name="_Toc246996177"/>
      <w:bookmarkStart w:id="55" w:name="_Toc247085691"/>
      <w:bookmarkStart w:id="56" w:name="_Toc14545"/>
      <w:bookmarkStart w:id="57" w:name="_Toc179632548"/>
      <w:bookmarkStart w:id="58" w:name="_Toc144974499"/>
      <w:bookmarkStart w:id="59" w:name="_Toc152042307"/>
      <w:bookmarkStart w:id="60" w:name="_Toc8384"/>
      <w:bookmarkStart w:id="61" w:name="_Toc246996920"/>
      <w:bookmarkStart w:id="62" w:name="_Toc152045531"/>
      <w:r>
        <w:rPr>
          <w:rFonts w:hint="eastAsia" w:ascii="宋体" w:hAnsi="宋体" w:eastAsia="宋体" w:cs="宋体"/>
          <w:color w:val="000000" w:themeColor="text1"/>
          <w:sz w:val="24"/>
          <w:szCs w:val="24"/>
          <w14:textFill>
            <w14:solidFill>
              <w14:schemeClr w14:val="tx1"/>
            </w14:solidFill>
          </w14:textFill>
        </w:rPr>
        <w:t>1.2 资金来源和落实情况</w:t>
      </w:r>
      <w:bookmarkEnd w:id="53"/>
      <w:bookmarkEnd w:id="54"/>
      <w:bookmarkEnd w:id="55"/>
      <w:bookmarkEnd w:id="56"/>
      <w:bookmarkEnd w:id="57"/>
      <w:bookmarkEnd w:id="58"/>
      <w:bookmarkEnd w:id="59"/>
      <w:bookmarkEnd w:id="60"/>
      <w:bookmarkEnd w:id="61"/>
      <w:bookmarkEnd w:id="62"/>
    </w:p>
    <w:p w14:paraId="0781658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1.2.1本招标项目的资金来源及出资比例：见投标人须知前附表。</w:t>
      </w:r>
    </w:p>
    <w:p w14:paraId="10CA13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1.2.2本招标项目的项目预算：见投标人须知前附表。</w:t>
      </w:r>
    </w:p>
    <w:p w14:paraId="4F55058F">
      <w:pPr>
        <w:pStyle w:val="4"/>
        <w:pageBreakBefore w:val="0"/>
        <w:wordWrap/>
        <w:topLinePunct w:val="0"/>
        <w:autoSpaceDE/>
        <w:autoSpaceDN/>
        <w:bidi w:val="0"/>
        <w:adjustRightInd/>
        <w:spacing w:before="0" w:beforeLines="0" w:after="0" w:afterLines="0" w:line="600" w:lineRule="exact"/>
        <w:textAlignment w:val="auto"/>
        <w:rPr>
          <w:rFonts w:hint="default" w:ascii="宋体" w:hAnsi="宋体" w:eastAsia="宋体" w:cs="宋体"/>
          <w:color w:val="000000" w:themeColor="text1"/>
          <w:sz w:val="24"/>
          <w:szCs w:val="24"/>
          <w:lang w:val="en-US"/>
          <w14:textFill>
            <w14:solidFill>
              <w14:schemeClr w14:val="tx1"/>
            </w14:solidFill>
          </w14:textFill>
        </w:rPr>
      </w:pPr>
      <w:bookmarkStart w:id="63" w:name="_Toc21770"/>
      <w:bookmarkStart w:id="64" w:name="_Toc247085692"/>
      <w:bookmarkStart w:id="65" w:name="_Toc152045532"/>
      <w:bookmarkStart w:id="66" w:name="_Toc20745"/>
      <w:bookmarkStart w:id="67" w:name="_Toc18917"/>
      <w:bookmarkStart w:id="68" w:name="_Toc246996178"/>
      <w:bookmarkStart w:id="69" w:name="_Toc144974500"/>
      <w:bookmarkStart w:id="70" w:name="_Toc246996921"/>
      <w:bookmarkStart w:id="71" w:name="_Toc152042308"/>
      <w:bookmarkStart w:id="72" w:name="_Toc179632549"/>
      <w:r>
        <w:rPr>
          <w:rFonts w:hint="eastAsia" w:ascii="宋体" w:hAnsi="宋体" w:eastAsia="宋体" w:cs="宋体"/>
          <w:color w:val="000000" w:themeColor="text1"/>
          <w:sz w:val="24"/>
          <w:szCs w:val="24"/>
          <w14:textFill>
            <w14:solidFill>
              <w14:schemeClr w14:val="tx1"/>
            </w14:solidFill>
          </w14:textFill>
        </w:rPr>
        <w:t>1.3 招标内容、</w:t>
      </w:r>
      <w:bookmarkEnd w:id="63"/>
      <w:bookmarkEnd w:id="64"/>
      <w:bookmarkEnd w:id="65"/>
      <w:bookmarkEnd w:id="66"/>
      <w:bookmarkEnd w:id="67"/>
      <w:bookmarkEnd w:id="68"/>
      <w:bookmarkEnd w:id="69"/>
      <w:bookmarkEnd w:id="70"/>
      <w:bookmarkEnd w:id="71"/>
      <w:bookmarkEnd w:id="72"/>
      <w:r>
        <w:rPr>
          <w:rFonts w:hint="eastAsia" w:ascii="宋体" w:hAnsi="宋体" w:cs="宋体"/>
          <w:color w:val="000000" w:themeColor="text1"/>
          <w:sz w:val="24"/>
          <w:szCs w:val="24"/>
          <w:lang w:val="en-US" w:eastAsia="zh-CN"/>
          <w14:textFill>
            <w14:solidFill>
              <w14:schemeClr w14:val="tx1"/>
            </w14:solidFill>
          </w14:textFill>
        </w:rPr>
        <w:t>工期、质保期</w:t>
      </w:r>
    </w:p>
    <w:p w14:paraId="0B8BF2D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bookmarkStart w:id="73" w:name="_Toc152045534"/>
      <w:bookmarkStart w:id="74" w:name="_Toc28754"/>
      <w:bookmarkStart w:id="75" w:name="_Toc247085693"/>
      <w:bookmarkStart w:id="76" w:name="_Toc246996922"/>
      <w:bookmarkStart w:id="77" w:name="_Toc152042310"/>
      <w:bookmarkStart w:id="78" w:name="_Toc413"/>
      <w:bookmarkStart w:id="79" w:name="_Toc179632551"/>
      <w:bookmarkStart w:id="80" w:name="_Toc246996179"/>
      <w:bookmarkStart w:id="81" w:name="_Toc144974502"/>
      <w:bookmarkStart w:id="82" w:name="_Toc3275"/>
      <w:r>
        <w:rPr>
          <w:rFonts w:hint="eastAsia" w:ascii="宋体" w:hAnsi="宋体" w:eastAsia="宋体" w:cs="宋体"/>
          <w:color w:val="000000" w:themeColor="text1"/>
          <w:sz w:val="24"/>
          <w:szCs w:val="24"/>
          <w14:textFill>
            <w14:solidFill>
              <w14:schemeClr w14:val="tx1"/>
            </w14:solidFill>
          </w14:textFill>
        </w:rPr>
        <w:t>1.3.1本次招标内容：见投标人须知前附表。</w:t>
      </w:r>
    </w:p>
    <w:p w14:paraId="24A4D8B1">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1.3.2本招标项目的</w:t>
      </w:r>
      <w:r>
        <w:rPr>
          <w:rFonts w:hint="eastAsia" w:ascii="宋体" w:hAnsi="宋体" w:cs="宋体"/>
          <w:color w:val="000000" w:themeColor="text1"/>
          <w:sz w:val="24"/>
          <w:szCs w:val="24"/>
          <w:lang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：见投标人须知前附表。</w:t>
      </w:r>
    </w:p>
    <w:p w14:paraId="63B98F7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本招标项目的</w:t>
      </w:r>
      <w:r>
        <w:rPr>
          <w:rFonts w:hint="eastAsia" w:ascii="宋体" w:hAnsi="宋体" w:eastAsia="宋体" w:cs="宋体"/>
          <w:color w:val="000000" w:themeColor="text1"/>
          <w:sz w:val="24"/>
          <w:szCs w:val="24"/>
          <w:lang w:eastAsia="zh-CN"/>
          <w14:textFill>
            <w14:solidFill>
              <w14:schemeClr w14:val="tx1"/>
            </w14:solidFill>
          </w14:textFill>
        </w:rPr>
        <w:t>质保期</w:t>
      </w:r>
      <w:r>
        <w:rPr>
          <w:rFonts w:hint="eastAsia" w:ascii="宋体" w:hAnsi="宋体" w:eastAsia="宋体" w:cs="宋体"/>
          <w:color w:val="000000" w:themeColor="text1"/>
          <w:sz w:val="24"/>
          <w:szCs w:val="24"/>
          <w14:textFill>
            <w14:solidFill>
              <w14:schemeClr w14:val="tx1"/>
            </w14:solidFill>
          </w14:textFill>
        </w:rPr>
        <w:t>：见投标人须知前附表</w:t>
      </w:r>
      <w:r>
        <w:rPr>
          <w:rFonts w:hint="eastAsia" w:ascii="宋体" w:hAnsi="宋体" w:eastAsia="宋体" w:cs="宋体"/>
          <w:color w:val="000000" w:themeColor="text1"/>
          <w:sz w:val="24"/>
          <w:szCs w:val="24"/>
          <w:lang w:eastAsia="zh-CN"/>
          <w14:textFill>
            <w14:solidFill>
              <w14:schemeClr w14:val="tx1"/>
            </w14:solidFill>
          </w14:textFill>
        </w:rPr>
        <w:t>。</w:t>
      </w:r>
    </w:p>
    <w:p w14:paraId="09B2D65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投标人资格要求</w:t>
      </w:r>
      <w:bookmarkEnd w:id="73"/>
      <w:bookmarkEnd w:id="74"/>
      <w:bookmarkEnd w:id="75"/>
      <w:bookmarkEnd w:id="76"/>
      <w:bookmarkEnd w:id="77"/>
      <w:bookmarkEnd w:id="78"/>
      <w:bookmarkEnd w:id="79"/>
      <w:bookmarkEnd w:id="80"/>
      <w:bookmarkEnd w:id="81"/>
      <w:bookmarkEnd w:id="82"/>
    </w:p>
    <w:p w14:paraId="77C5259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 投标人应具备承担本项目的资质条件、能力和信誉：见投标人须知前附表。</w:t>
      </w:r>
    </w:p>
    <w:p w14:paraId="3644721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 投标人须知前附表规定接受联合体投标的，除应符合本章第1.4.1项的要求外，还应遵守以下规定： </w:t>
      </w:r>
    </w:p>
    <w:p w14:paraId="6285155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（1）联合体各方应按招标文件提供的格式签订联合体协议书，明确联合体牵头人和各方权利义务；</w:t>
      </w:r>
    </w:p>
    <w:p w14:paraId="4106564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（2）由同一专业的单位组成的联合体，按照资质等级较低的单位确定资质等级； </w:t>
      </w:r>
    </w:p>
    <w:p w14:paraId="306407E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（3）联合体各方不得再以自己名义单独或参加其他联合体在同一标段中投标。</w:t>
      </w:r>
    </w:p>
    <w:p w14:paraId="30B5B07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1.4.3投标人不得存在下列情形之一：</w:t>
      </w:r>
    </w:p>
    <w:p w14:paraId="2779FA3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（1）与采购人存在利害关系可能影响招标公正性的法人或其他组织；</w:t>
      </w:r>
    </w:p>
    <w:p w14:paraId="78E5F01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（2）接受委托参与项目前期咨询和招标文件编制的法人或其他组织； </w:t>
      </w:r>
    </w:p>
    <w:p w14:paraId="5ACD81B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（3）为该项目的投标人编制投标文件或者提供咨询的机构；</w:t>
      </w:r>
    </w:p>
    <w:p w14:paraId="58E4208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（4）为本招标项目提供招标代理服务的； </w:t>
      </w:r>
    </w:p>
    <w:p w14:paraId="473662E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（5）被责令停业的； </w:t>
      </w:r>
    </w:p>
    <w:p w14:paraId="0A278C1E">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（6）被暂停或取消投标资格的； </w:t>
      </w:r>
    </w:p>
    <w:p w14:paraId="30728A5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（7）财产被接管或冻结的；</w:t>
      </w:r>
    </w:p>
    <w:p w14:paraId="19C5522B">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（8）在最近三年内有骗取中标或严重违约或重大质量问题的</w:t>
      </w:r>
      <w:r>
        <w:rPr>
          <w:rFonts w:hint="eastAsia" w:ascii="宋体" w:hAnsi="宋体" w:cs="宋体"/>
          <w:color w:val="000000" w:themeColor="text1"/>
          <w:sz w:val="24"/>
          <w:szCs w:val="24"/>
          <w:lang w:eastAsia="zh-CN"/>
          <w14:textFill>
            <w14:solidFill>
              <w14:schemeClr w14:val="tx1"/>
            </w14:solidFill>
          </w14:textFill>
        </w:rPr>
        <w:t>；</w:t>
      </w:r>
    </w:p>
    <w:p w14:paraId="751C7715">
      <w:pPr>
        <w:pageBreakBefore w:val="0"/>
        <w:wordWrap/>
        <w:topLinePunct w:val="0"/>
        <w:autoSpaceDE/>
        <w:autoSpaceDN/>
        <w:bidi w:val="0"/>
        <w:adjustRightInd/>
        <w:spacing w:line="600" w:lineRule="exact"/>
        <w:ind w:firstLine="410" w:firstLineChars="171"/>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为本项目提供整体设计、规范编制或者项目管理、监理、检测等服务的供应商，不得再参与本项目投标。</w:t>
      </w:r>
    </w:p>
    <w:p w14:paraId="6CC4EC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1.4.4 单位负责人为同一人或者存在控股、管理关系的不同单位，不得同时参加本招标项目投标。</w:t>
      </w:r>
    </w:p>
    <w:p w14:paraId="5AD1F16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83" w:name="_Toc179632552"/>
      <w:bookmarkStart w:id="84" w:name="_Toc246996923"/>
      <w:bookmarkStart w:id="85" w:name="_Toc246996180"/>
      <w:bookmarkStart w:id="86" w:name="_Toc10816"/>
      <w:bookmarkStart w:id="87" w:name="_Toc1757"/>
      <w:bookmarkStart w:id="88" w:name="_Toc152045535"/>
      <w:bookmarkStart w:id="89" w:name="_Toc247085694"/>
      <w:bookmarkStart w:id="90" w:name="_Toc152042311"/>
      <w:bookmarkStart w:id="91" w:name="_Toc144974503"/>
      <w:bookmarkStart w:id="92" w:name="_Toc19113"/>
      <w:r>
        <w:rPr>
          <w:rFonts w:hint="eastAsia" w:ascii="宋体" w:hAnsi="宋体" w:eastAsia="宋体" w:cs="宋体"/>
          <w:color w:val="000000" w:themeColor="text1"/>
          <w:sz w:val="24"/>
          <w:szCs w:val="24"/>
          <w14:textFill>
            <w14:solidFill>
              <w14:schemeClr w14:val="tx1"/>
            </w14:solidFill>
          </w14:textFill>
        </w:rPr>
        <w:t>1.5 费用承担</w:t>
      </w:r>
      <w:bookmarkEnd w:id="83"/>
      <w:bookmarkEnd w:id="84"/>
      <w:bookmarkEnd w:id="85"/>
      <w:bookmarkEnd w:id="86"/>
      <w:bookmarkEnd w:id="87"/>
      <w:bookmarkEnd w:id="88"/>
      <w:bookmarkEnd w:id="89"/>
      <w:bookmarkEnd w:id="90"/>
      <w:bookmarkEnd w:id="91"/>
      <w:bookmarkEnd w:id="92"/>
    </w:p>
    <w:p w14:paraId="155CEA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投标人准备和参加投标活动发生的费用自理。</w:t>
      </w:r>
    </w:p>
    <w:p w14:paraId="4AC9C96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93" w:name="_Toc152042312"/>
      <w:bookmarkStart w:id="94" w:name="_Toc144974504"/>
      <w:bookmarkStart w:id="95" w:name="_Toc5909"/>
      <w:bookmarkStart w:id="96" w:name="_Toc246996924"/>
      <w:bookmarkStart w:id="97" w:name="_Toc1605"/>
      <w:bookmarkStart w:id="98" w:name="_Toc246996181"/>
      <w:bookmarkStart w:id="99" w:name="_Toc247085695"/>
      <w:bookmarkStart w:id="100" w:name="_Toc3803"/>
      <w:bookmarkStart w:id="101" w:name="_Toc152045536"/>
      <w:bookmarkStart w:id="102" w:name="_Toc179632553"/>
      <w:r>
        <w:rPr>
          <w:rFonts w:hint="eastAsia" w:ascii="宋体" w:hAnsi="宋体" w:eastAsia="宋体" w:cs="宋体"/>
          <w:color w:val="000000" w:themeColor="text1"/>
          <w:sz w:val="24"/>
          <w:szCs w:val="24"/>
          <w14:textFill>
            <w14:solidFill>
              <w14:schemeClr w14:val="tx1"/>
            </w14:solidFill>
          </w14:textFill>
        </w:rPr>
        <w:t>1.6 保密</w:t>
      </w:r>
      <w:bookmarkEnd w:id="93"/>
      <w:bookmarkEnd w:id="94"/>
      <w:bookmarkEnd w:id="95"/>
      <w:bookmarkEnd w:id="96"/>
      <w:bookmarkEnd w:id="97"/>
      <w:bookmarkEnd w:id="98"/>
      <w:bookmarkEnd w:id="99"/>
      <w:bookmarkEnd w:id="100"/>
      <w:bookmarkEnd w:id="101"/>
      <w:bookmarkEnd w:id="102"/>
    </w:p>
    <w:p w14:paraId="10A1FF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参与招标投标活动的各方应对招标文件和投标文件中的商业和技术等秘密保密，违者应对由此造成的后果承担法律责任。 </w:t>
      </w:r>
    </w:p>
    <w:p w14:paraId="7142885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03" w:name="_Toc144974505"/>
      <w:bookmarkStart w:id="104" w:name="_Toc247085696"/>
      <w:bookmarkStart w:id="105" w:name="_Toc5424"/>
      <w:bookmarkStart w:id="106" w:name="_Toc246996925"/>
      <w:bookmarkStart w:id="107" w:name="_Toc24696"/>
      <w:bookmarkStart w:id="108" w:name="_Toc179632554"/>
      <w:bookmarkStart w:id="109" w:name="_Toc152045537"/>
      <w:bookmarkStart w:id="110" w:name="_Toc977"/>
      <w:bookmarkStart w:id="111" w:name="_Toc152042313"/>
      <w:bookmarkStart w:id="112" w:name="_Toc246996182"/>
      <w:r>
        <w:rPr>
          <w:rFonts w:hint="eastAsia" w:ascii="宋体" w:hAnsi="宋体" w:eastAsia="宋体" w:cs="宋体"/>
          <w:color w:val="000000" w:themeColor="text1"/>
          <w:sz w:val="24"/>
          <w:szCs w:val="24"/>
          <w14:textFill>
            <w14:solidFill>
              <w14:schemeClr w14:val="tx1"/>
            </w14:solidFill>
          </w14:textFill>
        </w:rPr>
        <w:t>1.7 语言</w:t>
      </w:r>
      <w:bookmarkEnd w:id="103"/>
      <w:r>
        <w:rPr>
          <w:rFonts w:hint="eastAsia" w:ascii="宋体" w:hAnsi="宋体" w:eastAsia="宋体" w:cs="宋体"/>
          <w:color w:val="000000" w:themeColor="text1"/>
          <w:sz w:val="24"/>
          <w:szCs w:val="24"/>
          <w14:textFill>
            <w14:solidFill>
              <w14:schemeClr w14:val="tx1"/>
            </w14:solidFill>
          </w14:textFill>
        </w:rPr>
        <w:t>文字</w:t>
      </w:r>
      <w:bookmarkEnd w:id="104"/>
      <w:bookmarkEnd w:id="105"/>
      <w:bookmarkEnd w:id="106"/>
      <w:bookmarkEnd w:id="107"/>
      <w:bookmarkEnd w:id="108"/>
      <w:bookmarkEnd w:id="109"/>
      <w:bookmarkEnd w:id="110"/>
      <w:bookmarkEnd w:id="111"/>
      <w:bookmarkEnd w:id="112"/>
    </w:p>
    <w:p w14:paraId="3A21A8E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13" w:name="_Toc246996183"/>
      <w:bookmarkStart w:id="114" w:name="_Toc144974506"/>
      <w:bookmarkStart w:id="115" w:name="_Toc152042314"/>
      <w:bookmarkStart w:id="116" w:name="_Toc247085697"/>
      <w:bookmarkStart w:id="117" w:name="_Toc152045538"/>
      <w:bookmarkStart w:id="118" w:name="_Toc246996926"/>
      <w:bookmarkStart w:id="119" w:name="_Toc179632555"/>
      <w:r>
        <w:rPr>
          <w:rFonts w:hint="eastAsia" w:ascii="宋体" w:hAnsi="宋体" w:eastAsia="宋体" w:cs="宋体"/>
          <w:color w:val="000000" w:themeColor="text1"/>
          <w:sz w:val="24"/>
          <w:szCs w:val="24"/>
          <w14:textFill>
            <w14:solidFill>
              <w14:schemeClr w14:val="tx1"/>
            </w14:solidFill>
          </w14:textFill>
        </w:rPr>
        <w:t>招标投标文件使用的语言文字为中文。专用术语使用外文的，应附有中文注释。</w:t>
      </w:r>
    </w:p>
    <w:p w14:paraId="4CF456E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0" w:name="_Toc23391"/>
      <w:bookmarkStart w:id="121" w:name="_Toc13990"/>
      <w:bookmarkStart w:id="122" w:name="_Toc9225"/>
      <w:r>
        <w:rPr>
          <w:rFonts w:hint="eastAsia" w:ascii="宋体" w:hAnsi="宋体" w:eastAsia="宋体" w:cs="宋体"/>
          <w:color w:val="000000" w:themeColor="text1"/>
          <w:sz w:val="24"/>
          <w:szCs w:val="24"/>
          <w14:textFill>
            <w14:solidFill>
              <w14:schemeClr w14:val="tx1"/>
            </w14:solidFill>
          </w14:textFill>
        </w:rPr>
        <w:t>1.8 计量单位</w:t>
      </w:r>
      <w:bookmarkEnd w:id="113"/>
      <w:bookmarkEnd w:id="114"/>
      <w:bookmarkEnd w:id="115"/>
      <w:bookmarkEnd w:id="116"/>
      <w:bookmarkEnd w:id="117"/>
      <w:bookmarkEnd w:id="118"/>
      <w:bookmarkEnd w:id="119"/>
      <w:bookmarkEnd w:id="120"/>
      <w:bookmarkEnd w:id="121"/>
      <w:bookmarkEnd w:id="122"/>
    </w:p>
    <w:p w14:paraId="78D8E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所有计量均采用中华人民共和国法定计量单位。</w:t>
      </w:r>
    </w:p>
    <w:p w14:paraId="51BEEEB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3" w:name="_Toc152045539"/>
      <w:bookmarkStart w:id="124" w:name="_Toc144974507"/>
      <w:bookmarkStart w:id="125" w:name="_Toc19468"/>
      <w:bookmarkStart w:id="126" w:name="_Toc152042315"/>
      <w:bookmarkStart w:id="127" w:name="_Toc27993"/>
      <w:bookmarkStart w:id="128" w:name="_Toc22945"/>
      <w:bookmarkStart w:id="129" w:name="_Toc247513962"/>
      <w:bookmarkStart w:id="130" w:name="_Toc247527563"/>
      <w:bookmarkStart w:id="131" w:name="_Toc247592876"/>
      <w:r>
        <w:rPr>
          <w:rFonts w:hint="eastAsia" w:ascii="宋体" w:hAnsi="宋体" w:eastAsia="宋体" w:cs="宋体"/>
          <w:color w:val="000000" w:themeColor="text1"/>
          <w:sz w:val="24"/>
          <w:szCs w:val="24"/>
          <w14:textFill>
            <w14:solidFill>
              <w14:schemeClr w14:val="tx1"/>
            </w14:solidFill>
          </w14:textFill>
        </w:rPr>
        <w:t>1.9 踏勘现场</w:t>
      </w:r>
      <w:bookmarkEnd w:id="123"/>
      <w:bookmarkEnd w:id="124"/>
      <w:bookmarkEnd w:id="125"/>
      <w:bookmarkEnd w:id="126"/>
      <w:bookmarkEnd w:id="127"/>
      <w:bookmarkEnd w:id="128"/>
      <w:bookmarkEnd w:id="129"/>
      <w:bookmarkEnd w:id="130"/>
      <w:bookmarkEnd w:id="131"/>
    </w:p>
    <w:p w14:paraId="0EA1D7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投标人须知前附表规定组织踏勘现场的，采购人按投标人须知前附表规定的时间、地点组织投标人踏勘项目现场。 </w:t>
      </w:r>
    </w:p>
    <w:p w14:paraId="2AEBE2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 投标人踏勘现场发生的费用自理。</w:t>
      </w:r>
    </w:p>
    <w:p w14:paraId="3D57AD9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32" w:name="_Toc80"/>
      <w:bookmarkStart w:id="133" w:name="_Toc144974508"/>
      <w:bookmarkStart w:id="134" w:name="_Toc30092"/>
      <w:bookmarkStart w:id="135" w:name="_Toc3757"/>
      <w:bookmarkStart w:id="136" w:name="_Toc247592877"/>
      <w:bookmarkStart w:id="137" w:name="_Toc152042316"/>
      <w:bookmarkStart w:id="138" w:name="_Toc247513963"/>
      <w:bookmarkStart w:id="139" w:name="_Toc152045540"/>
      <w:bookmarkStart w:id="140" w:name="_Toc247527564"/>
      <w:r>
        <w:rPr>
          <w:rFonts w:hint="eastAsia" w:ascii="宋体" w:hAnsi="宋体" w:eastAsia="宋体" w:cs="宋体"/>
          <w:color w:val="000000" w:themeColor="text1"/>
          <w:sz w:val="24"/>
          <w:szCs w:val="24"/>
          <w14:textFill>
            <w14:solidFill>
              <w14:schemeClr w14:val="tx1"/>
            </w14:solidFill>
          </w14:textFill>
        </w:rPr>
        <w:t>1.10 投标预备会</w:t>
      </w:r>
      <w:bookmarkEnd w:id="132"/>
      <w:bookmarkEnd w:id="133"/>
      <w:bookmarkEnd w:id="134"/>
      <w:bookmarkEnd w:id="135"/>
      <w:bookmarkEnd w:id="136"/>
      <w:bookmarkEnd w:id="137"/>
      <w:bookmarkEnd w:id="138"/>
      <w:bookmarkEnd w:id="139"/>
      <w:bookmarkEnd w:id="140"/>
    </w:p>
    <w:p w14:paraId="6FAF11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41" w:name="_Toc4429"/>
      <w:bookmarkStart w:id="142" w:name="_Toc11626"/>
      <w:r>
        <w:rPr>
          <w:rFonts w:hint="eastAsia" w:ascii="宋体" w:hAnsi="宋体" w:eastAsia="宋体" w:cs="宋体"/>
          <w:color w:val="000000" w:themeColor="text1"/>
          <w:sz w:val="24"/>
          <w:szCs w:val="24"/>
          <w14:textFill>
            <w14:solidFill>
              <w14:schemeClr w14:val="tx1"/>
            </w14:solidFill>
          </w14:textFill>
        </w:rPr>
        <w:t>1.10.1 投标人须知前附表规定召开投标预备会的，采购人按投标人须知前附表规定的时间和地点召开投标预备会，澄清投标人提出的问题。</w:t>
      </w:r>
    </w:p>
    <w:p w14:paraId="609FEC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1.10.2 投标人应在投标人须知前附表规定的时间前，以书面形式将提出的问题送达采购人，以便采购人在会议期间澄清。</w:t>
      </w:r>
    </w:p>
    <w:p w14:paraId="1D4832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1.10.3采购人书面澄清的时间：见投标人须知前附表。</w:t>
      </w:r>
    </w:p>
    <w:p w14:paraId="773C6E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1.10.4购买招标文件的时间、地点：见投标人须知前附表。</w:t>
      </w:r>
    </w:p>
    <w:bookmarkEnd w:id="141"/>
    <w:bookmarkEnd w:id="142"/>
    <w:p w14:paraId="286CCFA1">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143" w:name="_Toc144974510"/>
      <w:bookmarkStart w:id="144" w:name="_Toc246996187"/>
      <w:bookmarkStart w:id="145" w:name="_Toc152042318"/>
      <w:bookmarkStart w:id="146" w:name="_Toc246996930"/>
      <w:bookmarkStart w:id="147" w:name="_Toc18581"/>
      <w:bookmarkStart w:id="148" w:name="_Toc247085701"/>
      <w:bookmarkStart w:id="149" w:name="_Toc13281"/>
      <w:bookmarkStart w:id="150" w:name="_Toc152045542"/>
      <w:bookmarkStart w:id="151" w:name="_Toc179632560"/>
      <w:bookmarkStart w:id="152" w:name="_Toc31978"/>
      <w:r>
        <w:rPr>
          <w:rFonts w:hint="eastAsia" w:ascii="宋体" w:hAnsi="宋体" w:eastAsia="宋体" w:cs="宋体"/>
          <w:b/>
          <w:bCs/>
          <w:color w:val="000000" w:themeColor="text1"/>
          <w:sz w:val="24"/>
          <w:szCs w:val="24"/>
          <w:lang w:val="en-US" w:eastAsia="zh-CN"/>
          <w14:textFill>
            <w14:solidFill>
              <w14:schemeClr w14:val="tx1"/>
            </w14:solidFill>
          </w14:textFill>
        </w:rPr>
        <w:t>1.11 关于同一品牌产品的处理</w:t>
      </w:r>
    </w:p>
    <w:p w14:paraId="6C7313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1.11.1.单一产品采购项目中，提供相同品牌的产品的不同供应商参加同一合同项下投标的，提供相同品牌产品且通过资格审查、符合性审查的不同供应商，按一家供应商计算，评审后得分最高的同品牌供应商获得中标（成交）供应商推荐资格；评审得分相同的，由评标委员会按照最后报价最低的方式确定一个获得中标（成交）供应商推荐资格，其他同品牌供应商不作为中标（成交）候选人。</w:t>
      </w:r>
    </w:p>
    <w:p w14:paraId="1356797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1.11.2.非单一产品采购项目，采购人将根据采购项目技术构成、产品价格比重等因素确定核心产品（可能不止一种），并在招标文件中载明。提供相同品牌的核心产品且通过资格审查、符合性审查的不同供应商参加同一合同项下投标的，按一家供应商计算，评审后得分最高的同品牌供应商获得中标（成交）供应商推荐资格；评审得分相同的，由评标委员会按照投标报价最低的方式确定一个获得中标（成交）供应商推荐资格，其他同品牌供应商不作为中标（成交）候选人。</w:t>
      </w:r>
    </w:p>
    <w:p w14:paraId="696FC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1.11.3.核心产品为两个以上时，多家供应商提供的核心产品有部分采用或全部采用相同品牌的，按一家供应商计算。</w:t>
      </w:r>
    </w:p>
    <w:p w14:paraId="2F4DAC58">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2. 招标文件</w:t>
      </w:r>
      <w:bookmarkEnd w:id="143"/>
      <w:bookmarkEnd w:id="144"/>
      <w:bookmarkEnd w:id="145"/>
      <w:bookmarkEnd w:id="146"/>
      <w:bookmarkEnd w:id="147"/>
      <w:bookmarkEnd w:id="148"/>
      <w:bookmarkEnd w:id="149"/>
      <w:bookmarkEnd w:id="150"/>
      <w:bookmarkEnd w:id="151"/>
      <w:bookmarkEnd w:id="152"/>
    </w:p>
    <w:p w14:paraId="1DACE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53" w:name="_Toc29070"/>
      <w:bookmarkStart w:id="154" w:name="_Toc179632561"/>
      <w:bookmarkStart w:id="155" w:name="_Toc9862"/>
      <w:bookmarkStart w:id="156" w:name="_Toc25465"/>
      <w:bookmarkStart w:id="157" w:name="_Toc246996931"/>
      <w:bookmarkStart w:id="158" w:name="_Toc144974511"/>
      <w:bookmarkStart w:id="159" w:name="_Toc152045543"/>
      <w:bookmarkStart w:id="160" w:name="_Toc152042319"/>
      <w:bookmarkStart w:id="161" w:name="_Toc246996188"/>
      <w:bookmarkStart w:id="162" w:name="_Toc247085702"/>
      <w:r>
        <w:rPr>
          <w:rFonts w:hint="eastAsia" w:ascii="宋体" w:hAnsi="宋体" w:eastAsia="宋体" w:cs="宋体"/>
          <w:color w:val="000000" w:themeColor="text1"/>
          <w:sz w:val="24"/>
          <w:szCs w:val="24"/>
          <w14:textFill>
            <w14:solidFill>
              <w14:schemeClr w14:val="tx1"/>
            </w14:solidFill>
          </w14:textFill>
        </w:rPr>
        <w:t>2.1 招标文件的组成</w:t>
      </w:r>
      <w:bookmarkEnd w:id="153"/>
      <w:bookmarkEnd w:id="154"/>
      <w:bookmarkEnd w:id="155"/>
      <w:bookmarkEnd w:id="156"/>
      <w:bookmarkEnd w:id="157"/>
      <w:bookmarkEnd w:id="158"/>
      <w:bookmarkEnd w:id="159"/>
      <w:bookmarkEnd w:id="160"/>
      <w:bookmarkEnd w:id="161"/>
      <w:bookmarkEnd w:id="162"/>
    </w:p>
    <w:p w14:paraId="6A8A08D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2.1.1 本招标文件包括：</w:t>
      </w:r>
    </w:p>
    <w:p w14:paraId="129A9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第一章 招标公告；</w:t>
      </w:r>
    </w:p>
    <w:p w14:paraId="0AE826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 投标人须知；</w:t>
      </w:r>
    </w:p>
    <w:p w14:paraId="1531C5E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 投标人资格证明文件及审核</w:t>
      </w:r>
      <w:r>
        <w:rPr>
          <w:rFonts w:hint="eastAsia" w:ascii="宋体" w:hAnsi="宋体" w:eastAsia="宋体" w:cs="宋体"/>
          <w:color w:val="000000" w:themeColor="text1"/>
          <w:sz w:val="24"/>
          <w:szCs w:val="24"/>
          <w:lang w:eastAsia="zh-CN"/>
          <w14:textFill>
            <w14:solidFill>
              <w14:schemeClr w14:val="tx1"/>
            </w14:solidFill>
          </w14:textFill>
        </w:rPr>
        <w:t>；</w:t>
      </w:r>
    </w:p>
    <w:p w14:paraId="2C03F4D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第四章 评标办法前附表及评标办法；</w:t>
      </w:r>
    </w:p>
    <w:p w14:paraId="2402EFD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第五章 合同（拟签订</w:t>
      </w:r>
      <w:r>
        <w:rPr>
          <w:rFonts w:hint="eastAsia" w:ascii="宋体" w:hAnsi="宋体" w:cs="宋体"/>
          <w:color w:val="000000" w:themeColor="text1"/>
          <w:sz w:val="24"/>
          <w:szCs w:val="24"/>
          <w:lang w:val="en-US"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文本）；</w:t>
      </w:r>
    </w:p>
    <w:p w14:paraId="02C5578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第六章 技术要求；</w:t>
      </w:r>
    </w:p>
    <w:p w14:paraId="23378E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第七章 投标文件格式。</w:t>
      </w:r>
    </w:p>
    <w:p w14:paraId="69EF106F">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2.1.2 根据本章第1.10款、第2.2款和第2.3款对招标文件所作的澄清、修改，构成招标文件的组成部分。</w:t>
      </w:r>
    </w:p>
    <w:p w14:paraId="3B220C17">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7615C562">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2.1.4招标文件由</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登记发售，一经售出，恕不能退。</w:t>
      </w:r>
    </w:p>
    <w:p w14:paraId="1B3A4D20">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2.1.5投标人不得擅自转让、变卖或复制招标文件进行投标。</w:t>
      </w:r>
    </w:p>
    <w:p w14:paraId="1B8F5F9E">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2.1.6招标文件的解释权归</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75BC85A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63" w:name="_Toc152045544"/>
      <w:bookmarkStart w:id="164" w:name="_Toc246996189"/>
      <w:bookmarkStart w:id="165" w:name="_Toc19400"/>
      <w:bookmarkStart w:id="166" w:name="_Toc246996932"/>
      <w:bookmarkStart w:id="167" w:name="_Toc152042320"/>
      <w:bookmarkStart w:id="168" w:name="_Toc247085703"/>
      <w:bookmarkStart w:id="169" w:name="_Toc144974512"/>
      <w:bookmarkStart w:id="170" w:name="_Toc25646"/>
      <w:bookmarkStart w:id="171" w:name="_Toc9540"/>
      <w:bookmarkStart w:id="172" w:name="_Toc179632562"/>
      <w:r>
        <w:rPr>
          <w:rFonts w:hint="eastAsia" w:ascii="宋体" w:hAnsi="宋体" w:eastAsia="宋体" w:cs="宋体"/>
          <w:color w:val="000000" w:themeColor="text1"/>
          <w:sz w:val="24"/>
          <w:szCs w:val="24"/>
          <w14:textFill>
            <w14:solidFill>
              <w14:schemeClr w14:val="tx1"/>
            </w14:solidFill>
          </w14:textFill>
        </w:rPr>
        <w:t>2.2 招标文件的澄清</w:t>
      </w:r>
      <w:bookmarkEnd w:id="163"/>
      <w:bookmarkEnd w:id="164"/>
      <w:bookmarkEnd w:id="165"/>
      <w:bookmarkEnd w:id="166"/>
      <w:bookmarkEnd w:id="167"/>
      <w:bookmarkEnd w:id="168"/>
      <w:bookmarkEnd w:id="169"/>
      <w:bookmarkEnd w:id="170"/>
      <w:bookmarkEnd w:id="171"/>
      <w:bookmarkEnd w:id="172"/>
      <w:r>
        <w:rPr>
          <w:rFonts w:hint="eastAsia" w:ascii="宋体" w:hAnsi="宋体" w:eastAsia="宋体" w:cs="宋体"/>
          <w:color w:val="000000" w:themeColor="text1"/>
          <w:sz w:val="24"/>
          <w:szCs w:val="24"/>
          <w14:textFill>
            <w14:solidFill>
              <w14:schemeClr w14:val="tx1"/>
            </w14:solidFill>
          </w14:textFill>
        </w:rPr>
        <w:t xml:space="preserve"> </w:t>
      </w:r>
    </w:p>
    <w:p w14:paraId="22E0B9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 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逾期将失去提出异议的权利；</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在投标截止时间</w:t>
      </w:r>
      <w:r>
        <w:rPr>
          <w:rFonts w:hint="eastAsia" w:ascii="宋体" w:hAnsi="宋体" w:cs="宋体"/>
          <w:color w:val="000000" w:themeColor="text1"/>
          <w:sz w:val="24"/>
          <w:szCs w:val="24"/>
          <w:lang w:val="en-US" w:eastAsia="zh-CN"/>
          <w14:textFill>
            <w14:solidFill>
              <w14:schemeClr w14:val="tx1"/>
            </w14:solidFill>
          </w14:textFill>
        </w:rPr>
        <w:t>十五</w:t>
      </w:r>
      <w:r>
        <w:rPr>
          <w:rFonts w:hint="eastAsia" w:ascii="宋体" w:hAnsi="宋体" w:eastAsia="宋体" w:cs="宋体"/>
          <w:color w:val="000000" w:themeColor="text1"/>
          <w:sz w:val="24"/>
          <w:szCs w:val="24"/>
          <w14:textFill>
            <w14:solidFill>
              <w14:schemeClr w14:val="tx1"/>
            </w14:solidFill>
          </w14:textFill>
        </w:rPr>
        <w:t>日前以书面形式予以答复；必要时将书面答复传送给所有招标文件收受人。投标人在收到该澄清文件后应于一日内，以书面形式予以确认，该澄清、修改或补正的内容作为招标文件的组成部分，具有约束作用。</w:t>
      </w:r>
    </w:p>
    <w:p w14:paraId="09C767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 投标截止时间：</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p>
    <w:p w14:paraId="07617D0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 </w:t>
      </w:r>
    </w:p>
    <w:p w14:paraId="0BDC0AE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73" w:name="_Toc247085704"/>
      <w:bookmarkStart w:id="174" w:name="_Toc32623"/>
      <w:bookmarkStart w:id="175" w:name="_Toc27203"/>
      <w:bookmarkStart w:id="176" w:name="_Toc152042321"/>
      <w:bookmarkStart w:id="177" w:name="_Toc152045545"/>
      <w:bookmarkStart w:id="178" w:name="_Toc246996933"/>
      <w:bookmarkStart w:id="179" w:name="_Toc13614"/>
      <w:bookmarkStart w:id="180" w:name="_Toc246996190"/>
      <w:bookmarkStart w:id="181" w:name="_Toc179632563"/>
      <w:bookmarkStart w:id="182" w:name="_Toc144974513"/>
      <w:r>
        <w:rPr>
          <w:rFonts w:hint="eastAsia" w:ascii="宋体" w:hAnsi="宋体" w:eastAsia="宋体" w:cs="宋体"/>
          <w:color w:val="000000" w:themeColor="text1"/>
          <w:sz w:val="24"/>
          <w:szCs w:val="24"/>
          <w14:textFill>
            <w14:solidFill>
              <w14:schemeClr w14:val="tx1"/>
            </w14:solidFill>
          </w14:textFill>
        </w:rPr>
        <w:t>2.3 招标文件的修改</w:t>
      </w:r>
      <w:bookmarkEnd w:id="173"/>
      <w:bookmarkEnd w:id="174"/>
      <w:bookmarkEnd w:id="175"/>
      <w:bookmarkEnd w:id="176"/>
      <w:bookmarkEnd w:id="177"/>
      <w:bookmarkEnd w:id="178"/>
      <w:bookmarkEnd w:id="179"/>
      <w:bookmarkEnd w:id="180"/>
      <w:bookmarkEnd w:id="181"/>
      <w:bookmarkEnd w:id="182"/>
    </w:p>
    <w:p w14:paraId="3711E81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2.3.1招标文件的澄清、修改、补充等内容均以书面形式明确的内容为准。当招标文件、招标文件的澄清、修改、补充等在同一内容的表述不一致时，以最后发出的书面文件为准。</w:t>
      </w:r>
    </w:p>
    <w:p w14:paraId="0FB625F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2.3.2投标人确认收到招标文件修改的时间：见投标人须知前附表。</w:t>
      </w:r>
      <w:bookmarkStart w:id="183" w:name="_Toc144974514"/>
      <w:bookmarkStart w:id="184" w:name="_Toc8058"/>
      <w:bookmarkStart w:id="185" w:name="_Toc23378"/>
      <w:bookmarkStart w:id="186" w:name="_Toc246996191"/>
      <w:bookmarkStart w:id="187" w:name="_Toc7461"/>
      <w:bookmarkStart w:id="188" w:name="_Toc247085705"/>
      <w:bookmarkStart w:id="189" w:name="_Toc152042322"/>
      <w:bookmarkStart w:id="190" w:name="_Toc179632564"/>
      <w:bookmarkStart w:id="191" w:name="_Toc246996934"/>
      <w:bookmarkStart w:id="192" w:name="_Toc152045546"/>
    </w:p>
    <w:p w14:paraId="3F3F53A7">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投标文件</w:t>
      </w:r>
      <w:bookmarkEnd w:id="183"/>
      <w:bookmarkEnd w:id="184"/>
      <w:bookmarkEnd w:id="185"/>
      <w:bookmarkEnd w:id="186"/>
      <w:bookmarkEnd w:id="187"/>
      <w:bookmarkEnd w:id="188"/>
      <w:bookmarkEnd w:id="189"/>
      <w:bookmarkEnd w:id="190"/>
      <w:bookmarkEnd w:id="191"/>
      <w:bookmarkEnd w:id="192"/>
    </w:p>
    <w:p w14:paraId="1D5D72C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93" w:name="_Toc247085706"/>
      <w:bookmarkStart w:id="194" w:name="_Toc246996935"/>
      <w:bookmarkStart w:id="195" w:name="_Toc144974515"/>
      <w:bookmarkStart w:id="196" w:name="_Toc152042323"/>
      <w:bookmarkStart w:id="197" w:name="_Toc28974"/>
      <w:bookmarkStart w:id="198" w:name="_Toc246996192"/>
      <w:bookmarkStart w:id="199" w:name="_Toc27247"/>
      <w:bookmarkStart w:id="200" w:name="_Toc179632565"/>
      <w:bookmarkStart w:id="201" w:name="_Toc237"/>
      <w:bookmarkStart w:id="202" w:name="_Toc152045547"/>
      <w:r>
        <w:rPr>
          <w:rFonts w:hint="eastAsia" w:ascii="宋体" w:hAnsi="宋体" w:eastAsia="宋体" w:cs="宋体"/>
          <w:color w:val="000000" w:themeColor="text1"/>
          <w:sz w:val="24"/>
          <w:szCs w:val="24"/>
          <w14:textFill>
            <w14:solidFill>
              <w14:schemeClr w14:val="tx1"/>
            </w14:solidFill>
          </w14:textFill>
        </w:rPr>
        <w:t>3.1 投标文件的组成</w:t>
      </w:r>
      <w:bookmarkEnd w:id="193"/>
      <w:bookmarkEnd w:id="194"/>
      <w:bookmarkEnd w:id="195"/>
      <w:bookmarkEnd w:id="196"/>
      <w:bookmarkEnd w:id="197"/>
      <w:bookmarkEnd w:id="198"/>
      <w:bookmarkEnd w:id="199"/>
      <w:bookmarkEnd w:id="200"/>
      <w:bookmarkEnd w:id="201"/>
      <w:bookmarkEnd w:id="202"/>
    </w:p>
    <w:p w14:paraId="2D9452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03" w:name="_Toc4527"/>
      <w:bookmarkStart w:id="204" w:name="_Toc152045548"/>
      <w:bookmarkStart w:id="205" w:name="_Toc179632566"/>
      <w:bookmarkStart w:id="206" w:name="_Toc246996193"/>
      <w:bookmarkStart w:id="207" w:name="_Toc28739"/>
      <w:bookmarkStart w:id="208" w:name="_Toc247085707"/>
      <w:bookmarkStart w:id="209" w:name="_Toc246996936"/>
      <w:bookmarkStart w:id="210" w:name="_Toc144974516"/>
      <w:bookmarkStart w:id="211" w:name="_Toc152042324"/>
      <w:bookmarkStart w:id="212" w:name="_Toc10240"/>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投标文件主要包括以下内容：</w:t>
      </w:r>
    </w:p>
    <w:p w14:paraId="36F1A9A4">
      <w:pPr>
        <w:pageBreakBefore w:val="0"/>
        <w:numPr>
          <w:ilvl w:val="0"/>
          <w:numId w:val="3"/>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资格证明文件</w:t>
      </w:r>
    </w:p>
    <w:p w14:paraId="0600947D">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投标函</w:t>
      </w:r>
    </w:p>
    <w:p w14:paraId="2487717A">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开标一览表</w:t>
      </w:r>
    </w:p>
    <w:p w14:paraId="13CFFBF1">
      <w:pPr>
        <w:pageBreakBefore w:val="0"/>
        <w:numPr>
          <w:ilvl w:val="0"/>
          <w:numId w:val="0"/>
        </w:numPr>
        <w:wordWrap/>
        <w:topLinePunct w:val="0"/>
        <w:autoSpaceDE/>
        <w:autoSpaceDN/>
        <w:bidi w:val="0"/>
        <w:adjustRightInd/>
        <w:spacing w:line="600" w:lineRule="exact"/>
        <w:ind w:left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四、</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lang w:val="en-US" w:eastAsia="zh-CN"/>
          <w14:textFill>
            <w14:solidFill>
              <w14:schemeClr w14:val="tx1"/>
            </w14:solidFill>
          </w14:textFill>
        </w:rPr>
        <w:t>投标</w:t>
      </w:r>
      <w:r>
        <w:rPr>
          <w:rFonts w:hint="eastAsia" w:ascii="宋体" w:hAnsi="宋体" w:eastAsia="宋体" w:cs="宋体"/>
          <w:b w:val="0"/>
          <w:bCs w:val="0"/>
          <w:color w:val="000000" w:themeColor="text1"/>
          <w:sz w:val="24"/>
          <w:szCs w:val="24"/>
          <w:lang w:eastAsia="zh-CN"/>
          <w14:textFill>
            <w14:solidFill>
              <w14:schemeClr w14:val="tx1"/>
            </w14:solidFill>
          </w14:textFill>
        </w:rPr>
        <w:t>分项报价表</w:t>
      </w:r>
    </w:p>
    <w:p w14:paraId="450E589E">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五、</w:t>
      </w:r>
      <w:r>
        <w:rPr>
          <w:rFonts w:hint="eastAsia" w:ascii="宋体" w:hAnsi="宋体" w:eastAsia="宋体" w:cs="宋体"/>
          <w:b w:val="0"/>
          <w:bCs w:val="0"/>
          <w:color w:val="000000" w:themeColor="text1"/>
          <w:sz w:val="24"/>
          <w:szCs w:val="24"/>
          <w:lang w:eastAsia="zh-CN"/>
          <w14:textFill>
            <w14:solidFill>
              <w14:schemeClr w14:val="tx1"/>
            </w14:solidFill>
          </w14:textFill>
        </w:rPr>
        <w:t>偏离表</w:t>
      </w:r>
    </w:p>
    <w:p w14:paraId="5BF054AF">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六</w:t>
      </w:r>
      <w:r>
        <w:rPr>
          <w:rFonts w:hint="eastAsia" w:ascii="宋体" w:hAnsi="宋体" w:eastAsia="宋体" w:cs="宋体"/>
          <w:b w:val="0"/>
          <w:bCs w:val="0"/>
          <w:color w:val="000000" w:themeColor="text1"/>
          <w:sz w:val="24"/>
          <w:szCs w:val="24"/>
          <w14:textFill>
            <w14:solidFill>
              <w14:schemeClr w14:val="tx1"/>
            </w14:solidFill>
          </w14:textFill>
        </w:rPr>
        <w:t>、陕西省政府采购供应商拒绝政府采购领域商业贿赂承诺书</w:t>
      </w:r>
    </w:p>
    <w:p w14:paraId="7F49E727">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七</w:t>
      </w:r>
      <w:r>
        <w:rPr>
          <w:rFonts w:hint="eastAsia" w:ascii="宋体" w:hAnsi="宋体" w:eastAsia="宋体" w:cs="宋体"/>
          <w:b w:val="0"/>
          <w:bCs w:val="0"/>
          <w:color w:val="000000" w:themeColor="text1"/>
          <w:sz w:val="24"/>
          <w:szCs w:val="24"/>
          <w14:textFill>
            <w14:solidFill>
              <w14:schemeClr w14:val="tx1"/>
            </w14:solidFill>
          </w14:textFill>
        </w:rPr>
        <w:t>、技术</w:t>
      </w:r>
      <w:r>
        <w:rPr>
          <w:rFonts w:hint="eastAsia" w:ascii="宋体" w:hAnsi="宋体" w:eastAsia="宋体" w:cs="宋体"/>
          <w:b w:val="0"/>
          <w:bCs w:val="0"/>
          <w:color w:val="000000" w:themeColor="text1"/>
          <w:sz w:val="24"/>
          <w:szCs w:val="24"/>
          <w:lang w:val="en-US" w:eastAsia="zh-CN"/>
          <w14:textFill>
            <w14:solidFill>
              <w14:schemeClr w14:val="tx1"/>
            </w14:solidFill>
          </w14:textFill>
        </w:rPr>
        <w:t>及商务</w:t>
      </w:r>
      <w:r>
        <w:rPr>
          <w:rFonts w:hint="eastAsia" w:ascii="宋体" w:hAnsi="宋体" w:eastAsia="宋体" w:cs="宋体"/>
          <w:b w:val="0"/>
          <w:bCs w:val="0"/>
          <w:color w:val="000000" w:themeColor="text1"/>
          <w:sz w:val="24"/>
          <w:szCs w:val="24"/>
          <w14:textFill>
            <w14:solidFill>
              <w14:schemeClr w14:val="tx1"/>
            </w14:solidFill>
          </w14:textFill>
        </w:rPr>
        <w:t>部分响应内容</w:t>
      </w:r>
    </w:p>
    <w:p w14:paraId="4B3971A3">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八</w:t>
      </w:r>
      <w:r>
        <w:rPr>
          <w:rFonts w:hint="eastAsia" w:ascii="宋体" w:hAnsi="宋体" w:eastAsia="宋体" w:cs="宋体"/>
          <w:b w:val="0"/>
          <w:bCs w:val="0"/>
          <w:color w:val="000000" w:themeColor="text1"/>
          <w:sz w:val="24"/>
          <w:szCs w:val="24"/>
          <w14:textFill>
            <w14:solidFill>
              <w14:schemeClr w14:val="tx1"/>
            </w14:solidFill>
          </w14:textFill>
        </w:rPr>
        <w:t>、其他资料</w:t>
      </w:r>
    </w:p>
    <w:p w14:paraId="7DF0474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 投标报价</w:t>
      </w:r>
      <w:bookmarkEnd w:id="203"/>
      <w:bookmarkEnd w:id="204"/>
      <w:bookmarkEnd w:id="205"/>
      <w:bookmarkEnd w:id="206"/>
      <w:bookmarkEnd w:id="207"/>
      <w:bookmarkEnd w:id="208"/>
      <w:bookmarkEnd w:id="209"/>
      <w:bookmarkEnd w:id="210"/>
      <w:bookmarkEnd w:id="211"/>
      <w:bookmarkEnd w:id="212"/>
    </w:p>
    <w:p w14:paraId="27B592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13" w:name="_Toc18722"/>
      <w:bookmarkStart w:id="214" w:name="_Toc246996937"/>
      <w:bookmarkStart w:id="215" w:name="_Toc27607"/>
      <w:bookmarkStart w:id="216" w:name="_Toc144974517"/>
      <w:bookmarkStart w:id="217" w:name="_Toc179632567"/>
      <w:bookmarkStart w:id="218" w:name="_Toc152042325"/>
      <w:bookmarkStart w:id="219" w:name="_Toc31607"/>
      <w:bookmarkStart w:id="220" w:name="_Toc247085708"/>
      <w:bookmarkStart w:id="221" w:name="_Toc152045549"/>
      <w:bookmarkStart w:id="222" w:name="_Toc246996194"/>
      <w:r>
        <w:rPr>
          <w:rFonts w:hint="eastAsia" w:ascii="宋体" w:hAnsi="宋体" w:eastAsia="宋体" w:cs="宋体"/>
          <w:color w:val="000000" w:themeColor="text1"/>
          <w:sz w:val="24"/>
          <w:szCs w:val="24"/>
          <w14:textFill>
            <w14:solidFill>
              <w14:schemeClr w14:val="tx1"/>
            </w14:solidFill>
          </w14:textFill>
        </w:rPr>
        <w:t>3.2.1</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应对此项目进行全面响应，不得将其中所列的所有内容拆开报价。凡本招标文件要求（或允许）及</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认为需要进行投标的各项费用项目（不论是否要求进入报价），若投标时未报或未在投标文件中予以说明，</w:t>
      </w:r>
      <w:r>
        <w:rPr>
          <w:rFonts w:hint="eastAsia" w:ascii="宋体" w:hAnsi="宋体" w:eastAsia="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eastAsia="zh-CN"/>
          <w14:textFill>
            <w14:solidFill>
              <w14:schemeClr w14:val="tx1"/>
            </w14:solidFill>
          </w14:textFill>
        </w:rPr>
        <w:t>人</w:t>
      </w:r>
      <w:r>
        <w:rPr>
          <w:rFonts w:hint="eastAsia" w:ascii="宋体" w:hAnsi="宋体" w:eastAsia="宋体" w:cs="宋体"/>
          <w:color w:val="000000" w:themeColor="text1"/>
          <w:sz w:val="24"/>
          <w:szCs w:val="24"/>
          <w14:textFill>
            <w14:solidFill>
              <w14:schemeClr w14:val="tx1"/>
            </w14:solidFill>
          </w14:textFill>
        </w:rPr>
        <w:t>将认为这些费用</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已计取，并包含在总报价中（项目内容、项目量调整除外）</w:t>
      </w:r>
    </w:p>
    <w:p w14:paraId="33D57C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3.2.2“</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分项报价表”填写时应注意下列要求：</w:t>
      </w:r>
    </w:p>
    <w:p w14:paraId="1A1FD9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所提供的报价货物交货价是货到项目现场价格，包括货物的价格、所有使用的辅材价格等所有费用。（所有税费不必分别填写，计入货价内即可）。</w:t>
      </w:r>
    </w:p>
    <w:p w14:paraId="3CE06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3.2.3</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不得以低于成本的报价参加投标，当评标委员会认为</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的投标报价或者某些分项报价明显不合理或低于成本价，有可能影响商品质量和不能诚信履约的，可要求</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在规定的期限内提供书面说明，并提交相关证明材料，否则，可拒绝</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w:t>
      </w:r>
    </w:p>
    <w:p w14:paraId="638FCE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3.2.4投标报价只能提交唯一、不可选择的报价。投标货币：人民币。</w:t>
      </w:r>
    </w:p>
    <w:p w14:paraId="77A312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3.2.5</w:t>
      </w:r>
      <w:r>
        <w:rPr>
          <w:rFonts w:hint="eastAsia" w:ascii="宋体" w:hAnsi="宋体" w:eastAsia="宋体" w:cs="宋体"/>
          <w:color w:val="000000" w:themeColor="text1"/>
          <w:sz w:val="24"/>
          <w:szCs w:val="24"/>
          <w:lang w:eastAsia="zh-CN"/>
          <w14:textFill>
            <w14:solidFill>
              <w14:schemeClr w14:val="tx1"/>
            </w14:solidFill>
          </w14:textFill>
        </w:rPr>
        <w:t>投标期间一切费用自理。</w:t>
      </w:r>
    </w:p>
    <w:p w14:paraId="6B3100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3.2.6关于推动解决政府采购异常低价问题的通知（财库〔2026〕2号）</w:t>
      </w:r>
    </w:p>
    <w:p w14:paraId="5A5D98A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强化政府采购异常低价审查</w:t>
      </w:r>
    </w:p>
    <w:p w14:paraId="0CE6679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（一）采购人应当在采购文件中明确，政府采购评审中出现下列情形之一的，评审委员会应当启动异常低价投标（响应）审查程序：</w:t>
      </w:r>
    </w:p>
    <w:p w14:paraId="1E56C7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B7307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62CF61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3.投标（响应）报价低于采购项目最高限价45%的，即投标（响应）报价&lt;采购项目最高限价×45%；</w:t>
      </w:r>
    </w:p>
    <w:p w14:paraId="18B9C7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4.评审委员会基于专业判断，认为供应商报价过低，有可能影响产品质量或者不能诚信履约的其他情形。</w:t>
      </w:r>
    </w:p>
    <w:p w14:paraId="648442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采购人可以结合具体项目实际情况，提高上述第1项至第3项中启动异常低价投标（响应）审查的数值标准，但是最高不得超过65%。</w:t>
      </w:r>
    </w:p>
    <w:p w14:paraId="2CA4DC6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相关法律法规对供应商报价有规定的，从其规定。</w:t>
      </w:r>
    </w:p>
    <w:p w14:paraId="52684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C967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CEA5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30289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9FB3B8F">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w:t>
      </w: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14:textFill>
            <w14:solidFill>
              <w14:schemeClr w14:val="tx1"/>
            </w14:solidFill>
          </w14:textFill>
        </w:rPr>
        <w:t>最低投标报价不作为中标的唯一条件，中标须经投标报价、</w:t>
      </w:r>
      <w:bookmarkStart w:id="223" w:name="_Hlk519149183"/>
      <w:r>
        <w:rPr>
          <w:rFonts w:hint="eastAsia" w:ascii="宋体" w:hAnsi="宋体" w:eastAsia="宋体" w:cs="宋体"/>
          <w:b/>
          <w:bCs/>
          <w:color w:val="000000" w:themeColor="text1"/>
          <w:sz w:val="24"/>
          <w:szCs w:val="24"/>
          <w14:textFill>
            <w14:solidFill>
              <w14:schemeClr w14:val="tx1"/>
            </w14:solidFill>
          </w14:textFill>
        </w:rPr>
        <w:t>技术部分评审、商务部分评审</w:t>
      </w:r>
      <w:bookmarkEnd w:id="223"/>
      <w:r>
        <w:rPr>
          <w:rFonts w:hint="eastAsia" w:ascii="宋体" w:hAnsi="宋体" w:eastAsia="宋体" w:cs="宋体"/>
          <w:b/>
          <w:bCs/>
          <w:color w:val="000000" w:themeColor="text1"/>
          <w:sz w:val="24"/>
          <w:szCs w:val="24"/>
          <w14:textFill>
            <w14:solidFill>
              <w14:schemeClr w14:val="tx1"/>
            </w14:solidFill>
          </w14:textFill>
        </w:rPr>
        <w:t>等内容综合评定。</w:t>
      </w:r>
    </w:p>
    <w:p w14:paraId="73CDA72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 投标有效期</w:t>
      </w:r>
      <w:bookmarkEnd w:id="213"/>
      <w:bookmarkEnd w:id="214"/>
      <w:bookmarkEnd w:id="215"/>
      <w:bookmarkEnd w:id="216"/>
      <w:bookmarkEnd w:id="217"/>
      <w:bookmarkEnd w:id="218"/>
      <w:bookmarkEnd w:id="219"/>
      <w:bookmarkEnd w:id="220"/>
      <w:bookmarkEnd w:id="221"/>
      <w:bookmarkEnd w:id="222"/>
    </w:p>
    <w:p w14:paraId="746015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24" w:name="_Hlk522170577"/>
      <w:bookmarkStart w:id="225" w:name="_Toc246996195"/>
      <w:bookmarkStart w:id="226" w:name="_Toc152045550"/>
      <w:bookmarkStart w:id="227" w:name="_Toc247085709"/>
      <w:bookmarkStart w:id="228" w:name="_Toc144974518"/>
      <w:bookmarkStart w:id="229" w:name="_Toc179632568"/>
      <w:bookmarkStart w:id="230" w:name="_Toc152042326"/>
      <w:bookmarkStart w:id="231" w:name="_Toc10049"/>
      <w:bookmarkStart w:id="232" w:name="_Toc246996938"/>
      <w:bookmarkStart w:id="233" w:name="_Toc17558"/>
      <w:r>
        <w:rPr>
          <w:rFonts w:hint="eastAsia" w:ascii="宋体" w:hAnsi="宋体" w:eastAsia="宋体" w:cs="宋体"/>
          <w:color w:val="000000" w:themeColor="text1"/>
          <w:sz w:val="24"/>
          <w:szCs w:val="24"/>
          <w14:textFill>
            <w14:solidFill>
              <w14:schemeClr w14:val="tx1"/>
            </w14:solidFill>
          </w14:textFill>
        </w:rPr>
        <w:t>3.3.1 在投标人须知前附表规定的投标有效期内，投标人不得要求撤销或修改其投标文件。</w:t>
      </w:r>
    </w:p>
    <w:p w14:paraId="22F834E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224"/>
    </w:p>
    <w:p w14:paraId="48BAAF45">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34" w:name="_Toc25617"/>
      <w:r>
        <w:rPr>
          <w:rFonts w:hint="eastAsia" w:ascii="宋体" w:hAnsi="宋体" w:eastAsia="宋体" w:cs="宋体"/>
          <w:color w:val="000000" w:themeColor="text1"/>
          <w:sz w:val="24"/>
          <w:szCs w:val="24"/>
          <w14:textFill>
            <w14:solidFill>
              <w14:schemeClr w14:val="tx1"/>
            </w14:solidFill>
          </w14:textFill>
        </w:rPr>
        <w:t>3.4 投标保证金</w:t>
      </w:r>
      <w:bookmarkEnd w:id="225"/>
      <w:bookmarkEnd w:id="226"/>
      <w:bookmarkEnd w:id="227"/>
      <w:bookmarkEnd w:id="228"/>
      <w:bookmarkEnd w:id="229"/>
      <w:bookmarkEnd w:id="230"/>
      <w:bookmarkEnd w:id="231"/>
      <w:bookmarkEnd w:id="232"/>
      <w:bookmarkEnd w:id="233"/>
      <w:bookmarkEnd w:id="234"/>
    </w:p>
    <w:p w14:paraId="0DCFF26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5" w:name="_Hlk522170699"/>
      <w:bookmarkStart w:id="236" w:name="_Toc343511515"/>
      <w:r>
        <w:rPr>
          <w:rFonts w:hint="eastAsia" w:ascii="宋体" w:hAnsi="宋体" w:eastAsia="宋体" w:cs="宋体"/>
          <w:color w:val="000000" w:themeColor="text1"/>
          <w:sz w:val="24"/>
          <w:szCs w:val="24"/>
          <w14:textFill>
            <w14:solidFill>
              <w14:schemeClr w14:val="tx1"/>
            </w14:solidFill>
          </w14:textFill>
        </w:rPr>
        <w:t>3.4.1 供应商在递交投标文件的同时，应按供应商须知前附表规定的金额、担保形式缴纳投标保证金。</w:t>
      </w:r>
    </w:p>
    <w:p w14:paraId="190DC1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投标人不按本章第3.4.1项要求提交投标保证金的，其投标文件作废标处理。</w:t>
      </w:r>
    </w:p>
    <w:bookmarkEnd w:id="235"/>
    <w:bookmarkEnd w:id="236"/>
    <w:p w14:paraId="588227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7" w:name="_Toc343511517"/>
      <w:r>
        <w:rPr>
          <w:rFonts w:hint="eastAsia" w:ascii="宋体" w:hAnsi="宋体" w:eastAsia="宋体" w:cs="宋体"/>
          <w:color w:val="000000" w:themeColor="text1"/>
          <w:sz w:val="24"/>
          <w:szCs w:val="24"/>
          <w14:textFill>
            <w14:solidFill>
              <w14:schemeClr w14:val="tx1"/>
            </w14:solidFill>
          </w14:textFill>
        </w:rPr>
        <w:t>3.4.3</w:t>
      </w:r>
      <w:bookmarkEnd w:id="237"/>
      <w:r>
        <w:rPr>
          <w:rFonts w:hint="eastAsia" w:ascii="宋体" w:hAnsi="宋体" w:eastAsia="宋体" w:cs="宋体"/>
          <w:color w:val="000000" w:themeColor="text1"/>
          <w:sz w:val="24"/>
          <w:szCs w:val="24"/>
          <w14:textFill>
            <w14:solidFill>
              <w14:schemeClr w14:val="tx1"/>
            </w14:solidFill>
          </w14:textFill>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2A65F3E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56895E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依法必须进行招标的项目的境内投标单位，以现金或者支票形式提交的投标保证金应当从其基本账户转出。</w:t>
      </w:r>
    </w:p>
    <w:p w14:paraId="4F1248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采购人不得挪用投标保证金。</w:t>
      </w:r>
    </w:p>
    <w:p w14:paraId="220850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4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5139461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投标人撤回已提交的投标文件，应当在投标截止时间前书面通知采购人。采购人已收取投标保证金的，应当自收到投标人书面撤回通知之日起5</w:t>
      </w:r>
      <w:r>
        <w:rPr>
          <w:rFonts w:hint="eastAsia" w:ascii="宋体" w:hAnsi="宋体" w:cs="宋体"/>
          <w:color w:val="000000" w:themeColor="text1"/>
          <w:sz w:val="24"/>
          <w:szCs w:val="24"/>
          <w:lang w:val="en-US" w:eastAsia="zh-CN"/>
          <w14:textFill>
            <w14:solidFill>
              <w14:schemeClr w14:val="tx1"/>
            </w14:solidFill>
          </w14:textFill>
        </w:rPr>
        <w:t>个工作日</w:t>
      </w:r>
      <w:r>
        <w:rPr>
          <w:rFonts w:hint="eastAsia" w:ascii="宋体" w:hAnsi="宋体" w:eastAsia="宋体" w:cs="宋体"/>
          <w:color w:val="000000" w:themeColor="text1"/>
          <w:sz w:val="24"/>
          <w:szCs w:val="24"/>
          <w14:textFill>
            <w14:solidFill>
              <w14:schemeClr w14:val="tx1"/>
            </w14:solidFill>
          </w14:textFill>
        </w:rPr>
        <w:t>内退还。</w:t>
      </w:r>
    </w:p>
    <w:p w14:paraId="52A2CA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投标截止后投标人撤销投标文件的，采购人可以不退还投标保证金。</w:t>
      </w:r>
    </w:p>
    <w:p w14:paraId="16790D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采购人和中标人应当依照</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和本条例的规定签订书面合同，合同的标的、价款、质量、履行期限等主要条款应当与招标文件和中标人的投标文件的内容一致。采购人和中标人不得再行订立背离合同实质性内容的其他协议。</w:t>
      </w:r>
    </w:p>
    <w:p w14:paraId="56E6E5C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5B3660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8" w:name="_Toc343511518"/>
      <w:bookmarkStart w:id="239" w:name="_Hlk522172384"/>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有下列情形之一的，投标保证金将不予退还</w:t>
      </w:r>
      <w:bookmarkEnd w:id="238"/>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有权扣留其投标保证金，以弥补采购人损失。</w:t>
      </w:r>
    </w:p>
    <w:p w14:paraId="1EBEF7B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40" w:name="_Hlk522172370"/>
      <w:r>
        <w:rPr>
          <w:rFonts w:hint="eastAsia" w:ascii="宋体" w:hAnsi="宋体" w:eastAsia="宋体" w:cs="宋体"/>
          <w:color w:val="000000" w:themeColor="text1"/>
          <w:sz w:val="24"/>
          <w:szCs w:val="24"/>
          <w14:textFill>
            <w14:solidFill>
              <w14:schemeClr w14:val="tx1"/>
            </w14:solidFill>
          </w14:textFill>
        </w:rPr>
        <w:t>（1）投标人在规定的投标有效期内撤销或修改其投标文件。</w:t>
      </w:r>
    </w:p>
    <w:p w14:paraId="1BCC229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（2）中标人在收到中标通知书后，无正当理由拒签合同协议书或未按招标文件规定提交履约担保。</w:t>
      </w:r>
    </w:p>
    <w:bookmarkEnd w:id="239"/>
    <w:bookmarkEnd w:id="240"/>
    <w:p w14:paraId="5978B2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（3）投标人与采购人、其他投标人或者采购代理机构恶意串通的。</w:t>
      </w:r>
    </w:p>
    <w:p w14:paraId="4103E1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（4）投标人中标后无正当理由放弃中标的</w:t>
      </w:r>
      <w:r>
        <w:rPr>
          <w:rFonts w:hint="eastAsia" w:ascii="宋体" w:hAnsi="宋体" w:cs="宋体"/>
          <w:color w:val="000000" w:themeColor="text1"/>
          <w:sz w:val="24"/>
          <w:szCs w:val="24"/>
          <w:lang w:eastAsia="zh-CN"/>
          <w14:textFill>
            <w14:solidFill>
              <w14:schemeClr w14:val="tx1"/>
            </w14:solidFill>
          </w14:textFill>
        </w:rPr>
        <w:t>。</w:t>
      </w:r>
    </w:p>
    <w:p w14:paraId="53D10C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）投标人中标后将中标项目转让给他人，未经采购人同意，将中标项目分包给他人的。</w:t>
      </w:r>
    </w:p>
    <w:p w14:paraId="72CB78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）投标人在投标文件中提供伪造、套改、虚假资料参加投标的。</w:t>
      </w:r>
    </w:p>
    <w:p w14:paraId="25C758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）投标人不按法定程序进行质疑和投诉,捏造事实，查无实据，造成恶劣影响，导致采购活动无法正常进行的。</w:t>
      </w:r>
    </w:p>
    <w:p w14:paraId="6C91C2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）招标文件规定的其他情形。</w:t>
      </w:r>
    </w:p>
    <w:p w14:paraId="3CD71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41" w:name="_Toc144974520"/>
      <w:bookmarkStart w:id="242" w:name="_Toc152042328"/>
      <w:bookmarkStart w:id="243" w:name="_Toc246996939"/>
      <w:bookmarkStart w:id="244" w:name="_Toc246996196"/>
      <w:bookmarkStart w:id="245" w:name="_Toc247085710"/>
      <w:bookmarkStart w:id="246" w:name="_Toc152045552"/>
      <w:bookmarkStart w:id="247" w:name="_Toc296602441"/>
      <w:bookmarkStart w:id="248" w:name="_Toc179632570"/>
      <w:bookmarkStart w:id="249" w:name="_Toc16361"/>
      <w:bookmarkStart w:id="250" w:name="_Toc5131"/>
      <w:bookmarkStart w:id="251" w:name="_Toc18308"/>
      <w:r>
        <w:rPr>
          <w:rFonts w:hint="eastAsia" w:ascii="宋体" w:hAnsi="宋体" w:eastAsia="宋体" w:cs="宋体"/>
          <w:color w:val="000000" w:themeColor="text1"/>
          <w:sz w:val="24"/>
          <w:szCs w:val="24"/>
          <w14:textFill>
            <w14:solidFill>
              <w14:schemeClr w14:val="tx1"/>
            </w14:solidFill>
          </w14:textFill>
        </w:rPr>
        <w:t>3.5</w:t>
      </w:r>
      <w:bookmarkEnd w:id="241"/>
      <w:bookmarkEnd w:id="242"/>
      <w:bookmarkEnd w:id="243"/>
      <w:bookmarkEnd w:id="244"/>
      <w:bookmarkEnd w:id="245"/>
      <w:bookmarkEnd w:id="246"/>
      <w:bookmarkEnd w:id="247"/>
      <w:bookmarkEnd w:id="248"/>
      <w:bookmarkStart w:id="252" w:name="_Toc179632571"/>
      <w:bookmarkStart w:id="253" w:name="_Toc152042329"/>
      <w:bookmarkStart w:id="254" w:name="_Toc247085711"/>
      <w:bookmarkStart w:id="255" w:name="_Toc246996940"/>
      <w:bookmarkStart w:id="256" w:name="_Toc246996197"/>
      <w:bookmarkStart w:id="257" w:name="_Toc152045553"/>
      <w:bookmarkStart w:id="258" w:name="_Toc144974521"/>
      <w:r>
        <w:rPr>
          <w:rFonts w:hint="eastAsia" w:ascii="宋体" w:hAnsi="宋体" w:eastAsia="宋体" w:cs="宋体"/>
          <w:color w:val="000000" w:themeColor="text1"/>
          <w:sz w:val="24"/>
          <w:szCs w:val="24"/>
          <w14:textFill>
            <w14:solidFill>
              <w14:schemeClr w14:val="tx1"/>
            </w14:solidFill>
          </w14:textFill>
        </w:rPr>
        <w:t xml:space="preserve"> 投标文件的编制</w:t>
      </w:r>
      <w:bookmarkEnd w:id="249"/>
      <w:bookmarkEnd w:id="250"/>
      <w:bookmarkEnd w:id="251"/>
    </w:p>
    <w:bookmarkEnd w:id="252"/>
    <w:bookmarkEnd w:id="253"/>
    <w:bookmarkEnd w:id="254"/>
    <w:bookmarkEnd w:id="255"/>
    <w:bookmarkEnd w:id="256"/>
    <w:bookmarkEnd w:id="257"/>
    <w:bookmarkEnd w:id="258"/>
    <w:p w14:paraId="636FA6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59" w:name="_Toc28026"/>
      <w:bookmarkStart w:id="260" w:name="_Toc179632573"/>
      <w:bookmarkStart w:id="261" w:name="_Toc247085713"/>
      <w:bookmarkStart w:id="262" w:name="_Toc152042331"/>
      <w:bookmarkStart w:id="263" w:name="_Toc31049"/>
      <w:bookmarkStart w:id="264" w:name="_Toc152045555"/>
      <w:bookmarkStart w:id="265" w:name="_Toc246996199"/>
      <w:bookmarkStart w:id="266" w:name="_Toc246996942"/>
      <w:bookmarkStart w:id="267" w:name="_Toc19372"/>
      <w:bookmarkStart w:id="268" w:name="_Toc144974523"/>
      <w:r>
        <w:rPr>
          <w:rFonts w:hint="eastAsia" w:ascii="宋体" w:hAnsi="宋体" w:eastAsia="宋体" w:cs="宋体"/>
          <w:color w:val="000000" w:themeColor="text1"/>
          <w:sz w:val="24"/>
          <w:szCs w:val="24"/>
          <w14:textFill>
            <w14:solidFill>
              <w14:schemeClr w14:val="tx1"/>
            </w14:solidFill>
          </w14:textFill>
        </w:rPr>
        <w:t>3.5.1投标文件必须按“投标文件格式”进行编写，如有必要，可以增加附页，作为投标文件的组成部分。</w:t>
      </w:r>
    </w:p>
    <w:p w14:paraId="7B14D1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3.5.2 投标文件应当对招标文件有关</w:t>
      </w:r>
      <w:r>
        <w:rPr>
          <w:rFonts w:hint="eastAsia" w:ascii="宋体" w:hAnsi="宋体" w:cs="宋体"/>
          <w:color w:val="000000" w:themeColor="text1"/>
          <w:sz w:val="24"/>
          <w:szCs w:val="24"/>
          <w:lang w:val="en-US"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、投标有效期、技术要求、招标范围等实质性内容作出响应。</w:t>
      </w:r>
    </w:p>
    <w:p w14:paraId="61E63E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3.5.3投标文件应尽量避免涂改、行间插字或删除。如果出现上述情况，改动之处应必须加盖投标人单位公章；由委托代理人签字或盖章的，需随投标文件一起提交有效的“授权委托书”原件的（正副本各一份）；</w:t>
      </w:r>
    </w:p>
    <w:p w14:paraId="71BF7E5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3.5.4 投标文件正本一份，副本份数见投标人须知前附表。正本和副本的封面上必须清楚地标记 “正本”或“副本”的字样。当副本和正本不一致时，以正本为准。</w:t>
      </w:r>
    </w:p>
    <w:p w14:paraId="291C60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3.5.5投标文件的正本和所有的副本必须全部打印并分别装订成册，并编制目录，统一装订、编码，必须在每一页的下方清楚标明。</w:t>
      </w:r>
    </w:p>
    <w:p w14:paraId="03AB61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3.5.6 投标文件签字或盖章要求，见投标人须知前附表。</w:t>
      </w:r>
    </w:p>
    <w:p w14:paraId="614109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3.5.7 投标文件因字迹潦草或表达不清所引起的后果由投标单位负责。</w:t>
      </w:r>
    </w:p>
    <w:p w14:paraId="2BB19FA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3.5.8 未按本章第3.5.1 项至第3.5.7项规定，出现任何一项未按要求编制的投标文件，采购人（或采购代理机构）不予受理，投标文件按无效文件处理。</w:t>
      </w:r>
    </w:p>
    <w:p w14:paraId="2E31B4A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3.6</w:t>
      </w:r>
      <w:r>
        <w:rPr>
          <w:rFonts w:hint="eastAsia" w:ascii="宋体" w:hAnsi="宋体" w:eastAsia="宋体" w:cs="宋体"/>
          <w:b/>
          <w:bCs/>
          <w:color w:val="000000" w:themeColor="text1"/>
          <w:sz w:val="24"/>
          <w:szCs w:val="24"/>
          <w14:textFill>
            <w14:solidFill>
              <w14:schemeClr w14:val="tx1"/>
            </w14:solidFill>
          </w14:textFill>
        </w:rPr>
        <w:t>关于投标文件的雷同性分析</w:t>
      </w:r>
    </w:p>
    <w:p w14:paraId="43634A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的电子投标文件进行雷同性分析。</w:t>
      </w:r>
    </w:p>
    <w:p w14:paraId="4AF00E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6F2888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若“文件制作机器码”一致，则表明不同投标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的电子投标文件出自同一台制作设备，根据《陕西省财政厅关于政府采购有关政策的复函》（陕财办采函〔2019〕18号），该情形可以视为投标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串通投标，其投标无效。</w:t>
      </w:r>
    </w:p>
    <w:p w14:paraId="2AD503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若“文件创建标识码”一致，则表示不同投标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使用投标文件制作软件时，使用同一源工程文件，该情形建议由评标委员会结合项目情况综合判定。</w:t>
      </w:r>
    </w:p>
    <w:p w14:paraId="0D861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在投标截止时间之后，</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不得对其投标文件做任何修改。</w:t>
      </w:r>
    </w:p>
    <w:p w14:paraId="0FF75E4C">
      <w:pPr>
        <w:pStyle w:val="3"/>
        <w:pageBreakBefore w:val="0"/>
        <w:wordWrap/>
        <w:topLinePunct w:val="0"/>
        <w:autoSpaceDE/>
        <w:autoSpaceDN/>
        <w:bidi w:val="0"/>
        <w:adjustRightInd/>
        <w:spacing w:before="0" w:beforeLines="0" w:after="0" w:afterLines="0" w:line="6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 投标</w:t>
      </w:r>
      <w:bookmarkEnd w:id="259"/>
      <w:bookmarkEnd w:id="260"/>
      <w:bookmarkEnd w:id="261"/>
      <w:bookmarkEnd w:id="262"/>
      <w:bookmarkEnd w:id="263"/>
      <w:bookmarkEnd w:id="264"/>
      <w:bookmarkEnd w:id="265"/>
      <w:bookmarkEnd w:id="266"/>
      <w:bookmarkEnd w:id="267"/>
      <w:bookmarkEnd w:id="268"/>
    </w:p>
    <w:p w14:paraId="2AB5634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bookmarkStart w:id="269" w:name="_Toc15547"/>
      <w:bookmarkStart w:id="270" w:name="_Toc179632575"/>
      <w:bookmarkStart w:id="271" w:name="_Toc152045557"/>
      <w:bookmarkStart w:id="272" w:name="_Toc2783"/>
      <w:bookmarkStart w:id="273" w:name="_Toc144974525"/>
      <w:bookmarkStart w:id="274" w:name="_Toc152042333"/>
      <w:bookmarkStart w:id="275" w:name="_Toc2773"/>
      <w:bookmarkStart w:id="276" w:name="_Toc152045558"/>
      <w:bookmarkStart w:id="277" w:name="_Toc144974526"/>
      <w:bookmarkStart w:id="278" w:name="_Toc247085716"/>
      <w:bookmarkStart w:id="279" w:name="_Toc152042334"/>
      <w:bookmarkStart w:id="280" w:name="_Toc246996202"/>
      <w:bookmarkStart w:id="281" w:name="_Toc246996945"/>
      <w:bookmarkStart w:id="282" w:name="_Toc179632576"/>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投标文件的递交</w:t>
      </w:r>
      <w:bookmarkEnd w:id="269"/>
      <w:bookmarkEnd w:id="270"/>
      <w:bookmarkEnd w:id="271"/>
      <w:bookmarkEnd w:id="272"/>
      <w:bookmarkEnd w:id="273"/>
      <w:bookmarkEnd w:id="274"/>
      <w:bookmarkEnd w:id="275"/>
      <w:r>
        <w:rPr>
          <w:rFonts w:hint="eastAsia" w:ascii="宋体" w:hAnsi="宋体" w:eastAsia="宋体" w:cs="宋体"/>
          <w:b/>
          <w:bCs/>
          <w:color w:val="000000" w:themeColor="text1"/>
          <w:sz w:val="24"/>
          <w:szCs w:val="24"/>
          <w14:textFill>
            <w14:solidFill>
              <w14:schemeClr w14:val="tx1"/>
            </w14:solidFill>
          </w14:textFill>
        </w:rPr>
        <w:t xml:space="preserve"> </w:t>
      </w:r>
    </w:p>
    <w:p w14:paraId="3935FD31">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45093005">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（2）纸质投标文件递交要求：正本壹份，副本</w:t>
      </w:r>
      <w:r>
        <w:rPr>
          <w:rFonts w:hint="eastAsia" w:ascii="宋体" w:hAnsi="宋体" w:cs="宋体"/>
          <w:b w:val="0"/>
          <w:bCs w:val="0"/>
          <w:color w:val="000000" w:themeColor="text1"/>
          <w:kern w:val="2"/>
          <w:sz w:val="24"/>
          <w:szCs w:val="24"/>
          <w:lang w:val="en-US" w:eastAsia="zh-CN" w:bidi="ar-SA"/>
          <w14:textFill>
            <w14:solidFill>
              <w14:schemeClr w14:val="tx1"/>
            </w14:solidFill>
          </w14:textFill>
        </w:rPr>
        <w:t>贰</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份（副本可采用正本复印件）。</w:t>
      </w:r>
    </w:p>
    <w:p w14:paraId="489DF424">
      <w:pPr>
        <w:pageBreakBefore w:val="0"/>
        <w:numPr>
          <w:ilvl w:val="0"/>
          <w:numId w:val="0"/>
        </w:numPr>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注：纸质投标文件须留档保存，接受邮寄（纸质投标文件须与电子投标文件保持一致），开标结束后三日内邮寄到：延安市新区盛世花园北区12号楼一单元802室，电话：0911-8688810。</w:t>
      </w:r>
    </w:p>
    <w:p w14:paraId="72BBC2CA">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投标文件的修改与撤回</w:t>
      </w:r>
      <w:bookmarkEnd w:id="276"/>
      <w:bookmarkEnd w:id="277"/>
      <w:bookmarkEnd w:id="278"/>
      <w:bookmarkEnd w:id="279"/>
      <w:bookmarkEnd w:id="280"/>
      <w:bookmarkEnd w:id="281"/>
      <w:bookmarkEnd w:id="282"/>
      <w:bookmarkStart w:id="283" w:name="_Toc8495"/>
      <w:bookmarkStart w:id="284" w:name="_Toc246996946"/>
      <w:bookmarkStart w:id="285" w:name="_Toc23736"/>
      <w:bookmarkStart w:id="286" w:name="_Toc144974527"/>
      <w:bookmarkStart w:id="287" w:name="_Toc27697"/>
      <w:bookmarkStart w:id="288" w:name="_Toc247085717"/>
      <w:bookmarkStart w:id="289" w:name="_Toc246996203"/>
      <w:bookmarkStart w:id="290" w:name="_Toc179632577"/>
      <w:bookmarkStart w:id="291" w:name="_Toc152045559"/>
      <w:bookmarkStart w:id="292" w:name="_Toc152042335"/>
    </w:p>
    <w:p w14:paraId="50A9BF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1.供应商在递交电子响应文件后，且在提交电子响应文件截止时间前， 可以对所提交的响应文件进行补充、修改或撤回。 </w:t>
      </w:r>
    </w:p>
    <w:p w14:paraId="26BA03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2.对电子响应文件进行补充、修改的，应先从电子交易平台上撤回旧版，再重新提交新版。 </w:t>
      </w:r>
    </w:p>
    <w:p w14:paraId="2B8363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3.电子响应文件提交截止时间后，供应商不得对其电子响应文件做任何修改。</w:t>
      </w:r>
    </w:p>
    <w:p w14:paraId="3C15F91A">
      <w:pPr>
        <w:pageBreakBefore w:val="0"/>
        <w:wordWrap/>
        <w:topLinePunct w:val="0"/>
        <w:autoSpaceDE/>
        <w:autoSpaceDN/>
        <w:bidi w:val="0"/>
        <w:adjustRightInd/>
        <w:spacing w:line="60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5.开标</w:t>
      </w:r>
      <w:bookmarkEnd w:id="283"/>
      <w:bookmarkEnd w:id="284"/>
      <w:bookmarkEnd w:id="285"/>
      <w:bookmarkEnd w:id="286"/>
      <w:bookmarkEnd w:id="287"/>
      <w:bookmarkEnd w:id="288"/>
      <w:bookmarkEnd w:id="289"/>
      <w:bookmarkEnd w:id="290"/>
      <w:bookmarkEnd w:id="291"/>
      <w:bookmarkEnd w:id="292"/>
    </w:p>
    <w:p w14:paraId="6A90218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93" w:name="_Toc246996947"/>
      <w:bookmarkStart w:id="294" w:name="_Toc247085718"/>
      <w:bookmarkStart w:id="295" w:name="_Toc152045560"/>
      <w:bookmarkStart w:id="296" w:name="_Toc144974528"/>
      <w:bookmarkStart w:id="297" w:name="_Toc19034"/>
      <w:bookmarkStart w:id="298" w:name="_Toc246996204"/>
      <w:bookmarkStart w:id="299" w:name="_Toc11197"/>
      <w:bookmarkStart w:id="300" w:name="_Toc32417"/>
      <w:bookmarkStart w:id="301" w:name="_Toc152042336"/>
      <w:bookmarkStart w:id="302" w:name="_Toc179632578"/>
      <w:r>
        <w:rPr>
          <w:rFonts w:hint="eastAsia" w:ascii="宋体" w:hAnsi="宋体" w:eastAsia="宋体" w:cs="宋体"/>
          <w:color w:val="000000" w:themeColor="text1"/>
          <w:sz w:val="24"/>
          <w:szCs w:val="24"/>
          <w14:textFill>
            <w14:solidFill>
              <w14:schemeClr w14:val="tx1"/>
            </w14:solidFill>
          </w14:textFill>
        </w:rPr>
        <w:t>5.1 开标时间和地点</w:t>
      </w:r>
      <w:bookmarkEnd w:id="293"/>
      <w:bookmarkEnd w:id="294"/>
      <w:bookmarkEnd w:id="295"/>
      <w:bookmarkEnd w:id="296"/>
      <w:bookmarkEnd w:id="297"/>
      <w:bookmarkEnd w:id="298"/>
      <w:bookmarkEnd w:id="299"/>
      <w:bookmarkEnd w:id="300"/>
      <w:bookmarkEnd w:id="301"/>
      <w:bookmarkEnd w:id="302"/>
    </w:p>
    <w:p w14:paraId="69D23BC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投标人须知前附表规定的地点和时间公开开标，并邀请所有投标人的法定代表人或其委托代理人准时参加。</w:t>
      </w:r>
    </w:p>
    <w:p w14:paraId="0A0F743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03" w:name="_Toc152042337"/>
      <w:bookmarkStart w:id="304" w:name="_Toc246996205"/>
      <w:bookmarkStart w:id="305" w:name="_Toc247085719"/>
      <w:bookmarkStart w:id="306" w:name="_Toc179632579"/>
      <w:bookmarkStart w:id="307" w:name="_Toc246996948"/>
      <w:bookmarkStart w:id="308" w:name="_Toc152045561"/>
      <w:bookmarkStart w:id="309" w:name="_Toc144974529"/>
      <w:bookmarkStart w:id="310" w:name="_Toc27426"/>
      <w:bookmarkStart w:id="311" w:name="_Toc20464"/>
      <w:bookmarkStart w:id="312" w:name="_Toc3352"/>
      <w:r>
        <w:rPr>
          <w:rFonts w:hint="eastAsia" w:ascii="宋体" w:hAnsi="宋体" w:eastAsia="宋体" w:cs="宋体"/>
          <w:color w:val="000000" w:themeColor="text1"/>
          <w:sz w:val="24"/>
          <w:szCs w:val="24"/>
          <w14:textFill>
            <w14:solidFill>
              <w14:schemeClr w14:val="tx1"/>
            </w14:solidFill>
          </w14:textFill>
        </w:rPr>
        <w:t>5.2 开标程序</w:t>
      </w:r>
      <w:bookmarkEnd w:id="303"/>
      <w:bookmarkEnd w:id="304"/>
      <w:bookmarkEnd w:id="305"/>
      <w:bookmarkEnd w:id="306"/>
      <w:bookmarkEnd w:id="307"/>
      <w:bookmarkEnd w:id="308"/>
      <w:bookmarkEnd w:id="309"/>
      <w:bookmarkEnd w:id="310"/>
      <w:bookmarkEnd w:id="311"/>
      <w:bookmarkEnd w:id="312"/>
    </w:p>
    <w:p w14:paraId="4AB896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bookmarkStart w:id="313" w:name="_Toc30701"/>
      <w:bookmarkStart w:id="314" w:name="_Toc5502"/>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采购人和采购代理机构将按投标人须知前附表中规定的开标时间和地点组织开标。投标人不足3家的，不予开标。</w:t>
      </w:r>
    </w:p>
    <w:p w14:paraId="2ACAC4E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p w14:paraId="44CBE7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本项目采用“不见面开标”具体流程如下：</w:t>
      </w:r>
    </w:p>
    <w:p w14:paraId="3DB5E50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3.1</w:t>
      </w:r>
      <w:r>
        <w:rPr>
          <w:rFonts w:hint="eastAsia" w:ascii="宋体" w:hAnsi="宋体" w:eastAsia="宋体" w:cs="宋体"/>
          <w:color w:val="000000" w:themeColor="text1"/>
          <w:kern w:val="0"/>
          <w:sz w:val="24"/>
          <w:szCs w:val="24"/>
          <w14:textFill>
            <w14:solidFill>
              <w14:schemeClr w14:val="tx1"/>
            </w14:solidFill>
          </w14:textFill>
        </w:rPr>
        <w:t>、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w:t>
      </w:r>
      <w:r>
        <w:rPr>
          <w:rFonts w:hint="eastAsia" w:ascii="宋体" w:hAnsi="宋体" w:eastAsia="宋体" w:cs="宋体"/>
          <w:color w:val="000000" w:themeColor="text1"/>
          <w:kern w:val="0"/>
          <w:sz w:val="24"/>
          <w:szCs w:val="24"/>
          <w:lang w:val="en-US" w:eastAsia="zh-CN"/>
          <w14:textFill>
            <w14:solidFill>
              <w14:schemeClr w14:val="tx1"/>
            </w14:solidFill>
          </w14:textFill>
        </w:rPr>
        <w:t>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324759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w:t>
      </w:r>
      <w:r>
        <w:rPr>
          <w:rFonts w:hint="eastAsia" w:ascii="宋体" w:hAnsi="宋体" w:eastAsia="宋体" w:cs="宋体"/>
          <w:color w:val="000000" w:themeColor="text1"/>
          <w:kern w:val="0"/>
          <w:sz w:val="24"/>
          <w:szCs w:val="24"/>
          <w14:textFill>
            <w14:solidFill>
              <w14:schemeClr w14:val="tx1"/>
            </w14:solidFill>
          </w14:textFill>
        </w:rPr>
        <w:t>、提交投标文件截止时间后，由主持人通过系统发出投标文件解密指令，投标人按规定时间自行实施远程解密，解密限定在规定时间内完成</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1B3E6F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3.3、</w:t>
      </w:r>
      <w:r>
        <w:rPr>
          <w:rFonts w:hint="eastAsia" w:ascii="宋体" w:hAnsi="宋体" w:eastAsia="宋体" w:cs="宋体"/>
          <w:color w:val="000000" w:themeColor="text1"/>
          <w:kern w:val="0"/>
          <w:sz w:val="24"/>
          <w:szCs w:val="24"/>
          <w14:textFill>
            <w14:solidFill>
              <w14:schemeClr w14:val="tx1"/>
            </w14:solidFill>
          </w14:textFill>
        </w:rPr>
        <w:t>开标过程中，投标人应当重点关注不见面开标系统相关流程和互动区消息，并根据提醒及时进行投标文件在线解密等操作。</w:t>
      </w:r>
    </w:p>
    <w:p w14:paraId="4A922F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3.4</w:t>
      </w:r>
      <w:r>
        <w:rPr>
          <w:rFonts w:hint="eastAsia" w:ascii="宋体" w:hAnsi="宋体" w:eastAsia="宋体" w:cs="宋体"/>
          <w:color w:val="000000" w:themeColor="text1"/>
          <w:kern w:val="0"/>
          <w:sz w:val="24"/>
          <w:szCs w:val="24"/>
          <w14:textFill>
            <w14:solidFill>
              <w14:schemeClr w14:val="tx1"/>
            </w14:solidFill>
          </w14:textFill>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1E7763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3.5</w:t>
      </w:r>
      <w:r>
        <w:rPr>
          <w:rFonts w:hint="eastAsia" w:ascii="宋体" w:hAnsi="宋体" w:eastAsia="宋体" w:cs="宋体"/>
          <w:color w:val="000000" w:themeColor="text1"/>
          <w:kern w:val="0"/>
          <w:sz w:val="24"/>
          <w:szCs w:val="24"/>
          <w14:textFill>
            <w14:solidFill>
              <w14:schemeClr w14:val="tx1"/>
            </w14:solidFill>
          </w14:textFill>
        </w:rPr>
        <w:t>、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6D29AF7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3.6</w:t>
      </w:r>
      <w:r>
        <w:rPr>
          <w:rFonts w:hint="eastAsia" w:ascii="宋体" w:hAnsi="宋体" w:eastAsia="宋体" w:cs="宋体"/>
          <w:color w:val="000000" w:themeColor="text1"/>
          <w:kern w:val="0"/>
          <w:sz w:val="24"/>
          <w:szCs w:val="24"/>
          <w14:textFill>
            <w14:solidFill>
              <w14:schemeClr w14:val="tx1"/>
            </w14:solidFill>
          </w14:textFill>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1D2F7E4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5.3投标文件的有效性</w:t>
      </w:r>
      <w:bookmarkEnd w:id="313"/>
      <w:bookmarkEnd w:id="314"/>
    </w:p>
    <w:p w14:paraId="78A9E1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5.3.1开标时，投标文件出现下列情况之一的，应当作为无效投标文件，不得进入评标：</w:t>
      </w:r>
    </w:p>
    <w:p w14:paraId="4C4529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6DF114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w:t>
      </w:r>
    </w:p>
    <w:p w14:paraId="09FC09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投标人未按照招标文件的要求提供投标保证金的；                   </w:t>
      </w:r>
    </w:p>
    <w:p w14:paraId="348E27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投标文件不符合本须知第3.1条规定，其组成缺项者；</w:t>
      </w:r>
    </w:p>
    <w:p w14:paraId="13EA3B4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 xml:space="preserve"> 开标大会在递交投标文件截止时间的同一时间举行，出席和参加大会的人员和代表，应在会议开始之前进行会议签到。</w:t>
      </w:r>
    </w:p>
    <w:p w14:paraId="0619AD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xml:space="preserve"> 开标时，投标文件中出现下列情况，修正原则为。</w:t>
      </w:r>
    </w:p>
    <w:p w14:paraId="0C1D3F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a.投标报价的大写金额和小写不一致的，以大写金额为准；</w:t>
      </w:r>
    </w:p>
    <w:p w14:paraId="436213A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b.单价金额小数点有明显错位的，以修改单价为准；</w:t>
      </w:r>
    </w:p>
    <w:p w14:paraId="06A18A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c.多处内容交叉不符时，以评标委员会评审结果为准；</w:t>
      </w:r>
    </w:p>
    <w:p w14:paraId="066DB3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d.文字与图表不符时以文字为准。</w:t>
      </w:r>
    </w:p>
    <w:p w14:paraId="2944478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15" w:name="_Toc7178"/>
      <w:bookmarkStart w:id="316" w:name="_Toc21836"/>
      <w:bookmarkStart w:id="317" w:name="_Toc24451"/>
      <w:r>
        <w:rPr>
          <w:rFonts w:hint="eastAsia" w:ascii="宋体" w:hAnsi="宋体" w:eastAsia="宋体" w:cs="宋体"/>
          <w:color w:val="000000" w:themeColor="text1"/>
          <w:sz w:val="24"/>
          <w:szCs w:val="24"/>
          <w14:textFill>
            <w14:solidFill>
              <w14:schemeClr w14:val="tx1"/>
            </w14:solidFill>
          </w14:textFill>
        </w:rPr>
        <w:t>5.4开标异议</w:t>
      </w:r>
      <w:bookmarkEnd w:id="315"/>
      <w:bookmarkEnd w:id="316"/>
      <w:bookmarkEnd w:id="317"/>
    </w:p>
    <w:p w14:paraId="763604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bookmarkStart w:id="318" w:name="_Toc247085720"/>
      <w:bookmarkStart w:id="319" w:name="_Toc152045562"/>
      <w:bookmarkStart w:id="320" w:name="_Toc246996206"/>
      <w:bookmarkStart w:id="321" w:name="_Toc179632580"/>
      <w:bookmarkStart w:id="322" w:name="_Toc19772"/>
      <w:bookmarkStart w:id="323" w:name="_Toc8409"/>
      <w:bookmarkStart w:id="324" w:name="_Toc16510"/>
      <w:bookmarkStart w:id="325" w:name="_Toc246996949"/>
      <w:bookmarkStart w:id="326" w:name="_Toc144974530"/>
      <w:bookmarkStart w:id="327" w:name="_Toc152042338"/>
      <w:r>
        <w:rPr>
          <w:rFonts w:hint="eastAsia" w:ascii="宋体" w:hAnsi="宋体" w:cs="宋体"/>
          <w:color w:val="000000" w:themeColor="text1"/>
          <w:kern w:val="0"/>
          <w:sz w:val="24"/>
          <w:szCs w:val="24"/>
          <w:lang w:val="en-US" w:eastAsia="zh-CN"/>
          <w14:textFill>
            <w14:solidFill>
              <w14:schemeClr w14:val="tx1"/>
            </w14:solidFill>
          </w14:textFill>
        </w:rPr>
        <w:t>投</w:t>
      </w:r>
      <w:r>
        <w:rPr>
          <w:rFonts w:hint="eastAsia" w:ascii="宋体" w:hAnsi="宋体" w:eastAsia="宋体" w:cs="宋体"/>
          <w:color w:val="000000" w:themeColor="text1"/>
          <w:kern w:val="0"/>
          <w:sz w:val="24"/>
          <w:szCs w:val="24"/>
          <w:lang w:val="en-US" w:eastAsia="zh-CN"/>
          <w14:textFill>
            <w14:solidFill>
              <w14:schemeClr w14:val="tx1"/>
            </w14:solidFill>
          </w14:textFill>
        </w:rPr>
        <w:t>标人代表对开标过程和开标记录有疑义，以及认为开标现场采购人、采购代理机构相关工作人员有需要回避的情形，应在开标大厅当场提出询问或回避申请，若投标人在开标会议结束前，未提出疑义，视其对开标过程和开标记录无疑义。</w:t>
      </w:r>
    </w:p>
    <w:p w14:paraId="3967EF71">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 评标</w:t>
      </w:r>
      <w:bookmarkEnd w:id="318"/>
      <w:bookmarkEnd w:id="319"/>
      <w:bookmarkEnd w:id="320"/>
      <w:bookmarkEnd w:id="321"/>
      <w:bookmarkEnd w:id="322"/>
      <w:bookmarkEnd w:id="323"/>
      <w:bookmarkEnd w:id="324"/>
      <w:bookmarkEnd w:id="325"/>
      <w:bookmarkEnd w:id="326"/>
      <w:bookmarkEnd w:id="327"/>
    </w:p>
    <w:p w14:paraId="6CE0893A">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328" w:name="_Toc144974531"/>
      <w:bookmarkStart w:id="329" w:name="_Toc246996950"/>
      <w:bookmarkStart w:id="330" w:name="_Toc247085721"/>
      <w:bookmarkStart w:id="331" w:name="_Toc17653"/>
      <w:bookmarkStart w:id="332" w:name="_Toc24650"/>
      <w:bookmarkStart w:id="333" w:name="_Toc152045563"/>
      <w:bookmarkStart w:id="334" w:name="_Toc246996207"/>
      <w:bookmarkStart w:id="335" w:name="_Toc152042339"/>
      <w:bookmarkStart w:id="336" w:name="_Toc179632581"/>
      <w:bookmarkStart w:id="337" w:name="_Toc32310"/>
      <w:r>
        <w:rPr>
          <w:rFonts w:hint="eastAsia" w:ascii="宋体" w:hAnsi="宋体" w:eastAsia="宋体" w:cs="宋体"/>
          <w:b w:val="0"/>
          <w:bCs w:val="0"/>
          <w:color w:val="000000" w:themeColor="text1"/>
          <w:sz w:val="24"/>
          <w:szCs w:val="24"/>
          <w14:textFill>
            <w14:solidFill>
              <w14:schemeClr w14:val="tx1"/>
            </w14:solidFill>
          </w14:textFill>
        </w:rPr>
        <w:t>6.1 评标委员会</w:t>
      </w:r>
      <w:bookmarkEnd w:id="328"/>
      <w:bookmarkEnd w:id="329"/>
      <w:bookmarkEnd w:id="330"/>
      <w:bookmarkEnd w:id="331"/>
      <w:bookmarkEnd w:id="332"/>
      <w:bookmarkEnd w:id="333"/>
      <w:bookmarkEnd w:id="334"/>
      <w:bookmarkEnd w:id="335"/>
      <w:bookmarkEnd w:id="336"/>
      <w:bookmarkEnd w:id="337"/>
    </w:p>
    <w:p w14:paraId="11268BE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6.1.1 </w:t>
      </w:r>
      <w:r>
        <w:rPr>
          <w:rFonts w:hint="eastAsia" w:ascii="宋体" w:hAnsi="宋体" w:eastAsia="宋体" w:cs="宋体"/>
          <w:color w:val="000000" w:themeColor="text1"/>
          <w:sz w:val="24"/>
          <w:szCs w:val="24"/>
          <w:lang w:val="en-US" w:eastAsia="zh-CN"/>
          <w14:textFill>
            <w14:solidFill>
              <w14:schemeClr w14:val="tx1"/>
            </w14:solidFill>
          </w14:textFill>
        </w:rPr>
        <w:t>评标委员会由采购人代表和评审专家组成，成员人数应当为5人以上单数，其中评审专家不得少于成员总数的三分之二。</w:t>
      </w:r>
    </w:p>
    <w:p w14:paraId="3C5C6C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6.1.2 评标委员会成员有下列情形之一的，应当回避：</w:t>
      </w:r>
    </w:p>
    <w:p w14:paraId="60183B2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（1）投标人或投标人主要负责人的近亲属；</w:t>
      </w:r>
    </w:p>
    <w:p w14:paraId="7A5E418D">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（2）项目主管部门或者行政监督部门的人员；</w:t>
      </w:r>
    </w:p>
    <w:p w14:paraId="5FD26AFA">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（3）与投标人有经济利益关系；</w:t>
      </w:r>
    </w:p>
    <w:p w14:paraId="4EB3CAC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（4）曾因在招标、评标以及其他与招标投标有关活动中从事违法行为而受过行政处罚或刑事处罚的；</w:t>
      </w:r>
    </w:p>
    <w:p w14:paraId="1550AF98">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（5）与投标人有其他利害关系。</w:t>
      </w:r>
    </w:p>
    <w:p w14:paraId="1D54EC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38" w:name="_Toc390"/>
      <w:bookmarkStart w:id="339" w:name="_Toc346"/>
      <w:bookmarkStart w:id="340" w:name="_Toc152042340"/>
      <w:bookmarkStart w:id="341" w:name="_Toc144974532"/>
      <w:bookmarkStart w:id="342" w:name="_Toc16516"/>
      <w:bookmarkStart w:id="343" w:name="_Toc179632582"/>
      <w:bookmarkStart w:id="344" w:name="_Toc247085722"/>
      <w:bookmarkStart w:id="345" w:name="_Toc246996951"/>
      <w:bookmarkStart w:id="346" w:name="_Toc152045564"/>
      <w:bookmarkStart w:id="347" w:name="_Toc246996208"/>
      <w:r>
        <w:rPr>
          <w:rFonts w:hint="eastAsia" w:ascii="宋体" w:hAnsi="宋体" w:eastAsia="宋体" w:cs="宋体"/>
          <w:color w:val="000000" w:themeColor="text1"/>
          <w:sz w:val="24"/>
          <w:szCs w:val="24"/>
          <w14:textFill>
            <w14:solidFill>
              <w14:schemeClr w14:val="tx1"/>
            </w14:solidFill>
          </w14:textFill>
        </w:rPr>
        <w:t xml:space="preserve">6.2 </w:t>
      </w:r>
      <w:bookmarkEnd w:id="338"/>
      <w:bookmarkEnd w:id="339"/>
      <w:bookmarkEnd w:id="340"/>
      <w:bookmarkEnd w:id="341"/>
      <w:bookmarkEnd w:id="342"/>
      <w:bookmarkEnd w:id="343"/>
      <w:bookmarkEnd w:id="344"/>
      <w:bookmarkEnd w:id="345"/>
      <w:bookmarkEnd w:id="346"/>
      <w:bookmarkEnd w:id="347"/>
      <w:r>
        <w:rPr>
          <w:rFonts w:hint="eastAsia" w:ascii="宋体" w:hAnsi="宋体" w:eastAsia="宋体" w:cs="宋体"/>
          <w:color w:val="000000" w:themeColor="text1"/>
          <w:sz w:val="24"/>
          <w:szCs w:val="24"/>
          <w14:textFill>
            <w14:solidFill>
              <w14:schemeClr w14:val="tx1"/>
            </w14:solidFill>
          </w14:textFill>
        </w:rPr>
        <w:t>评标委员会应当遵守并履行下列职责义务：</w:t>
      </w:r>
    </w:p>
    <w:p w14:paraId="7023D54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a.遵纪守法，客观、公正、认真负责的履行职责，审查投标文件是否符合招标文件的要求，并作出评价；</w:t>
      </w:r>
    </w:p>
    <w:p w14:paraId="24A88A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b.要求投标人对投标文件有关事项作出解释或者澄清；</w:t>
      </w:r>
    </w:p>
    <w:p w14:paraId="7917A6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c.按照招标文件的要求和评标办法进行评标，推荐中标候选人名单；</w:t>
      </w:r>
    </w:p>
    <w:p w14:paraId="67359CD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d.配合</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答复投标人提出的质疑；</w:t>
      </w:r>
    </w:p>
    <w:p w14:paraId="5FD26A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1BF42E2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f.评标委员会有权对开标、评标过程中出现的一切问题，根据相关法律法规，本着公平、公正的原则，提出处理意见，经采购人、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同意后做出处理决定。</w:t>
      </w:r>
    </w:p>
    <w:p w14:paraId="321CCF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g.向</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或有关部门报告非法干预评标工作的行为。</w:t>
      </w:r>
    </w:p>
    <w:p w14:paraId="2B02090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 评标保密工作</w:t>
      </w:r>
    </w:p>
    <w:p w14:paraId="05B5440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必须采取必要措施，保证评标工作在严格保密的情况下进行。任何单位和个人不得非法干预、影响评标方法的确定，以及评标过程和结果。</w:t>
      </w:r>
    </w:p>
    <w:p w14:paraId="723B3C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01718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 定标程序</w:t>
      </w:r>
    </w:p>
    <w:p w14:paraId="5B44CEC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在评标工作结束后2个工作日内，将评标报告送采购人。</w:t>
      </w:r>
    </w:p>
    <w:p w14:paraId="508B0CA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6.4.2 采购人在收到评标报告后5个工作日内，按照评标报告中推荐的中标候选人顺序确定中标供应商，并函复</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091B78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6.4.3 中标供应商确定之日发出中标通知书，并在省级以上人民政府财政部门指定的媒体上公告中标结果。</w:t>
      </w:r>
    </w:p>
    <w:p w14:paraId="00EEC72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6.4.4 中标供应商因不可抗力或者自身原因不能履行政府采购合同的，采购人可以与排序在中标供应商之后第一位的中标候选人签订政府采购合同，以此类推至第二位。</w:t>
      </w:r>
    </w:p>
    <w:p w14:paraId="13959714">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48" w:name="_Toc144974534"/>
      <w:bookmarkStart w:id="349" w:name="_Toc21695"/>
      <w:bookmarkStart w:id="350" w:name="_Toc246996210"/>
      <w:bookmarkStart w:id="351" w:name="_Toc179632584"/>
      <w:bookmarkStart w:id="352" w:name="_Toc247085724"/>
      <w:bookmarkStart w:id="353" w:name="_Toc24420"/>
      <w:bookmarkStart w:id="354" w:name="_Toc246996953"/>
      <w:bookmarkStart w:id="355" w:name="_Toc152045566"/>
      <w:bookmarkStart w:id="356" w:name="_Toc19723"/>
      <w:bookmarkStart w:id="357" w:name="_Toc152042342"/>
      <w:r>
        <w:rPr>
          <w:rFonts w:hint="eastAsia" w:ascii="宋体" w:hAnsi="宋体" w:eastAsia="宋体" w:cs="宋体"/>
          <w:color w:val="000000" w:themeColor="text1"/>
          <w:sz w:val="24"/>
          <w:szCs w:val="24"/>
          <w14:textFill>
            <w14:solidFill>
              <w14:schemeClr w14:val="tx1"/>
            </w14:solidFill>
          </w14:textFill>
        </w:rPr>
        <w:t>7. 合同授予</w:t>
      </w:r>
      <w:bookmarkEnd w:id="348"/>
      <w:bookmarkEnd w:id="349"/>
      <w:bookmarkEnd w:id="350"/>
      <w:bookmarkEnd w:id="351"/>
      <w:bookmarkEnd w:id="352"/>
      <w:bookmarkEnd w:id="353"/>
      <w:bookmarkEnd w:id="354"/>
      <w:bookmarkEnd w:id="355"/>
      <w:bookmarkEnd w:id="356"/>
      <w:bookmarkEnd w:id="357"/>
    </w:p>
    <w:p w14:paraId="6655017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58" w:name="_Toc26031"/>
      <w:bookmarkStart w:id="359" w:name="_Toc179632585"/>
      <w:bookmarkStart w:id="360" w:name="_Toc152042343"/>
      <w:bookmarkStart w:id="361" w:name="_Toc461"/>
      <w:bookmarkStart w:id="362" w:name="_Toc246996211"/>
      <w:bookmarkStart w:id="363" w:name="_Toc23291"/>
      <w:bookmarkStart w:id="364" w:name="_Toc246996954"/>
      <w:bookmarkStart w:id="365" w:name="_Toc152045567"/>
      <w:bookmarkStart w:id="366" w:name="_Toc144974535"/>
      <w:bookmarkStart w:id="367" w:name="_Toc247085725"/>
      <w:r>
        <w:rPr>
          <w:rFonts w:hint="eastAsia" w:ascii="宋体" w:hAnsi="宋体" w:eastAsia="宋体" w:cs="宋体"/>
          <w:color w:val="000000" w:themeColor="text1"/>
          <w:sz w:val="24"/>
          <w:szCs w:val="24"/>
          <w14:textFill>
            <w14:solidFill>
              <w14:schemeClr w14:val="tx1"/>
            </w14:solidFill>
          </w14:textFill>
        </w:rPr>
        <w:t xml:space="preserve">7.1 </w:t>
      </w:r>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000000" w:themeColor="text1"/>
          <w:sz w:val="24"/>
          <w:szCs w:val="24"/>
          <w14:textFill>
            <w14:solidFill>
              <w14:schemeClr w14:val="tx1"/>
            </w14:solidFill>
          </w14:textFill>
        </w:rPr>
        <w:t>签订合同</w:t>
      </w:r>
    </w:p>
    <w:p w14:paraId="09E152F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68" w:name="_Toc19535"/>
      <w:bookmarkStart w:id="369" w:name="_Toc23618"/>
      <w:bookmarkStart w:id="370" w:name="_Toc2601"/>
      <w:r>
        <w:rPr>
          <w:rFonts w:hint="eastAsia" w:ascii="宋体" w:hAnsi="宋体" w:eastAsia="宋体" w:cs="宋体"/>
          <w:color w:val="000000" w:themeColor="text1"/>
          <w:sz w:val="24"/>
          <w:szCs w:val="24"/>
          <w14:textFill>
            <w14:solidFill>
              <w14:schemeClr w14:val="tx1"/>
            </w14:solidFill>
          </w14:textFill>
        </w:rPr>
        <w:t>7.1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合同将授予有采购人出具的定标复函确认的供应商。排名第一的中标候选人放弃中标、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供应商。依次确定其他中标候选人与采购人预期差距较大，或者对采购人明显不利的，采购人可以重新招标。</w:t>
      </w:r>
    </w:p>
    <w:p w14:paraId="084CCAD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w:t>
      </w:r>
      <w:r>
        <w:rPr>
          <w:rFonts w:hint="eastAsia" w:ascii="宋体" w:hAnsi="宋体" w:eastAsia="宋体" w:cs="宋体"/>
          <w:color w:val="000000" w:themeColor="text1"/>
          <w:sz w:val="24"/>
          <w:szCs w:val="24"/>
          <w14:textFill>
            <w14:solidFill>
              <w14:schemeClr w14:val="tx1"/>
            </w14:solidFill>
          </w14:textFill>
        </w:rPr>
        <w:t>中标人不能按投标文件，包括补充文件（如澄清、 承诺等） 中承诺的条件履行签约行为，采购人</w:t>
      </w:r>
      <w:r>
        <w:rPr>
          <w:rFonts w:hint="eastAsia" w:ascii="宋体" w:hAnsi="宋体" w:cs="宋体"/>
          <w:color w:val="000000" w:themeColor="text1"/>
          <w:sz w:val="24"/>
          <w:szCs w:val="24"/>
          <w:lang w:val="en-US" w:eastAsia="zh-CN"/>
          <w14:textFill>
            <w14:solidFill>
              <w14:schemeClr w14:val="tx1"/>
            </w14:solidFill>
          </w14:textFill>
        </w:rPr>
        <w:t>有权</w:t>
      </w:r>
      <w:r>
        <w:rPr>
          <w:rFonts w:hint="eastAsia" w:ascii="宋体" w:hAnsi="宋体" w:eastAsia="宋体" w:cs="宋体"/>
          <w:color w:val="000000" w:themeColor="text1"/>
          <w:sz w:val="24"/>
          <w:szCs w:val="24"/>
          <w14:textFill>
            <w14:solidFill>
              <w14:schemeClr w14:val="tx1"/>
            </w14:solidFill>
          </w14:textFill>
        </w:rPr>
        <w:t>取消其</w:t>
      </w:r>
      <w:r>
        <w:rPr>
          <w:rFonts w:hint="eastAsia" w:ascii="宋体" w:hAnsi="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资格，并扣除其投标保证金。</w:t>
      </w:r>
    </w:p>
    <w:p w14:paraId="7F51F7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应当督促采购人、中标供应商在规定的期限内完成合同签订工作，并对采购合同内容进行审核确认。</w:t>
      </w:r>
    </w:p>
    <w:p w14:paraId="3F0B29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合同在执行过程中，确需修改、变更时，应当按照相应的审核批准程序办理。</w:t>
      </w:r>
    </w:p>
    <w:p w14:paraId="32ED321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招标文件、投标文件、补充协议等为合同的组成部分，具有同等法律效力。</w:t>
      </w:r>
    </w:p>
    <w:p w14:paraId="6DB1667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w:t>
      </w:r>
      <w:bookmarkStart w:id="371" w:name="_Toc152045568"/>
      <w:bookmarkStart w:id="372" w:name="_Toc144974536"/>
      <w:bookmarkStart w:id="373" w:name="_Toc179632586"/>
      <w:bookmarkStart w:id="374" w:name="_Toc247085726"/>
      <w:bookmarkStart w:id="375" w:name="_Toc152042344"/>
      <w:bookmarkStart w:id="376" w:name="_Toc246996212"/>
      <w:bookmarkStart w:id="377" w:name="_Toc246996955"/>
      <w:r>
        <w:rPr>
          <w:rFonts w:hint="eastAsia" w:ascii="宋体" w:hAnsi="宋体" w:eastAsia="宋体" w:cs="宋体"/>
          <w:color w:val="000000" w:themeColor="text1"/>
          <w:sz w:val="24"/>
          <w:szCs w:val="24"/>
          <w14:textFill>
            <w14:solidFill>
              <w14:schemeClr w14:val="tx1"/>
            </w14:solidFill>
          </w14:textFill>
        </w:rPr>
        <w:t>中标通知</w:t>
      </w:r>
      <w:bookmarkEnd w:id="368"/>
      <w:bookmarkEnd w:id="369"/>
      <w:bookmarkEnd w:id="370"/>
      <w:bookmarkEnd w:id="371"/>
      <w:bookmarkEnd w:id="372"/>
      <w:bookmarkEnd w:id="373"/>
      <w:bookmarkEnd w:id="374"/>
      <w:bookmarkEnd w:id="375"/>
      <w:bookmarkEnd w:id="376"/>
      <w:bookmarkEnd w:id="377"/>
    </w:p>
    <w:p w14:paraId="606544B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在公告中标结果的同时，采购人或采购代理机构应当向中标人发出中标通知书</w:t>
      </w:r>
      <w:r>
        <w:rPr>
          <w:rFonts w:hint="eastAsia" w:ascii="宋体" w:hAnsi="宋体" w:eastAsia="宋体" w:cs="宋体"/>
          <w:color w:val="000000" w:themeColor="text1"/>
          <w:sz w:val="24"/>
          <w:szCs w:val="24"/>
          <w14:textFill>
            <w14:solidFill>
              <w14:schemeClr w14:val="tx1"/>
            </w14:solidFill>
          </w14:textFill>
        </w:rPr>
        <w:t>，同时将中标结果通知未中标的投标人。</w:t>
      </w:r>
    </w:p>
    <w:p w14:paraId="30128C37">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 履约</w:t>
      </w:r>
      <w:r>
        <w:rPr>
          <w:rFonts w:hint="eastAsia" w:ascii="宋体" w:hAnsi="宋体" w:eastAsia="宋体" w:cs="宋体"/>
          <w:color w:val="000000" w:themeColor="text1"/>
          <w:sz w:val="24"/>
          <w:szCs w:val="24"/>
          <w:lang w:val="en-US" w:eastAsia="zh-CN"/>
          <w14:textFill>
            <w14:solidFill>
              <w14:schemeClr w14:val="tx1"/>
            </w14:solidFill>
          </w14:textFill>
        </w:rPr>
        <w:t>保证金</w:t>
      </w:r>
    </w:p>
    <w:p w14:paraId="629E0F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为保证采购合同的履行，确需收取履约保证金的，履约保证金收取比例应不超过合同金额的5%。中标或成交供应商合同主要义务履行完毕后，采购人或采购代理机构应按照合同约定及时退还。</w:t>
      </w:r>
    </w:p>
    <w:p w14:paraId="2AB69C5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78" w:name="_Toc32758"/>
      <w:bookmarkStart w:id="379" w:name="_Toc144974537"/>
      <w:bookmarkStart w:id="380" w:name="_Toc27185"/>
      <w:bookmarkStart w:id="381" w:name="_Toc247085727"/>
      <w:bookmarkStart w:id="382" w:name="_Toc246996956"/>
      <w:bookmarkStart w:id="383" w:name="_Toc152042345"/>
      <w:bookmarkStart w:id="384" w:name="_Toc24057"/>
      <w:bookmarkStart w:id="385" w:name="_Toc179632587"/>
      <w:bookmarkStart w:id="386" w:name="_Toc246996213"/>
      <w:bookmarkStart w:id="387" w:name="_Toc152045569"/>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履约担保</w:t>
      </w:r>
      <w:bookmarkEnd w:id="378"/>
      <w:bookmarkEnd w:id="379"/>
      <w:bookmarkEnd w:id="380"/>
      <w:bookmarkEnd w:id="381"/>
      <w:bookmarkEnd w:id="382"/>
      <w:bookmarkEnd w:id="383"/>
      <w:bookmarkEnd w:id="384"/>
      <w:bookmarkEnd w:id="385"/>
      <w:bookmarkEnd w:id="386"/>
      <w:bookmarkEnd w:id="387"/>
    </w:p>
    <w:p w14:paraId="73B719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.1在签订合同前，中标人应按投标人须知前附表规定的担保形式或者事先经过采购人书面认可的履约担保格式向采购人提交履约担保。除投标人须知前附表另有规定外，履约担保金额为中标合同金额的</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p>
    <w:p w14:paraId="02B053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.2 中标人不能按本章第7.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项要求提交履约担保的，视为放弃中标，其投标保证金不予退还，给采购人造成的损失超过投标保证金数额的，中标人还应当对超过部分予以赔偿。</w:t>
      </w:r>
    </w:p>
    <w:p w14:paraId="6923A718">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88" w:name="_Toc16299"/>
      <w:bookmarkStart w:id="389" w:name="_Toc18338"/>
      <w:bookmarkStart w:id="390" w:name="_Toc15263"/>
      <w:r>
        <w:rPr>
          <w:rFonts w:hint="eastAsia" w:ascii="宋体" w:hAnsi="宋体" w:eastAsia="宋体" w:cs="宋体"/>
          <w:color w:val="000000" w:themeColor="text1"/>
          <w:sz w:val="24"/>
          <w:szCs w:val="24"/>
          <w14:textFill>
            <w14:solidFill>
              <w14:schemeClr w14:val="tx1"/>
            </w14:solidFill>
          </w14:textFill>
        </w:rPr>
        <w:t>8. 纪律和监督</w:t>
      </w:r>
      <w:bookmarkEnd w:id="388"/>
      <w:bookmarkEnd w:id="389"/>
      <w:bookmarkEnd w:id="390"/>
    </w:p>
    <w:p w14:paraId="4806EE5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91" w:name="_Toc179632593"/>
      <w:bookmarkStart w:id="392" w:name="_Toc144974543"/>
      <w:bookmarkStart w:id="393" w:name="_Toc247085733"/>
      <w:bookmarkStart w:id="394" w:name="_Toc9257"/>
      <w:bookmarkStart w:id="395" w:name="_Toc152042351"/>
      <w:bookmarkStart w:id="396" w:name="_Toc246996962"/>
      <w:bookmarkStart w:id="397" w:name="_Toc246996219"/>
      <w:bookmarkStart w:id="398" w:name="_Toc296590983"/>
      <w:bookmarkStart w:id="399" w:name="_Toc152045575"/>
      <w:bookmarkStart w:id="400" w:name="_Toc15654"/>
      <w:bookmarkStart w:id="401" w:name="_Toc11012"/>
      <w:r>
        <w:rPr>
          <w:rFonts w:hint="eastAsia" w:ascii="宋体" w:hAnsi="宋体" w:eastAsia="宋体" w:cs="宋体"/>
          <w:color w:val="000000" w:themeColor="text1"/>
          <w:sz w:val="24"/>
          <w:szCs w:val="24"/>
          <w14:textFill>
            <w14:solidFill>
              <w14:schemeClr w14:val="tx1"/>
            </w14:solidFill>
          </w14:textFill>
        </w:rPr>
        <w:t>8.1 对采购人的纪律要求</w:t>
      </w:r>
      <w:bookmarkEnd w:id="391"/>
      <w:bookmarkEnd w:id="392"/>
      <w:bookmarkEnd w:id="393"/>
      <w:bookmarkEnd w:id="394"/>
      <w:bookmarkEnd w:id="395"/>
      <w:bookmarkEnd w:id="396"/>
      <w:bookmarkEnd w:id="397"/>
      <w:bookmarkEnd w:id="398"/>
      <w:bookmarkEnd w:id="399"/>
      <w:bookmarkEnd w:id="400"/>
      <w:bookmarkEnd w:id="401"/>
    </w:p>
    <w:p w14:paraId="3529F4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采购人不得泄漏招标投标活动中应当保密的情况和资料，不得与投标人串通损害国家利益、社会公共利益或者他人合法权益。</w:t>
      </w:r>
    </w:p>
    <w:p w14:paraId="5A9B900F">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02" w:name="_Toc13979"/>
      <w:bookmarkStart w:id="403" w:name="_Toc246996220"/>
      <w:bookmarkStart w:id="404" w:name="_Toc144974544"/>
      <w:bookmarkStart w:id="405" w:name="_Toc246996963"/>
      <w:bookmarkStart w:id="406" w:name="_Toc152045576"/>
      <w:bookmarkStart w:id="407" w:name="_Toc247085734"/>
      <w:bookmarkStart w:id="408" w:name="_Toc179632594"/>
      <w:bookmarkStart w:id="409" w:name="_Toc152042352"/>
      <w:bookmarkStart w:id="410" w:name="_Toc9119"/>
      <w:bookmarkStart w:id="411" w:name="_Toc27112"/>
      <w:r>
        <w:rPr>
          <w:rFonts w:hint="eastAsia" w:ascii="宋体" w:hAnsi="宋体" w:eastAsia="宋体" w:cs="宋体"/>
          <w:color w:val="000000" w:themeColor="text1"/>
          <w:sz w:val="24"/>
          <w:szCs w:val="24"/>
          <w14:textFill>
            <w14:solidFill>
              <w14:schemeClr w14:val="tx1"/>
            </w14:solidFill>
          </w14:textFill>
        </w:rPr>
        <w:t>8.2 对投标人的纪律要求</w:t>
      </w:r>
      <w:bookmarkEnd w:id="402"/>
      <w:bookmarkEnd w:id="403"/>
      <w:bookmarkEnd w:id="404"/>
      <w:bookmarkEnd w:id="405"/>
      <w:bookmarkEnd w:id="406"/>
      <w:bookmarkEnd w:id="407"/>
      <w:bookmarkEnd w:id="408"/>
      <w:bookmarkEnd w:id="409"/>
      <w:bookmarkEnd w:id="410"/>
      <w:bookmarkEnd w:id="411"/>
    </w:p>
    <w:p w14:paraId="33CD55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0C21E3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12" w:name="_Toc152045577"/>
      <w:bookmarkStart w:id="413" w:name="_Toc144974545"/>
      <w:bookmarkStart w:id="414" w:name="_Toc152042353"/>
      <w:bookmarkStart w:id="415" w:name="_Toc246996964"/>
      <w:bookmarkStart w:id="416" w:name="_Toc14763"/>
      <w:bookmarkStart w:id="417" w:name="_Toc24158"/>
      <w:bookmarkStart w:id="418" w:name="_Toc179632595"/>
      <w:bookmarkStart w:id="419" w:name="_Toc246996221"/>
      <w:bookmarkStart w:id="420" w:name="_Toc247085735"/>
      <w:bookmarkStart w:id="421" w:name="_Toc6639"/>
      <w:r>
        <w:rPr>
          <w:rFonts w:hint="eastAsia" w:ascii="宋体" w:hAnsi="宋体" w:eastAsia="宋体" w:cs="宋体"/>
          <w:color w:val="000000" w:themeColor="text1"/>
          <w:sz w:val="24"/>
          <w:szCs w:val="24"/>
          <w14:textFill>
            <w14:solidFill>
              <w14:schemeClr w14:val="tx1"/>
            </w14:solidFill>
          </w14:textFill>
        </w:rPr>
        <w:t>8.3 对评标委员会成员的纪律要求</w:t>
      </w:r>
      <w:bookmarkEnd w:id="412"/>
      <w:bookmarkEnd w:id="413"/>
      <w:bookmarkEnd w:id="414"/>
      <w:bookmarkEnd w:id="415"/>
      <w:bookmarkEnd w:id="416"/>
      <w:bookmarkEnd w:id="417"/>
      <w:bookmarkEnd w:id="418"/>
      <w:bookmarkEnd w:id="419"/>
      <w:bookmarkEnd w:id="420"/>
      <w:bookmarkEnd w:id="421"/>
    </w:p>
    <w:p w14:paraId="44FC43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5FCAF70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22" w:name="_Toc152042354"/>
      <w:bookmarkStart w:id="423" w:name="_Toc10721"/>
      <w:bookmarkStart w:id="424" w:name="_Toc746"/>
      <w:bookmarkStart w:id="425" w:name="_Toc246996222"/>
      <w:bookmarkStart w:id="426" w:name="_Toc246996965"/>
      <w:bookmarkStart w:id="427" w:name="_Toc152045578"/>
      <w:bookmarkStart w:id="428" w:name="_Toc18417"/>
      <w:bookmarkStart w:id="429" w:name="_Toc247085736"/>
      <w:bookmarkStart w:id="430" w:name="_Toc179632596"/>
      <w:bookmarkStart w:id="431" w:name="_Toc144974546"/>
      <w:r>
        <w:rPr>
          <w:rFonts w:hint="eastAsia" w:ascii="宋体" w:hAnsi="宋体" w:eastAsia="宋体" w:cs="宋体"/>
          <w:color w:val="000000" w:themeColor="text1"/>
          <w:sz w:val="24"/>
          <w:szCs w:val="24"/>
          <w14:textFill>
            <w14:solidFill>
              <w14:schemeClr w14:val="tx1"/>
            </w14:solidFill>
          </w14:textFill>
        </w:rPr>
        <w:t>8.4 对与评标活动有关的工作人员的纪律要求</w:t>
      </w:r>
      <w:bookmarkEnd w:id="422"/>
      <w:bookmarkEnd w:id="423"/>
      <w:bookmarkEnd w:id="424"/>
      <w:bookmarkEnd w:id="425"/>
      <w:bookmarkEnd w:id="426"/>
      <w:bookmarkEnd w:id="427"/>
      <w:bookmarkEnd w:id="428"/>
      <w:bookmarkEnd w:id="429"/>
      <w:bookmarkEnd w:id="430"/>
    </w:p>
    <w:p w14:paraId="1EF840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32" w:name="_Toc152042355"/>
      <w:r>
        <w:rPr>
          <w:rFonts w:hint="eastAsia" w:ascii="宋体" w:hAnsi="宋体" w:eastAsia="宋体" w:cs="宋体"/>
          <w:color w:val="000000" w:themeColor="text1"/>
          <w:sz w:val="24"/>
          <w:szCs w:val="24"/>
          <w14:textFill>
            <w14:solidFill>
              <w14:schemeClr w14:val="tx1"/>
            </w14:solidFill>
          </w14:textFill>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32"/>
    </w:p>
    <w:p w14:paraId="3848217C">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3" w:name="_Toc22014"/>
      <w:bookmarkStart w:id="434" w:name="_Toc14107"/>
      <w:bookmarkStart w:id="435" w:name="_Toc246996966"/>
      <w:bookmarkStart w:id="436" w:name="_Toc247085737"/>
      <w:bookmarkStart w:id="437" w:name="_Toc152042356"/>
      <w:bookmarkStart w:id="438" w:name="_Toc179632597"/>
      <w:bookmarkStart w:id="439" w:name="_Toc152045579"/>
      <w:bookmarkStart w:id="440" w:name="_Toc22107"/>
      <w:bookmarkStart w:id="441" w:name="_Toc246996223"/>
      <w:r>
        <w:rPr>
          <w:rFonts w:hint="eastAsia" w:ascii="宋体" w:hAnsi="宋体" w:eastAsia="宋体" w:cs="宋体"/>
          <w:color w:val="000000" w:themeColor="text1"/>
          <w:sz w:val="24"/>
          <w:szCs w:val="24"/>
          <w14:textFill>
            <w14:solidFill>
              <w14:schemeClr w14:val="tx1"/>
            </w14:solidFill>
          </w14:textFill>
        </w:rPr>
        <w:t>8.5 投诉</w:t>
      </w:r>
      <w:bookmarkEnd w:id="431"/>
      <w:bookmarkEnd w:id="433"/>
      <w:bookmarkEnd w:id="434"/>
      <w:bookmarkEnd w:id="435"/>
      <w:bookmarkEnd w:id="436"/>
      <w:bookmarkEnd w:id="437"/>
      <w:bookmarkEnd w:id="438"/>
      <w:bookmarkEnd w:id="439"/>
      <w:bookmarkEnd w:id="440"/>
      <w:bookmarkEnd w:id="441"/>
    </w:p>
    <w:p w14:paraId="072C23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42" w:name="_Toc9155"/>
      <w:bookmarkStart w:id="443" w:name="_Toc152045580"/>
      <w:bookmarkStart w:id="444" w:name="_Toc246996967"/>
      <w:bookmarkStart w:id="445" w:name="_Toc24729"/>
      <w:bookmarkStart w:id="446" w:name="_Toc144974547"/>
      <w:bookmarkStart w:id="447" w:name="_Toc246996224"/>
      <w:bookmarkStart w:id="448" w:name="_Toc247085738"/>
      <w:bookmarkStart w:id="449" w:name="_Toc152042357"/>
      <w:bookmarkStart w:id="450" w:name="_Toc179632598"/>
      <w:bookmarkStart w:id="451" w:name="_Toc6779"/>
      <w:r>
        <w:rPr>
          <w:rFonts w:hint="eastAsia" w:ascii="宋体" w:hAnsi="宋体" w:eastAsia="宋体" w:cs="宋体"/>
          <w:color w:val="000000" w:themeColor="text1"/>
          <w:sz w:val="24"/>
          <w:szCs w:val="24"/>
          <w14:textFill>
            <w14:solidFill>
              <w14:schemeClr w14:val="tx1"/>
            </w14:solidFill>
          </w14:textFill>
        </w:rPr>
        <w:t>8.5.1供应商和其他利害关系人认为本次招标活动违反法律、法规和规章规定的，有权向有关行政监督部门投诉。</w:t>
      </w:r>
    </w:p>
    <w:p w14:paraId="689935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8.5.2供应商的质疑和投诉，详见《中华人民共和国财政部令第94号--政府采购质疑和投诉办法》有关规定。</w:t>
      </w:r>
    </w:p>
    <w:p w14:paraId="7612F7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8.5.3投诉人不得以投诉为名排挤竞争对手，不得进行虚假、恶意投诉，阻碍招标投标活动的正常进行。</w:t>
      </w:r>
    </w:p>
    <w:p w14:paraId="7F3F8AB2">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8.6评标过程的监控</w:t>
      </w:r>
    </w:p>
    <w:p w14:paraId="76C9D7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本项目评标过程实行全程录音、录像监控，供应商在评标过程中所进行的试图影响评标结果的不公正活动，可能导致其投标被拒绝。</w:t>
      </w:r>
    </w:p>
    <w:p w14:paraId="70F8A84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8.7质疑</w:t>
      </w:r>
    </w:p>
    <w:p w14:paraId="1263FE8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8.7.1供应商对采购事项有疑问的，应当按照《政府采购质疑和投诉办法》规定，以书面形式向采购人或代理机构提出，经法定代表人签字并加盖公章。</w:t>
      </w:r>
    </w:p>
    <w:p w14:paraId="73541F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8.7.2供应商认为招标文件、采购过程、中标或者成交结果使自己的权益受到损害的，可以在知道或者应知其权益受到损害之日起7个工作日内，以书面形式向采购人、采购代理机构提出质疑。</w:t>
      </w:r>
    </w:p>
    <w:p w14:paraId="12CE7D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5D029C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8.7.4提出质疑的供应商（以下简称质疑供应商）应当是参与所质疑项目采购活动的供应商。潜在供应商已依法获取其可质疑的招标文件的，可以对该文件提出质疑。</w:t>
      </w:r>
    </w:p>
    <w:p w14:paraId="24C3E15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8.7.5对招标文件提出质疑的，应当在获取招标文件或者招标文件公告期限届满之日起7个工作日内提出。</w:t>
      </w:r>
    </w:p>
    <w:p w14:paraId="4FF3C9F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35FD62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8.7.7有下列情形之一的，属于无效质疑，代理机构可不予受理：</w:t>
      </w:r>
    </w:p>
    <w:p w14:paraId="408B4E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（1）未在有效期限内提出质疑的；</w:t>
      </w:r>
    </w:p>
    <w:p w14:paraId="5B3DB3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（2）质疑未以书面形式提出的；</w:t>
      </w:r>
    </w:p>
    <w:p w14:paraId="2831B4D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（3）所提交材料未明示属于质疑材料的；</w:t>
      </w:r>
    </w:p>
    <w:p w14:paraId="067846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33F966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（5）质疑书未提供有效联系人或联系方式的；</w:t>
      </w:r>
    </w:p>
    <w:p w14:paraId="42F82D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（6）质疑事项已经进入投诉或者诉讼程序的；</w:t>
      </w:r>
    </w:p>
    <w:p w14:paraId="3E2114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（7）其它不符合受理条件的情形。</w:t>
      </w:r>
    </w:p>
    <w:p w14:paraId="51BD3C0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16194F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8.7.9供应商对评审过程、中标或者成交结果提出质疑的，采购人、采购代理机构可以组织原评标委员会、竞争性谈判小组、询价小组或者竞争性磋商小组协助答复质疑。</w:t>
      </w:r>
    </w:p>
    <w:p w14:paraId="40D269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8.7.10质疑人有下列情形之一的，代理机构应驳回质疑：</w:t>
      </w:r>
    </w:p>
    <w:p w14:paraId="568B98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（1）质疑缺乏事实和法律依据的；</w:t>
      </w:r>
    </w:p>
    <w:p w14:paraId="259BD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（2）质疑人捏造事实、提供虚假材料，或在一定期限内多次质疑而无实据的；</w:t>
      </w:r>
    </w:p>
    <w:p w14:paraId="474FFCC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（3）质疑已经处理并答复后，质疑人就同一事项又提起质疑且未提供新的有效证据的；</w:t>
      </w:r>
    </w:p>
    <w:p w14:paraId="53C0C5A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（4）其他根据相关法律、法规应当予以驳回的情形。</w:t>
      </w:r>
    </w:p>
    <w:p w14:paraId="78D715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8.7.11供应商进行虚假和恶意质疑的，代理机构可以提请有关部门将其列入不良记录名单，在一至三年内禁止参加政府采购活动，并将处理决定在相关政府采购媒体上公布。</w:t>
      </w:r>
    </w:p>
    <w:p w14:paraId="72C664F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8.7.12采购人、采购代理机构认为供应商质疑不成立，或者成立但未对中标、成交结果构成影响的，继续开展采购活动；认为供应商质疑成立且影响或者可能影响中标、成交结果的，按照下列情况处理：</w:t>
      </w:r>
    </w:p>
    <w:p w14:paraId="215F1E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（一）对招标文件提出的质疑，依法通过澄清或者修改可以继续开展采购活动的，澄清或者修改招标文件后继续开展采购活动；否则应当修改招标文件后重新开展采购活动。</w:t>
      </w:r>
    </w:p>
    <w:p w14:paraId="77FA13D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0879C55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质疑答复导致中标、成交结果改变的，采购人或者采购代理机构应当将有关情况书面报告本级财政部门。</w:t>
      </w:r>
    </w:p>
    <w:p w14:paraId="28A17C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8.7.13质疑供应商对采购人、采购代理机构的答复不满意，或者采购人、采购代理机构未在规定时间内作出答复的，可以在答复期满后15个工作日内向本办法第六条规定的财政部门提起投诉（投诉书范本见附件②）。</w:t>
      </w:r>
    </w:p>
    <w:p w14:paraId="570299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sectPr>
          <w:footerReference r:id="rId9" w:type="first"/>
          <w:footerReference r:id="rId8"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3FAEF2CC">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附件①</w:t>
      </w:r>
    </w:p>
    <w:p w14:paraId="37EDBF5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p>
    <w:p w14:paraId="5E06AA5F">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16AD127">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771E3DC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一、质疑供应商基本信息</w:t>
      </w:r>
    </w:p>
    <w:p w14:paraId="23C1D0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质疑供应商：                                        </w:t>
      </w:r>
    </w:p>
    <w:p w14:paraId="1BB782F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576811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D08423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10B568A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0DA0150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C28ABD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284D598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7194544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5B16D0C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二、质疑项目基本情况</w:t>
      </w:r>
    </w:p>
    <w:p w14:paraId="54975CC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质疑项目的名称：                                      </w:t>
      </w:r>
    </w:p>
    <w:p w14:paraId="415B1BA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质疑项目的编号：                                      </w:t>
      </w:r>
    </w:p>
    <w:p w14:paraId="3F9095F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55AB372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招标文件获取日期：                                    </w:t>
      </w:r>
    </w:p>
    <w:p w14:paraId="6DFA73B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三、质疑事项具体内容</w:t>
      </w:r>
    </w:p>
    <w:p w14:paraId="5284E3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质疑事项1：                                         </w:t>
      </w:r>
    </w:p>
    <w:p w14:paraId="5D9B3FA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171022D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373C153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3C76EC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675BB4B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四、与质疑事项相关的质疑请求</w:t>
      </w:r>
    </w:p>
    <w:p w14:paraId="5D46FAD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0F6ADA5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2FF24B">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63C3CF24">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p>
    <w:p w14:paraId="6C57828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0D3B665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5AEDA377">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1BAE82F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B20D1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AEAC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AD92F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5D965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47229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0A1E5C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EB43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09D51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C781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8E52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85BAB1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B5ED6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575267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质疑函制作说明：</w:t>
      </w:r>
    </w:p>
    <w:p w14:paraId="73E276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1.供应商提出质疑时，应提交质疑函和必要的证明材料。</w:t>
      </w:r>
    </w:p>
    <w:p w14:paraId="675E7A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B30F2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3.质疑供应商若对项目的某一分包进行质疑，质疑函中应列明具体分包号。</w:t>
      </w:r>
    </w:p>
    <w:p w14:paraId="4F87DD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1EE9A36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6B4CA30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017A42D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附件②</w:t>
      </w:r>
    </w:p>
    <w:p w14:paraId="67CC2638">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p>
    <w:p w14:paraId="688AC761">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投诉书范本</w:t>
      </w:r>
    </w:p>
    <w:p w14:paraId="31E0C796">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56E122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一、投诉相关主体基本情况</w:t>
      </w:r>
    </w:p>
    <w:p w14:paraId="280B89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投诉人：                                               </w:t>
      </w:r>
    </w:p>
    <w:p w14:paraId="15D34BD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4486814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46261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法定代表人/主要负责人：                                </w:t>
      </w:r>
    </w:p>
    <w:p w14:paraId="5E0537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864DA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DEA03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138C20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2230D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7FEC78A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被投诉人1：                                            </w:t>
      </w:r>
    </w:p>
    <w:p w14:paraId="350825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82257C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49D3DF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2991B20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069A21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被投诉人2</w:t>
      </w:r>
    </w:p>
    <w:p w14:paraId="7B9576E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96E59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相关供应商：                                           </w:t>
      </w:r>
    </w:p>
    <w:p w14:paraId="5E0AE7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2BCB5E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AE747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788AD7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703544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二、投诉项目基本情况</w:t>
      </w:r>
    </w:p>
    <w:p w14:paraId="2CC9F6C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采购项目名称：                                         </w:t>
      </w:r>
    </w:p>
    <w:p w14:paraId="20206E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采购项目编号：                                        </w:t>
      </w:r>
    </w:p>
    <w:p w14:paraId="604FD3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1C90B5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代理机构名称：                                         </w:t>
      </w:r>
    </w:p>
    <w:p w14:paraId="011E24E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招标文件公告:是/否     </w:t>
      </w:r>
    </w:p>
    <w:p w14:paraId="49A6A7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6412DE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采购结果公告:是/否     </w:t>
      </w:r>
    </w:p>
    <w:p w14:paraId="52FCDB6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78423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三、质疑基本情况</w:t>
      </w:r>
    </w:p>
    <w:p w14:paraId="5FDB965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投诉人于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日,向</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提出质疑，质疑事项为：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52B7FA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采购人/代理机构于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日,就质疑事项作出了答复/没有在法定期限内作出答复。</w:t>
      </w:r>
    </w:p>
    <w:p w14:paraId="15C70F4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四、投诉事项具体内容</w:t>
      </w:r>
    </w:p>
    <w:p w14:paraId="0DD5E6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投诉事项 1：                                       </w:t>
      </w:r>
    </w:p>
    <w:p w14:paraId="08A742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0F115DB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187ABE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投诉事项2</w:t>
      </w:r>
    </w:p>
    <w:p w14:paraId="190EAB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3FA6F5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53371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五、与投诉事项相关的投诉请求</w:t>
      </w:r>
    </w:p>
    <w:p w14:paraId="4B87D0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54FE542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7517A3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F2F867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46BB9B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4622B5B6">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1F6BEE6C">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4146C08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A4A6F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3E964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985E5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B8C3D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79217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6EDE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7EAE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A32AA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99486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C0A24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954F9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FE55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A0A4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5015C3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0275A22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投诉书制作说明：</w:t>
      </w:r>
    </w:p>
    <w:p w14:paraId="2E19079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1.投诉人提起投诉时，应当提交投诉书和必要的证明材料，并按照被投诉人和与投诉事项有关的供应商数量提供投诉书副本。</w:t>
      </w:r>
    </w:p>
    <w:p w14:paraId="33511C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ED726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3.投诉人若对项目的某一分包进行投诉，投诉书应列明具体分包号。</w:t>
      </w:r>
    </w:p>
    <w:p w14:paraId="61CEE38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4.投诉书应简要列明质疑事项，质疑函、质疑答复等作为附件材料提供。</w:t>
      </w:r>
    </w:p>
    <w:p w14:paraId="794E9D4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5.投诉书的投诉事项应具体、明确，并有必要的事实依据和法律依据。</w:t>
      </w:r>
    </w:p>
    <w:p w14:paraId="18264AF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6.投诉书的投诉请求应与投诉事项相关。</w:t>
      </w:r>
    </w:p>
    <w:p w14:paraId="27FF0A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129E4F0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1E9E3A9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0B0DD387">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0DA5153">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086B2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5D9F63B">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F43095A">
      <w:pPr>
        <w:pageBreakBefore w:val="0"/>
        <w:wordWrap/>
        <w:topLinePunct w:val="0"/>
        <w:autoSpaceDE/>
        <w:autoSpaceDN/>
        <w:bidi w:val="0"/>
        <w:adjustRightInd/>
        <w:spacing w:before="0" w:beforeLines="0" w:after="0" w:afterLines="0" w:line="600" w:lineRule="exact"/>
        <w:jc w:val="both"/>
        <w:textAlignment w:val="auto"/>
        <w:outlineLvl w:val="9"/>
        <w:rPr>
          <w:rFonts w:hint="eastAsia" w:ascii="宋体" w:hAnsi="宋体" w:eastAsia="宋体" w:cs="宋体"/>
          <w:color w:val="000000" w:themeColor="text1"/>
          <w:sz w:val="24"/>
          <w:szCs w:val="24"/>
          <w14:textFill>
            <w14:solidFill>
              <w14:schemeClr w14:val="tx1"/>
            </w14:solidFill>
          </w14:textFill>
        </w:rPr>
      </w:pPr>
    </w:p>
    <w:p w14:paraId="2BE5688F">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DC49F3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188A7D">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C0E57A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A89130B">
      <w:pPr>
        <w:pStyle w:val="3"/>
        <w:pageBreakBefore w:val="0"/>
        <w:numPr>
          <w:ilvl w:val="0"/>
          <w:numId w:val="4"/>
        </w:numPr>
        <w:wordWrap/>
        <w:topLinePunct w:val="0"/>
        <w:autoSpaceDE/>
        <w:autoSpaceDN/>
        <w:bidi w:val="0"/>
        <w:adjustRightInd/>
        <w:spacing w:before="0" w:beforeLines="0" w:after="0" w:afterLines="0" w:line="6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需要补充的其他内容</w:t>
      </w:r>
      <w:bookmarkEnd w:id="442"/>
      <w:bookmarkEnd w:id="443"/>
      <w:bookmarkEnd w:id="444"/>
      <w:bookmarkEnd w:id="445"/>
      <w:bookmarkEnd w:id="446"/>
      <w:bookmarkEnd w:id="447"/>
      <w:bookmarkEnd w:id="448"/>
      <w:bookmarkEnd w:id="449"/>
      <w:bookmarkEnd w:id="450"/>
      <w:bookmarkEnd w:id="451"/>
      <w:bookmarkStart w:id="452" w:name="_Toc19207"/>
      <w:bookmarkStart w:id="453" w:name="_Toc22515"/>
      <w:bookmarkStart w:id="454" w:name="_Toc31455"/>
    </w:p>
    <w:p w14:paraId="46291E4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9.1投标截止时，实际参加投标人不足三家的或在评标阶段有效投标人不足三家，除采购任务取消外，招标单位上报政府采购管理部门批准，按照以下原则处理：</w:t>
      </w:r>
    </w:p>
    <w:p w14:paraId="688526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a.招标文件没有不合理条款的，招标公告时间及程序符合规定的，同意采用竞争性谈判方式；</w:t>
      </w:r>
    </w:p>
    <w:p w14:paraId="0BC35C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b.招标文件存在不合理条款的，招标公告时间及程序不符合规定的，责成招标单位依法重新招标;</w:t>
      </w:r>
    </w:p>
    <w:p w14:paraId="13C25A7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9.2转为竞争性谈判方式，评标委员会将自行转为竞争性谈判小组，谈判文件以招标文件为基础，若有重大变动，以书面形式通知参加谈判的全体谈判响应单位；</w:t>
      </w:r>
    </w:p>
    <w:p w14:paraId="672B59D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9.3转为竞争性谈判方式的，在谈判过程中将采取二次报价的形式，各投标单位的开标报价为第一次报价，谈判后参与竞争性谈判的各单位进行第二次报价。</w:t>
      </w:r>
    </w:p>
    <w:p w14:paraId="7184EF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996F05">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E26CD92">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30"/>
          <w:szCs w:val="30"/>
          <w14:textFill>
            <w14:solidFill>
              <w14:schemeClr w14:val="tx1"/>
            </w14:solidFill>
          </w14:textFill>
        </w:rPr>
      </w:pPr>
      <w:bookmarkStart w:id="455" w:name="_Toc4838"/>
      <w:bookmarkStart w:id="456" w:name="_Toc3162"/>
      <w:bookmarkStart w:id="457" w:name="_Toc22717"/>
      <w:r>
        <w:rPr>
          <w:rFonts w:hint="eastAsia" w:ascii="宋体" w:hAnsi="宋体" w:eastAsia="宋体" w:cs="宋体"/>
          <w:color w:val="000000" w:themeColor="text1"/>
          <w:sz w:val="30"/>
          <w:szCs w:val="30"/>
          <w14:textFill>
            <w14:solidFill>
              <w14:schemeClr w14:val="tx1"/>
            </w14:solidFill>
          </w14:textFill>
        </w:rPr>
        <w:t>第三章  投标人资格证明文件及审核</w:t>
      </w:r>
      <w:bookmarkEnd w:id="455"/>
      <w:bookmarkEnd w:id="456"/>
      <w:bookmarkEnd w:id="457"/>
    </w:p>
    <w:p w14:paraId="02B36419">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一、供应商须</w:t>
      </w:r>
      <w:r>
        <w:rPr>
          <w:rFonts w:hint="eastAsia" w:ascii="宋体" w:hAnsi="宋体" w:eastAsia="宋体" w:cs="宋体"/>
          <w:b/>
          <w:color w:val="000000" w:themeColor="text1"/>
          <w:sz w:val="24"/>
          <w:szCs w:val="24"/>
          <w:lang w:val="en-US" w:eastAsia="zh-CN"/>
          <w14:textFill>
            <w14:solidFill>
              <w14:schemeClr w14:val="tx1"/>
            </w14:solidFill>
          </w14:textFill>
        </w:rPr>
        <w:t>提供</w:t>
      </w:r>
      <w:r>
        <w:rPr>
          <w:rFonts w:hint="eastAsia" w:ascii="宋体" w:hAnsi="宋体" w:eastAsia="宋体" w:cs="宋体"/>
          <w:b/>
          <w:color w:val="000000" w:themeColor="text1"/>
          <w:sz w:val="24"/>
          <w:szCs w:val="24"/>
          <w14:textFill>
            <w14:solidFill>
              <w14:schemeClr w14:val="tx1"/>
            </w14:solidFill>
          </w14:textFill>
        </w:rPr>
        <w:t>下列资格证明文件。</w:t>
      </w:r>
    </w:p>
    <w:p w14:paraId="2BD51E2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（1）基本资格条件：</w:t>
      </w:r>
    </w:p>
    <w:p w14:paraId="403EB196">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符合《中华人民共和国政府采购法》第二十二条的规定；</w:t>
      </w:r>
    </w:p>
    <w:p w14:paraId="1D41BD4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（2）特定资格条件：</w:t>
      </w:r>
    </w:p>
    <w:p w14:paraId="01A4C0BF">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25AFB594">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.法定代表人授权委托书及被授权人身份证（法定代表人直接参加时，只须出示法定代表人身份证)；</w:t>
      </w:r>
    </w:p>
    <w:p w14:paraId="08CD9F12">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.提供参加政府采购活动前3年内经营活动中没有重大违法记录声明；</w:t>
      </w:r>
    </w:p>
    <w:p w14:paraId="6B9EF831">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46C4F865">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D6E6118">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.财务状况报告：提供202</w:t>
      </w: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或202</w:t>
      </w: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6390884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C93681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1165B8EA">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.本项目不接受联合体投标。 </w:t>
      </w:r>
    </w:p>
    <w:p w14:paraId="1A821A7B">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3）有关资格证明文件的特别提示</w:t>
      </w:r>
    </w:p>
    <w:p w14:paraId="30E09E70">
      <w:pPr>
        <w:pageBreakBefore w:val="0"/>
        <w:wordWrap/>
        <w:overflowPunct w:val="0"/>
        <w:topLinePunct w:val="0"/>
        <w:autoSpaceDE/>
        <w:autoSpaceDN/>
        <w:bidi w:val="0"/>
        <w:adjustRightIn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a.上列资格证明文件为必备资格条件，缺项或者符合性、有效性、合法性审核不合格的，自动丧失投标资格。</w:t>
      </w:r>
    </w:p>
    <w:p w14:paraId="0EE78652">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二、投标文件审核方法</w:t>
      </w:r>
    </w:p>
    <w:p w14:paraId="52B9660A">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1.投标文件的初审</w:t>
      </w:r>
    </w:p>
    <w:p w14:paraId="77AA4ED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1.1资格性检查：依据法律法规和招标文件的规定，对投标文件中的资格证明、投标保证金等进行审查，以确定投标单位是否具备投标资格。</w:t>
      </w:r>
    </w:p>
    <w:p w14:paraId="7FDCE53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 符合性检查：依据招标文件的规定，对投标文件的有效性、完整性、</w:t>
      </w:r>
      <w:r>
        <w:rPr>
          <w:rFonts w:hint="eastAsia" w:ascii="宋体" w:hAnsi="宋体" w:eastAsia="宋体" w:cs="宋体"/>
          <w:color w:val="000000" w:themeColor="text1"/>
          <w:sz w:val="24"/>
          <w:szCs w:val="24"/>
          <w14:textFill>
            <w14:solidFill>
              <w14:schemeClr w14:val="tx1"/>
            </w14:solidFill>
          </w14:textFill>
        </w:rPr>
        <w:t>投标方案进行审查，以确定其是否对招标文件的实质性要求作出响应。</w:t>
      </w:r>
    </w:p>
    <w:p w14:paraId="060221FF">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1.2.1.投标文件的完整性。投标文件构成是否有重大缺项，是否按照招标文件要求的格式编写投标文件。</w:t>
      </w:r>
    </w:p>
    <w:p w14:paraId="751E21E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1.2.2.投标文件的有效性。投标文件的签署、加盖印章是否合格、有效；提供的各种证明文件、数据、资料是否真实、有效。</w:t>
      </w:r>
    </w:p>
    <w:p w14:paraId="6331E2E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2D27076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1.3.报价是否超过采购预算。</w:t>
      </w:r>
    </w:p>
    <w:p w14:paraId="7EC48A1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2.供应商或其投标文件有下列情形之一的，否决其投标：</w:t>
      </w:r>
    </w:p>
    <w:p w14:paraId="2272F3A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（1）投标报价明显低于成本形成不正当竞争的；</w:t>
      </w:r>
    </w:p>
    <w:p w14:paraId="18E27BF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）投标文件的语言、计量单位、报价货币、知识产权、投标有效期等不符合招标文件规定；</w:t>
      </w:r>
    </w:p>
    <w:p w14:paraId="6A9B690D">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）未按招标文件规定要求签署、盖章的；无投标有效期或有效期达不到招标文件要求的，不符合招标文件规定且影响整个投标文件有效性和采购活动公平竞争的；</w:t>
      </w:r>
    </w:p>
    <w:p w14:paraId="0AF1611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）响应技术标准明显不符合采购项目的要求；</w:t>
      </w:r>
    </w:p>
    <w:p w14:paraId="10A701C1">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）附有采购人不能接受的条件或者不符合招标文件规定的其他实质性要求，商务条款偏离的；</w:t>
      </w:r>
    </w:p>
    <w:p w14:paraId="2E8FA35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）未按照招标文件要求编制，内容严重缺失的。</w:t>
      </w:r>
    </w:p>
    <w:p w14:paraId="25BDF47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）投标人单位未经过正常渠道领取招标文件，或投标人名称与领取招标文件时登记的投标单位名称不符的；</w:t>
      </w:r>
    </w:p>
    <w:p w14:paraId="6C4392B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）未按规定交纳投标保证金的；</w:t>
      </w:r>
    </w:p>
    <w:p w14:paraId="00648342">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）投标文件未按照投标文件格式及内容要求填写的；</w:t>
      </w:r>
    </w:p>
    <w:p w14:paraId="5FADCC3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）投标人针对同一项目递交两份或多份内容不同的投标文件，未书面声明哪一份是有效的或出现选择性报价的；</w:t>
      </w:r>
    </w:p>
    <w:p w14:paraId="7A11AA4E">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）附有采购人、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不能接受的条款和商务响应方面（</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、履约验收）与投标文件要求不一致的；</w:t>
      </w:r>
    </w:p>
    <w:p w14:paraId="526C15B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）在政府采购或其它重大项目履约过程中有不良记录，不能按期履约的；</w:t>
      </w:r>
    </w:p>
    <w:p w14:paraId="3F62D88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）投标报价与市场价偏离较大，低于成本，形成不正当竞争的；</w:t>
      </w:r>
    </w:p>
    <w:p w14:paraId="70BA6F2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）有重大缺漏项的；</w:t>
      </w:r>
    </w:p>
    <w:p w14:paraId="012872D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）以他人名义进行投标的；</w:t>
      </w:r>
    </w:p>
    <w:p w14:paraId="6F0ACE4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）投标人无法定代表人授权书或其授权书的有效性不符合招标文件规定的；</w:t>
      </w:r>
    </w:p>
    <w:p w14:paraId="6E2ACA6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）投标人有串通投标、弄虚作假、行贿等违法行为的；</w:t>
      </w:r>
    </w:p>
    <w:p w14:paraId="719A8A7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）照抄或复印招标文件技术及商务要求的、手写的、未按规定签署的投标文件的；</w:t>
      </w:r>
    </w:p>
    <w:p w14:paraId="581694F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）投标文件的实质性内容未使用中文表述，意思表述不明确，前后矛盾或者使用计量单位不符合招标文件要求；</w:t>
      </w:r>
    </w:p>
    <w:p w14:paraId="4EBB77DF">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0</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）投标文件的关键内容字迹模糊、无法辨认的，或者投标文件中经修正的内容字迹模糊难以辨认或者修改处未按规定签名盖章的；</w:t>
      </w:r>
    </w:p>
    <w:p w14:paraId="45EFEDA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）未实质性响应或者擅自改变招标文件要求的；</w:t>
      </w:r>
    </w:p>
    <w:p w14:paraId="72E521C5">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）投标报价超出最高限价或者超出采购预算，采购人不能支付的；</w:t>
      </w:r>
    </w:p>
    <w:p w14:paraId="054D61E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）法律法规规定其他投标无效情形的。</w:t>
      </w:r>
    </w:p>
    <w:p w14:paraId="0241C73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6A6159B">
      <w:pPr>
        <w:pStyle w:val="11"/>
        <w:jc w:val="both"/>
        <w:rPr>
          <w:rFonts w:hint="eastAsia"/>
          <w:color w:val="000000" w:themeColor="text1"/>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81D92DF">
      <w:pPr>
        <w:pStyle w:val="2"/>
        <w:spacing w:line="240" w:lineRule="auto"/>
        <w:jc w:val="center"/>
        <w:rPr>
          <w:rFonts w:hint="eastAsia" w:ascii="宋体" w:hAnsi="宋体" w:eastAsia="宋体" w:cs="宋体"/>
          <w:color w:val="000000" w:themeColor="text1"/>
          <w:sz w:val="28"/>
          <w:szCs w:val="28"/>
          <w14:textFill>
            <w14:solidFill>
              <w14:schemeClr w14:val="tx1"/>
            </w14:solidFill>
          </w14:textFill>
        </w:rPr>
      </w:pPr>
      <w:bookmarkStart w:id="458" w:name="_Toc28084"/>
      <w:bookmarkStart w:id="459" w:name="_Toc5895"/>
      <w:bookmarkStart w:id="460" w:name="_Toc23160"/>
      <w:bookmarkStart w:id="461" w:name="_Toc1706"/>
      <w:bookmarkStart w:id="462" w:name="_Toc11405"/>
      <w:bookmarkStart w:id="463" w:name="_Toc26899"/>
      <w:bookmarkStart w:id="464" w:name="_Toc28077"/>
      <w:r>
        <w:rPr>
          <w:rFonts w:hint="eastAsia" w:ascii="宋体" w:hAnsi="宋体" w:eastAsia="宋体" w:cs="宋体"/>
          <w:color w:val="000000" w:themeColor="text1"/>
          <w:sz w:val="30"/>
          <w:szCs w:val="30"/>
          <w14:textFill>
            <w14:solidFill>
              <w14:schemeClr w14:val="tx1"/>
            </w14:solidFill>
          </w14:textFill>
        </w:rPr>
        <w:t>第四章</w:t>
      </w:r>
      <w:bookmarkEnd w:id="39"/>
      <w:bookmarkEnd w:id="40"/>
      <w:bookmarkEnd w:id="41"/>
      <w:bookmarkEnd w:id="452"/>
      <w:bookmarkStart w:id="465" w:name="_Toc12522"/>
      <w:bookmarkStart w:id="466" w:name="_Toc31157"/>
      <w:bookmarkStart w:id="467" w:name="_Toc25838"/>
      <w:bookmarkStart w:id="468" w:name="_Toc10057"/>
      <w:bookmarkStart w:id="469" w:name="_Toc6477"/>
      <w:bookmarkStart w:id="470" w:name="_Toc28261"/>
      <w:bookmarkStart w:id="471" w:name="_Toc13365"/>
      <w:r>
        <w:rPr>
          <w:rFonts w:hint="eastAsia" w:ascii="宋体" w:hAnsi="宋体" w:eastAsia="宋体" w:cs="宋体"/>
          <w:color w:val="000000" w:themeColor="text1"/>
          <w:sz w:val="30"/>
          <w:szCs w:val="30"/>
          <w14:textFill>
            <w14:solidFill>
              <w14:schemeClr w14:val="tx1"/>
            </w14:solidFill>
          </w14:textFill>
        </w:rPr>
        <w:t xml:space="preserve">  评标办法前附表及评标办法</w:t>
      </w:r>
      <w:bookmarkEnd w:id="453"/>
      <w:bookmarkEnd w:id="454"/>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37F9E652">
      <w:pPr>
        <w:jc w:val="center"/>
        <w:rPr>
          <w:rFonts w:hint="eastAsia" w:ascii="宋体" w:hAnsi="宋体" w:eastAsia="宋体" w:cs="宋体"/>
          <w:b/>
          <w:bCs/>
          <w:color w:val="000000" w:themeColor="text1"/>
          <w:sz w:val="28"/>
          <w:szCs w:val="28"/>
          <w14:textFill>
            <w14:solidFill>
              <w14:schemeClr w14:val="tx1"/>
            </w14:solidFill>
          </w14:textFill>
        </w:rPr>
      </w:pPr>
      <w:bookmarkStart w:id="472" w:name="_Toc17672"/>
      <w:bookmarkStart w:id="473" w:name="_Toc31853"/>
      <w:bookmarkStart w:id="474" w:name="_Toc7528"/>
      <w:bookmarkStart w:id="475" w:name="_Toc29466"/>
      <w:bookmarkStart w:id="476" w:name="_Toc24633"/>
      <w:bookmarkStart w:id="477" w:name="_Toc22441"/>
      <w:bookmarkStart w:id="478" w:name="_Toc30830"/>
      <w:bookmarkStart w:id="479" w:name="_Toc14581"/>
      <w:bookmarkStart w:id="480" w:name="_Toc20147"/>
      <w:bookmarkStart w:id="481" w:name="_Toc29124"/>
      <w:bookmarkStart w:id="482" w:name="_Toc16362"/>
      <w:bookmarkStart w:id="483" w:name="_Toc6699"/>
      <w:bookmarkStart w:id="484" w:name="_Toc14732"/>
      <w:bookmarkStart w:id="485" w:name="_Toc13909"/>
      <w:r>
        <w:rPr>
          <w:rFonts w:hint="eastAsia" w:ascii="宋体" w:hAnsi="宋体" w:eastAsia="宋体" w:cs="宋体"/>
          <w:b/>
          <w:bCs/>
          <w:color w:val="000000" w:themeColor="text1"/>
          <w:sz w:val="28"/>
          <w:szCs w:val="28"/>
          <w14:textFill>
            <w14:solidFill>
              <w14:schemeClr w14:val="tx1"/>
            </w14:solidFill>
          </w14:textFill>
        </w:rPr>
        <w:t>评标办法前附表</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bookmarkEnd w:id="42"/>
    <w:tbl>
      <w:tblPr>
        <w:tblStyle w:val="35"/>
        <w:tblW w:w="9640" w:type="dxa"/>
        <w:tblInd w:w="-17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41"/>
        <w:gridCol w:w="719"/>
        <w:gridCol w:w="3224"/>
        <w:gridCol w:w="4856"/>
      </w:tblGrid>
      <w:tr w14:paraId="5AD35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6" w:hRule="atLeast"/>
        </w:trPr>
        <w:tc>
          <w:tcPr>
            <w:tcW w:w="1560" w:type="dxa"/>
            <w:gridSpan w:val="2"/>
            <w:tcBorders>
              <w:tl2br w:val="nil"/>
              <w:tr2bl w:val="nil"/>
            </w:tcBorders>
            <w:noWrap w:val="0"/>
            <w:vAlign w:val="center"/>
          </w:tcPr>
          <w:p w14:paraId="48CCF9E1">
            <w:pPr>
              <w:spacing w:line="360" w:lineRule="auto"/>
              <w:jc w:val="center"/>
              <w:rPr>
                <w:rFonts w:hint="eastAsia" w:ascii="宋体" w:hAnsi="宋体" w:eastAsia="宋体" w:cs="宋体"/>
                <w:b/>
                <w:color w:val="000000"/>
                <w:sz w:val="24"/>
                <w:szCs w:val="24"/>
              </w:rPr>
            </w:pPr>
            <w:bookmarkStart w:id="486" w:name="_Toc132684599"/>
            <w:bookmarkStart w:id="487" w:name="_Toc112236889"/>
            <w:bookmarkStart w:id="488" w:name="_Toc225592722"/>
            <w:bookmarkStart w:id="489" w:name="_Toc145989485"/>
            <w:bookmarkStart w:id="490" w:name="_Toc169940988"/>
            <w:bookmarkStart w:id="491" w:name="_Toc123211617"/>
            <w:bookmarkStart w:id="492" w:name="_Toc221523517"/>
            <w:bookmarkStart w:id="493" w:name="_Toc19476"/>
            <w:bookmarkStart w:id="494" w:name="_Toc905"/>
            <w:bookmarkStart w:id="495" w:name="_Toc5306"/>
            <w:r>
              <w:rPr>
                <w:rFonts w:hint="eastAsia" w:ascii="宋体" w:hAnsi="宋体" w:eastAsia="宋体" w:cs="宋体"/>
                <w:b/>
                <w:color w:val="000000"/>
                <w:sz w:val="24"/>
                <w:szCs w:val="24"/>
              </w:rPr>
              <w:t>条款号</w:t>
            </w:r>
          </w:p>
        </w:tc>
        <w:tc>
          <w:tcPr>
            <w:tcW w:w="3224" w:type="dxa"/>
            <w:tcBorders>
              <w:tl2br w:val="nil"/>
              <w:tr2bl w:val="nil"/>
            </w:tcBorders>
            <w:noWrap w:val="0"/>
            <w:vAlign w:val="center"/>
          </w:tcPr>
          <w:p w14:paraId="637B289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856" w:type="dxa"/>
            <w:tcBorders>
              <w:tl2br w:val="nil"/>
              <w:tr2bl w:val="nil"/>
            </w:tcBorders>
            <w:noWrap w:val="0"/>
            <w:vAlign w:val="center"/>
          </w:tcPr>
          <w:p w14:paraId="640C5F1C">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3CAD8D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14" w:hRule="atLeast"/>
        </w:trPr>
        <w:tc>
          <w:tcPr>
            <w:tcW w:w="1560" w:type="dxa"/>
            <w:gridSpan w:val="2"/>
            <w:tcBorders>
              <w:tl2br w:val="nil"/>
              <w:tr2bl w:val="nil"/>
            </w:tcBorders>
            <w:noWrap w:val="0"/>
            <w:vAlign w:val="center"/>
          </w:tcPr>
          <w:p w14:paraId="426F051E">
            <w:pPr>
              <w:spacing w:line="360" w:lineRule="auto"/>
              <w:jc w:val="center"/>
              <w:rPr>
                <w:rFonts w:hint="eastAsia" w:ascii="宋体" w:hAnsi="宋体" w:eastAsia="宋体" w:cs="宋体"/>
                <w:b/>
                <w:color w:val="000000"/>
                <w:sz w:val="24"/>
                <w:szCs w:val="24"/>
              </w:rPr>
            </w:pPr>
            <w:bookmarkStart w:id="496" w:name="_Toc343511683"/>
            <w:r>
              <w:rPr>
                <w:rFonts w:hint="eastAsia" w:ascii="宋体" w:hAnsi="宋体" w:eastAsia="宋体" w:cs="宋体"/>
                <w:b/>
                <w:color w:val="000000"/>
                <w:sz w:val="24"/>
                <w:szCs w:val="24"/>
              </w:rPr>
              <w:t>条款号</w:t>
            </w:r>
            <w:bookmarkEnd w:id="496"/>
          </w:p>
        </w:tc>
        <w:tc>
          <w:tcPr>
            <w:tcW w:w="3224" w:type="dxa"/>
            <w:tcBorders>
              <w:tl2br w:val="nil"/>
              <w:tr2bl w:val="nil"/>
            </w:tcBorders>
            <w:noWrap w:val="0"/>
            <w:vAlign w:val="center"/>
          </w:tcPr>
          <w:p w14:paraId="274BE194">
            <w:pPr>
              <w:spacing w:line="360" w:lineRule="auto"/>
              <w:jc w:val="center"/>
              <w:rPr>
                <w:rFonts w:hint="eastAsia" w:ascii="宋体" w:hAnsi="宋体" w:eastAsia="宋体" w:cs="宋体"/>
                <w:b/>
                <w:color w:val="000000"/>
                <w:sz w:val="24"/>
                <w:szCs w:val="24"/>
              </w:rPr>
            </w:pPr>
            <w:bookmarkStart w:id="497" w:name="_Toc343511684"/>
            <w:r>
              <w:rPr>
                <w:rFonts w:hint="eastAsia" w:ascii="宋体" w:hAnsi="宋体" w:eastAsia="宋体" w:cs="宋体"/>
                <w:b/>
                <w:color w:val="000000"/>
                <w:sz w:val="24"/>
                <w:szCs w:val="24"/>
              </w:rPr>
              <w:t>评审因素</w:t>
            </w:r>
            <w:bookmarkEnd w:id="497"/>
          </w:p>
        </w:tc>
        <w:tc>
          <w:tcPr>
            <w:tcW w:w="4856" w:type="dxa"/>
            <w:tcBorders>
              <w:tl2br w:val="nil"/>
              <w:tr2bl w:val="nil"/>
            </w:tcBorders>
            <w:noWrap w:val="0"/>
            <w:vAlign w:val="center"/>
          </w:tcPr>
          <w:p w14:paraId="2881C5FB">
            <w:pPr>
              <w:spacing w:line="360" w:lineRule="auto"/>
              <w:jc w:val="center"/>
              <w:rPr>
                <w:rFonts w:hint="eastAsia" w:ascii="宋体" w:hAnsi="宋体" w:eastAsia="宋体" w:cs="宋体"/>
                <w:b/>
                <w:color w:val="000000"/>
                <w:sz w:val="24"/>
                <w:szCs w:val="24"/>
              </w:rPr>
            </w:pPr>
            <w:bookmarkStart w:id="498" w:name="_Toc343511685"/>
            <w:r>
              <w:rPr>
                <w:rFonts w:hint="eastAsia" w:ascii="宋体" w:hAnsi="宋体" w:eastAsia="宋体" w:cs="宋体"/>
                <w:b/>
                <w:color w:val="000000"/>
                <w:sz w:val="24"/>
                <w:szCs w:val="24"/>
              </w:rPr>
              <w:t>评审标准</w:t>
            </w:r>
            <w:bookmarkEnd w:id="498"/>
          </w:p>
        </w:tc>
      </w:tr>
      <w:tr w14:paraId="268717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7" w:hRule="atLeast"/>
        </w:trPr>
        <w:tc>
          <w:tcPr>
            <w:tcW w:w="841" w:type="dxa"/>
            <w:vMerge w:val="restart"/>
            <w:tcBorders>
              <w:tl2br w:val="nil"/>
              <w:tr2bl w:val="nil"/>
            </w:tcBorders>
            <w:noWrap w:val="0"/>
            <w:vAlign w:val="center"/>
          </w:tcPr>
          <w:p w14:paraId="09E7B8E3">
            <w:pPr>
              <w:spacing w:line="360" w:lineRule="auto"/>
              <w:jc w:val="center"/>
              <w:rPr>
                <w:rFonts w:hint="eastAsia" w:ascii="宋体" w:hAnsi="宋体" w:eastAsia="宋体" w:cs="宋体"/>
                <w:color w:val="000000"/>
                <w:sz w:val="24"/>
                <w:szCs w:val="24"/>
              </w:rPr>
            </w:pPr>
            <w:bookmarkStart w:id="499" w:name="_Toc343511686"/>
            <w:r>
              <w:rPr>
                <w:rFonts w:hint="eastAsia" w:ascii="宋体" w:hAnsi="宋体" w:eastAsia="宋体" w:cs="宋体"/>
                <w:color w:val="000000"/>
                <w:sz w:val="24"/>
                <w:szCs w:val="24"/>
              </w:rPr>
              <w:t>2.1.1</w:t>
            </w:r>
            <w:bookmarkEnd w:id="499"/>
          </w:p>
          <w:p w14:paraId="5DE76A2E">
            <w:pPr>
              <w:spacing w:line="360" w:lineRule="auto"/>
              <w:jc w:val="center"/>
              <w:rPr>
                <w:rFonts w:hint="eastAsia" w:ascii="宋体" w:hAnsi="宋体" w:eastAsia="宋体" w:cs="宋体"/>
                <w:color w:val="000000"/>
                <w:sz w:val="24"/>
                <w:szCs w:val="24"/>
              </w:rPr>
            </w:pPr>
          </w:p>
        </w:tc>
        <w:tc>
          <w:tcPr>
            <w:tcW w:w="719" w:type="dxa"/>
            <w:vMerge w:val="restart"/>
            <w:tcBorders>
              <w:tl2br w:val="nil"/>
              <w:tr2bl w:val="nil"/>
            </w:tcBorders>
            <w:noWrap w:val="0"/>
            <w:vAlign w:val="center"/>
          </w:tcPr>
          <w:p w14:paraId="6F010DE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符合性审查</w:t>
            </w:r>
          </w:p>
        </w:tc>
        <w:tc>
          <w:tcPr>
            <w:tcW w:w="3224" w:type="dxa"/>
            <w:tcBorders>
              <w:tl2br w:val="nil"/>
              <w:tr2bl w:val="nil"/>
            </w:tcBorders>
            <w:noWrap w:val="0"/>
            <w:vAlign w:val="center"/>
          </w:tcPr>
          <w:p w14:paraId="202822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w:t>
            </w:r>
          </w:p>
        </w:tc>
        <w:tc>
          <w:tcPr>
            <w:tcW w:w="4856" w:type="dxa"/>
            <w:tcBorders>
              <w:tl2br w:val="nil"/>
              <w:tr2bl w:val="nil"/>
            </w:tcBorders>
            <w:noWrap w:val="0"/>
            <w:vAlign w:val="center"/>
          </w:tcPr>
          <w:p w14:paraId="4EBCE4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投标文件语言符合招标文件要求。</w:t>
            </w:r>
          </w:p>
        </w:tc>
      </w:tr>
      <w:tr w14:paraId="76EDC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trPr>
        <w:tc>
          <w:tcPr>
            <w:tcW w:w="841" w:type="dxa"/>
            <w:vMerge w:val="continue"/>
            <w:tcBorders>
              <w:tl2br w:val="nil"/>
              <w:tr2bl w:val="nil"/>
            </w:tcBorders>
            <w:noWrap w:val="0"/>
            <w:vAlign w:val="center"/>
          </w:tcPr>
          <w:p w14:paraId="5628EB3D">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ABADE">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167AF1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投标文件封面、投标函、法定代表人授权委托书三处的项目名称、项目编号、标段</w:t>
            </w:r>
          </w:p>
        </w:tc>
        <w:tc>
          <w:tcPr>
            <w:tcW w:w="4856" w:type="dxa"/>
            <w:tcBorders>
              <w:tl2br w:val="nil"/>
              <w:tr2bl w:val="nil"/>
            </w:tcBorders>
            <w:noWrap w:val="0"/>
            <w:vAlign w:val="center"/>
          </w:tcPr>
          <w:p w14:paraId="5C115C1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三处均无遗漏，且与所投项目名称、项目编号、标段完全一致。</w:t>
            </w:r>
          </w:p>
        </w:tc>
      </w:tr>
      <w:tr w14:paraId="46E550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5" w:hRule="atLeast"/>
        </w:trPr>
        <w:tc>
          <w:tcPr>
            <w:tcW w:w="841" w:type="dxa"/>
            <w:vMerge w:val="continue"/>
            <w:tcBorders>
              <w:tl2br w:val="nil"/>
              <w:tr2bl w:val="nil"/>
            </w:tcBorders>
            <w:noWrap w:val="0"/>
            <w:vAlign w:val="center"/>
          </w:tcPr>
          <w:p w14:paraId="5742BF6C">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9FADBF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6D8646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投标文件签署、盖章</w:t>
            </w:r>
          </w:p>
        </w:tc>
        <w:tc>
          <w:tcPr>
            <w:tcW w:w="4856" w:type="dxa"/>
            <w:tcBorders>
              <w:tl2br w:val="nil"/>
              <w:tr2bl w:val="nil"/>
            </w:tcBorders>
            <w:noWrap w:val="0"/>
            <w:vAlign w:val="center"/>
          </w:tcPr>
          <w:p w14:paraId="0E6E572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均按招标文件要求盖章 （评分标准中要求提供的证明材料除外）。</w:t>
            </w:r>
          </w:p>
        </w:tc>
      </w:tr>
      <w:tr w14:paraId="1C3990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0" w:hRule="atLeast"/>
        </w:trPr>
        <w:tc>
          <w:tcPr>
            <w:tcW w:w="841" w:type="dxa"/>
            <w:vMerge w:val="continue"/>
            <w:tcBorders>
              <w:tl2br w:val="nil"/>
              <w:tr2bl w:val="nil"/>
            </w:tcBorders>
            <w:noWrap w:val="0"/>
            <w:vAlign w:val="center"/>
          </w:tcPr>
          <w:p w14:paraId="3E84AA71">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21BC910F">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71DE77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投标文件组成</w:t>
            </w:r>
          </w:p>
        </w:tc>
        <w:tc>
          <w:tcPr>
            <w:tcW w:w="4856" w:type="dxa"/>
            <w:tcBorders>
              <w:tl2br w:val="nil"/>
              <w:tr2bl w:val="nil"/>
            </w:tcBorders>
            <w:noWrap w:val="0"/>
            <w:vAlign w:val="center"/>
          </w:tcPr>
          <w:p w14:paraId="51A892D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符合“</w:t>
            </w:r>
            <w:r>
              <w:rPr>
                <w:rFonts w:hint="eastAsia" w:ascii="宋体" w:hAnsi="宋体" w:eastAsia="宋体" w:cs="宋体"/>
                <w:color w:val="000000"/>
                <w:sz w:val="24"/>
                <w:szCs w:val="24"/>
              </w:rPr>
              <w:t>第七章 投标文件格式</w:t>
            </w:r>
            <w:r>
              <w:rPr>
                <w:rFonts w:hint="eastAsia" w:ascii="宋体" w:hAnsi="宋体" w:eastAsia="宋体" w:cs="宋体"/>
                <w:color w:val="000000"/>
                <w:sz w:val="24"/>
                <w:szCs w:val="24"/>
                <w:lang w:val="en-US" w:eastAsia="zh-CN"/>
              </w:rPr>
              <w:t>”。</w:t>
            </w:r>
          </w:p>
        </w:tc>
      </w:tr>
      <w:tr w14:paraId="510452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182A140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7B6E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228DB2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投标保证金的有效性</w:t>
            </w:r>
          </w:p>
        </w:tc>
        <w:tc>
          <w:tcPr>
            <w:tcW w:w="4856" w:type="dxa"/>
            <w:tcBorders>
              <w:tl2br w:val="nil"/>
              <w:tr2bl w:val="nil"/>
            </w:tcBorders>
            <w:noWrap w:val="0"/>
            <w:vAlign w:val="center"/>
          </w:tcPr>
          <w:p w14:paraId="1322EBB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以转账、网银等方式交纳的，保证金从</w:t>
            </w:r>
            <w:r>
              <w:rPr>
                <w:rFonts w:hint="eastAsia" w:ascii="宋体" w:hAnsi="宋体" w:eastAsia="宋体" w:cs="宋体"/>
                <w:color w:val="000000"/>
                <w:sz w:val="24"/>
                <w:szCs w:val="24"/>
                <w:lang w:val="en-US" w:eastAsia="zh-CN"/>
              </w:rPr>
              <w:t>本公司</w:t>
            </w:r>
            <w:r>
              <w:rPr>
                <w:rFonts w:hint="eastAsia" w:ascii="宋体" w:hAnsi="宋体" w:eastAsia="宋体" w:cs="宋体"/>
                <w:color w:val="000000"/>
                <w:sz w:val="24"/>
                <w:szCs w:val="24"/>
              </w:rPr>
              <w:t>账户足额交纳；</w:t>
            </w:r>
            <w:r>
              <w:rPr>
                <w:rFonts w:hint="eastAsia" w:ascii="宋体" w:hAnsi="宋体" w:eastAsia="宋体" w:cs="宋体"/>
                <w:color w:val="000000"/>
                <w:sz w:val="24"/>
                <w:szCs w:val="24"/>
                <w:lang w:val="en-US" w:eastAsia="zh-CN"/>
              </w:rPr>
              <w:t>或以</w:t>
            </w:r>
            <w:r>
              <w:rPr>
                <w:rFonts w:hint="eastAsia" w:ascii="宋体" w:hAnsi="宋体" w:eastAsia="宋体" w:cs="宋体"/>
                <w:color w:val="000000"/>
                <w:sz w:val="24"/>
                <w:szCs w:val="24"/>
              </w:rPr>
              <w:t>金融机构、担保机构出具的保函等非现金形式交纳。提交形式符合招标文件要求</w:t>
            </w:r>
          </w:p>
        </w:tc>
      </w:tr>
      <w:tr w14:paraId="2DA7BD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7A790FA6">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39C1E80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B1961C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开标一览表</w:t>
            </w:r>
          </w:p>
        </w:tc>
        <w:tc>
          <w:tcPr>
            <w:tcW w:w="4856" w:type="dxa"/>
            <w:tcBorders>
              <w:tl2br w:val="nil"/>
              <w:tr2bl w:val="nil"/>
            </w:tcBorders>
            <w:noWrap w:val="0"/>
            <w:vAlign w:val="center"/>
          </w:tcPr>
          <w:p w14:paraId="1874CB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（1）投标报价符合唯一性要求：</w:t>
            </w:r>
          </w:p>
          <w:p w14:paraId="489C5D1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（2）开标一览表填写符合要求；</w:t>
            </w:r>
          </w:p>
          <w:p w14:paraId="721A87B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（3）计量单位、报价货币均符合招标文件要求；</w:t>
            </w:r>
          </w:p>
          <w:p w14:paraId="281DA5D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（4）未超出采购预算或招标文件规定的最高限价。</w:t>
            </w:r>
          </w:p>
        </w:tc>
      </w:tr>
      <w:tr w14:paraId="779A6B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40" w:hRule="atLeast"/>
        </w:trPr>
        <w:tc>
          <w:tcPr>
            <w:tcW w:w="841" w:type="dxa"/>
            <w:vMerge w:val="continue"/>
            <w:tcBorders>
              <w:tl2br w:val="nil"/>
              <w:tr2bl w:val="nil"/>
            </w:tcBorders>
            <w:noWrap w:val="0"/>
            <w:vAlign w:val="center"/>
          </w:tcPr>
          <w:p w14:paraId="10EF922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91C7A21">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4F31780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技术/服务要求</w:t>
            </w:r>
          </w:p>
        </w:tc>
        <w:tc>
          <w:tcPr>
            <w:tcW w:w="4856" w:type="dxa"/>
            <w:tcBorders>
              <w:tl2br w:val="nil"/>
              <w:tr2bl w:val="nil"/>
            </w:tcBorders>
            <w:noWrap w:val="0"/>
            <w:vAlign w:val="center"/>
          </w:tcPr>
          <w:p w14:paraId="04A2FD1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完全理解并接受对合格投标人、合格的货物、工程或服务要求，技术/服务没有重大偏离和保留。</w:t>
            </w:r>
          </w:p>
        </w:tc>
      </w:tr>
      <w:tr w14:paraId="495F42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5BDF14F0">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505A5603">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9E9DC12">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工期、质保期</w:t>
            </w:r>
          </w:p>
        </w:tc>
        <w:tc>
          <w:tcPr>
            <w:tcW w:w="4856" w:type="dxa"/>
            <w:tcBorders>
              <w:tl2br w:val="nil"/>
              <w:tr2bl w:val="nil"/>
            </w:tcBorders>
            <w:noWrap w:val="0"/>
            <w:vAlign w:val="center"/>
          </w:tcPr>
          <w:p w14:paraId="410D6C83">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符合招标文件要求</w:t>
            </w:r>
            <w:r>
              <w:rPr>
                <w:rFonts w:hint="eastAsia" w:ascii="宋体" w:hAnsi="宋体" w:eastAsia="宋体" w:cs="宋体"/>
                <w:color w:val="000000"/>
                <w:sz w:val="24"/>
                <w:szCs w:val="24"/>
                <w:lang w:eastAsia="zh-CN"/>
              </w:rPr>
              <w:t>。</w:t>
            </w:r>
          </w:p>
        </w:tc>
      </w:tr>
      <w:tr w14:paraId="1EC37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1567D959">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05A7151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4DEE65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无其他招标文件或法规明确规定响应无效的事项</w:t>
            </w:r>
          </w:p>
        </w:tc>
        <w:tc>
          <w:tcPr>
            <w:tcW w:w="4856" w:type="dxa"/>
            <w:tcBorders>
              <w:tl2br w:val="nil"/>
              <w:tr2bl w:val="nil"/>
            </w:tcBorders>
            <w:noWrap w:val="0"/>
            <w:vAlign w:val="center"/>
          </w:tcPr>
          <w:p w14:paraId="4B55439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完全理解并接受对投标人的各项须知、规约要求和责任义务，没有不符合招标文件规定的被视为无效投标的其他条款。</w:t>
            </w:r>
          </w:p>
        </w:tc>
      </w:tr>
      <w:tr w14:paraId="4E81A9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3C8254E3">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73CC43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190E0A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856" w:type="dxa"/>
            <w:tcBorders>
              <w:tl2br w:val="nil"/>
              <w:tr2bl w:val="nil"/>
            </w:tcBorders>
            <w:noWrap w:val="0"/>
            <w:vAlign w:val="center"/>
          </w:tcPr>
          <w:p w14:paraId="2B7CD9A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符合第二章“投标人须知”第3.3.1项规定</w:t>
            </w:r>
          </w:p>
        </w:tc>
      </w:tr>
      <w:tr w14:paraId="733D2F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23" w:hRule="atLeast"/>
        </w:trPr>
        <w:tc>
          <w:tcPr>
            <w:tcW w:w="1560" w:type="dxa"/>
            <w:gridSpan w:val="2"/>
            <w:tcBorders>
              <w:tl2br w:val="nil"/>
              <w:tr2bl w:val="nil"/>
            </w:tcBorders>
            <w:noWrap w:val="0"/>
            <w:vAlign w:val="center"/>
          </w:tcPr>
          <w:p w14:paraId="2C82DE94">
            <w:pPr>
              <w:spacing w:line="360" w:lineRule="auto"/>
              <w:jc w:val="center"/>
              <w:rPr>
                <w:rFonts w:hint="eastAsia" w:ascii="宋体" w:hAnsi="宋体" w:eastAsia="宋体" w:cs="宋体"/>
                <w:b/>
                <w:color w:val="000000"/>
                <w:sz w:val="24"/>
                <w:szCs w:val="24"/>
              </w:rPr>
            </w:pPr>
            <w:bookmarkStart w:id="500" w:name="_Toc343511732"/>
            <w:r>
              <w:rPr>
                <w:rFonts w:hint="eastAsia" w:ascii="宋体" w:hAnsi="宋体" w:eastAsia="宋体" w:cs="宋体"/>
                <w:b/>
                <w:color w:val="000000"/>
                <w:sz w:val="24"/>
                <w:szCs w:val="24"/>
              </w:rPr>
              <w:t>条款号</w:t>
            </w:r>
            <w:bookmarkEnd w:id="500"/>
          </w:p>
        </w:tc>
        <w:tc>
          <w:tcPr>
            <w:tcW w:w="3224" w:type="dxa"/>
            <w:tcBorders>
              <w:tl2br w:val="nil"/>
              <w:tr2bl w:val="nil"/>
            </w:tcBorders>
            <w:noWrap w:val="0"/>
            <w:vAlign w:val="center"/>
          </w:tcPr>
          <w:p w14:paraId="47694F94">
            <w:pPr>
              <w:spacing w:line="360" w:lineRule="auto"/>
              <w:jc w:val="center"/>
              <w:rPr>
                <w:rFonts w:hint="eastAsia" w:ascii="宋体" w:hAnsi="宋体" w:eastAsia="宋体" w:cs="宋体"/>
                <w:color w:val="000000"/>
                <w:sz w:val="24"/>
                <w:szCs w:val="24"/>
              </w:rPr>
            </w:pPr>
            <w:bookmarkStart w:id="501" w:name="_Toc343511733"/>
            <w:r>
              <w:rPr>
                <w:rFonts w:hint="eastAsia" w:ascii="宋体" w:hAnsi="宋体" w:eastAsia="宋体" w:cs="宋体"/>
                <w:b/>
                <w:bCs/>
                <w:color w:val="000000"/>
                <w:sz w:val="24"/>
                <w:szCs w:val="24"/>
              </w:rPr>
              <w:t>条款内容</w:t>
            </w:r>
            <w:bookmarkEnd w:id="501"/>
          </w:p>
        </w:tc>
        <w:tc>
          <w:tcPr>
            <w:tcW w:w="4856" w:type="dxa"/>
            <w:tcBorders>
              <w:tl2br w:val="nil"/>
              <w:tr2bl w:val="nil"/>
            </w:tcBorders>
            <w:noWrap w:val="0"/>
            <w:vAlign w:val="center"/>
          </w:tcPr>
          <w:p w14:paraId="53D56FDA">
            <w:pPr>
              <w:spacing w:line="360" w:lineRule="auto"/>
              <w:rPr>
                <w:rFonts w:hint="eastAsia" w:ascii="宋体" w:hAnsi="宋体" w:eastAsia="宋体" w:cs="宋体"/>
                <w:b/>
                <w:color w:val="000000"/>
                <w:sz w:val="24"/>
                <w:szCs w:val="24"/>
              </w:rPr>
            </w:pPr>
            <w:bookmarkStart w:id="502" w:name="_Toc343511734"/>
            <w:r>
              <w:rPr>
                <w:rFonts w:hint="eastAsia" w:ascii="宋体" w:hAnsi="宋体" w:eastAsia="宋体" w:cs="宋体"/>
                <w:b/>
                <w:color w:val="000000"/>
                <w:sz w:val="24"/>
                <w:szCs w:val="24"/>
              </w:rPr>
              <w:t>编列内容</w:t>
            </w:r>
            <w:bookmarkEnd w:id="502"/>
          </w:p>
        </w:tc>
      </w:tr>
      <w:tr w14:paraId="1F5A1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83" w:hRule="atLeast"/>
        </w:trPr>
        <w:tc>
          <w:tcPr>
            <w:tcW w:w="1560" w:type="dxa"/>
            <w:gridSpan w:val="2"/>
            <w:tcBorders>
              <w:tl2br w:val="nil"/>
              <w:tr2bl w:val="nil"/>
            </w:tcBorders>
            <w:noWrap w:val="0"/>
            <w:vAlign w:val="center"/>
          </w:tcPr>
          <w:p w14:paraId="6DE89269">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3" w:name="_Toc343511735"/>
            <w:r>
              <w:rPr>
                <w:rFonts w:hint="eastAsia" w:ascii="宋体" w:hAnsi="宋体" w:eastAsia="宋体" w:cs="宋体"/>
                <w:color w:val="000000" w:themeColor="text1"/>
                <w:sz w:val="24"/>
                <w:szCs w:val="24"/>
                <w14:textFill>
                  <w14:solidFill>
                    <w14:schemeClr w14:val="tx1"/>
                  </w14:solidFill>
                </w14:textFill>
              </w:rPr>
              <w:t>2.2.1</w:t>
            </w:r>
            <w:bookmarkEnd w:id="503"/>
          </w:p>
        </w:tc>
        <w:tc>
          <w:tcPr>
            <w:tcW w:w="3224" w:type="dxa"/>
            <w:tcBorders>
              <w:tl2br w:val="nil"/>
              <w:tr2bl w:val="nil"/>
            </w:tcBorders>
            <w:noWrap w:val="0"/>
            <w:vAlign w:val="center"/>
          </w:tcPr>
          <w:p w14:paraId="754A0570">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4" w:name="_Toc343511736"/>
            <w:r>
              <w:rPr>
                <w:rFonts w:hint="eastAsia" w:ascii="宋体" w:hAnsi="宋体" w:eastAsia="宋体" w:cs="宋体"/>
                <w:color w:val="000000" w:themeColor="text1"/>
                <w:sz w:val="24"/>
                <w:szCs w:val="24"/>
                <w14:textFill>
                  <w14:solidFill>
                    <w14:schemeClr w14:val="tx1"/>
                  </w14:solidFill>
                </w14:textFill>
              </w:rPr>
              <w:t>分值构成</w:t>
            </w:r>
            <w:bookmarkEnd w:id="504"/>
          </w:p>
          <w:p w14:paraId="6363EECC">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5" w:name="_Toc343511737"/>
            <w:r>
              <w:rPr>
                <w:rFonts w:hint="eastAsia" w:ascii="宋体" w:hAnsi="宋体" w:eastAsia="宋体" w:cs="宋体"/>
                <w:color w:val="000000" w:themeColor="text1"/>
                <w:sz w:val="24"/>
                <w:szCs w:val="24"/>
                <w14:textFill>
                  <w14:solidFill>
                    <w14:schemeClr w14:val="tx1"/>
                  </w14:solidFill>
                </w14:textFill>
              </w:rPr>
              <w:t>(总分100分)</w:t>
            </w:r>
            <w:bookmarkEnd w:id="505"/>
          </w:p>
        </w:tc>
        <w:tc>
          <w:tcPr>
            <w:tcW w:w="4856" w:type="dxa"/>
            <w:tcBorders>
              <w:tl2br w:val="nil"/>
              <w:tr2bl w:val="nil"/>
            </w:tcBorders>
            <w:noWrap w:val="0"/>
            <w:vAlign w:val="center"/>
          </w:tcPr>
          <w:p w14:paraId="0EFC057F">
            <w:pPr>
              <w:spacing w:line="360" w:lineRule="auto"/>
              <w:rPr>
                <w:rFonts w:hint="eastAsia" w:ascii="宋体" w:hAnsi="宋体" w:eastAsia="宋体" w:cs="宋体"/>
                <w:color w:val="000000" w:themeColor="text1"/>
                <w:sz w:val="24"/>
                <w:szCs w:val="24"/>
                <w14:textFill>
                  <w14:solidFill>
                    <w14:schemeClr w14:val="tx1"/>
                  </w14:solidFill>
                </w14:textFill>
              </w:rPr>
            </w:pPr>
            <w:bookmarkStart w:id="506" w:name="_Toc343511739"/>
            <w:bookmarkStart w:id="507" w:name="_Toc343511738"/>
            <w:r>
              <w:rPr>
                <w:rFonts w:hint="eastAsia" w:ascii="宋体" w:hAnsi="宋体" w:eastAsia="宋体" w:cs="宋体"/>
                <w:color w:val="000000" w:themeColor="text1"/>
                <w:sz w:val="24"/>
                <w:szCs w:val="24"/>
                <w14:textFill>
                  <w14:solidFill>
                    <w14:schemeClr w14:val="tx1"/>
                  </w14:solidFill>
                </w14:textFill>
              </w:rPr>
              <w:t>1.投标报价评审：</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p w14:paraId="26897883">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2.技术部分评审：</w:t>
            </w:r>
            <w:r>
              <w:rPr>
                <w:rFonts w:hint="eastAsia" w:ascii="宋体" w:hAnsi="宋体" w:cs="宋体"/>
                <w:color w:val="000000" w:themeColor="text1"/>
                <w:sz w:val="24"/>
                <w:szCs w:val="24"/>
                <w:lang w:val="en-US" w:eastAsia="zh-CN"/>
                <w14:textFill>
                  <w14:solidFill>
                    <w14:schemeClr w14:val="tx1"/>
                  </w14:solidFill>
                </w14:textFill>
              </w:rPr>
              <w:t>57</w:t>
            </w:r>
            <w:r>
              <w:rPr>
                <w:rFonts w:hint="eastAsia" w:ascii="宋体" w:hAnsi="宋体" w:eastAsia="宋体" w:cs="宋体"/>
                <w:color w:val="000000" w:themeColor="text1"/>
                <w:sz w:val="24"/>
                <w:szCs w:val="24"/>
                <w14:textFill>
                  <w14:solidFill>
                    <w14:schemeClr w14:val="tx1"/>
                  </w14:solidFill>
                </w14:textFill>
              </w:rPr>
              <w:t>分</w:t>
            </w:r>
          </w:p>
          <w:p w14:paraId="01C120A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3.商务部分评审：</w:t>
            </w:r>
            <w:r>
              <w:rPr>
                <w:rFonts w:hint="eastAsia" w:ascii="宋体" w:hAnsi="宋体" w:cs="宋体"/>
                <w:color w:val="000000" w:themeColor="text1"/>
                <w:sz w:val="24"/>
                <w:szCs w:val="24"/>
                <w:lang w:val="en-US" w:eastAsia="zh-CN"/>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分</w:t>
            </w:r>
            <w:bookmarkEnd w:id="506"/>
            <w:bookmarkEnd w:id="507"/>
          </w:p>
        </w:tc>
      </w:tr>
    </w:tbl>
    <w:p w14:paraId="1322C5C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08" w:name="_Toc456197086"/>
      <w:bookmarkStart w:id="509" w:name="_Toc343511762"/>
      <w:bookmarkStart w:id="510" w:name="_Toc394320899"/>
      <w:bookmarkStart w:id="511" w:name="_Toc247085758"/>
      <w:bookmarkStart w:id="512" w:name="_Toc397585168"/>
      <w:bookmarkStart w:id="513" w:name="_Toc395711818"/>
      <w:bookmarkStart w:id="514" w:name="_Toc361406430"/>
      <w:bookmarkStart w:id="515" w:name="_Toc246996986"/>
      <w:bookmarkStart w:id="516" w:name="_Toc179632618"/>
      <w:bookmarkStart w:id="517" w:name="_Toc490171392"/>
      <w:bookmarkStart w:id="518" w:name="_Toc152045600"/>
      <w:bookmarkStart w:id="519" w:name="_Toc397585237"/>
      <w:bookmarkStart w:id="520" w:name="_Toc246996243"/>
      <w:bookmarkStart w:id="521" w:name="_Toc144974567"/>
      <w:bookmarkStart w:id="522" w:name="_Toc152042377"/>
      <w:bookmarkStart w:id="523" w:name="_Toc361406351"/>
      <w:bookmarkStart w:id="524" w:name="_Toc397410470"/>
      <w:bookmarkStart w:id="525" w:name="_Toc397410657"/>
      <w:bookmarkStart w:id="526" w:name="_Toc490171551"/>
      <w:r>
        <w:rPr>
          <w:rFonts w:hint="eastAsia" w:ascii="宋体" w:hAnsi="宋体" w:cs="宋体"/>
          <w:color w:val="000000" w:themeColor="text1"/>
          <w:sz w:val="24"/>
          <w:szCs w:val="24"/>
          <w:lang w:eastAsia="zh-CN"/>
          <w14:textFill>
            <w14:solidFill>
              <w14:schemeClr w14:val="tx1"/>
            </w14:solidFill>
          </w14:textFill>
        </w:rPr>
        <w:t>延安市公安局交通管理支队延安市中心城区停车引导系统建设项目（二次）</w:t>
      </w:r>
      <w:r>
        <w:rPr>
          <w:rFonts w:hint="eastAsia" w:ascii="宋体" w:hAnsi="宋体" w:eastAsia="宋体" w:cs="宋体"/>
          <w:color w:val="000000" w:themeColor="text1"/>
          <w:sz w:val="24"/>
          <w:szCs w:val="24"/>
          <w14:textFill>
            <w14:solidFill>
              <w14:schemeClr w14:val="tx1"/>
            </w14:solidFill>
          </w14:textFill>
        </w:rPr>
        <w:t>招标文件由陕西宸永项目管理有限公司根据采购人提出的采购要求和商务要求编制，经采购人审定后发售。</w:t>
      </w:r>
    </w:p>
    <w:p w14:paraId="7D75A79A">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 评标方法</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08668C8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27" w:name="_Toc343511763"/>
      <w:r>
        <w:rPr>
          <w:rFonts w:hint="eastAsia" w:ascii="宋体" w:hAnsi="宋体" w:eastAsia="宋体" w:cs="宋体"/>
          <w:color w:val="000000" w:themeColor="text1"/>
          <w:sz w:val="24"/>
          <w:szCs w:val="24"/>
          <w14:textFill>
            <w14:solidFill>
              <w14:schemeClr w14:val="tx1"/>
            </w14:solidFill>
          </w14:textFill>
        </w:rPr>
        <w:t>1.1评标原则</w:t>
      </w:r>
    </w:p>
    <w:p w14:paraId="62FE89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（1）公平、公正、科学、择优；</w:t>
      </w:r>
    </w:p>
    <w:p w14:paraId="11214A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合理、方案可行；</w:t>
      </w:r>
    </w:p>
    <w:p w14:paraId="5802DC6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（3）价格合理，且不低于成本价；</w:t>
      </w:r>
    </w:p>
    <w:p w14:paraId="03F9FE3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（4）禁止不正当竞争。</w:t>
      </w:r>
    </w:p>
    <w:p w14:paraId="630BDE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本次评标采用综合评分法。</w:t>
      </w:r>
    </w:p>
    <w:p w14:paraId="37E76A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评标委员会对满足招标文件实质性要求的投标文件，按照本章第2.2款规定的评分标准进行打分。</w:t>
      </w:r>
      <w:bookmarkEnd w:id="527"/>
      <w:r>
        <w:rPr>
          <w:rFonts w:hint="eastAsia" w:ascii="宋体" w:hAnsi="宋体" w:eastAsia="宋体" w:cs="宋体"/>
          <w:color w:val="000000" w:themeColor="text1"/>
          <w:sz w:val="24"/>
          <w:szCs w:val="24"/>
          <w14:textFill>
            <w14:solidFill>
              <w14:schemeClr w14:val="tx1"/>
            </w14:solidFill>
          </w14:textFill>
        </w:rPr>
        <w:t>评标委员会对投标人在投标文件中提出的质量、</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、投标价格、技术部分、商务部分等能否最大限度地满足招标文件的要求进行评审、赋分，向采购人推荐前三名中标候选投标人，标明排列顺序。</w:t>
      </w:r>
    </w:p>
    <w:p w14:paraId="4CE9F7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1.3在评标过程中，投标人对采购人和评标委员会施加影响的任何行为，都将导致其投标资格被取消。</w:t>
      </w:r>
    </w:p>
    <w:p w14:paraId="1B9ADDB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28" w:name="_Toc152045601"/>
      <w:bookmarkStart w:id="529" w:name="_Toc397585238"/>
      <w:bookmarkStart w:id="530" w:name="_Toc144974568"/>
      <w:bookmarkStart w:id="531" w:name="_Toc397585169"/>
      <w:bookmarkStart w:id="532" w:name="_Toc246996244"/>
      <w:bookmarkStart w:id="533" w:name="_Toc456197087"/>
      <w:bookmarkStart w:id="534" w:name="_Toc394320900"/>
      <w:bookmarkStart w:id="535" w:name="_Toc343511764"/>
      <w:bookmarkStart w:id="536" w:name="_Toc397410658"/>
      <w:bookmarkStart w:id="537" w:name="_Toc361406352"/>
      <w:bookmarkStart w:id="538" w:name="_Toc490171552"/>
      <w:bookmarkStart w:id="539" w:name="_Toc395711819"/>
      <w:bookmarkStart w:id="540" w:name="_Toc361406431"/>
      <w:bookmarkStart w:id="541" w:name="_Toc247085759"/>
      <w:bookmarkStart w:id="542" w:name="_Toc397410471"/>
      <w:bookmarkStart w:id="543" w:name="_Toc152042378"/>
      <w:bookmarkStart w:id="544" w:name="_Toc179632619"/>
      <w:bookmarkStart w:id="545" w:name="_Toc490171393"/>
      <w:bookmarkStart w:id="546" w:name="_Toc246996987"/>
      <w:r>
        <w:rPr>
          <w:rFonts w:hint="eastAsia" w:ascii="宋体" w:hAnsi="宋体" w:eastAsia="宋体" w:cs="宋体"/>
          <w:b/>
          <w:color w:val="000000" w:themeColor="text1"/>
          <w:sz w:val="24"/>
          <w:szCs w:val="24"/>
          <w14:textFill>
            <w14:solidFill>
              <w14:schemeClr w14:val="tx1"/>
            </w14:solidFill>
          </w14:textFill>
        </w:rPr>
        <w:t>2. 评审标准</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B80262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47" w:name="_Toc397585170"/>
      <w:bookmarkStart w:id="548" w:name="_Toc152045602"/>
      <w:bookmarkStart w:id="549" w:name="_Toc361406432"/>
      <w:bookmarkStart w:id="550" w:name="_Toc395711820"/>
      <w:bookmarkStart w:id="551" w:name="_Toc490171553"/>
      <w:bookmarkStart w:id="552" w:name="_Toc246996245"/>
      <w:bookmarkStart w:id="553" w:name="_Toc144974569"/>
      <w:bookmarkStart w:id="554" w:name="_Toc394320901"/>
      <w:bookmarkStart w:id="555" w:name="_Toc490171394"/>
      <w:bookmarkStart w:id="556" w:name="_Toc456197088"/>
      <w:bookmarkStart w:id="557" w:name="_Toc343511765"/>
      <w:bookmarkStart w:id="558" w:name="_Toc247085760"/>
      <w:bookmarkStart w:id="559" w:name="_Toc397585239"/>
      <w:bookmarkStart w:id="560" w:name="_Toc246996988"/>
      <w:bookmarkStart w:id="561" w:name="_Toc179632620"/>
      <w:bookmarkStart w:id="562" w:name="_Toc361406353"/>
      <w:bookmarkStart w:id="563" w:name="_Toc397410472"/>
      <w:bookmarkStart w:id="564" w:name="_Toc152042379"/>
      <w:bookmarkStart w:id="565" w:name="_Toc397410659"/>
      <w:r>
        <w:rPr>
          <w:rFonts w:hint="eastAsia" w:ascii="宋体" w:hAnsi="宋体" w:eastAsia="宋体" w:cs="宋体"/>
          <w:b/>
          <w:color w:val="000000" w:themeColor="text1"/>
          <w:sz w:val="24"/>
          <w:szCs w:val="24"/>
          <w14:textFill>
            <w14:solidFill>
              <w14:schemeClr w14:val="tx1"/>
            </w14:solidFill>
          </w14:textFill>
        </w:rPr>
        <w:t>2.1 初步评审标准</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CDEBE1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6" w:name="_Toc343511766"/>
      <w:r>
        <w:rPr>
          <w:rFonts w:hint="eastAsia" w:ascii="宋体" w:hAnsi="宋体" w:eastAsia="宋体" w:cs="宋体"/>
          <w:color w:val="000000" w:themeColor="text1"/>
          <w:sz w:val="24"/>
          <w:szCs w:val="24"/>
          <w14:textFill>
            <w14:solidFill>
              <w14:schemeClr w14:val="tx1"/>
            </w14:solidFill>
          </w14:textFill>
        </w:rPr>
        <w:t>2.1.1 形式评审标准：见评标办法前附表。</w:t>
      </w:r>
      <w:bookmarkEnd w:id="566"/>
    </w:p>
    <w:p w14:paraId="6FCFFB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7" w:name="_Toc343511767"/>
      <w:r>
        <w:rPr>
          <w:rFonts w:hint="eastAsia" w:ascii="宋体" w:hAnsi="宋体" w:eastAsia="宋体" w:cs="宋体"/>
          <w:color w:val="000000" w:themeColor="text1"/>
          <w:sz w:val="24"/>
          <w:szCs w:val="24"/>
          <w14:textFill>
            <w14:solidFill>
              <w14:schemeClr w14:val="tx1"/>
            </w14:solidFill>
          </w14:textFill>
        </w:rPr>
        <w:t>2.1.2</w:t>
      </w:r>
      <w:bookmarkEnd w:id="567"/>
      <w:bookmarkStart w:id="568" w:name="_Toc343511768"/>
      <w:r>
        <w:rPr>
          <w:rFonts w:hint="eastAsia" w:ascii="宋体" w:hAnsi="宋体" w:eastAsia="宋体" w:cs="宋体"/>
          <w:color w:val="000000" w:themeColor="text1"/>
          <w:sz w:val="24"/>
          <w:szCs w:val="24"/>
          <w14:textFill>
            <w14:solidFill>
              <w14:schemeClr w14:val="tx1"/>
            </w14:solidFill>
          </w14:textFill>
        </w:rPr>
        <w:t>响应性评审标准：见评标办法前附表。</w:t>
      </w:r>
      <w:bookmarkEnd w:id="568"/>
    </w:p>
    <w:p w14:paraId="039CE43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69" w:name="_Toc152045603"/>
      <w:bookmarkStart w:id="570" w:name="_Toc397410473"/>
      <w:bookmarkStart w:id="571" w:name="_Toc490171554"/>
      <w:bookmarkStart w:id="572" w:name="_Toc490171395"/>
      <w:bookmarkStart w:id="573" w:name="_Toc395711821"/>
      <w:bookmarkStart w:id="574" w:name="_Toc144974570"/>
      <w:bookmarkStart w:id="575" w:name="_Toc246996989"/>
      <w:bookmarkStart w:id="576" w:name="_Toc397585240"/>
      <w:bookmarkStart w:id="577" w:name="_Toc397585171"/>
      <w:bookmarkStart w:id="578" w:name="_Toc343511769"/>
      <w:bookmarkStart w:id="579" w:name="_Toc179632621"/>
      <w:bookmarkStart w:id="580" w:name="_Toc361406354"/>
      <w:bookmarkStart w:id="581" w:name="_Toc456197089"/>
      <w:bookmarkStart w:id="582" w:name="_Toc247085761"/>
      <w:bookmarkStart w:id="583" w:name="_Toc394320902"/>
      <w:bookmarkStart w:id="584" w:name="_Toc152042380"/>
      <w:bookmarkStart w:id="585" w:name="_Toc246996246"/>
      <w:bookmarkStart w:id="586" w:name="_Toc397410660"/>
      <w:bookmarkStart w:id="587" w:name="_Toc361406433"/>
      <w:r>
        <w:rPr>
          <w:rFonts w:hint="eastAsia" w:ascii="宋体" w:hAnsi="宋体" w:eastAsia="宋体" w:cs="宋体"/>
          <w:b/>
          <w:color w:val="000000" w:themeColor="text1"/>
          <w:sz w:val="24"/>
          <w:szCs w:val="24"/>
          <w14:textFill>
            <w14:solidFill>
              <w14:schemeClr w14:val="tx1"/>
            </w14:solidFill>
          </w14:textFill>
        </w:rPr>
        <w:t>2.2 分值构成与评分标准</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48E5546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88" w:name="_Toc343511770"/>
      <w:r>
        <w:rPr>
          <w:rFonts w:hint="eastAsia" w:ascii="宋体" w:hAnsi="宋体" w:eastAsia="宋体" w:cs="宋体"/>
          <w:color w:val="000000" w:themeColor="text1"/>
          <w:sz w:val="24"/>
          <w:szCs w:val="24"/>
          <w14:textFill>
            <w14:solidFill>
              <w14:schemeClr w14:val="tx1"/>
            </w14:solidFill>
          </w14:textFill>
        </w:rPr>
        <w:t>2.2.1 分值构成</w:t>
      </w:r>
      <w:bookmarkEnd w:id="588"/>
      <w:r>
        <w:rPr>
          <w:rFonts w:hint="eastAsia" w:ascii="宋体" w:hAnsi="宋体" w:eastAsia="宋体" w:cs="宋体"/>
          <w:color w:val="000000" w:themeColor="text1"/>
          <w:sz w:val="24"/>
          <w:szCs w:val="24"/>
          <w14:textFill>
            <w14:solidFill>
              <w14:schemeClr w14:val="tx1"/>
            </w14:solidFill>
          </w14:textFill>
        </w:rPr>
        <w:t>：见评标办法前附表。</w:t>
      </w:r>
    </w:p>
    <w:p w14:paraId="74D667D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89" w:name="_Toc490171555"/>
      <w:bookmarkStart w:id="590" w:name="_Toc397410474"/>
      <w:bookmarkStart w:id="591" w:name="_Toc246996990"/>
      <w:bookmarkStart w:id="592" w:name="_Toc456197090"/>
      <w:bookmarkStart w:id="593" w:name="_Toc152042381"/>
      <w:bookmarkStart w:id="594" w:name="_Toc394320903"/>
      <w:bookmarkStart w:id="595" w:name="_Toc490171396"/>
      <w:bookmarkStart w:id="596" w:name="_Toc397585172"/>
      <w:bookmarkStart w:id="597" w:name="_Toc361406434"/>
      <w:bookmarkStart w:id="598" w:name="_Toc247085762"/>
      <w:bookmarkStart w:id="599" w:name="_Toc179632622"/>
      <w:bookmarkStart w:id="600" w:name="_Toc152045604"/>
      <w:bookmarkStart w:id="601" w:name="_Toc246996247"/>
      <w:bookmarkStart w:id="602" w:name="_Toc144974571"/>
      <w:bookmarkStart w:id="603" w:name="_Toc343511776"/>
      <w:bookmarkStart w:id="604" w:name="_Toc361406355"/>
      <w:bookmarkStart w:id="605" w:name="_Toc395711822"/>
      <w:bookmarkStart w:id="606" w:name="_Toc397410661"/>
      <w:bookmarkStart w:id="607" w:name="_Toc397585241"/>
      <w:r>
        <w:rPr>
          <w:rFonts w:hint="eastAsia" w:ascii="宋体" w:hAnsi="宋体" w:eastAsia="宋体" w:cs="宋体"/>
          <w:b/>
          <w:color w:val="000000" w:themeColor="text1"/>
          <w:sz w:val="24"/>
          <w:szCs w:val="24"/>
          <w14:textFill>
            <w14:solidFill>
              <w14:schemeClr w14:val="tx1"/>
            </w14:solidFill>
          </w14:textFill>
        </w:rPr>
        <w:t>3. 评标程序</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5A3629E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08" w:name="_Toc246996248"/>
      <w:bookmarkStart w:id="609" w:name="_Toc490171397"/>
      <w:bookmarkStart w:id="610" w:name="_Toc361406435"/>
      <w:bookmarkStart w:id="611" w:name="_Toc397410475"/>
      <w:bookmarkStart w:id="612" w:name="_Toc152042382"/>
      <w:bookmarkStart w:id="613" w:name="_Toc397585242"/>
      <w:bookmarkStart w:id="614" w:name="_Toc152045605"/>
      <w:bookmarkStart w:id="615" w:name="_Toc456197091"/>
      <w:bookmarkStart w:id="616" w:name="_Toc246996991"/>
      <w:bookmarkStart w:id="617" w:name="_Toc179632623"/>
      <w:bookmarkStart w:id="618" w:name="_Toc144974572"/>
      <w:bookmarkStart w:id="619" w:name="_Toc397410662"/>
      <w:bookmarkStart w:id="620" w:name="_Toc490171556"/>
      <w:bookmarkStart w:id="621" w:name="_Toc397585173"/>
      <w:bookmarkStart w:id="622" w:name="_Toc343511777"/>
      <w:bookmarkStart w:id="623" w:name="_Toc247085763"/>
      <w:bookmarkStart w:id="624" w:name="_Toc394320904"/>
      <w:bookmarkStart w:id="625" w:name="_Toc395711823"/>
      <w:bookmarkStart w:id="626" w:name="_Toc361406356"/>
      <w:r>
        <w:rPr>
          <w:rFonts w:hint="eastAsia" w:ascii="宋体" w:hAnsi="宋体" w:eastAsia="宋体" w:cs="宋体"/>
          <w:b/>
          <w:color w:val="000000" w:themeColor="text1"/>
          <w:sz w:val="24"/>
          <w:szCs w:val="24"/>
          <w14:textFill>
            <w14:solidFill>
              <w14:schemeClr w14:val="tx1"/>
            </w14:solidFill>
          </w14:textFill>
        </w:rPr>
        <w:t>3.1 初步评审</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71F4C53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7" w:name="_Toc343511778"/>
      <w:r>
        <w:rPr>
          <w:rFonts w:hint="eastAsia" w:ascii="宋体" w:hAnsi="宋体" w:eastAsia="宋体" w:cs="宋体"/>
          <w:color w:val="000000" w:themeColor="text1"/>
          <w:sz w:val="24"/>
          <w:szCs w:val="24"/>
          <w14:textFill>
            <w14:solidFill>
              <w14:schemeClr w14:val="tx1"/>
            </w14:solidFill>
          </w14:textFill>
        </w:rPr>
        <w:t>3.1.1评标委员会依据本章第2.1款规定的标准对投标文件进行初步评审。有一项不符合评审标准的，评标委员会应当否决其投标。</w:t>
      </w:r>
      <w:bookmarkEnd w:id="627"/>
    </w:p>
    <w:p w14:paraId="4C95F2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8" w:name="_Toc343511779"/>
      <w:r>
        <w:rPr>
          <w:rFonts w:hint="eastAsia" w:ascii="宋体" w:hAnsi="宋体" w:eastAsia="宋体" w:cs="宋体"/>
          <w:color w:val="000000" w:themeColor="text1"/>
          <w:sz w:val="24"/>
          <w:szCs w:val="24"/>
          <w14:textFill>
            <w14:solidFill>
              <w14:schemeClr w14:val="tx1"/>
            </w14:solidFill>
          </w14:textFill>
        </w:rPr>
        <w:t>3.1.2 投标人有以下情形之一的，评标委员会应当否决其投标：</w:t>
      </w:r>
      <w:bookmarkEnd w:id="628"/>
    </w:p>
    <w:p w14:paraId="0ECF0D7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9" w:name="_Toc343511780"/>
      <w:r>
        <w:rPr>
          <w:rFonts w:hint="eastAsia" w:ascii="宋体" w:hAnsi="宋体" w:eastAsia="宋体" w:cs="宋体"/>
          <w:color w:val="000000" w:themeColor="text1"/>
          <w:sz w:val="24"/>
          <w:szCs w:val="24"/>
          <w14:textFill>
            <w14:solidFill>
              <w14:schemeClr w14:val="tx1"/>
            </w14:solidFill>
          </w14:textFill>
        </w:rPr>
        <w:t>（1）第二章“投标人须知”第1.4.2项、第1.4.3项规定的任何一种情形的；</w:t>
      </w:r>
      <w:bookmarkEnd w:id="629"/>
    </w:p>
    <w:p w14:paraId="34CD6B8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0" w:name="_Toc343511781"/>
      <w:r>
        <w:rPr>
          <w:rFonts w:hint="eastAsia" w:ascii="宋体" w:hAnsi="宋体" w:eastAsia="宋体" w:cs="宋体"/>
          <w:color w:val="000000" w:themeColor="text1"/>
          <w:sz w:val="24"/>
          <w:szCs w:val="24"/>
          <w14:textFill>
            <w14:solidFill>
              <w14:schemeClr w14:val="tx1"/>
            </w14:solidFill>
          </w14:textFill>
        </w:rPr>
        <w:t>（2）串通投标或弄虚作假或有其他违法行为的；</w:t>
      </w:r>
      <w:bookmarkEnd w:id="630"/>
    </w:p>
    <w:p w14:paraId="1675FEA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1" w:name="_Toc343511784"/>
      <w:r>
        <w:rPr>
          <w:rFonts w:hint="eastAsia" w:ascii="宋体" w:hAnsi="宋体" w:eastAsia="宋体" w:cs="宋体"/>
          <w:color w:val="000000" w:themeColor="text1"/>
          <w:sz w:val="24"/>
          <w:szCs w:val="24"/>
          <w14:textFill>
            <w14:solidFill>
              <w14:schemeClr w14:val="tx1"/>
            </w14:solidFill>
          </w14:textFill>
        </w:rPr>
        <w:t>（3）不按评标委员会要求澄清、说明或补正的。</w:t>
      </w:r>
      <w:bookmarkEnd w:id="631"/>
    </w:p>
    <w:p w14:paraId="224F5CE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3.1.3评标过程如需询标须有监管人员在场，询标不得改变投标文件的实质性内容，不得扣留和传播任何涉及投标人商业秘密的询标资料，询标结果以投标人确认的文字资料为准。</w:t>
      </w:r>
    </w:p>
    <w:p w14:paraId="2AFF5B4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32" w:name="_Toc490171557"/>
      <w:bookmarkStart w:id="633" w:name="_Toc490171398"/>
      <w:bookmarkStart w:id="634" w:name="_Toc246996992"/>
      <w:bookmarkStart w:id="635" w:name="_Toc144974573"/>
      <w:bookmarkStart w:id="636" w:name="_Toc246996249"/>
      <w:bookmarkStart w:id="637" w:name="_Toc397585174"/>
      <w:bookmarkStart w:id="638" w:name="_Toc361406357"/>
      <w:bookmarkStart w:id="639" w:name="_Toc343511788"/>
      <w:bookmarkStart w:id="640" w:name="_Toc361406436"/>
      <w:bookmarkStart w:id="641" w:name="_Toc397410476"/>
      <w:bookmarkStart w:id="642" w:name="_Toc179632624"/>
      <w:bookmarkStart w:id="643" w:name="_Toc152045606"/>
      <w:bookmarkStart w:id="644" w:name="_Toc152042384"/>
      <w:bookmarkStart w:id="645" w:name="_Toc247085764"/>
      <w:bookmarkStart w:id="646" w:name="_Toc395711824"/>
      <w:bookmarkStart w:id="647" w:name="_Toc397585243"/>
      <w:bookmarkStart w:id="648" w:name="_Toc397410663"/>
      <w:bookmarkStart w:id="649" w:name="_Toc394320905"/>
      <w:bookmarkStart w:id="650" w:name="_Toc456197092"/>
      <w:r>
        <w:rPr>
          <w:rFonts w:hint="eastAsia" w:ascii="宋体" w:hAnsi="宋体" w:eastAsia="宋体" w:cs="宋体"/>
          <w:b/>
          <w:color w:val="000000" w:themeColor="text1"/>
          <w:sz w:val="24"/>
          <w:szCs w:val="24"/>
          <w14:textFill>
            <w14:solidFill>
              <w14:schemeClr w14:val="tx1"/>
            </w14:solidFill>
          </w14:textFill>
        </w:rPr>
        <w:t>3.2 详细评审</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20268A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1" w:name="_Toc343511789"/>
      <w:r>
        <w:rPr>
          <w:rFonts w:hint="eastAsia" w:ascii="宋体" w:hAnsi="宋体" w:eastAsia="宋体" w:cs="宋体"/>
          <w:b/>
          <w:color w:val="000000" w:themeColor="text1"/>
          <w:sz w:val="24"/>
          <w:szCs w:val="24"/>
          <w14:textFill>
            <w14:solidFill>
              <w14:schemeClr w14:val="tx1"/>
            </w14:solidFill>
          </w14:textFill>
        </w:rPr>
        <w:t>3.2.1评审内容及步骤</w:t>
      </w:r>
      <w:bookmarkEnd w:id="651"/>
    </w:p>
    <w:p w14:paraId="5875ABFC">
      <w:pPr>
        <w:pStyle w:val="1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000000" w:themeColor="text1"/>
          <w:sz w:val="24"/>
          <w:szCs w:val="24"/>
          <w14:textFill>
            <w14:solidFill>
              <w14:schemeClr w14:val="tx1"/>
            </w14:solidFill>
          </w14:textFill>
        </w:rPr>
      </w:pPr>
      <w:bookmarkStart w:id="652" w:name="_Toc343511790"/>
      <w:r>
        <w:rPr>
          <w:rFonts w:hint="eastAsia" w:ascii="宋体" w:hAnsi="宋体" w:eastAsia="宋体" w:cs="宋体"/>
          <w:color w:val="000000" w:themeColor="text1"/>
          <w:sz w:val="24"/>
          <w:szCs w:val="24"/>
          <w14:textFill>
            <w14:solidFill>
              <w14:schemeClr w14:val="tx1"/>
            </w14:solidFill>
          </w14:textFill>
        </w:rPr>
        <w:t>评标前</w:t>
      </w:r>
      <w:r>
        <w:rPr>
          <w:rFonts w:hint="eastAsia"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需先对投标人投标文件中的资格证明文件进行资格</w:t>
      </w:r>
      <w:r>
        <w:rPr>
          <w:rFonts w:hint="eastAsia" w:cs="宋体"/>
          <w:color w:val="000000" w:themeColor="text1"/>
          <w:sz w:val="24"/>
          <w:szCs w:val="24"/>
          <w:lang w:val="en-US" w:eastAsia="zh-CN"/>
          <w14:textFill>
            <w14:solidFill>
              <w14:schemeClr w14:val="tx1"/>
            </w14:solidFill>
          </w14:textFill>
        </w:rPr>
        <w:t>性</w:t>
      </w:r>
      <w:r>
        <w:rPr>
          <w:rFonts w:hint="eastAsia" w:ascii="宋体" w:hAnsi="宋体" w:eastAsia="宋体" w:cs="宋体"/>
          <w:color w:val="000000" w:themeColor="text1"/>
          <w:sz w:val="24"/>
          <w:szCs w:val="24"/>
          <w14:textFill>
            <w14:solidFill>
              <w14:schemeClr w14:val="tx1"/>
            </w14:solidFill>
          </w14:textFill>
        </w:rPr>
        <w:t>审查，然后</w:t>
      </w:r>
      <w:r>
        <w:rPr>
          <w:rFonts w:hint="eastAsia" w:cs="宋体"/>
          <w:color w:val="000000" w:themeColor="text1"/>
          <w:sz w:val="24"/>
          <w:szCs w:val="24"/>
          <w:lang w:val="en-US" w:eastAsia="zh-CN"/>
          <w14:textFill>
            <w14:solidFill>
              <w14:schemeClr w14:val="tx1"/>
            </w14:solidFill>
          </w14:textFill>
        </w:rPr>
        <w:t>评标委员会</w:t>
      </w:r>
      <w:r>
        <w:rPr>
          <w:rFonts w:hint="eastAsia" w:ascii="宋体" w:hAnsi="宋体" w:eastAsia="宋体" w:cs="宋体"/>
          <w:color w:val="000000" w:themeColor="text1"/>
          <w:sz w:val="24"/>
          <w:szCs w:val="24"/>
          <w14:textFill>
            <w14:solidFill>
              <w14:schemeClr w14:val="tx1"/>
            </w14:solidFill>
          </w14:textFill>
        </w:rPr>
        <w:t>再对通过资格审查复核和符合性评审的投标人进行技术、商务部分的进行量化打分。</w:t>
      </w:r>
      <w:bookmarkEnd w:id="652"/>
    </w:p>
    <w:p w14:paraId="4D9614A7">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3" w:name="_Toc343511791"/>
      <w:r>
        <w:rPr>
          <w:rFonts w:hint="eastAsia" w:ascii="宋体" w:hAnsi="宋体" w:eastAsia="宋体" w:cs="宋体"/>
          <w:b/>
          <w:color w:val="000000" w:themeColor="text1"/>
          <w:sz w:val="24"/>
          <w:szCs w:val="24"/>
          <w14:textFill>
            <w14:solidFill>
              <w14:schemeClr w14:val="tx1"/>
            </w14:solidFill>
          </w14:textFill>
        </w:rPr>
        <w:t>3.2.2技术部分、商务部分的评审：</w:t>
      </w:r>
      <w:bookmarkEnd w:id="653"/>
    </w:p>
    <w:p w14:paraId="67763504">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bookmarkStart w:id="654" w:name="_Toc343511792"/>
      <w:r>
        <w:rPr>
          <w:rFonts w:hint="eastAsia" w:ascii="宋体" w:hAnsi="宋体" w:eastAsia="宋体" w:cs="宋体"/>
          <w:color w:val="000000" w:themeColor="text1"/>
          <w:sz w:val="24"/>
          <w:szCs w:val="24"/>
          <w14:textFill>
            <w14:solidFill>
              <w14:schemeClr w14:val="tx1"/>
            </w14:solidFill>
          </w14:textFill>
        </w:rPr>
        <w:t>评标委员会依据投标人提交的投标文件，对投标文件的技术部分和商务部分进行详细评审</w:t>
      </w:r>
      <w:bookmarkEnd w:id="654"/>
      <w:bookmarkStart w:id="655" w:name="_Toc343511793"/>
      <w:r>
        <w:rPr>
          <w:rFonts w:hint="eastAsia" w:ascii="宋体" w:hAnsi="宋体" w:eastAsia="宋体" w:cs="宋体"/>
          <w:color w:val="000000" w:themeColor="text1"/>
          <w:sz w:val="24"/>
          <w:szCs w:val="24"/>
          <w14:textFill>
            <w14:solidFill>
              <w14:schemeClr w14:val="tx1"/>
            </w14:solidFill>
          </w14:textFill>
        </w:rPr>
        <w:t>。与项目相关的一些要求任何一项有严重错误或漏项者，则视为不合格，不再参与评标，其他缺项漏项者得0分。</w:t>
      </w:r>
    </w:p>
    <w:p w14:paraId="6AFB5868">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评分细则如下：</w:t>
      </w:r>
    </w:p>
    <w:p w14:paraId="6AE5BA21">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评价和比较以投标文件为依据，从“投标价格”、“技术部分评审”、“商务部分评审”三个方面进行评审并按照百分制进行赋分。</w:t>
      </w:r>
    </w:p>
    <w:p w14:paraId="4017E982">
      <w:pPr>
        <w:rPr>
          <w:rFonts w:hint="eastAsia"/>
          <w:color w:val="000000" w:themeColor="text1"/>
          <w14:textFill>
            <w14:solidFill>
              <w14:schemeClr w14:val="tx1"/>
            </w14:solidFill>
          </w14:textFill>
        </w:rPr>
      </w:pPr>
    </w:p>
    <w:bookmarkEnd w:id="655"/>
    <w:tbl>
      <w:tblPr>
        <w:tblStyle w:val="35"/>
        <w:tblW w:w="0" w:type="auto"/>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1657"/>
        <w:gridCol w:w="1687"/>
        <w:gridCol w:w="5722"/>
      </w:tblGrid>
      <w:tr w14:paraId="42B7873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81" w:hRule="atLeast"/>
          <w:jc w:val="center"/>
        </w:trPr>
        <w:tc>
          <w:tcPr>
            <w:tcW w:w="1657" w:type="dxa"/>
            <w:tcBorders>
              <w:bottom w:val="single" w:color="auto" w:sz="4" w:space="0"/>
              <w:right w:val="single" w:color="auto" w:sz="4" w:space="0"/>
            </w:tcBorders>
            <w:noWrap w:val="0"/>
            <w:vAlign w:val="center"/>
          </w:tcPr>
          <w:p w14:paraId="182EEC3E">
            <w:pPr>
              <w:spacing w:line="480" w:lineRule="auto"/>
              <w:ind w:firstLine="420"/>
              <w:jc w:val="both"/>
              <w:rPr>
                <w:rFonts w:hint="eastAsia" w:ascii="宋体" w:hAnsi="宋体" w:eastAsia="宋体" w:cs="宋体"/>
                <w:color w:val="000000" w:themeColor="text1"/>
                <w:sz w:val="24"/>
                <w:szCs w:val="24"/>
                <w14:textFill>
                  <w14:solidFill>
                    <w14:schemeClr w14:val="tx1"/>
                  </w14:solidFill>
                </w14:textFill>
              </w:rPr>
            </w:pPr>
            <w:bookmarkStart w:id="656" w:name="_Toc343511818"/>
            <w:r>
              <w:rPr>
                <w:rFonts w:hint="eastAsia" w:ascii="宋体" w:hAnsi="宋体" w:eastAsia="宋体" w:cs="宋体"/>
                <w:color w:val="000000" w:themeColor="text1"/>
                <w:sz w:val="24"/>
                <w:szCs w:val="24"/>
                <w14:textFill>
                  <w14:solidFill>
                    <w14:schemeClr w14:val="tx1"/>
                  </w14:solidFill>
                </w14:textFill>
              </w:rPr>
              <w:t>类别</w:t>
            </w:r>
          </w:p>
        </w:tc>
        <w:tc>
          <w:tcPr>
            <w:tcW w:w="1687" w:type="dxa"/>
            <w:tcBorders>
              <w:left w:val="nil"/>
              <w:bottom w:val="single" w:color="auto" w:sz="4" w:space="0"/>
              <w:right w:val="single" w:color="auto" w:sz="4" w:space="0"/>
            </w:tcBorders>
            <w:noWrap w:val="0"/>
            <w:vAlign w:val="center"/>
          </w:tcPr>
          <w:p w14:paraId="6F7DE5FA">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评审因素及分值</w:t>
            </w:r>
          </w:p>
        </w:tc>
        <w:tc>
          <w:tcPr>
            <w:tcW w:w="5722" w:type="dxa"/>
            <w:tcBorders>
              <w:left w:val="nil"/>
              <w:bottom w:val="single" w:color="auto" w:sz="4" w:space="0"/>
            </w:tcBorders>
            <w:noWrap w:val="0"/>
            <w:vAlign w:val="center"/>
          </w:tcPr>
          <w:p w14:paraId="29F025CC">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w:t>
            </w:r>
          </w:p>
        </w:tc>
      </w:tr>
      <w:tr w14:paraId="5D28CC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576" w:hRule="atLeast"/>
          <w:jc w:val="center"/>
        </w:trPr>
        <w:tc>
          <w:tcPr>
            <w:tcW w:w="1657" w:type="dxa"/>
            <w:vMerge w:val="restart"/>
            <w:tcBorders>
              <w:right w:val="single" w:color="auto" w:sz="4" w:space="0"/>
            </w:tcBorders>
            <w:noWrap w:val="0"/>
            <w:vAlign w:val="center"/>
          </w:tcPr>
          <w:p w14:paraId="7C1907A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一、技术投标方案</w:t>
            </w:r>
          </w:p>
          <w:p w14:paraId="2B265DE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57</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16A5CFDA">
            <w:pPr>
              <w:spacing w:line="480" w:lineRule="auto"/>
              <w:ind w:firstLine="240" w:firstLineChars="100"/>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实施方案</w:t>
            </w:r>
          </w:p>
          <w:p w14:paraId="43FC4193">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00F2F8A7">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4011FBC4">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根据本项目实际需求及特点，制定实施方案，内容包含①项目实施技术方案②实施流程及进度计划③安装、调试</w:t>
            </w:r>
            <w:r>
              <w:rPr>
                <w:rFonts w:hint="eastAsia" w:ascii="宋体" w:hAnsi="宋体" w:cs="宋体"/>
                <w:color w:val="000000" w:themeColor="text1"/>
                <w:sz w:val="24"/>
                <w:szCs w:val="24"/>
                <w:lang w:val="en-US" w:eastAsia="zh-CN"/>
                <w14:textFill>
                  <w14:solidFill>
                    <w14:schemeClr w14:val="tx1"/>
                  </w14:solidFill>
                </w14:textFill>
              </w:rPr>
              <w:t>方案</w:t>
            </w:r>
            <w:r>
              <w:rPr>
                <w:rFonts w:hint="eastAsia" w:ascii="宋体" w:hAnsi="宋体" w:eastAsia="宋体" w:cs="宋体"/>
                <w:color w:val="000000" w:themeColor="text1"/>
                <w:sz w:val="24"/>
                <w:szCs w:val="24"/>
                <w:lang w:val="en-US" w:eastAsia="zh-CN"/>
                <w14:textFill>
                  <w14:solidFill>
                    <w14:schemeClr w14:val="tx1"/>
                  </w14:solidFill>
                </w14:textFill>
              </w:rPr>
              <w:t>④培训、验收方案⑤紧急响应方案等内容。</w:t>
            </w:r>
          </w:p>
          <w:p w14:paraId="2C5BD7F3">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32FFEA6">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349071C">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2C396CD6">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EA4C640">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①项目实施技术方案：每完全满足一个评审标准得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1F68FE27">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②实施流程及进度计划：每完全满足一个评审标准得1分，满分2分；</w:t>
            </w:r>
          </w:p>
          <w:p w14:paraId="684EB07C">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③安装、调试方案：每完全满足一个评审标准得1分，满分2分；</w:t>
            </w:r>
          </w:p>
          <w:p w14:paraId="254AD194">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④培训、验收方案：每完全满足一个评审标准得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13286C1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⑤紧急响应方案：每完全满足一个评审标准得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r>
      <w:tr w14:paraId="0C0F1B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0AD64F3D">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0B92190F">
            <w:pPr>
              <w:pStyle w:val="34"/>
              <w:keepNext w:val="0"/>
              <w:keepLines w:val="0"/>
              <w:pageBreakBefore w:val="0"/>
              <w:kinsoku/>
              <w:wordWrap/>
              <w:overflowPunct/>
              <w:topLinePunct w:val="0"/>
              <w:bidi w:val="0"/>
              <w:adjustRightInd/>
              <w:snapToGrid/>
              <w:spacing w:line="480" w:lineRule="auto"/>
              <w:ind w:left="0" w:leftChars="0"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技术要求</w:t>
            </w:r>
          </w:p>
          <w:p w14:paraId="576E4D16">
            <w:pPr>
              <w:pStyle w:val="34"/>
              <w:keepNext w:val="0"/>
              <w:keepLines w:val="0"/>
              <w:pageBreakBefore w:val="0"/>
              <w:kinsoku/>
              <w:wordWrap/>
              <w:overflowPunct/>
              <w:topLinePunct w:val="0"/>
              <w:bidi w:val="0"/>
              <w:adjustRightInd/>
              <w:snapToGrid/>
              <w:spacing w:line="480" w:lineRule="auto"/>
              <w:ind w:left="0" w:leftChars="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（满分</w:t>
            </w:r>
            <w:r>
              <w:rPr>
                <w:rFonts w:hint="eastAsia" w:cs="宋体"/>
                <w:color w:val="000000" w:themeColor="text1"/>
                <w:kern w:val="2"/>
                <w:sz w:val="24"/>
                <w:szCs w:val="24"/>
                <w:highlight w:val="none"/>
                <w:lang w:val="en-US" w:eastAsia="zh-CN" w:bidi="ar-SA"/>
                <w14:textFill>
                  <w14:solidFill>
                    <w14:schemeClr w14:val="tx1"/>
                  </w14:solidFill>
                </w14:textFill>
              </w:rPr>
              <w:t>30</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1AFE22B1">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1、技术参数明确配置齐全、功能满足招标文件要求，投标产品技术参数清楚、详尽、明确，产品选型、配置、符合使用要求，数量准确无缺漏项，</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标参数须按招标文件要求提供相关证明材料（提供省级及以上市场监管部门颁发的有效期内的检验检测机构出具的具有CMA或CNAS标识的检测报告），未提供相关证明材料不得分。其中：技术指标响应全部满足得</w:t>
            </w:r>
            <w:r>
              <w:rPr>
                <w:rFonts w:hint="eastAsia" w:ascii="宋体" w:hAnsi="宋体" w:cs="宋体"/>
                <w:b w:val="0"/>
                <w:bCs w:val="0"/>
                <w:color w:val="000000" w:themeColor="text1"/>
                <w:sz w:val="24"/>
                <w:szCs w:val="24"/>
                <w:lang w:val="en-US" w:eastAsia="zh-CN"/>
                <w14:textFill>
                  <w14:solidFill>
                    <w14:schemeClr w14:val="tx1"/>
                  </w14:solidFill>
                </w14:textFill>
              </w:rPr>
              <w:t>30</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标参数共计</w:t>
            </w:r>
            <w:r>
              <w:rPr>
                <w:rFonts w:hint="eastAsia" w:ascii="宋体" w:hAnsi="宋体" w:cs="宋体"/>
                <w:b w:val="0"/>
                <w:bCs w:val="0"/>
                <w:color w:val="000000" w:themeColor="text1"/>
                <w:sz w:val="24"/>
                <w:szCs w:val="24"/>
                <w:lang w:val="en-US" w:eastAsia="zh-CN"/>
                <w14:textFill>
                  <w14:solidFill>
                    <w14:schemeClr w14:val="tx1"/>
                  </w14:solidFill>
                </w14:textFill>
              </w:rPr>
              <w:t>12</w:t>
            </w:r>
            <w:r>
              <w:rPr>
                <w:rFonts w:hint="eastAsia" w:ascii="宋体" w:hAnsi="宋体" w:eastAsia="宋体" w:cs="宋体"/>
                <w:b w:val="0"/>
                <w:bCs w:val="0"/>
                <w:color w:val="000000" w:themeColor="text1"/>
                <w:sz w:val="24"/>
                <w:szCs w:val="24"/>
                <w:lang w:val="en-US" w:eastAsia="zh-CN"/>
                <w14:textFill>
                  <w14:solidFill>
                    <w14:schemeClr w14:val="tx1"/>
                  </w14:solidFill>
                </w14:textFill>
              </w:rPr>
              <w:t>条</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满分</w:t>
            </w:r>
            <w:r>
              <w:rPr>
                <w:rFonts w:hint="eastAsia" w:ascii="宋体" w:hAnsi="宋体" w:cs="宋体"/>
                <w:b w:val="0"/>
                <w:bCs w:val="0"/>
                <w:color w:val="000000" w:themeColor="text1"/>
                <w:sz w:val="24"/>
                <w:szCs w:val="24"/>
                <w:lang w:val="en-US" w:eastAsia="zh-CN"/>
                <w14:textFill>
                  <w14:solidFill>
                    <w14:schemeClr w14:val="tx1"/>
                  </w14:solidFill>
                </w14:textFill>
              </w:rPr>
              <w:t>24</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分，每出现一项负偏离扣</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分，扣完为止；其他未标符号参数，满分</w:t>
            </w:r>
            <w:r>
              <w:rPr>
                <w:rFonts w:hint="eastAsia" w:ascii="宋体" w:hAnsi="宋体" w:cs="宋体"/>
                <w:b w:val="0"/>
                <w:bCs w:val="0"/>
                <w:color w:val="000000" w:themeColor="text1"/>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分，每出现一项负偏离扣0.1分，扣完为止。</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tc>
      </w:tr>
      <w:tr w14:paraId="666035F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39323B37">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788580C5">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集成及定制开</w:t>
            </w:r>
            <w:r>
              <w:rPr>
                <w:rFonts w:hint="eastAsia" w:asciiTheme="minorEastAsia" w:hAnsiTheme="minorEastAsia" w:eastAsiaTheme="minorEastAsia" w:cstheme="minorEastAsia"/>
                <w:sz w:val="24"/>
                <w:szCs w:val="24"/>
                <w:highlight w:val="none"/>
                <w:lang w:val="en-US" w:eastAsia="zh-CN"/>
              </w:rPr>
              <w:t>发</w:t>
            </w:r>
            <w:r>
              <w:rPr>
                <w:rFonts w:hint="eastAsia" w:asciiTheme="minorEastAsia" w:hAnsiTheme="minorEastAsia" w:eastAsiaTheme="minorEastAsia" w:cstheme="minorEastAsia"/>
                <w:sz w:val="24"/>
                <w:szCs w:val="24"/>
                <w:highlight w:val="none"/>
              </w:rPr>
              <w:t>方案</w:t>
            </w:r>
          </w:p>
          <w:p w14:paraId="33B7E9CD">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rPr>
              <w:t>（满分</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分）</w:t>
            </w:r>
          </w:p>
        </w:tc>
        <w:tc>
          <w:tcPr>
            <w:tcW w:w="5722" w:type="dxa"/>
            <w:tcBorders>
              <w:top w:val="single" w:color="auto" w:sz="4" w:space="0"/>
              <w:left w:val="nil"/>
              <w:bottom w:val="single" w:color="auto" w:sz="4" w:space="0"/>
            </w:tcBorders>
            <w:noWrap w:val="0"/>
            <w:vAlign w:val="center"/>
          </w:tcPr>
          <w:p w14:paraId="239CA061">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734C3023">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针对本项目提供数字中台与本次建设软件系统的集成和定制开发方案，内容包含①城市停车诱导监管平台②信息发布管理平台③数据集成软件平台④交通综合管控平台。</w:t>
            </w:r>
          </w:p>
          <w:p w14:paraId="2B519947">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239F1112">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3D5DB2A4">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2F7D0FAC">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7D5883C5">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①城市停车诱导监管平台：每完全满足一个评审标准得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B74A139">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②信息发布管理平台：每完全满足一个评审标准得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26DF8EC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③数据集成软件平台：每完全满足一个评审标准得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22E3733B">
            <w:pPr>
              <w:spacing w:line="480" w:lineRule="auto"/>
              <w:ind w:firstLine="480" w:firstLineChars="200"/>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④交通综合管控平台：每完全满足一个评审标准得0.5分，满分1分；</w:t>
            </w:r>
          </w:p>
        </w:tc>
      </w:tr>
      <w:tr w14:paraId="48E8F92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18296DC6">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shd w:val="clear" w:color="auto" w:fill="auto"/>
            <w:noWrap w:val="0"/>
            <w:vAlign w:val="center"/>
          </w:tcPr>
          <w:p w14:paraId="719E2D63">
            <w:pPr>
              <w:spacing w:line="480" w:lineRule="auto"/>
              <w:ind w:firstLine="240" w:firstLineChars="100"/>
              <w:jc w:val="both"/>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涉密能力</w:t>
            </w:r>
          </w:p>
          <w:p w14:paraId="0E589EEB">
            <w:pPr>
              <w:spacing w:line="480" w:lineRule="auto"/>
              <w:jc w:val="both"/>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bCs/>
                <w:color w:val="000000" w:themeColor="text1"/>
                <w:sz w:val="24"/>
                <w:szCs w:val="24"/>
                <w:lang w:val="en-US" w:eastAsia="zh-CN"/>
                <w14:textFill>
                  <w14:solidFill>
                    <w14:schemeClr w14:val="tx1"/>
                  </w14:solidFill>
                </w14:textFill>
              </w:rPr>
              <w:t>满分5</w:t>
            </w:r>
            <w:r>
              <w:rPr>
                <w:rFonts w:hint="eastAsia" w:ascii="宋体" w:hAnsi="宋体" w:cs="宋体"/>
                <w:bCs/>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shd w:val="clear" w:color="auto" w:fill="auto"/>
            <w:noWrap w:val="0"/>
            <w:vAlign w:val="center"/>
          </w:tcPr>
          <w:p w14:paraId="29982F14">
            <w:pPr>
              <w:spacing w:line="480" w:lineRule="auto"/>
              <w:jc w:val="left"/>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项目数据涉及到与涉密网络交互，投标人或投标单位需具备涉密资质或涉密能力，涉密能力可提供市级及以上保密机要局</w:t>
            </w:r>
            <w:r>
              <w:rPr>
                <w:rFonts w:hint="eastAsia" w:ascii="宋体" w:hAnsi="宋体" w:cs="宋体"/>
                <w:bCs/>
                <w:color w:val="000000" w:themeColor="text1"/>
                <w:sz w:val="24"/>
                <w:szCs w:val="24"/>
                <w:lang w:val="en-US" w:eastAsia="zh-CN"/>
                <w14:textFill>
                  <w14:solidFill>
                    <w14:schemeClr w14:val="tx1"/>
                  </w14:solidFill>
                </w14:textFill>
              </w:rPr>
              <w:t>出具的</w:t>
            </w:r>
            <w:r>
              <w:rPr>
                <w:rFonts w:hint="eastAsia" w:ascii="宋体" w:hAnsi="宋体" w:cs="宋体"/>
                <w:bCs/>
                <w:color w:val="000000" w:themeColor="text1"/>
                <w:sz w:val="24"/>
                <w:szCs w:val="24"/>
                <w14:textFill>
                  <w14:solidFill>
                    <w14:schemeClr w14:val="tx1"/>
                  </w14:solidFill>
                </w14:textFill>
              </w:rPr>
              <w:t>证明材料，</w:t>
            </w:r>
            <w:r>
              <w:rPr>
                <w:rFonts w:hint="eastAsia" w:ascii="宋体" w:hAnsi="宋体" w:cs="宋体"/>
                <w:color w:val="000000" w:themeColor="text1"/>
                <w:sz w:val="24"/>
                <w:szCs w:val="24"/>
                <w14:textFill>
                  <w14:solidFill>
                    <w14:schemeClr w14:val="tx1"/>
                  </w14:solidFill>
                </w14:textFill>
              </w:rPr>
              <w:t>未提供相关证明材料不得分</w:t>
            </w:r>
            <w:r>
              <w:rPr>
                <w:rFonts w:hint="eastAsia" w:ascii="宋体" w:hAnsi="宋体" w:cs="宋体"/>
                <w:bCs/>
                <w:color w:val="000000" w:themeColor="text1"/>
                <w:sz w:val="24"/>
                <w:szCs w:val="24"/>
                <w14:textFill>
                  <w14:solidFill>
                    <w14:schemeClr w14:val="tx1"/>
                  </w14:solidFill>
                </w14:textFill>
              </w:rPr>
              <w:t>。</w:t>
            </w:r>
          </w:p>
        </w:tc>
      </w:tr>
      <w:tr w14:paraId="1BBF23C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3F7D755F">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1A1DDC37">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rPr>
              <w:t>自主知识产品（满分</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w:t>
            </w:r>
          </w:p>
        </w:tc>
        <w:tc>
          <w:tcPr>
            <w:tcW w:w="5722" w:type="dxa"/>
            <w:tcBorders>
              <w:top w:val="single" w:color="auto" w:sz="4" w:space="0"/>
              <w:left w:val="nil"/>
              <w:bottom w:val="single" w:color="auto" w:sz="4" w:space="0"/>
            </w:tcBorders>
            <w:noWrap w:val="0"/>
            <w:vAlign w:val="center"/>
          </w:tcPr>
          <w:p w14:paraId="2DEE392A">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投标人或软件厂家具有停车引导类相关专利或软件著作权的，每提供一份得</w:t>
            </w:r>
            <w:r>
              <w:rPr>
                <w:rFonts w:hint="eastAsia" w:ascii="宋体" w:hAnsi="宋体" w:cs="宋体"/>
                <w:b w:val="0"/>
                <w:bCs w:val="0"/>
                <w:color w:val="000000" w:themeColor="text1"/>
                <w:sz w:val="24"/>
                <w:szCs w:val="24"/>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分，最高得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tc>
      </w:tr>
      <w:tr w14:paraId="5EE3888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55D539D0">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502C73D7">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pacing w:val="3"/>
                <w:sz w:val="24"/>
                <w:szCs w:val="24"/>
                <w:lang w:val="en-US" w:eastAsia="zh-CN"/>
                <w14:textFill>
                  <w14:solidFill>
                    <w14:schemeClr w14:val="tx1"/>
                  </w14:solidFill>
                </w14:textFill>
              </w:rPr>
              <w:t>质量保证方案</w:t>
            </w:r>
          </w:p>
          <w:p w14:paraId="2AAFF57B">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6A2A5E58">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1、投标人提供核心产品的合法来源渠道证明文件，不提供不得分。以下资料提供任意一种： </w:t>
            </w:r>
          </w:p>
          <w:p w14:paraId="0F0B11B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如投标人为所投产品代理商：提供货物的合法来源渠道证明文件（例如：产品制造商授权、销售协议、代理协议等证明文件）及售后服务承诺函</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得</w:t>
            </w:r>
            <w:r>
              <w:rPr>
                <w:rFonts w:hint="eastAsia" w:ascii="宋体" w:hAnsi="宋体" w:cs="宋体"/>
                <w:b w:val="0"/>
                <w:bCs w:val="0"/>
                <w:color w:val="000000" w:themeColor="text1"/>
                <w:sz w:val="24"/>
                <w:szCs w:val="24"/>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 </w:t>
            </w:r>
          </w:p>
          <w:p w14:paraId="7F0BAD78">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如投标人为所投产品的制造商：需提供情况说明(说明某一项产品为制造商自己生产)</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得</w:t>
            </w:r>
            <w:r>
              <w:rPr>
                <w:rFonts w:hint="eastAsia" w:ascii="宋体" w:hAnsi="宋体" w:cs="宋体"/>
                <w:b w:val="0"/>
                <w:bCs w:val="0"/>
                <w:color w:val="000000" w:themeColor="text1"/>
                <w:sz w:val="24"/>
                <w:szCs w:val="24"/>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 </w:t>
            </w:r>
          </w:p>
          <w:p w14:paraId="34BF88D9">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备注：以加盖</w:t>
            </w:r>
            <w:r>
              <w:rPr>
                <w:rFonts w:hint="eastAsia" w:ascii="宋体" w:hAnsi="宋体" w:cs="宋体"/>
                <w:b/>
                <w:bCs/>
                <w:color w:val="000000" w:themeColor="text1"/>
                <w:sz w:val="24"/>
                <w:szCs w:val="24"/>
                <w:lang w:val="en-US" w:eastAsia="zh-CN"/>
                <w14:textFill>
                  <w14:solidFill>
                    <w14:schemeClr w14:val="tx1"/>
                  </w14:solidFill>
                </w14:textFill>
              </w:rPr>
              <w:t>制造商</w:t>
            </w:r>
            <w:r>
              <w:rPr>
                <w:rFonts w:hint="eastAsia" w:ascii="宋体" w:hAnsi="宋体" w:eastAsia="宋体" w:cs="宋体"/>
                <w:b/>
                <w:bCs/>
                <w:color w:val="000000" w:themeColor="text1"/>
                <w:sz w:val="24"/>
                <w:szCs w:val="24"/>
                <w:lang w:val="en-US" w:eastAsia="zh-CN"/>
                <w14:textFill>
                  <w14:solidFill>
                    <w14:schemeClr w14:val="tx1"/>
                  </w14:solidFill>
                </w14:textFill>
              </w:rPr>
              <w:t>公章的证明材料扫描件或复印件为计分依据</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p>
          <w:p w14:paraId="32298891">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2、根据项目实际需要，提供质量保证方案。</w:t>
            </w:r>
          </w:p>
          <w:p w14:paraId="2D5DE528">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3C384DE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方案内容包含①质量管理措施②质量保证方案（包括但不限于产品性能、使用寿命及效果）。</w:t>
            </w:r>
          </w:p>
          <w:p w14:paraId="73D8D505">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4425E52B">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1.完整性：切合本项目实际情况，方案内容齐全，有详细描述及其他内容的补充；</w:t>
            </w:r>
          </w:p>
          <w:p w14:paraId="7EEF9A4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2.科学性：切合本项目实际情况，叙述清楚，符合客观实际情况；</w:t>
            </w:r>
          </w:p>
          <w:p w14:paraId="280B39F0">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495F6953">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①质量管理措施：每完全满足一个评审标准得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p w14:paraId="33E165B7">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②质量保证方案：每完全满足一个评审标准得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tc>
      </w:tr>
      <w:tr w14:paraId="06D09C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60DB26EE">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47375E66">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运行维护方案</w:t>
            </w:r>
          </w:p>
          <w:p w14:paraId="1BC96DB3">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15C9432C">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FF0000"/>
                <w:sz w:val="24"/>
                <w:szCs w:val="24"/>
                <w:lang w:val="en-US" w:eastAsia="zh-CN"/>
              </w:rPr>
            </w:pPr>
          </w:p>
        </w:tc>
        <w:tc>
          <w:tcPr>
            <w:tcW w:w="5722" w:type="dxa"/>
            <w:tcBorders>
              <w:top w:val="single" w:color="auto" w:sz="4" w:space="0"/>
              <w:left w:val="nil"/>
              <w:bottom w:val="single" w:color="auto" w:sz="4" w:space="0"/>
            </w:tcBorders>
            <w:noWrap w:val="0"/>
            <w:vAlign w:val="center"/>
          </w:tcPr>
          <w:p w14:paraId="54F4B5AE">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410D58D7">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根据本项目实际需求及特点，制定运行维护方案，内容包含①系统运维方案②停电、故障处理方案③售后服务保障方案④属地化运行服务能力等内容。</w:t>
            </w:r>
          </w:p>
          <w:p w14:paraId="51EB4CC2">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6001A1A2">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025833A2">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3B144A27">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63B376A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①系统运维方案：每完全满足一个评审标准得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4E58370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②停电、故障处理方案：每完全满足一个评审标准得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55C68290">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③售后服务保障方案：每完全满足一个评审标准得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73DFBCDC">
            <w:pPr>
              <w:spacing w:line="480" w:lineRule="auto"/>
              <w:ind w:firstLine="480" w:firstLineChars="20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属地化运行服务能力：在延安市设立服务机构，如已具备条件需提供服务机构设立证明文件（提供办公场地产权或租赁合同复印件）及提供服务机构人员配置情况，如未具备则需投标人提供设立服务机构及人员配置计划，并承诺中标后按提交的计划进行配置，</w:t>
            </w:r>
            <w:r>
              <w:rPr>
                <w:rFonts w:hint="eastAsia" w:ascii="宋体" w:hAnsi="宋体" w:cs="宋体"/>
                <w:color w:val="000000" w:themeColor="text1"/>
                <w:sz w:val="24"/>
                <w:szCs w:val="24"/>
                <w:highlight w:val="none"/>
                <w:lang w:val="en-US" w:eastAsia="zh-CN"/>
                <w14:textFill>
                  <w14:solidFill>
                    <w14:schemeClr w14:val="tx1"/>
                  </w14:solidFill>
                </w14:textFill>
              </w:rPr>
              <w:t>满足要求得1分，否则不计分。</w:t>
            </w:r>
          </w:p>
        </w:tc>
      </w:tr>
      <w:tr w14:paraId="63E7F7C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restart"/>
            <w:tcBorders>
              <w:top w:val="single" w:color="auto" w:sz="4" w:space="0"/>
              <w:right w:val="single" w:color="auto" w:sz="4" w:space="0"/>
            </w:tcBorders>
            <w:noWrap w:val="0"/>
            <w:vAlign w:val="center"/>
          </w:tcPr>
          <w:p w14:paraId="4E60D2BA">
            <w:pPr>
              <w:numPr>
                <w:ilvl w:val="0"/>
                <w:numId w:val="5"/>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商务投标方案</w:t>
            </w:r>
          </w:p>
          <w:p w14:paraId="7063920C">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right w:val="single" w:color="auto" w:sz="4" w:space="0"/>
            </w:tcBorders>
            <w:noWrap w:val="0"/>
            <w:vAlign w:val="center"/>
          </w:tcPr>
          <w:p w14:paraId="0996801B">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业绩证明</w:t>
            </w:r>
          </w:p>
          <w:p w14:paraId="6AB3393E">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5F0ABF2A">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投标人提供2023年6月1日及以后具有类似项目的业绩，投标文件中附有说明其业绩证明材料（以合同或中标通知书为准），每个业绩计</w:t>
            </w:r>
            <w:r>
              <w:rPr>
                <w:rFonts w:hint="eastAsia" w:ascii="宋体" w:hAnsi="宋体"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lang w:val="en-US" w:eastAsia="zh-CN"/>
                <w14:textFill>
                  <w14:solidFill>
                    <w14:schemeClr w14:val="tx1"/>
                  </w14:solidFill>
                </w14:textFill>
              </w:rPr>
              <w:t>分，最高</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629EBB28">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上述业绩的合同或中标通知书复印件加盖单位公章附在投标文件中。</w:t>
            </w:r>
          </w:p>
        </w:tc>
      </w:tr>
      <w:tr w14:paraId="7029351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continue"/>
            <w:tcBorders>
              <w:right w:val="single" w:color="auto" w:sz="4" w:space="0"/>
            </w:tcBorders>
            <w:noWrap w:val="0"/>
            <w:vAlign w:val="center"/>
          </w:tcPr>
          <w:p w14:paraId="6C8D0A51">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right w:val="single" w:color="auto" w:sz="4" w:space="0"/>
            </w:tcBorders>
            <w:noWrap w:val="0"/>
            <w:vAlign w:val="center"/>
          </w:tcPr>
          <w:p w14:paraId="31B4BE82">
            <w:pPr>
              <w:spacing w:line="48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政策分及</w:t>
            </w:r>
            <w:r>
              <w:rPr>
                <w:rFonts w:hint="eastAsia" w:ascii="宋体" w:hAnsi="宋体" w:eastAsia="宋体" w:cs="宋体"/>
                <w:color w:val="000000" w:themeColor="text1"/>
                <w:sz w:val="24"/>
                <w:szCs w:val="24"/>
                <w:lang w:val="en-US" w:eastAsia="zh-CN"/>
                <w14:textFill>
                  <w14:solidFill>
                    <w14:schemeClr w14:val="tx1"/>
                  </w14:solidFill>
                </w14:textFill>
              </w:rPr>
              <w:t>网络安全产品认证</w:t>
            </w:r>
          </w:p>
          <w:p w14:paraId="2C1AA9F3">
            <w:pPr>
              <w:spacing w:line="480" w:lineRule="auto"/>
              <w:jc w:val="cente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（满分2分）</w:t>
            </w:r>
          </w:p>
        </w:tc>
        <w:tc>
          <w:tcPr>
            <w:tcW w:w="5722" w:type="dxa"/>
            <w:tcBorders>
              <w:top w:val="single" w:color="auto" w:sz="4" w:space="0"/>
              <w:left w:val="nil"/>
              <w:bottom w:val="single" w:color="auto" w:sz="4" w:space="0"/>
            </w:tcBorders>
            <w:noWrap w:val="0"/>
            <w:vAlign w:val="center"/>
          </w:tcPr>
          <w:p w14:paraId="5DC3AA38">
            <w:pPr>
              <w:spacing w:line="480" w:lineRule="auto"/>
              <w:ind w:firstLine="420"/>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1、内容管控：</w:t>
            </w:r>
            <w:r>
              <w:rPr>
                <w:rFonts w:hint="eastAsia" w:ascii="宋体" w:hAnsi="宋体" w:eastAsia="宋体" w:cs="宋体"/>
                <w:color w:val="000000" w:themeColor="text1"/>
                <w:sz w:val="24"/>
                <w:szCs w:val="24"/>
                <w:lang w:val="en-US" w:eastAsia="zh-CN"/>
                <w14:textFill>
                  <w14:solidFill>
                    <w14:schemeClr w14:val="tx1"/>
                  </w14:solidFill>
                </w14:textFill>
              </w:rPr>
              <w:t>具备网络安全产品认证证书</w:t>
            </w:r>
            <w:r>
              <w:rPr>
                <w:rFonts w:hint="eastAsia" w:ascii="宋体" w:hAnsi="宋体" w:cs="宋体"/>
                <w:color w:val="000000" w:themeColor="text1"/>
                <w:sz w:val="24"/>
                <w:szCs w:val="24"/>
                <w:lang w:val="en-US" w:eastAsia="zh-CN"/>
                <w14:textFill>
                  <w14:solidFill>
                    <w14:schemeClr w14:val="tx1"/>
                  </w14:solidFill>
                </w14:textFill>
              </w:rPr>
              <w:t>得1分，未提供不得分；</w:t>
            </w:r>
          </w:p>
          <w:p w14:paraId="091CF055">
            <w:pPr>
              <w:spacing w:line="480" w:lineRule="auto"/>
              <w:ind w:firstLine="42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2、内容管控：投标人</w:t>
            </w:r>
            <w:r>
              <w:rPr>
                <w:rFonts w:hint="eastAsia" w:ascii="宋体" w:hAnsi="宋体" w:eastAsia="宋体" w:cs="宋体"/>
                <w:color w:val="000000" w:themeColor="text1"/>
                <w:sz w:val="24"/>
                <w:szCs w:val="24"/>
                <w:lang w:val="en-US" w:eastAsia="zh-CN"/>
                <w14:textFill>
                  <w14:solidFill>
                    <w14:schemeClr w14:val="tx1"/>
                  </w14:solidFill>
                </w14:textFill>
              </w:rPr>
              <w:t>提供由国家确定的认证机构出具的、处于有效期之内的节能产品认证证书的原件扫描件或“全国认证认可信息公共服务平台”（http://cx.cnca.cn）的认证信息截图，</w:t>
            </w:r>
            <w:r>
              <w:rPr>
                <w:rFonts w:hint="eastAsia" w:ascii="宋体" w:hAnsi="宋体" w:cs="宋体"/>
                <w:color w:val="000000" w:themeColor="text1"/>
                <w:sz w:val="24"/>
                <w:szCs w:val="24"/>
                <w:lang w:val="en-US" w:eastAsia="zh-CN"/>
                <w14:textFill>
                  <w14:solidFill>
                    <w14:schemeClr w14:val="tx1"/>
                  </w14:solidFill>
                </w14:textFill>
              </w:rPr>
              <w:t>提供相关证明材料得1分，未提供不得分。</w:t>
            </w:r>
          </w:p>
        </w:tc>
      </w:tr>
      <w:tr w14:paraId="442A9CD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continue"/>
            <w:tcBorders>
              <w:right w:val="single" w:color="auto" w:sz="4" w:space="0"/>
            </w:tcBorders>
            <w:noWrap w:val="0"/>
            <w:vAlign w:val="center"/>
          </w:tcPr>
          <w:p w14:paraId="47EC5196">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right w:val="single" w:color="auto" w:sz="4" w:space="0"/>
            </w:tcBorders>
            <w:noWrap w:val="0"/>
            <w:vAlign w:val="center"/>
          </w:tcPr>
          <w:p w14:paraId="04131CEE">
            <w:pPr>
              <w:spacing w:line="48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服务团队</w:t>
            </w:r>
          </w:p>
          <w:p w14:paraId="4857D711">
            <w:pPr>
              <w:spacing w:line="48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6A61DF40">
            <w:pPr>
              <w:pStyle w:val="92"/>
              <w:numPr>
                <w:ilvl w:val="0"/>
                <w:numId w:val="0"/>
              </w:numPr>
              <w:spacing w:line="480" w:lineRule="auto"/>
              <w:ind w:left="0" w:leftChars="0" w:firstLine="0" w:firstLineChars="0"/>
              <w:rPr>
                <w:rFonts w:ascii="宋体" w:hAnsi="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项目实施期间应派出至少5名现场技术工程师协助平台的接入（提供承诺函并加盖公章）。少于5人不得分，5人得1分，超过5人每增加1名得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cs="宋体"/>
                <w:color w:val="000000" w:themeColor="text1"/>
                <w:sz w:val="24"/>
                <w:szCs w:val="24"/>
                <w:highlight w:val="none"/>
                <w14:textFill>
                  <w14:solidFill>
                    <w14:schemeClr w14:val="tx1"/>
                  </w14:solidFill>
                </w14:textFill>
              </w:rPr>
              <w:t>分，本项最高</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分。</w:t>
            </w:r>
          </w:p>
          <w:p w14:paraId="095D589A">
            <w:pPr>
              <w:pStyle w:val="92"/>
              <w:numPr>
                <w:ilvl w:val="0"/>
                <w:numId w:val="0"/>
              </w:numPr>
              <w:spacing w:line="480" w:lineRule="auto"/>
              <w:ind w:left="0" w:leftChars="0" w:firstLine="0" w:firstLineChars="0"/>
              <w:rPr>
                <w:rFonts w:hint="eastAsia" w:ascii="宋体" w:hAnsi="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（2）项目负责人具有计算机</w:t>
            </w:r>
            <w:r>
              <w:rPr>
                <w:rFonts w:hint="eastAsia" w:ascii="宋体" w:hAnsi="宋体" w:cs="宋体"/>
                <w:color w:val="000000" w:themeColor="text1"/>
                <w:sz w:val="24"/>
                <w:szCs w:val="24"/>
                <w:highlight w:val="none"/>
                <w:lang w:val="en-US" w:eastAsia="zh-CN"/>
                <w14:textFill>
                  <w14:solidFill>
                    <w14:schemeClr w14:val="tx1"/>
                  </w14:solidFill>
                </w14:textFill>
              </w:rPr>
              <w:t>类或电子信息工程类</w:t>
            </w:r>
            <w:r>
              <w:rPr>
                <w:rFonts w:hint="default" w:ascii="宋体" w:hAnsi="宋体" w:cs="宋体"/>
                <w:color w:val="000000" w:themeColor="text1"/>
                <w:sz w:val="24"/>
                <w:szCs w:val="24"/>
                <w:highlight w:val="none"/>
                <w:lang w:val="en-US" w:eastAsia="zh-CN"/>
                <w14:textFill>
                  <w14:solidFill>
                    <w14:schemeClr w14:val="tx1"/>
                  </w14:solidFill>
                </w14:textFill>
              </w:rPr>
              <w:t>相关专业高级工程师职称</w:t>
            </w:r>
            <w:r>
              <w:rPr>
                <w:rFonts w:hint="eastAsia" w:ascii="宋体" w:hAnsi="宋体" w:cs="宋体"/>
                <w:color w:val="000000" w:themeColor="text1"/>
                <w:sz w:val="24"/>
                <w:szCs w:val="24"/>
                <w:highlight w:val="none"/>
                <w:lang w:val="en-US" w:eastAsia="zh-CN"/>
                <w14:textFill>
                  <w14:solidFill>
                    <w14:schemeClr w14:val="tx1"/>
                  </w14:solidFill>
                </w14:textFill>
              </w:rPr>
              <w:t>得2</w:t>
            </w:r>
            <w:r>
              <w:rPr>
                <w:rFonts w:hint="default"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default" w:ascii="宋体" w:hAnsi="宋体" w:cs="宋体"/>
                <w:color w:val="000000" w:themeColor="text1"/>
                <w:sz w:val="24"/>
                <w:szCs w:val="24"/>
                <w:highlight w:val="none"/>
                <w:lang w:val="en-US" w:eastAsia="zh-CN"/>
                <w14:textFill>
                  <w14:solidFill>
                    <w14:schemeClr w14:val="tx1"/>
                  </w14:solidFill>
                </w14:textFill>
              </w:rPr>
              <w:t>中级工程师</w:t>
            </w:r>
            <w:r>
              <w:rPr>
                <w:rFonts w:hint="eastAsia" w:ascii="宋体" w:hAnsi="宋体" w:cs="宋体"/>
                <w:color w:val="000000" w:themeColor="text1"/>
                <w:sz w:val="24"/>
                <w:szCs w:val="24"/>
                <w:highlight w:val="none"/>
                <w:lang w:val="en-US" w:eastAsia="zh-CN"/>
                <w14:textFill>
                  <w14:solidFill>
                    <w14:schemeClr w14:val="tx1"/>
                  </w14:solidFill>
                </w14:textFill>
              </w:rPr>
              <w:t>得1</w:t>
            </w:r>
            <w:r>
              <w:rPr>
                <w:rFonts w:hint="default" w:ascii="宋体" w:hAnsi="宋体" w:cs="宋体"/>
                <w:color w:val="000000" w:themeColor="text1"/>
                <w:sz w:val="24"/>
                <w:szCs w:val="24"/>
                <w:highlight w:val="none"/>
                <w:lang w:val="en-US" w:eastAsia="zh-CN"/>
                <w14:textFill>
                  <w14:solidFill>
                    <w14:schemeClr w14:val="tx1"/>
                  </w14:solidFill>
                </w14:textFill>
              </w:rPr>
              <w:t>分，其他不计分。</w:t>
            </w:r>
          </w:p>
          <w:p w14:paraId="046359A2">
            <w:pPr>
              <w:pStyle w:val="92"/>
              <w:numPr>
                <w:ilvl w:val="0"/>
                <w:numId w:val="0"/>
              </w:numPr>
              <w:spacing w:line="480" w:lineRule="auto"/>
              <w:ind w:left="0" w:leftChars="0" w:firstLine="0" w:firstLineChars="0"/>
              <w:rPr>
                <w:rFonts w:ascii="宋体" w:hAnsi="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项目团队</w:t>
            </w:r>
            <w:r>
              <w:rPr>
                <w:rFonts w:hint="eastAsia" w:ascii="宋体" w:hAnsi="宋体" w:cs="宋体"/>
                <w:color w:val="000000" w:themeColor="text1"/>
                <w:sz w:val="24"/>
                <w:szCs w:val="24"/>
                <w:highlight w:val="none"/>
                <w:lang w:val="en-US" w:eastAsia="zh-CN"/>
                <w14:textFill>
                  <w14:solidFill>
                    <w14:schemeClr w14:val="tx1"/>
                  </w14:solidFill>
                </w14:textFill>
              </w:rPr>
              <w:t>成员</w:t>
            </w:r>
            <w:r>
              <w:rPr>
                <w:rFonts w:hint="eastAsia" w:ascii="宋体" w:hAnsi="宋体" w:cs="宋体"/>
                <w:color w:val="000000" w:themeColor="text1"/>
                <w:sz w:val="24"/>
                <w:szCs w:val="24"/>
                <w:highlight w:val="none"/>
                <w14:textFill>
                  <w14:solidFill>
                    <w14:schemeClr w14:val="tx1"/>
                  </w14:solidFill>
                </w14:textFill>
              </w:rPr>
              <w:t>中具有系统架构设计师、</w:t>
            </w:r>
            <w:r>
              <w:rPr>
                <w:rFonts w:hint="eastAsia" w:ascii="宋体" w:hAnsi="宋体" w:cs="宋体"/>
                <w:color w:val="000000" w:themeColor="text1"/>
                <w:sz w:val="24"/>
                <w:szCs w:val="24"/>
                <w:highlight w:val="none"/>
                <w:lang w:val="zh-CN"/>
                <w14:textFill>
                  <w14:solidFill>
                    <w14:schemeClr w14:val="tx1"/>
                  </w14:solidFill>
                </w14:textFill>
              </w:rPr>
              <w:t>网络工程师、信息安全工程师、系统集成项目管理师、软件设计师</w:t>
            </w:r>
            <w:r>
              <w:rPr>
                <w:rFonts w:hint="eastAsia" w:ascii="宋体" w:hAnsi="宋体" w:cs="宋体"/>
                <w:color w:val="000000" w:themeColor="text1"/>
                <w:sz w:val="24"/>
                <w:szCs w:val="24"/>
                <w:highlight w:val="none"/>
                <w14:textFill>
                  <w14:solidFill>
                    <w14:schemeClr w14:val="tx1"/>
                  </w14:solidFill>
                </w14:textFill>
              </w:rPr>
              <w:t>等相关资格</w:t>
            </w:r>
            <w:r>
              <w:rPr>
                <w:rFonts w:hint="eastAsia" w:ascii="宋体" w:hAnsi="宋体" w:cs="宋体"/>
                <w:color w:val="000000" w:themeColor="text1"/>
                <w:sz w:val="24"/>
                <w:szCs w:val="24"/>
                <w:highlight w:val="none"/>
                <w:lang w:val="en-US" w:eastAsia="zh-CN"/>
                <w14:textFill>
                  <w14:solidFill>
                    <w14:schemeClr w14:val="tx1"/>
                  </w14:solidFill>
                </w14:textFill>
              </w:rPr>
              <w:t>证书</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每</w:t>
            </w:r>
            <w:r>
              <w:rPr>
                <w:rFonts w:hint="eastAsia" w:ascii="宋体" w:hAnsi="宋体" w:cs="宋体"/>
                <w:color w:val="000000" w:themeColor="text1"/>
                <w:sz w:val="24"/>
                <w:szCs w:val="24"/>
                <w:highlight w:val="none"/>
                <w14:textFill>
                  <w14:solidFill>
                    <w14:schemeClr w14:val="tx1"/>
                  </w14:solidFill>
                </w14:textFill>
              </w:rPr>
              <w:t xml:space="preserve">提供 1 个得 </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 xml:space="preserve"> 分，</w:t>
            </w:r>
            <w:r>
              <w:rPr>
                <w:rFonts w:hint="eastAsia" w:ascii="宋体" w:hAnsi="宋体" w:cs="宋体"/>
                <w:color w:val="000000" w:themeColor="text1"/>
                <w:sz w:val="24"/>
                <w:szCs w:val="24"/>
                <w:highlight w:val="none"/>
                <w:lang w:val="en-US" w:eastAsia="zh-CN"/>
                <w14:textFill>
                  <w14:solidFill>
                    <w14:schemeClr w14:val="tx1"/>
                  </w14:solidFill>
                </w14:textFill>
              </w:rPr>
              <w:t>本项最高</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未提供</w:t>
            </w:r>
            <w:r>
              <w:rPr>
                <w:rFonts w:hint="eastAsia" w:ascii="宋体" w:hAnsi="宋体" w:cs="宋体"/>
                <w:color w:val="000000" w:themeColor="text1"/>
                <w:sz w:val="24"/>
                <w:szCs w:val="24"/>
                <w:highlight w:val="none"/>
                <w14:textFill>
                  <w14:solidFill>
                    <w14:schemeClr w14:val="tx1"/>
                  </w14:solidFill>
                </w14:textFill>
              </w:rPr>
              <w:t>不得分。</w:t>
            </w:r>
          </w:p>
          <w:p w14:paraId="7B46388A">
            <w:pPr>
              <w:spacing w:line="480" w:lineRule="auto"/>
              <w:ind w:firstLine="42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以上人员需提供身份证复印件、相关证书复印件及在本单位任职的相关证明资料复印件（如劳动合同或</w:t>
            </w:r>
            <w:r>
              <w:rPr>
                <w:rFonts w:hint="eastAsia" w:ascii="宋体" w:hAnsi="宋体" w:cs="宋体"/>
                <w:b/>
                <w:bCs/>
                <w:color w:val="000000" w:themeColor="text1"/>
                <w:sz w:val="24"/>
                <w:szCs w:val="24"/>
                <w:highlight w:val="none"/>
                <w:lang w:val="en-US" w:eastAsia="zh-CN"/>
                <w14:textFill>
                  <w14:solidFill>
                    <w14:schemeClr w14:val="tx1"/>
                  </w14:solidFill>
                </w14:textFill>
              </w:rPr>
              <w:t>近一年至少一个月的</w:t>
            </w:r>
            <w:r>
              <w:rPr>
                <w:rFonts w:hint="eastAsia" w:ascii="宋体" w:hAnsi="宋体" w:cs="宋体"/>
                <w:b/>
                <w:bCs/>
                <w:color w:val="000000" w:themeColor="text1"/>
                <w:sz w:val="24"/>
                <w:szCs w:val="24"/>
                <w:highlight w:val="none"/>
                <w14:textFill>
                  <w14:solidFill>
                    <w14:schemeClr w14:val="tx1"/>
                  </w14:solidFill>
                </w14:textFill>
              </w:rPr>
              <w:t>社保</w:t>
            </w:r>
            <w:r>
              <w:rPr>
                <w:rFonts w:hint="eastAsia" w:ascii="宋体" w:hAnsi="宋体" w:cs="宋体"/>
                <w:b/>
                <w:bCs/>
                <w:color w:val="000000" w:themeColor="text1"/>
                <w:sz w:val="24"/>
                <w:szCs w:val="24"/>
                <w:highlight w:val="none"/>
                <w:lang w:val="en-US" w:eastAsia="zh-CN"/>
                <w14:textFill>
                  <w14:solidFill>
                    <w14:schemeClr w14:val="tx1"/>
                  </w14:solidFill>
                </w14:textFill>
              </w:rPr>
              <w:t>证明</w:t>
            </w:r>
            <w:r>
              <w:rPr>
                <w:rFonts w:hint="eastAsia" w:ascii="宋体" w:hAnsi="宋体" w:cs="宋体"/>
                <w:b/>
                <w:bCs/>
                <w:color w:val="000000" w:themeColor="text1"/>
                <w:sz w:val="24"/>
                <w:szCs w:val="24"/>
                <w:highlight w:val="none"/>
                <w14:textFill>
                  <w14:solidFill>
                    <w14:schemeClr w14:val="tx1"/>
                  </w14:solidFill>
                </w14:textFill>
              </w:rPr>
              <w:t>等），加盖公章，以上人员不重复计分。</w:t>
            </w:r>
          </w:p>
        </w:tc>
      </w:tr>
      <w:tr w14:paraId="67F71F5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17" w:hRule="atLeast"/>
          <w:jc w:val="center"/>
        </w:trPr>
        <w:tc>
          <w:tcPr>
            <w:tcW w:w="1657" w:type="dxa"/>
            <w:tcBorders>
              <w:top w:val="single" w:color="auto" w:sz="4" w:space="0"/>
              <w:right w:val="single" w:color="auto" w:sz="4" w:space="0"/>
            </w:tcBorders>
            <w:noWrap w:val="0"/>
            <w:vAlign w:val="center"/>
          </w:tcPr>
          <w:p w14:paraId="44A9F45B">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投标报价</w:t>
            </w:r>
          </w:p>
          <w:p w14:paraId="276BE639">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right w:val="single" w:color="auto" w:sz="4" w:space="0"/>
            </w:tcBorders>
            <w:noWrap w:val="0"/>
            <w:vAlign w:val="center"/>
          </w:tcPr>
          <w:p w14:paraId="12947E91">
            <w:pPr>
              <w:spacing w:line="48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lang w:val="en-US" w:eastAsia="zh-CN"/>
                <w14:textFill>
                  <w14:solidFill>
                    <w14:schemeClr w14:val="tx1"/>
                  </w14:solidFill>
                </w14:textFill>
              </w:rPr>
              <w:t>报价</w:t>
            </w:r>
          </w:p>
          <w:p w14:paraId="362C1C60">
            <w:pPr>
              <w:spacing w:line="48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（满分30分）</w:t>
            </w:r>
          </w:p>
        </w:tc>
        <w:tc>
          <w:tcPr>
            <w:tcW w:w="5722" w:type="dxa"/>
            <w:tcBorders>
              <w:top w:val="single" w:color="auto" w:sz="4" w:space="0"/>
              <w:left w:val="nil"/>
            </w:tcBorders>
            <w:noWrap w:val="0"/>
            <w:vAlign w:val="center"/>
          </w:tcPr>
          <w:p w14:paraId="48ED8CE2">
            <w:pPr>
              <w:spacing w:line="48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1、满足招标文件要求且投标报价最低的投标报价为评标基准价，其价格分为满分。但最低报价并非唯一的中标评判因素。</w:t>
            </w:r>
          </w:p>
          <w:p w14:paraId="23BA296B">
            <w:pPr>
              <w:spacing w:line="480" w:lineRule="auto"/>
              <w:ind w:firstLine="480" w:firstLineChars="200"/>
              <w:jc w:val="left"/>
              <w:rPr>
                <w:rFonts w:hint="default"/>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2、其他投标人的价格分统一按照下列公式计算：投标报价得分＝（评标基准价/投标报价）×30。</w:t>
            </w:r>
          </w:p>
        </w:tc>
      </w:tr>
    </w:tbl>
    <w:p w14:paraId="6E2E2579">
      <w:pPr>
        <w:pStyle w:val="118"/>
        <w:jc w:val="left"/>
        <w:outlineLvl w:val="3"/>
        <w:rPr>
          <w:rFonts w:hint="eastAsia" w:asciiTheme="minorEastAsia" w:hAnsiTheme="minorEastAsia" w:eastAsiaTheme="minorEastAsia" w:cstheme="minorEastAsia"/>
          <w:b/>
          <w:sz w:val="24"/>
          <w:szCs w:val="24"/>
        </w:rPr>
      </w:pPr>
    </w:p>
    <w:p w14:paraId="23387B3D">
      <w:pPr>
        <w:pStyle w:val="118"/>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价格扣除</w:t>
      </w:r>
    </w:p>
    <w:tbl>
      <w:tblPr>
        <w:tblStyle w:val="35"/>
        <w:tblW w:w="0" w:type="auto"/>
        <w:tblInd w:w="-13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6"/>
        <w:gridCol w:w="1191"/>
        <w:gridCol w:w="2005"/>
        <w:gridCol w:w="1115"/>
        <w:gridCol w:w="2750"/>
        <w:gridCol w:w="1485"/>
      </w:tblGrid>
      <w:tr w14:paraId="7485B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1" w:hRule="atLeast"/>
        </w:trPr>
        <w:tc>
          <w:tcPr>
            <w:tcW w:w="716" w:type="dxa"/>
            <w:vAlign w:val="center"/>
          </w:tcPr>
          <w:p w14:paraId="7241FA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1191" w:type="dxa"/>
            <w:vAlign w:val="center"/>
          </w:tcPr>
          <w:p w14:paraId="2F07CD28">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2005" w:type="dxa"/>
            <w:vAlign w:val="center"/>
          </w:tcPr>
          <w:p w14:paraId="5164743D">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适用情形</w:t>
            </w:r>
          </w:p>
        </w:tc>
        <w:tc>
          <w:tcPr>
            <w:tcW w:w="1115" w:type="dxa"/>
            <w:vAlign w:val="center"/>
          </w:tcPr>
          <w:p w14:paraId="1495771A">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扣除比例</w:t>
            </w:r>
          </w:p>
        </w:tc>
        <w:tc>
          <w:tcPr>
            <w:tcW w:w="2750" w:type="dxa"/>
            <w:vAlign w:val="center"/>
          </w:tcPr>
          <w:p w14:paraId="7F9FABD9">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1485" w:type="dxa"/>
            <w:vAlign w:val="center"/>
          </w:tcPr>
          <w:p w14:paraId="7094111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A8DD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5A8A57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1191" w:type="dxa"/>
          </w:tcPr>
          <w:p w14:paraId="5AFAD7E5">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实施本国产品标准</w:t>
            </w:r>
          </w:p>
        </w:tc>
        <w:tc>
          <w:tcPr>
            <w:tcW w:w="2005" w:type="dxa"/>
          </w:tcPr>
          <w:p w14:paraId="52689081">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pacing w:val="-2"/>
                <w:sz w:val="22"/>
                <w:szCs w:val="22"/>
                <w:lang w:eastAsia="zh-CN"/>
                <w14:textFill>
                  <w14:solidFill>
                    <w14:schemeClr w14:val="tx1"/>
                  </w14:solidFill>
                </w14:textFill>
              </w:rPr>
              <w:t>。</w:t>
            </w:r>
          </w:p>
        </w:tc>
        <w:tc>
          <w:tcPr>
            <w:tcW w:w="1115" w:type="dxa"/>
          </w:tcPr>
          <w:p w14:paraId="54684168">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20.00%</w:t>
            </w:r>
          </w:p>
        </w:tc>
        <w:tc>
          <w:tcPr>
            <w:tcW w:w="2750" w:type="dxa"/>
          </w:tcPr>
          <w:p w14:paraId="7660F56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c>
          <w:tcPr>
            <w:tcW w:w="1485" w:type="dxa"/>
          </w:tcPr>
          <w:p w14:paraId="04392E3A">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提供《关于符合本国产品标准的声明函》或财政部会同有关部门规定的有关证明文件，该产品视为本国产品。</w:t>
            </w:r>
          </w:p>
        </w:tc>
      </w:tr>
      <w:tr w14:paraId="06B1E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1634722C">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1191" w:type="dxa"/>
          </w:tcPr>
          <w:p w14:paraId="10D46626">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落实支持中小企业发展政策</w:t>
            </w:r>
          </w:p>
        </w:tc>
        <w:tc>
          <w:tcPr>
            <w:tcW w:w="2005" w:type="dxa"/>
          </w:tcPr>
          <w:p w14:paraId="131FF62C">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根据《政府采购促进中小企业发展管理办法》的通知（财库〔2020〕46号）、《财政部关于进一步加大政府采购支持中小企业力度的通知》（财库〔2022〕19号）规定的小微企业报价给予扣除，用扣除后的价格参加评审。</w:t>
            </w:r>
          </w:p>
        </w:tc>
        <w:tc>
          <w:tcPr>
            <w:tcW w:w="1115" w:type="dxa"/>
          </w:tcPr>
          <w:p w14:paraId="1613EAA0">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10%</w:t>
            </w:r>
          </w:p>
        </w:tc>
        <w:tc>
          <w:tcPr>
            <w:tcW w:w="2750" w:type="dxa"/>
          </w:tcPr>
          <w:p w14:paraId="06E40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监狱企业与残疾人福利性单位视同小型、微型企业，享受同等价格扣除，当企业属性重复时，不重复价格扣除。</w:t>
            </w:r>
          </w:p>
        </w:tc>
        <w:tc>
          <w:tcPr>
            <w:tcW w:w="1485" w:type="dxa"/>
          </w:tcPr>
          <w:p w14:paraId="6D268013">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中小企业声明函，残疾人福利性单位声明函，监狱企业的证明文件。</w:t>
            </w:r>
          </w:p>
        </w:tc>
      </w:tr>
    </w:tbl>
    <w:p w14:paraId="1799DEE8">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注：根据相关规定，对适用本国产品标准的采购包，既有本国产品又有非本国产品参与竞争的，依法对本国产品给予价格评审优惠；仅有本国产品参与竞争的政府采购项目，本国产品不享受价格扣除评审优惠。</w:t>
      </w:r>
    </w:p>
    <w:p w14:paraId="39A0B557">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投标人可同时享受落实支持中小企业发展政策和实施本国产品标准价格评审优惠，相关价格评审扣除均应在投标人原始报价基础上计算，用扣除后的价格参与评审。</w:t>
      </w:r>
    </w:p>
    <w:p w14:paraId="33E325FA">
      <w:pPr>
        <w:pStyle w:val="95"/>
        <w:keepNext w:val="0"/>
        <w:keepLines w:val="0"/>
        <w:pageBreakBefore w:val="0"/>
        <w:widowControl w:val="0"/>
        <w:kinsoku/>
        <w:wordWrap/>
        <w:overflowPunct/>
        <w:topLinePunct w:val="0"/>
        <w:autoSpaceDE/>
        <w:autoSpaceDN/>
        <w:bidi w:val="0"/>
        <w:adjustRightInd/>
        <w:snapToGrid/>
        <w:spacing w:line="360" w:lineRule="auto"/>
        <w:ind w:right="0" w:firstLine="474" w:firstLineChars="200"/>
        <w:jc w:val="both"/>
        <w:textAlignment w:val="auto"/>
        <w:rPr>
          <w:rFonts w:hint="eastAsia" w:ascii="宋体" w:hAnsi="宋体" w:eastAsia="宋体" w:cs="宋体"/>
          <w:b/>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优先采购产品评审细则</w:t>
      </w:r>
    </w:p>
    <w:tbl>
      <w:tblPr>
        <w:tblStyle w:val="3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2"/>
        <w:gridCol w:w="2396"/>
        <w:gridCol w:w="3066"/>
        <w:gridCol w:w="2451"/>
      </w:tblGrid>
      <w:tr w14:paraId="624D9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2" w:hRule="atLeast"/>
        </w:trPr>
        <w:tc>
          <w:tcPr>
            <w:tcW w:w="822" w:type="dxa"/>
            <w:vAlign w:val="center"/>
          </w:tcPr>
          <w:p w14:paraId="7442B5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2396" w:type="dxa"/>
            <w:vAlign w:val="center"/>
          </w:tcPr>
          <w:p w14:paraId="7E9FEBB8">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3066" w:type="dxa"/>
            <w:vAlign w:val="center"/>
          </w:tcPr>
          <w:p w14:paraId="4174B68E">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both"/>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2451" w:type="dxa"/>
            <w:vAlign w:val="center"/>
          </w:tcPr>
          <w:p w14:paraId="0A410F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C3BC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1FD7ADF">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2396" w:type="dxa"/>
            <w:vAlign w:val="center"/>
          </w:tcPr>
          <w:p w14:paraId="678EA1E5">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优先采购环境标志产品</w:t>
            </w:r>
          </w:p>
        </w:tc>
        <w:tc>
          <w:tcPr>
            <w:tcW w:w="3066" w:type="dxa"/>
          </w:tcPr>
          <w:p w14:paraId="597FF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w:t>
            </w:r>
          </w:p>
        </w:tc>
        <w:tc>
          <w:tcPr>
            <w:tcW w:w="2451" w:type="dxa"/>
            <w:vAlign w:val="center"/>
          </w:tcPr>
          <w:p w14:paraId="1FFE2EE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r w14:paraId="7AF82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033B9356">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2396" w:type="dxa"/>
            <w:vAlign w:val="center"/>
          </w:tcPr>
          <w:p w14:paraId="5484BDA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优先采购节能产品</w:t>
            </w:r>
          </w:p>
        </w:tc>
        <w:tc>
          <w:tcPr>
            <w:tcW w:w="3066" w:type="dxa"/>
          </w:tcPr>
          <w:p w14:paraId="74FB647E">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w:t>
            </w:r>
            <w:r>
              <w:rPr>
                <w:rFonts w:hint="eastAsia" w:ascii="宋体" w:hAnsi="宋体" w:eastAsia="宋体" w:cs="宋体"/>
                <w:color w:val="000000" w:themeColor="text1"/>
                <w:spacing w:val="-2"/>
                <w:sz w:val="22"/>
                <w:szCs w:val="22"/>
                <w:lang w:val="en-US" w:eastAsia="zh-CN"/>
                <w14:textFill>
                  <w14:solidFill>
                    <w14:schemeClr w14:val="tx1"/>
                  </w14:solidFill>
                </w14:textFill>
              </w:rPr>
              <w:t>节能产品政府采购品目清单</w:t>
            </w:r>
            <w:r>
              <w:rPr>
                <w:rFonts w:hint="eastAsia" w:ascii="宋体" w:hAnsi="宋体" w:eastAsia="宋体" w:cs="宋体"/>
                <w:color w:val="000000" w:themeColor="text1"/>
                <w:spacing w:val="-2"/>
                <w:sz w:val="22"/>
                <w:szCs w:val="22"/>
                <w14:textFill>
                  <w14:solidFill>
                    <w14:schemeClr w14:val="tx1"/>
                  </w14:solidFill>
                </w14:textFill>
              </w:rPr>
              <w:t>》中的产品，投标人提供由国家确定的认证机构出具的、处于有效期之内的</w:t>
            </w:r>
            <w:r>
              <w:rPr>
                <w:rFonts w:hint="eastAsia" w:ascii="宋体" w:hAnsi="宋体" w:eastAsia="宋体" w:cs="宋体"/>
                <w:color w:val="000000" w:themeColor="text1"/>
                <w:spacing w:val="-2"/>
                <w:sz w:val="22"/>
                <w:szCs w:val="22"/>
                <w:lang w:val="en-US" w:eastAsia="zh-CN"/>
                <w14:textFill>
                  <w14:solidFill>
                    <w14:schemeClr w14:val="tx1"/>
                  </w14:solidFill>
                </w14:textFill>
              </w:rPr>
              <w:t>节能</w:t>
            </w:r>
            <w:r>
              <w:rPr>
                <w:rFonts w:hint="eastAsia" w:ascii="宋体" w:hAnsi="宋体" w:eastAsia="宋体" w:cs="宋体"/>
                <w:color w:val="000000" w:themeColor="text1"/>
                <w:spacing w:val="-2"/>
                <w:sz w:val="22"/>
                <w:szCs w:val="22"/>
                <w14:textFill>
                  <w14:solidFill>
                    <w14:schemeClr w14:val="tx1"/>
                  </w14:solidFill>
                </w14:textFill>
              </w:rPr>
              <w:t>产品认证证书的原件扫描件或“全国认证认可信息公共服务平台”（http://cx.cnca.cn）的认证信息截图，可以享受优先采购政策。</w:t>
            </w:r>
          </w:p>
        </w:tc>
        <w:tc>
          <w:tcPr>
            <w:tcW w:w="2451" w:type="dxa"/>
            <w:vAlign w:val="center"/>
          </w:tcPr>
          <w:p w14:paraId="6431A24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bl>
    <w:p w14:paraId="5C6B358C">
      <w:pPr>
        <w:spacing w:line="360" w:lineRule="auto"/>
        <w:rPr>
          <w:rFonts w:hint="eastAsia" w:ascii="宋体" w:hAnsi="宋体" w:eastAsia="宋体" w:cs="宋体"/>
          <w:b/>
          <w:color w:val="000000" w:themeColor="text1"/>
          <w:sz w:val="24"/>
          <w:szCs w:val="24"/>
          <w14:textFill>
            <w14:solidFill>
              <w14:schemeClr w14:val="tx1"/>
            </w14:solidFill>
          </w14:textFill>
        </w:rPr>
      </w:pPr>
    </w:p>
    <w:p w14:paraId="06F8CA1A">
      <w:pPr>
        <w:keepNext w:val="0"/>
        <w:keepLines w:val="0"/>
        <w:pageBreakBefore w:val="0"/>
        <w:widowControl w:val="0"/>
        <w:kinsoku/>
        <w:wordWrap/>
        <w:topLinePunct w:val="0"/>
        <w:autoSpaceDE/>
        <w:autoSpaceDN/>
        <w:bidi w:val="0"/>
        <w:adjustRightInd/>
        <w:spacing w:line="6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3.2.3确定投标人的有效报价：</w:t>
      </w:r>
    </w:p>
    <w:p w14:paraId="4336FF8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经初审合格的投标文件，其投标报价为有效投标报价。</w:t>
      </w:r>
    </w:p>
    <w:p w14:paraId="46B1AA7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3.2.4确定评标基准价：</w:t>
      </w:r>
    </w:p>
    <w:p w14:paraId="1F6421F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满足招标文件要求且报价最低的为评标基准价。</w:t>
      </w:r>
    </w:p>
    <w:p w14:paraId="7C9E9D6F">
      <w:pPr>
        <w:keepNext w:val="0"/>
        <w:keepLines w:val="0"/>
        <w:pageBreakBefore w:val="0"/>
        <w:widowControl w:val="0"/>
        <w:tabs>
          <w:tab w:val="left" w:pos="6060"/>
        </w:tabs>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7" w:name="_Toc343511794"/>
      <w:r>
        <w:rPr>
          <w:rFonts w:hint="eastAsia" w:ascii="宋体" w:hAnsi="宋体" w:eastAsia="宋体" w:cs="宋体"/>
          <w:b/>
          <w:color w:val="000000" w:themeColor="text1"/>
          <w:sz w:val="24"/>
          <w:szCs w:val="24"/>
          <w14:textFill>
            <w14:solidFill>
              <w14:schemeClr w14:val="tx1"/>
            </w14:solidFill>
          </w14:textFill>
        </w:rPr>
        <w:t>3.2.5投标报价评审：</w:t>
      </w:r>
      <w:bookmarkEnd w:id="657"/>
      <w:r>
        <w:rPr>
          <w:rFonts w:hint="eastAsia" w:ascii="宋体" w:hAnsi="宋体" w:eastAsia="宋体" w:cs="宋体"/>
          <w:b/>
          <w:color w:val="000000" w:themeColor="text1"/>
          <w:sz w:val="24"/>
          <w:szCs w:val="24"/>
          <w14:textFill>
            <w14:solidFill>
              <w14:schemeClr w14:val="tx1"/>
            </w14:solidFill>
          </w14:textFill>
        </w:rPr>
        <w:t>（总分为</w:t>
      </w:r>
      <w:r>
        <w:rPr>
          <w:rFonts w:hint="eastAsia" w:ascii="宋体" w:hAnsi="宋体" w:eastAsia="宋体" w:cs="宋体"/>
          <w:b/>
          <w:color w:val="000000" w:themeColor="text1"/>
          <w:sz w:val="24"/>
          <w:szCs w:val="24"/>
          <w:lang w:val="en-US" w:eastAsia="zh-CN"/>
          <w14:textFill>
            <w14:solidFill>
              <w14:schemeClr w14:val="tx1"/>
            </w14:solidFill>
          </w14:textFill>
        </w:rPr>
        <w:t>30</w:t>
      </w:r>
      <w:r>
        <w:rPr>
          <w:rFonts w:hint="eastAsia" w:ascii="宋体" w:hAnsi="宋体" w:eastAsia="宋体" w:cs="宋体"/>
          <w:b/>
          <w:color w:val="000000" w:themeColor="text1"/>
          <w:sz w:val="24"/>
          <w:szCs w:val="24"/>
          <w14:textFill>
            <w14:solidFill>
              <w14:schemeClr w14:val="tx1"/>
            </w14:solidFill>
          </w14:textFill>
        </w:rPr>
        <w:t>分）</w:t>
      </w:r>
    </w:p>
    <w:p w14:paraId="21E81982">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8" w:name="_Toc343511804"/>
      <w:r>
        <w:rPr>
          <w:rFonts w:hint="eastAsia" w:ascii="宋体" w:hAnsi="宋体" w:eastAsia="宋体" w:cs="宋体"/>
          <w:b/>
          <w:color w:val="000000" w:themeColor="text1"/>
          <w:sz w:val="24"/>
          <w:szCs w:val="24"/>
          <w14:textFill>
            <w14:solidFill>
              <w14:schemeClr w14:val="tx1"/>
            </w14:solidFill>
          </w14:textFill>
        </w:rPr>
        <w:t>3.2.6汇总上述技术部分和商务部分及投标报价得分，按综合得分由高到低的顺序排序。</w:t>
      </w:r>
      <w:bookmarkEnd w:id="658"/>
    </w:p>
    <w:p w14:paraId="63898E7A">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9" w:name="_Toc343511805"/>
      <w:r>
        <w:rPr>
          <w:rFonts w:hint="eastAsia" w:ascii="宋体" w:hAnsi="宋体" w:eastAsia="宋体" w:cs="宋体"/>
          <w:b/>
          <w:color w:val="000000" w:themeColor="text1"/>
          <w:sz w:val="24"/>
          <w:szCs w:val="24"/>
          <w14:textFill>
            <w14:solidFill>
              <w14:schemeClr w14:val="tx1"/>
            </w14:solidFill>
          </w14:textFill>
        </w:rPr>
        <w:t>3.2.7确定中标投标人：</w:t>
      </w:r>
      <w:bookmarkEnd w:id="659"/>
    </w:p>
    <w:p w14:paraId="2913D726">
      <w:pPr>
        <w:keepNext w:val="0"/>
        <w:keepLines w:val="0"/>
        <w:pageBreakBefore w:val="0"/>
        <w:widowControl w:val="0"/>
        <w:kinsoku/>
        <w:wordWrap/>
        <w:topLinePunct w:val="0"/>
        <w:autoSpaceDE/>
        <w:autoSpaceDN/>
        <w:bidi w:val="0"/>
        <w:adjustRightInd/>
        <w:spacing w:line="600" w:lineRule="exact"/>
        <w:ind w:firstLine="472" w:firstLineChars="196"/>
        <w:rPr>
          <w:rFonts w:hint="eastAsia" w:ascii="宋体" w:hAnsi="宋体" w:eastAsia="宋体" w:cs="宋体"/>
          <w:color w:val="000000" w:themeColor="text1"/>
          <w:sz w:val="24"/>
          <w:szCs w:val="24"/>
          <w14:textFill>
            <w14:solidFill>
              <w14:schemeClr w14:val="tx1"/>
            </w14:solidFill>
          </w14:textFill>
        </w:rPr>
      </w:pPr>
      <w:bookmarkStart w:id="660" w:name="_Toc343511806"/>
      <w:bookmarkStart w:id="661" w:name="_Toc343511807"/>
      <w:r>
        <w:rPr>
          <w:rFonts w:hint="eastAsia" w:ascii="宋体" w:hAnsi="宋体" w:eastAsia="宋体" w:cs="宋体"/>
          <w:b/>
          <w:bCs/>
          <w:color w:val="000000" w:themeColor="text1"/>
          <w:sz w:val="24"/>
          <w:szCs w:val="24"/>
          <w:u w:val="single"/>
          <w14:textFill>
            <w14:solidFill>
              <w14:schemeClr w14:val="tx1"/>
            </w14:solidFill>
          </w14:textFill>
        </w:rPr>
        <w:t>综合得分</w:t>
      </w:r>
      <w:r>
        <w:rPr>
          <w:rFonts w:hint="eastAsia" w:ascii="宋体" w:hAnsi="宋体" w:eastAsia="宋体" w:cs="宋体"/>
          <w:b/>
          <w:color w:val="000000" w:themeColor="text1"/>
          <w:sz w:val="24"/>
          <w:szCs w:val="24"/>
          <w:u w:val="single"/>
          <w14:textFill>
            <w14:solidFill>
              <w14:schemeClr w14:val="tx1"/>
            </w14:solidFill>
          </w14:textFill>
        </w:rPr>
        <w:t>排序第一的投标人为中标候选投标人即为中标投标人。中标投标人投标报价为中标价即为合同价</w:t>
      </w:r>
      <w:r>
        <w:rPr>
          <w:rFonts w:hint="eastAsia" w:ascii="宋体" w:hAnsi="宋体" w:eastAsia="宋体" w:cs="宋体"/>
          <w:color w:val="000000" w:themeColor="text1"/>
          <w:sz w:val="24"/>
          <w:szCs w:val="24"/>
          <w14:textFill>
            <w14:solidFill>
              <w14:schemeClr w14:val="tx1"/>
            </w14:solidFill>
          </w14:textFill>
        </w:rPr>
        <w:t>。</w:t>
      </w:r>
      <w:bookmarkEnd w:id="660"/>
    </w:p>
    <w:p w14:paraId="0DA258D4">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当确定的中标投标人放弃中标或不能够履行投标文件承诺的条款，中标投标人按排名顺序依次递补。</w:t>
      </w:r>
      <w:bookmarkEnd w:id="661"/>
    </w:p>
    <w:p w14:paraId="56C384A0">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2" w:name="_Toc343511808"/>
      <w:r>
        <w:rPr>
          <w:rFonts w:hint="eastAsia" w:ascii="宋体" w:hAnsi="宋体" w:eastAsia="宋体" w:cs="宋体"/>
          <w:b/>
          <w:color w:val="000000" w:themeColor="text1"/>
          <w:sz w:val="24"/>
          <w:szCs w:val="24"/>
          <w14:textFill>
            <w14:solidFill>
              <w14:schemeClr w14:val="tx1"/>
            </w14:solidFill>
          </w14:textFill>
        </w:rPr>
        <w:t>3.2.8其他情况：</w:t>
      </w:r>
      <w:bookmarkEnd w:id="662"/>
    </w:p>
    <w:p w14:paraId="022D47C9">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bookmarkStart w:id="663" w:name="_Toc343511810"/>
      <w:r>
        <w:rPr>
          <w:rFonts w:hint="eastAsia" w:ascii="宋体" w:hAnsi="宋体" w:eastAsia="宋体" w:cs="宋体"/>
          <w:bCs/>
          <w:color w:val="000000" w:themeColor="text1"/>
          <w:sz w:val="24"/>
          <w:szCs w:val="24"/>
          <w14:textFill>
            <w14:solidFill>
              <w14:schemeClr w14:val="tx1"/>
            </w14:solidFill>
          </w14:textFill>
        </w:rPr>
        <w:t>综合得分并列时，比较投标报价，此分项得分高者排序靠前；若投标报价得分仍相同，比较投标人技术标得分；如仍相同，则由评委无记名投票，以得票高低确定排序先后。</w:t>
      </w:r>
    </w:p>
    <w:p w14:paraId="70780F57">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评标中采用插入法计算保留小数点后两位，第三位四舍五入。</w:t>
      </w:r>
      <w:bookmarkEnd w:id="663"/>
    </w:p>
    <w:p w14:paraId="24A02CB5">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lang w:eastAsia="zh-CN"/>
          <w14:textFill>
            <w14:solidFill>
              <w14:schemeClr w14:val="tx1"/>
            </w14:solidFill>
          </w14:textFill>
        </w:rPr>
      </w:pPr>
      <w:bookmarkStart w:id="664" w:name="_Toc343511811"/>
      <w:r>
        <w:rPr>
          <w:rFonts w:hint="eastAsia" w:ascii="宋体" w:hAnsi="宋体" w:eastAsia="宋体" w:cs="宋体"/>
          <w:bCs/>
          <w:color w:val="000000" w:themeColor="text1"/>
          <w:sz w:val="24"/>
          <w:szCs w:val="24"/>
          <w14:textFill>
            <w14:solidFill>
              <w14:schemeClr w14:val="tx1"/>
            </w14:solidFill>
          </w14:textFill>
        </w:rPr>
        <w:t>本办法由采购人负责解释，未尽事宜执行有关规定</w:t>
      </w:r>
      <w:bookmarkEnd w:id="664"/>
      <w:r>
        <w:rPr>
          <w:rFonts w:hint="eastAsia" w:ascii="宋体" w:hAnsi="宋体" w:cs="宋体"/>
          <w:bCs/>
          <w:color w:val="000000" w:themeColor="text1"/>
          <w:sz w:val="24"/>
          <w:szCs w:val="24"/>
          <w:lang w:eastAsia="zh-CN"/>
          <w14:textFill>
            <w14:solidFill>
              <w14:schemeClr w14:val="tx1"/>
            </w14:solidFill>
          </w14:textFill>
        </w:rPr>
        <w:t>。</w:t>
      </w:r>
    </w:p>
    <w:p w14:paraId="31A01664">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5" w:name="_Toc144974575"/>
      <w:bookmarkStart w:id="666" w:name="_Toc152045607"/>
      <w:bookmarkStart w:id="667" w:name="_Toc247085765"/>
      <w:bookmarkStart w:id="668" w:name="_Toc152042385"/>
      <w:bookmarkStart w:id="669" w:name="_Toc397585244"/>
      <w:bookmarkStart w:id="670" w:name="_Toc361406437"/>
      <w:bookmarkStart w:id="671" w:name="_Toc490171558"/>
      <w:bookmarkStart w:id="672" w:name="_Toc246996250"/>
      <w:bookmarkStart w:id="673" w:name="_Toc246996993"/>
      <w:bookmarkStart w:id="674" w:name="_Toc361406358"/>
      <w:bookmarkStart w:id="675" w:name="_Toc179632625"/>
      <w:bookmarkStart w:id="676" w:name="_Toc456197093"/>
      <w:bookmarkStart w:id="677" w:name="_Toc397410664"/>
      <w:bookmarkStart w:id="678" w:name="_Toc490171399"/>
      <w:bookmarkStart w:id="679" w:name="_Toc397585175"/>
      <w:bookmarkStart w:id="680" w:name="_Toc343511812"/>
      <w:bookmarkStart w:id="681" w:name="_Toc397410477"/>
      <w:bookmarkStart w:id="682" w:name="_Toc394320906"/>
      <w:bookmarkStart w:id="683" w:name="_Toc395711825"/>
      <w:r>
        <w:rPr>
          <w:rFonts w:hint="eastAsia" w:ascii="宋体" w:hAnsi="宋体" w:eastAsia="宋体" w:cs="宋体"/>
          <w:b/>
          <w:color w:val="000000" w:themeColor="text1"/>
          <w:sz w:val="24"/>
          <w:szCs w:val="24"/>
          <w14:textFill>
            <w14:solidFill>
              <w14:schemeClr w14:val="tx1"/>
            </w14:solidFill>
          </w14:textFill>
        </w:rPr>
        <w:t>3.3 投标文件的澄清</w:t>
      </w:r>
      <w:bookmarkEnd w:id="665"/>
      <w:r>
        <w:rPr>
          <w:rFonts w:hint="eastAsia" w:ascii="宋体" w:hAnsi="宋体" w:eastAsia="宋体" w:cs="宋体"/>
          <w:b/>
          <w:color w:val="000000" w:themeColor="text1"/>
          <w:sz w:val="24"/>
          <w:szCs w:val="24"/>
          <w14:textFill>
            <w14:solidFill>
              <w14:schemeClr w14:val="tx1"/>
            </w14:solidFill>
          </w14:textFill>
        </w:rPr>
        <w:t>和补正</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4589DE1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4" w:name="_Toc343511813"/>
      <w:r>
        <w:rPr>
          <w:rFonts w:hint="eastAsia" w:ascii="宋体" w:hAnsi="宋体" w:eastAsia="宋体" w:cs="宋体"/>
          <w:color w:val="000000" w:themeColor="text1"/>
          <w:sz w:val="24"/>
          <w:szCs w:val="24"/>
          <w14:textFill>
            <w14:solidFill>
              <w14:schemeClr w14:val="tx1"/>
            </w14:solidFill>
          </w14:textFill>
        </w:rPr>
        <w:t>3.3.1在评标过程中，评标委员会可以书面形式要求投标人对所提交投标文件中不明确的内容进行书面澄清或说明，或者对细微偏差进行补正。评标委员会不接受投标人主动提出的澄清、说明或补正。</w:t>
      </w:r>
      <w:bookmarkEnd w:id="684"/>
    </w:p>
    <w:p w14:paraId="7FB8CA7A">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5" w:name="_Toc343511814"/>
      <w:r>
        <w:rPr>
          <w:rFonts w:hint="eastAsia" w:ascii="宋体" w:hAnsi="宋体" w:eastAsia="宋体" w:cs="宋体"/>
          <w:color w:val="000000" w:themeColor="text1"/>
          <w:sz w:val="24"/>
          <w:szCs w:val="24"/>
          <w14:textFill>
            <w14:solidFill>
              <w14:schemeClr w14:val="tx1"/>
            </w14:solidFill>
          </w14:textFill>
        </w:rPr>
        <w:t>3.3.2 澄清、说明和补正不得改变投标文件的实质性内容（算术性错误修正的除外）。投标人的书面澄清、说明和补正属于投标文件的组成部分。</w:t>
      </w:r>
      <w:bookmarkEnd w:id="685"/>
    </w:p>
    <w:p w14:paraId="7C5574B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6" w:name="_Toc343511815"/>
      <w:r>
        <w:rPr>
          <w:rFonts w:hint="eastAsia" w:ascii="宋体" w:hAnsi="宋体" w:eastAsia="宋体" w:cs="宋体"/>
          <w:color w:val="000000" w:themeColor="text1"/>
          <w:sz w:val="24"/>
          <w:szCs w:val="24"/>
          <w14:textFill>
            <w14:solidFill>
              <w14:schemeClr w14:val="tx1"/>
            </w14:solidFill>
          </w14:textFill>
        </w:rPr>
        <w:t>3.3.3 评标委员会对投标人提交的澄清、说明或补正有疑问的，可以要求投标人进一步澄清、说明或补正，直至满足评标委员会的要求。</w:t>
      </w:r>
      <w:bookmarkEnd w:id="686"/>
    </w:p>
    <w:p w14:paraId="38468A0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87" w:name="_Toc456197094"/>
      <w:bookmarkStart w:id="688" w:name="_Toc397585245"/>
      <w:bookmarkStart w:id="689" w:name="_Toc246996251"/>
      <w:bookmarkStart w:id="690" w:name="_Toc361406438"/>
      <w:bookmarkStart w:id="691" w:name="_Toc152045608"/>
      <w:bookmarkStart w:id="692" w:name="_Toc343511816"/>
      <w:bookmarkStart w:id="693" w:name="_Toc490171400"/>
      <w:bookmarkStart w:id="694" w:name="_Toc179632626"/>
      <w:bookmarkStart w:id="695" w:name="_Toc144974576"/>
      <w:bookmarkStart w:id="696" w:name="_Toc246996994"/>
      <w:bookmarkStart w:id="697" w:name="_Toc397585176"/>
      <w:bookmarkStart w:id="698" w:name="_Toc152042386"/>
      <w:bookmarkStart w:id="699" w:name="_Toc247085766"/>
      <w:bookmarkStart w:id="700" w:name="_Toc397410478"/>
      <w:bookmarkStart w:id="701" w:name="_Toc394320907"/>
      <w:bookmarkStart w:id="702" w:name="_Toc490171559"/>
      <w:bookmarkStart w:id="703" w:name="_Toc361406359"/>
      <w:bookmarkStart w:id="704" w:name="_Toc397410665"/>
      <w:bookmarkStart w:id="705" w:name="_Toc395711826"/>
      <w:r>
        <w:rPr>
          <w:rFonts w:hint="eastAsia" w:ascii="宋体" w:hAnsi="宋体" w:eastAsia="宋体" w:cs="宋体"/>
          <w:b/>
          <w:color w:val="000000" w:themeColor="text1"/>
          <w:sz w:val="24"/>
          <w:szCs w:val="24"/>
          <w14:textFill>
            <w14:solidFill>
              <w14:schemeClr w14:val="tx1"/>
            </w14:solidFill>
          </w14:textFill>
        </w:rPr>
        <w:t>3.4 评标结果</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1229D06F">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706" w:name="_Toc343511817"/>
      <w:r>
        <w:rPr>
          <w:rFonts w:hint="eastAsia" w:ascii="宋体" w:hAnsi="宋体" w:eastAsia="宋体" w:cs="宋体"/>
          <w:color w:val="000000" w:themeColor="text1"/>
          <w:sz w:val="24"/>
          <w:szCs w:val="24"/>
          <w14:textFill>
            <w14:solidFill>
              <w14:schemeClr w14:val="tx1"/>
            </w14:solidFill>
          </w14:textFill>
        </w:rPr>
        <w:t>3.4.1评标委员会按照得分由高到低的顺序推荐前三名为</w:t>
      </w:r>
      <w:bookmarkEnd w:id="706"/>
      <w:r>
        <w:rPr>
          <w:rFonts w:hint="eastAsia" w:ascii="宋体" w:hAnsi="宋体" w:eastAsia="宋体" w:cs="宋体"/>
          <w:color w:val="000000" w:themeColor="text1"/>
          <w:sz w:val="24"/>
          <w:szCs w:val="24"/>
          <w14:textFill>
            <w14:solidFill>
              <w14:schemeClr w14:val="tx1"/>
            </w14:solidFill>
          </w14:textFill>
        </w:rPr>
        <w:t>中标候选投标人。</w:t>
      </w:r>
    </w:p>
    <w:p w14:paraId="3C951E1B">
      <w:pPr>
        <w:keepNext w:val="0"/>
        <w:keepLines w:val="0"/>
        <w:pageBreakBefore w:val="0"/>
        <w:widowControl w:val="0"/>
        <w:kinsoku/>
        <w:wordWrap/>
        <w:topLinePunct w:val="0"/>
        <w:autoSpaceDE/>
        <w:autoSpaceDN/>
        <w:bidi w:val="0"/>
        <w:adjustRightInd/>
        <w:spacing w:line="600" w:lineRule="exac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评标委员会完成评标后，应当向采购人提交书面评标报告。</w:t>
      </w:r>
      <w:bookmarkEnd w:id="486"/>
      <w:bookmarkEnd w:id="487"/>
      <w:bookmarkEnd w:id="488"/>
      <w:bookmarkEnd w:id="489"/>
      <w:bookmarkEnd w:id="490"/>
      <w:bookmarkEnd w:id="491"/>
      <w:bookmarkEnd w:id="492"/>
      <w:bookmarkEnd w:id="656"/>
      <w:bookmarkStart w:id="707" w:name="_Toc1441"/>
      <w:bookmarkStart w:id="708" w:name="_Toc30173"/>
      <w:bookmarkStart w:id="709" w:name="_Toc24896"/>
      <w:bookmarkStart w:id="710" w:name="_Toc22517"/>
      <w:bookmarkStart w:id="711" w:name="_Toc526842116"/>
    </w:p>
    <w:p w14:paraId="17C6DCFF">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4.需要落实的政府采购政策</w:t>
      </w:r>
      <w:bookmarkEnd w:id="707"/>
      <w:bookmarkEnd w:id="708"/>
      <w:bookmarkEnd w:id="709"/>
      <w:bookmarkEnd w:id="710"/>
    </w:p>
    <w:p w14:paraId="1B337CF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12" w:name="_Toc6400"/>
      <w:bookmarkStart w:id="713" w:name="_Toc27288"/>
      <w:bookmarkStart w:id="714" w:name="_Toc18527"/>
      <w:bookmarkStart w:id="715" w:name="_Toc23303"/>
      <w:bookmarkStart w:id="716" w:name="_Toc5624"/>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1.《政府采购促进中小企业发展管理办法》的通知（财库〔2020〕46号）</w:t>
      </w:r>
      <w:bookmarkEnd w:id="712"/>
      <w:bookmarkEnd w:id="71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14"/>
      <w:bookmarkEnd w:id="715"/>
      <w:bookmarkEnd w:id="716"/>
    </w:p>
    <w:p w14:paraId="02DE075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17" w:name="_Toc10056"/>
      <w:bookmarkStart w:id="718" w:name="_Toc15061"/>
      <w:bookmarkStart w:id="719" w:name="_Toc28308"/>
      <w:bookmarkStart w:id="720" w:name="_Toc26075"/>
      <w:bookmarkStart w:id="721" w:name="_Toc261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在政府采购活动中，供应商提供的货物、工程或者服务符合下列情形的，享受《办法》规定的中小企业扶持政策:</w:t>
      </w:r>
      <w:bookmarkEnd w:id="717"/>
      <w:bookmarkEnd w:id="718"/>
      <w:bookmarkEnd w:id="719"/>
      <w:bookmarkEnd w:id="720"/>
      <w:bookmarkEnd w:id="721"/>
    </w:p>
    <w:p w14:paraId="03C015B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2" w:name="_Toc3750"/>
      <w:bookmarkStart w:id="723" w:name="_Toc29610"/>
      <w:bookmarkStart w:id="724" w:name="_Toc13145"/>
      <w:bookmarkStart w:id="725" w:name="_Toc12926"/>
      <w:bookmarkStart w:id="726" w:name="_Toc13553"/>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(一)在货物采购项目中，货物由中小企业制造，即货物由中小企业生产且使用该中小企业商号或者注册商标；</w:t>
      </w:r>
      <w:bookmarkEnd w:id="722"/>
      <w:bookmarkEnd w:id="723"/>
      <w:bookmarkEnd w:id="724"/>
      <w:bookmarkEnd w:id="725"/>
      <w:bookmarkEnd w:id="726"/>
    </w:p>
    <w:p w14:paraId="34FF4CA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7" w:name="_Toc98"/>
      <w:bookmarkStart w:id="728" w:name="_Toc2212"/>
      <w:bookmarkStart w:id="729" w:name="_Toc27737"/>
      <w:bookmarkStart w:id="730" w:name="_Toc10777"/>
      <w:bookmarkStart w:id="731" w:name="_Toc597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(二)在工程采购项目中，工程由中小企业承建，即工程施工单位为中小企业；</w:t>
      </w:r>
      <w:bookmarkEnd w:id="727"/>
      <w:bookmarkEnd w:id="728"/>
      <w:bookmarkEnd w:id="729"/>
      <w:bookmarkEnd w:id="730"/>
      <w:bookmarkEnd w:id="731"/>
    </w:p>
    <w:p w14:paraId="06D0FCE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2" w:name="_Toc2676"/>
      <w:bookmarkStart w:id="733" w:name="_Toc14952"/>
      <w:bookmarkStart w:id="734" w:name="_Toc13181"/>
      <w:bookmarkStart w:id="735" w:name="_Toc30603"/>
      <w:bookmarkStart w:id="736" w:name="_Toc3173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(三)在服务采购项目中，服务由中小企业承接，即提供服务的人员为中小企业依照《中华人民共和国劳动合同法》订立劳动合同的从业人员。</w:t>
      </w:r>
      <w:bookmarkEnd w:id="732"/>
      <w:bookmarkEnd w:id="733"/>
      <w:bookmarkEnd w:id="734"/>
      <w:bookmarkEnd w:id="735"/>
      <w:bookmarkEnd w:id="736"/>
    </w:p>
    <w:p w14:paraId="262DFDC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7" w:name="_Toc9186"/>
      <w:bookmarkStart w:id="738" w:name="_Toc21217"/>
      <w:bookmarkStart w:id="739" w:name="_Toc31112"/>
      <w:bookmarkStart w:id="740" w:name="_Toc28280"/>
      <w:bookmarkStart w:id="741" w:name="_Toc3198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在货物采购项目中，供应商提供的货物既有中小企业制造货物，也有大型企业制造货物的，不享受《办法》规定的中小企业扶持政策。</w:t>
      </w:r>
      <w:bookmarkEnd w:id="737"/>
      <w:bookmarkEnd w:id="738"/>
      <w:bookmarkEnd w:id="739"/>
      <w:bookmarkEnd w:id="740"/>
      <w:bookmarkEnd w:id="741"/>
    </w:p>
    <w:p w14:paraId="33CDB6D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2" w:name="_Toc23925"/>
      <w:bookmarkStart w:id="743" w:name="_Toc18434"/>
      <w:bookmarkStart w:id="744" w:name="_Toc28678"/>
      <w:bookmarkStart w:id="745" w:name="_Toc6020"/>
      <w:bookmarkStart w:id="746" w:name="_Toc12766"/>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以联合体形式参加政府采购活动，联合体各方均为中小企业的，联合体视同中小企业。其中，联合体各方均为小微企业的，联合体视同小微企业。</w:t>
      </w:r>
      <w:bookmarkEnd w:id="742"/>
      <w:bookmarkEnd w:id="743"/>
      <w:bookmarkEnd w:id="744"/>
      <w:bookmarkEnd w:id="745"/>
      <w:bookmarkEnd w:id="746"/>
    </w:p>
    <w:p w14:paraId="7C11615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7" w:name="_Toc1848"/>
      <w:bookmarkStart w:id="748" w:name="_Toc28971"/>
      <w:bookmarkStart w:id="749" w:name="_Toc9423"/>
      <w:bookmarkStart w:id="750" w:name="_Toc24099"/>
      <w:bookmarkStart w:id="751" w:name="_Toc1749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依据《办法》规定享受扶持政策获得政府采购合同的，小微企业不得将合同分包给大中型企业，中型企业不得将合同分包给大型企业。</w:t>
      </w:r>
      <w:bookmarkEnd w:id="747"/>
      <w:bookmarkEnd w:id="748"/>
      <w:bookmarkEnd w:id="749"/>
      <w:bookmarkEnd w:id="750"/>
      <w:bookmarkEnd w:id="751"/>
    </w:p>
    <w:p w14:paraId="6229CFE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2" w:name="_Toc12812"/>
      <w:bookmarkStart w:id="753" w:name="_Toc4775"/>
      <w:bookmarkStart w:id="754" w:name="_Toc7194"/>
      <w:bookmarkStart w:id="755" w:name="_Toc26091"/>
      <w:bookmarkStart w:id="756" w:name="_Toc2650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752"/>
      <w:bookmarkEnd w:id="753"/>
      <w:bookmarkEnd w:id="754"/>
      <w:bookmarkEnd w:id="755"/>
      <w:bookmarkEnd w:id="756"/>
    </w:p>
    <w:p w14:paraId="491FF7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7" w:name="_Toc28497"/>
      <w:bookmarkStart w:id="758" w:name="_Toc2963"/>
      <w:bookmarkStart w:id="759" w:name="_Toc10392"/>
      <w:bookmarkStart w:id="760" w:name="_Toc29579"/>
      <w:bookmarkStart w:id="761" w:name="_Toc4731"/>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评标委员会根据《政府采购促进中小企业发展管理办法》的通知（财库〔2020〕46号）、《财政部关于进一步加大政府采购支持中小企业力度的通知》（财库〔2022〕19号）的相关规定，小微企业报价给予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757"/>
      <w:bookmarkEnd w:id="758"/>
      <w:bookmarkEnd w:id="759"/>
      <w:bookmarkEnd w:id="760"/>
      <w:bookmarkEnd w:id="761"/>
    </w:p>
    <w:p w14:paraId="624CBE1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62" w:name="_Toc11983"/>
      <w:bookmarkStart w:id="763" w:name="_Toc2434"/>
      <w:bookmarkStart w:id="764" w:name="_Toc25557"/>
      <w:bookmarkStart w:id="765" w:name="_Toc10033"/>
      <w:bookmarkStart w:id="766" w:name="_Toc12101"/>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762"/>
      <w:bookmarkEnd w:id="763"/>
      <w:bookmarkEnd w:id="764"/>
      <w:bookmarkEnd w:id="765"/>
      <w:bookmarkEnd w:id="766"/>
    </w:p>
    <w:p w14:paraId="475D05D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在政府采购活动中，残疾人福利性单位、监狱企业视同小型、微型企业，不重复享受政策。</w:t>
      </w:r>
    </w:p>
    <w:p w14:paraId="648BC5C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67" w:name="_Toc10110"/>
      <w:bookmarkStart w:id="768" w:name="_Toc12159"/>
      <w:bookmarkStart w:id="769" w:name="_Toc22642"/>
      <w:bookmarkStart w:id="770" w:name="_Toc5526"/>
      <w:bookmarkStart w:id="771" w:name="_Toc1274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2.财政部司法部关于政府采购支持监狱企业发展有关问题的通知—财库〔2014〕68号</w:t>
      </w:r>
      <w:bookmarkEnd w:id="767"/>
      <w:bookmarkEnd w:id="768"/>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 xml:space="preserve"> 。</w:t>
      </w:r>
      <w:bookmarkEnd w:id="769"/>
      <w:bookmarkEnd w:id="770"/>
      <w:bookmarkEnd w:id="771"/>
    </w:p>
    <w:p w14:paraId="5728EE0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2" w:name="_Toc4382"/>
      <w:bookmarkStart w:id="773" w:name="_Toc11892"/>
      <w:bookmarkStart w:id="774" w:name="_Toc14358"/>
      <w:bookmarkStart w:id="775" w:name="_Toc13779"/>
      <w:bookmarkStart w:id="776" w:name="_Toc11710"/>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772"/>
      <w:bookmarkEnd w:id="773"/>
      <w:bookmarkEnd w:id="774"/>
      <w:bookmarkEnd w:id="775"/>
      <w:bookmarkEnd w:id="776"/>
    </w:p>
    <w:p w14:paraId="1B22045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7" w:name="_Toc5219"/>
      <w:bookmarkStart w:id="778" w:name="_Toc10867"/>
      <w:bookmarkStart w:id="779" w:name="_Toc14231"/>
      <w:bookmarkStart w:id="780" w:name="_Toc30736"/>
      <w:bookmarkStart w:id="781" w:name="_Toc32315"/>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评标委员会对监狱企业的价格给予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0%的扣除，用扣除后的价格参与评审。</w:t>
      </w:r>
      <w:bookmarkEnd w:id="777"/>
      <w:bookmarkEnd w:id="778"/>
      <w:bookmarkEnd w:id="779"/>
      <w:bookmarkEnd w:id="780"/>
      <w:bookmarkEnd w:id="781"/>
    </w:p>
    <w:p w14:paraId="5BFE852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82" w:name="_Toc14589"/>
      <w:bookmarkStart w:id="783" w:name="_Toc15904"/>
      <w:bookmarkStart w:id="784" w:name="_Toc20450"/>
      <w:bookmarkStart w:id="785" w:name="_Toc18595"/>
      <w:bookmarkStart w:id="786" w:name="_Toc3051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3.《国务院办公厅关于建立政府强制采购节能产品制度的通知》—国办发〔2007〕51号</w:t>
      </w:r>
      <w:bookmarkEnd w:id="782"/>
      <w:bookmarkEnd w:id="78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84"/>
      <w:bookmarkEnd w:id="785"/>
      <w:bookmarkEnd w:id="786"/>
    </w:p>
    <w:p w14:paraId="7EC4C90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87" w:name="_Toc20764"/>
      <w:bookmarkStart w:id="788" w:name="_Toc11339"/>
      <w:bookmarkStart w:id="789" w:name="_Toc19432"/>
      <w:bookmarkStart w:id="790" w:name="_Toc1695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各级政府机构使用财政性资金进行政府采购活动时，在技术、服务等指标满足采购需求的前提下，要优先采购节能产品，对部分节能效果、性能等达到要求的产品，实行强制采购。</w:t>
      </w:r>
      <w:bookmarkEnd w:id="787"/>
      <w:bookmarkEnd w:id="788"/>
      <w:bookmarkEnd w:id="789"/>
      <w:bookmarkEnd w:id="790"/>
    </w:p>
    <w:p w14:paraId="3C21001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4.《关于印发环境标志产品政府采购品目清单的通知》（财库〔2019〕18号）</w:t>
      </w:r>
    </w:p>
    <w:p w14:paraId="3DFCA3F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根据</w:t>
      </w:r>
      <w:r>
        <w:rPr>
          <w:rFonts w:hint="eastAsia" w:ascii="宋体" w:hAnsi="宋体" w:eastAsia="宋体" w:cs="宋体"/>
          <w:bCs/>
          <w:color w:val="000000" w:themeColor="text1"/>
          <w:sz w:val="24"/>
          <w:szCs w:val="24"/>
          <w:lang w:val="en-US" w:eastAsia="zh-CN"/>
          <w14:textFill>
            <w14:solidFill>
              <w14:schemeClr w14:val="tx1"/>
            </w14:solidFill>
          </w14:textFill>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000000" w:themeColor="text1"/>
          <w:sz w:val="24"/>
          <w:szCs w:val="24"/>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000000" w:themeColor="text1"/>
          <w:sz w:val="24"/>
          <w:szCs w:val="24"/>
          <w:lang w:eastAsia="zh-CN"/>
          <w14:textFill>
            <w14:solidFill>
              <w14:schemeClr w14:val="tx1"/>
            </w14:solidFill>
          </w14:textFill>
        </w:rPr>
        <w:t>。</w:t>
      </w:r>
    </w:p>
    <w:p w14:paraId="592DAAE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5.《关于印发节能产品政府采购品目清单的通知》（财库〔2019〕19号）</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1491BAA6">
      <w:pPr>
        <w:pStyle w:val="93"/>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根据</w:t>
      </w:r>
      <w:r>
        <w:rPr>
          <w:rFonts w:hint="eastAsia" w:ascii="宋体" w:hAnsi="宋体" w:eastAsia="宋体" w:cs="宋体"/>
          <w:b w:val="0"/>
          <w:bCs/>
          <w:color w:val="000000" w:themeColor="text1"/>
          <w:sz w:val="24"/>
          <w:szCs w:val="24"/>
          <w:lang w:val="en-US" w:eastAsia="zh-CN"/>
          <w14:textFill>
            <w14:solidFill>
              <w14:schemeClr w14:val="tx1"/>
            </w14:solidFill>
          </w14:textFill>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themeColor="text1"/>
          <w:sz w:val="24"/>
          <w:szCs w:val="24"/>
          <w:lang w:eastAsia="zh-CN"/>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603CDE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91" w:name="_Toc5700"/>
      <w:bookmarkStart w:id="792" w:name="_Toc17122"/>
      <w:bookmarkStart w:id="793" w:name="_Toc18923"/>
      <w:bookmarkStart w:id="794" w:name="_Toc24583"/>
      <w:bookmarkStart w:id="795" w:name="_Toc2795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6.《关于促进残疾人就业政府采购政策的通知》财库〔2017〕141号</w:t>
      </w:r>
      <w:bookmarkEnd w:id="791"/>
      <w:bookmarkEnd w:id="79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93"/>
      <w:bookmarkEnd w:id="794"/>
      <w:bookmarkEnd w:id="795"/>
    </w:p>
    <w:p w14:paraId="2004381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96" w:name="_Toc28713"/>
      <w:bookmarkStart w:id="797" w:name="_Toc1750"/>
      <w:bookmarkStart w:id="798" w:name="_Toc30234"/>
      <w:bookmarkStart w:id="799" w:name="_Toc22172"/>
      <w:bookmarkStart w:id="800" w:name="_Toc2492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福利企业参加政府采购活动时，应当提供市级以上民政局、财政局、残联部门出具的福利性企业的证明文件。</w:t>
      </w:r>
      <w:bookmarkEnd w:id="796"/>
      <w:bookmarkEnd w:id="797"/>
      <w:bookmarkEnd w:id="798"/>
      <w:bookmarkEnd w:id="799"/>
      <w:bookmarkEnd w:id="800"/>
    </w:p>
    <w:p w14:paraId="542802B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1" w:name="_Toc20174"/>
      <w:bookmarkStart w:id="802" w:name="_Toc14226"/>
      <w:bookmarkStart w:id="803" w:name="_Toc24373"/>
      <w:bookmarkStart w:id="804" w:name="_Toc8691"/>
      <w:bookmarkStart w:id="805" w:name="_Toc27107"/>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7.陕西省财政厅关于印发《陕西省中小企业政府采购信用融资办法》（陕财办采〔2018〕23号）</w:t>
      </w:r>
      <w:bookmarkEnd w:id="801"/>
      <w:bookmarkEnd w:id="80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803"/>
      <w:bookmarkEnd w:id="804"/>
      <w:bookmarkEnd w:id="805"/>
    </w:p>
    <w:p w14:paraId="08A7A56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6" w:name="_Toc802"/>
      <w:bookmarkStart w:id="807" w:name="_Toc1696"/>
      <w:bookmarkStart w:id="808" w:name="_Toc2902"/>
      <w:bookmarkStart w:id="809" w:name="_Toc26044"/>
      <w:bookmarkStart w:id="810" w:name="_Toc2203"/>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806"/>
      <w:bookmarkEnd w:id="807"/>
      <w:bookmarkEnd w:id="808"/>
      <w:bookmarkEnd w:id="809"/>
      <w:bookmarkEnd w:id="810"/>
    </w:p>
    <w:p w14:paraId="405E158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ascii="宋体" w:hAnsi="宋体" w:cs="宋体"/>
          <w:b/>
          <w:color w:val="000000" w:themeColor="text1"/>
          <w:sz w:val="24"/>
          <w:szCs w:val="24"/>
          <w14:textFill>
            <w14:solidFill>
              <w14:schemeClr w14:val="tx1"/>
            </w14:solidFill>
          </w14:textFill>
        </w:rPr>
      </w:pPr>
      <w:bookmarkStart w:id="811" w:name="_Toc4872"/>
      <w:bookmarkStart w:id="812" w:name="_Toc31707"/>
      <w:bookmarkStart w:id="813" w:name="_Toc6798"/>
      <w:bookmarkStart w:id="814" w:name="_Toc29619"/>
      <w:bookmarkStart w:id="815" w:name="_Toc30311"/>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网址：http://www.ccgp-shaanxi.gov.cn/zcdservice/zcd/shanxi/</w:t>
      </w:r>
      <w:bookmarkEnd w:id="811"/>
      <w:bookmarkEnd w:id="812"/>
      <w:bookmarkEnd w:id="813"/>
      <w:bookmarkEnd w:id="814"/>
      <w:bookmarkEnd w:id="815"/>
    </w:p>
    <w:p w14:paraId="48DD9B6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8.国务院办公厅印发《关于在政府采购中实施本国产品标准及相关政策的通知》国办发〔2025〕34号。</w:t>
      </w:r>
    </w:p>
    <w:p w14:paraId="602E209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本国产品应当符合以下条件：</w:t>
      </w:r>
    </w:p>
    <w:p w14:paraId="4FFD39B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（一）在中国境内生产</w:t>
      </w:r>
    </w:p>
    <w:p w14:paraId="28E4E34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563F2D9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1.为确保产品在运输或者储存期间保持某种状态而进行的操作；</w:t>
      </w:r>
    </w:p>
    <w:p w14:paraId="5BFC5F4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2.为产品运输或者销售进行的包装或者展示；</w:t>
      </w:r>
    </w:p>
    <w:p w14:paraId="7D5E88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3.在产品或者其包装上粘贴或者印刷品牌、标志、标识以及其他用于区别的标记；</w:t>
      </w:r>
    </w:p>
    <w:p w14:paraId="61A7D0F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4.简单的上漆、磨光和分装；</w:t>
      </w:r>
    </w:p>
    <w:p w14:paraId="3342709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5.其他不属于属性改变的情形。</w:t>
      </w:r>
    </w:p>
    <w:p w14:paraId="2D2E88B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（二）在中国境内生产的组件成本占比达到规定比例</w:t>
      </w:r>
    </w:p>
    <w:p w14:paraId="68439D7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产品在中国境内生产的组件成本占比应当达到规定比例，计算公式为：</w:t>
      </w:r>
    </w:p>
    <w:p w14:paraId="34550700">
      <w:pPr>
        <w:pStyle w:val="113"/>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column">
              <wp:posOffset>47625</wp:posOffset>
            </wp:positionH>
            <wp:positionV relativeFrom="paragraph">
              <wp:posOffset>274320</wp:posOffset>
            </wp:positionV>
            <wp:extent cx="5528310" cy="611505"/>
            <wp:effectExtent l="0" t="0" r="15240" b="17145"/>
            <wp:wrapSquare wrapText="bothSides"/>
            <wp:docPr id="3" name="图片 3"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020250930645245947614"/>
                    <pic:cNvPicPr>
                      <a:picLocks noChangeAspect="1"/>
                    </pic:cNvPicPr>
                  </pic:nvPicPr>
                  <pic:blipFill>
                    <a:blip r:embed="rId19"/>
                    <a:stretch>
                      <a:fillRect/>
                    </a:stretch>
                  </pic:blipFill>
                  <pic:spPr>
                    <a:xfrm>
                      <a:off x="0" y="0"/>
                      <a:ext cx="5528310" cy="611505"/>
                    </a:xfrm>
                    <a:prstGeom prst="rect">
                      <a:avLst/>
                    </a:prstGeom>
                    <a:noFill/>
                    <a:ln>
                      <a:noFill/>
                    </a:ln>
                  </pic:spPr>
                </pic:pic>
              </a:graphicData>
            </a:graphic>
          </wp:anchor>
        </w:drawing>
      </w:r>
    </w:p>
    <w:p w14:paraId="187B51A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12E982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（三）特定产品的关键组件、关键工序符合相关要求</w:t>
      </w:r>
    </w:p>
    <w:p w14:paraId="2F4B9EE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24E4D08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 xml:space="preserve"> 本国产品标准的适用范围</w:t>
      </w:r>
    </w:p>
    <w:p w14:paraId="518ADE3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EFFB1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对本国产品的支持政策</w:t>
      </w:r>
    </w:p>
    <w:p w14:paraId="2BBA7AF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14:paraId="42CDCC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ABE63E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有关证明文件</w:t>
      </w:r>
    </w:p>
    <w:p w14:paraId="7564B83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供应商提供产品符合《国务院办公厅关于在政府采购中实施本国产品标准及相关政策的通知》（国办发〔2025〕34号）本国产品相关规定的，提供《关于符合本国产品标准的声明函》（格式见本招标文件第七章，以下简称《声明函》）或财政部会同有关部门规定的有关证明文件，该产品视为本国产品。供应商提供虚假《声明函》、虚假证明文件谋取中标、成交的，依照《中华人民共和国政府采购法》等法律法规规定追究相应责任。</w:t>
      </w:r>
    </w:p>
    <w:p w14:paraId="0EF830D7">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5B2B1550">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48C671B9">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73D404D1">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32D725EE">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05A974B4">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5A5731C">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653749CC">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640EDECB">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031E98A2">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F475D39">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5BBD2607">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0573BCBA">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00B8561F">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3CBDCA15">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1919191">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附件A:废标条件</w:t>
      </w:r>
      <w:bookmarkEnd w:id="711"/>
    </w:p>
    <w:p w14:paraId="4CF0DB62">
      <w:pPr>
        <w:pageBreakBefore w:val="0"/>
        <w:widowControl w:val="0"/>
        <w:wordWrap/>
        <w:overflowPunct/>
        <w:topLinePunct w:val="0"/>
        <w:autoSpaceDE/>
        <w:autoSpaceDN/>
        <w:bidi w:val="0"/>
        <w:adjustRightInd w:val="0"/>
        <w:snapToGrid w:val="0"/>
        <w:spacing w:line="600" w:lineRule="exact"/>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废 标 条 件</w:t>
      </w:r>
    </w:p>
    <w:p w14:paraId="07D8A891">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A0. 总  则</w:t>
      </w:r>
    </w:p>
    <w:p w14:paraId="6BDC87C5">
      <w:pPr>
        <w:pageBreakBefore w:val="0"/>
        <w:widowControl w:val="0"/>
        <w:wordWrap/>
        <w:overflowPunct/>
        <w:topLinePunct w:val="0"/>
        <w:autoSpaceDE/>
        <w:autoSpaceDN/>
        <w:bidi w:val="0"/>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3E4BFFD2">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A1. 否决投标条件</w:t>
      </w:r>
    </w:p>
    <w:p w14:paraId="7E8639A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供应商或其投标文件有下列情形之一的，否决其投标：</w:t>
      </w:r>
    </w:p>
    <w:p w14:paraId="65CE2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（1）投标单位未经过正常渠道领取招标文件，或投标单位名称与领取招标文件时登记的投标单位名称不符的；</w:t>
      </w:r>
    </w:p>
    <w:p w14:paraId="50DB8B0D">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（2）未按招标文件规定要求签署、盖章的；无响应有效期或有效期达不到招标文件要求的；</w:t>
      </w:r>
    </w:p>
    <w:p w14:paraId="66A226DA">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（3）投标文件未按照投标文件格式及内容要求填写的；</w:t>
      </w:r>
    </w:p>
    <w:p w14:paraId="78C7250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（4）投标单位针对同一项目递交两份或多份内容不同的投标文件，未书面声明哪一份是有效的或出现选择性报价的；</w:t>
      </w:r>
    </w:p>
    <w:p w14:paraId="64C01D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（5）未按招标文件要求提供资格证明文件原件或提供的原件缺项；</w:t>
      </w:r>
    </w:p>
    <w:p w14:paraId="4780FA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（6）提供虚假资质、虚假证明（包括第三方提供的虚假证明）的，除按无效文件处理外，还将按照有关规定进行处罚；</w:t>
      </w:r>
    </w:p>
    <w:p w14:paraId="0115667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（7）附有采购人、采购代理机构不能接受的条款和商务响应方面（付款条件、</w:t>
      </w:r>
      <w:r>
        <w:rPr>
          <w:rFonts w:hint="eastAsia" w:ascii="宋体" w:hAnsi="宋体" w:eastAsia="宋体" w:cs="宋体"/>
          <w:color w:val="000000" w:themeColor="text1"/>
          <w:spacing w:val="4"/>
          <w:sz w:val="24"/>
          <w:szCs w:val="24"/>
          <w:lang w:eastAsia="zh-CN"/>
          <w14:textFill>
            <w14:solidFill>
              <w14:schemeClr w14:val="tx1"/>
            </w14:solidFill>
          </w14:textFill>
        </w:rPr>
        <w:t>服务期限</w:t>
      </w:r>
      <w:r>
        <w:rPr>
          <w:rFonts w:hint="eastAsia" w:ascii="宋体" w:hAnsi="宋体" w:eastAsia="宋体" w:cs="宋体"/>
          <w:color w:val="000000" w:themeColor="text1"/>
          <w:spacing w:val="4"/>
          <w:sz w:val="24"/>
          <w:szCs w:val="24"/>
          <w14:textFill>
            <w14:solidFill>
              <w14:schemeClr w14:val="tx1"/>
            </w14:solidFill>
          </w14:textFill>
        </w:rPr>
        <w:t>）与招标文件要求不一致的；</w:t>
      </w:r>
    </w:p>
    <w:p w14:paraId="42A20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（8）在政府采购或其它重大项目履约过程中有不良记录，不能按期履约的；</w:t>
      </w:r>
    </w:p>
    <w:p w14:paraId="0A82307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（9）投标报价与市场价偏离较大，低于成本，形成不正当竞争的；</w:t>
      </w:r>
    </w:p>
    <w:p w14:paraId="5274A8F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（10）有重大缺漏项的；</w:t>
      </w:r>
    </w:p>
    <w:p w14:paraId="18F56A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（11）以他人名义进行投标的；</w:t>
      </w:r>
    </w:p>
    <w:p w14:paraId="057CDDE7">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（12）供应商无法定代表人授权书或其授权书的有效性不符合招标文件规定的；</w:t>
      </w:r>
    </w:p>
    <w:p w14:paraId="5778FA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（13）供应商有串通投标、弄虚作假、行贿等违法行为的。</w:t>
      </w:r>
    </w:p>
    <w:p w14:paraId="4977ADD3">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（14）投标内容不完整；</w:t>
      </w:r>
    </w:p>
    <w:p w14:paraId="04B9961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（15）供应商的商务响应达不到招标文件要求；</w:t>
      </w:r>
    </w:p>
    <w:p w14:paraId="26DFE12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（16）不按评标委员会要求澄清、说明或补正的。</w:t>
      </w:r>
    </w:p>
    <w:p w14:paraId="24947FC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（17）评标委员会认定供应商以低于成本报价竞标的。</w:t>
      </w:r>
    </w:p>
    <w:p w14:paraId="2E07FE6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（18）提供的投标文件电子版不能正常参与评标的。</w:t>
      </w:r>
    </w:p>
    <w:p w14:paraId="1CB86F7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（19）其他经评标委员会确认的未能实质性响应招标文件要求的。</w:t>
      </w:r>
    </w:p>
    <w:p w14:paraId="4A1A688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（20）投标文件电子版无法打开或主要内容无法显示，影响正常评标。</w:t>
      </w:r>
    </w:p>
    <w:p w14:paraId="6F87A5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（21）未按时缴纳投标保证金的。</w:t>
      </w:r>
    </w:p>
    <w:p w14:paraId="32D4EF66">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A2 . 串通投标</w:t>
      </w:r>
    </w:p>
    <w:p w14:paraId="2BB81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有下列情形之一的，属于投标人相互串通投标：</w:t>
      </w:r>
    </w:p>
    <w:p w14:paraId="09B8609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（1）投标人之间协商投标报价等投标文件的实质性内容；</w:t>
      </w:r>
    </w:p>
    <w:p w14:paraId="2BB6456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（2）投标人之间约定</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投标人；</w:t>
      </w:r>
    </w:p>
    <w:p w14:paraId="69F62F3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（3）投标人之间约定部分投标人放弃投标或者</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w:t>
      </w:r>
    </w:p>
    <w:p w14:paraId="3E70942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（4）属于同一集团、协会、商会等组织成员的投标人按照该组织要求协同投标；</w:t>
      </w:r>
    </w:p>
    <w:p w14:paraId="6144B2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（5）投标人之间为谋</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或者排斥特定投标人而采取的其他联合行动。</w:t>
      </w:r>
    </w:p>
    <w:p w14:paraId="75322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有下列情形之一的，视为投标人相互串通投标：</w:t>
      </w:r>
    </w:p>
    <w:p w14:paraId="6FC9A27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（1）不同投标人的投标文件由同一单位或者个人编制；</w:t>
      </w:r>
    </w:p>
    <w:p w14:paraId="3A6FFE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（2）不同投标人委托同一单位或者个人办理投标事宜；</w:t>
      </w:r>
    </w:p>
    <w:p w14:paraId="6E45B50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（3）不同投标人的投标文件载明的项目管理成员为同一人；</w:t>
      </w:r>
    </w:p>
    <w:p w14:paraId="5C520E0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（4）不同投标人的投标文件异常一致或者投标报价呈规律性差异；</w:t>
      </w:r>
    </w:p>
    <w:p w14:paraId="5F34A2C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（5）不同投标人的投标文件相互混装；</w:t>
      </w:r>
    </w:p>
    <w:p w14:paraId="42B97F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（6）不同投标人的投标保证金从同一单位或者个人的账户转出。</w:t>
      </w:r>
    </w:p>
    <w:p w14:paraId="7901F4C3">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A3. 弄虚作假</w:t>
      </w:r>
    </w:p>
    <w:p w14:paraId="0E22EE3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投标人有下列情形之一的，属于弄虚作假的行为：</w:t>
      </w:r>
    </w:p>
    <w:p w14:paraId="5E59E8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1</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使用伪造、变造的许可证件；</w:t>
      </w:r>
    </w:p>
    <w:p w14:paraId="71C0A8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2</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提供虚假的财务状况或者业绩；</w:t>
      </w:r>
    </w:p>
    <w:p w14:paraId="7B4550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3</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提供虚假的项目负责人或者技术人员简历、劳动关系证明；</w:t>
      </w:r>
    </w:p>
    <w:p w14:paraId="2892305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4</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提供虚假的信用状况；</w:t>
      </w:r>
    </w:p>
    <w:p w14:paraId="304B12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5</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其他弄虚作假的行为。</w:t>
      </w:r>
    </w:p>
    <w:p w14:paraId="267991E3">
      <w:pPr>
        <w:pStyle w:val="5"/>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493"/>
    <w:bookmarkEnd w:id="494"/>
    <w:bookmarkEnd w:id="495"/>
    <w:p w14:paraId="2981D78C">
      <w:pPr>
        <w:pStyle w:val="2"/>
        <w:pageBreakBefore w:val="0"/>
        <w:widowControl w:val="0"/>
        <w:numPr>
          <w:ilvl w:val="0"/>
          <w:numId w:val="0"/>
        </w:numPr>
        <w:wordWrap/>
        <w:overflowPunct/>
        <w:topLinePunct w:val="0"/>
        <w:autoSpaceDE/>
        <w:autoSpaceDN/>
        <w:bidi w:val="0"/>
        <w:spacing w:before="0" w:after="0" w:line="600" w:lineRule="exact"/>
        <w:jc w:val="center"/>
        <w:textAlignment w:val="auto"/>
        <w:rPr>
          <w:rFonts w:hint="eastAsia" w:ascii="宋体" w:hAnsi="宋体" w:eastAsia="宋体" w:cs="宋体"/>
          <w:color w:val="000000" w:themeColor="text1"/>
          <w:sz w:val="30"/>
          <w:szCs w:val="30"/>
          <w14:textFill>
            <w14:solidFill>
              <w14:schemeClr w14:val="tx1"/>
            </w14:solidFill>
          </w14:textFill>
        </w:rPr>
      </w:pPr>
      <w:bookmarkStart w:id="816" w:name="_Toc3834"/>
      <w:bookmarkStart w:id="817" w:name="_Toc31421"/>
      <w:bookmarkStart w:id="818" w:name="_Toc132"/>
      <w:bookmarkStart w:id="819" w:name="_Toc5347"/>
      <w:bookmarkStart w:id="820" w:name="_Toc13863"/>
      <w:r>
        <w:rPr>
          <w:rFonts w:hint="eastAsia" w:ascii="宋体" w:hAnsi="宋体" w:eastAsia="宋体" w:cs="宋体"/>
          <w:b/>
          <w:bCs/>
          <w:color w:val="000000" w:themeColor="text1"/>
          <w:kern w:val="44"/>
          <w:sz w:val="30"/>
          <w:szCs w:val="30"/>
          <w:lang w:val="en-US" w:eastAsia="zh-CN" w:bidi="ar-SA"/>
          <w14:textFill>
            <w14:solidFill>
              <w14:schemeClr w14:val="tx1"/>
            </w14:solidFill>
          </w14:textFill>
        </w:rPr>
        <w:t>第五章</w:t>
      </w:r>
      <w:r>
        <w:rPr>
          <w:rFonts w:hint="eastAsia" w:ascii="宋体" w:hAnsi="宋体" w:cs="宋体"/>
          <w:b/>
          <w:bCs/>
          <w:color w:val="000000" w:themeColor="text1"/>
          <w:kern w:val="44"/>
          <w:sz w:val="30"/>
          <w:szCs w:val="30"/>
          <w:lang w:val="en-US" w:eastAsia="zh-CN" w:bidi="ar-SA"/>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合同（拟签订</w:t>
      </w:r>
      <w:r>
        <w:rPr>
          <w:rFonts w:hint="eastAsia" w:ascii="宋体" w:hAnsi="宋体" w:cs="宋体"/>
          <w:color w:val="000000" w:themeColor="text1"/>
          <w:sz w:val="30"/>
          <w:szCs w:val="30"/>
          <w:lang w:val="en-US" w:eastAsia="zh-CN"/>
          <w14:textFill>
            <w14:solidFill>
              <w14:schemeClr w14:val="tx1"/>
            </w14:solidFill>
          </w14:textFill>
        </w:rPr>
        <w:t>合同</w:t>
      </w:r>
      <w:r>
        <w:rPr>
          <w:rFonts w:hint="eastAsia" w:ascii="宋体" w:hAnsi="宋体" w:eastAsia="宋体" w:cs="宋体"/>
          <w:color w:val="000000" w:themeColor="text1"/>
          <w:sz w:val="30"/>
          <w:szCs w:val="30"/>
          <w14:textFill>
            <w14:solidFill>
              <w14:schemeClr w14:val="tx1"/>
            </w14:solidFill>
          </w14:textFill>
        </w:rPr>
        <w:t>文本）</w:t>
      </w:r>
      <w:bookmarkEnd w:id="816"/>
      <w:bookmarkEnd w:id="817"/>
      <w:bookmarkEnd w:id="818"/>
    </w:p>
    <w:p w14:paraId="4348C052">
      <w:pPr>
        <w:rPr>
          <w:rFonts w:hint="eastAsia"/>
          <w:color w:val="000000" w:themeColor="text1"/>
          <w14:textFill>
            <w14:solidFill>
              <w14:schemeClr w14:val="tx1"/>
            </w14:solidFill>
          </w14:textFill>
        </w:rPr>
      </w:pPr>
    </w:p>
    <w:p w14:paraId="7B05D77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281078C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5BA0242A">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6DA3E8E6">
      <w:pPr>
        <w:pStyle w:val="11"/>
        <w:pageBreakBefore w:val="0"/>
        <w:kinsoku/>
        <w:wordWrap/>
        <w:overflowPunct/>
        <w:topLinePunct w:val="0"/>
        <w:bidi w:val="0"/>
        <w:spacing w:after="0" w:line="560" w:lineRule="exact"/>
        <w:jc w:val="center"/>
        <w:textAlignment w:val="auto"/>
        <w:rPr>
          <w:rFonts w:hint="eastAsia" w:ascii="宋体" w:hAnsi="宋体" w:eastAsia="宋体" w:cs="宋体"/>
          <w:b/>
          <w:bCs/>
          <w:color w:val="000000" w:themeColor="text1"/>
          <w:spacing w:val="0"/>
          <w:kern w:val="44"/>
          <w:sz w:val="28"/>
          <w:szCs w:val="28"/>
          <w14:textFill>
            <w14:solidFill>
              <w14:schemeClr w14:val="tx1"/>
            </w14:solidFill>
          </w14:textFill>
        </w:rPr>
      </w:pPr>
      <w:r>
        <w:rPr>
          <w:rFonts w:hint="eastAsia" w:ascii="宋体" w:hAnsi="宋体" w:eastAsia="宋体" w:cs="宋体"/>
          <w:b/>
          <w:bCs/>
          <w:color w:val="000000" w:themeColor="text1"/>
          <w:spacing w:val="0"/>
          <w:kern w:val="44"/>
          <w:sz w:val="28"/>
          <w:szCs w:val="28"/>
          <w14:textFill>
            <w14:solidFill>
              <w14:schemeClr w14:val="tx1"/>
            </w14:solidFill>
          </w14:textFill>
        </w:rPr>
        <w:t>政府采购</w:t>
      </w:r>
      <w:r>
        <w:rPr>
          <w:rFonts w:hint="eastAsia" w:ascii="宋体" w:hAnsi="宋体" w:eastAsia="宋体" w:cs="宋体"/>
          <w:b/>
          <w:bCs/>
          <w:color w:val="000000" w:themeColor="text1"/>
          <w:spacing w:val="0"/>
          <w:kern w:val="44"/>
          <w:sz w:val="28"/>
          <w:szCs w:val="28"/>
          <w:lang w:eastAsia="zh-CN"/>
          <w14:textFill>
            <w14:solidFill>
              <w14:schemeClr w14:val="tx1"/>
            </w14:solidFill>
          </w14:textFill>
        </w:rPr>
        <w:t>货物买卖</w:t>
      </w:r>
      <w:r>
        <w:rPr>
          <w:rFonts w:hint="eastAsia" w:ascii="宋体" w:hAnsi="宋体" w:eastAsia="宋体" w:cs="宋体"/>
          <w:b/>
          <w:bCs/>
          <w:color w:val="000000" w:themeColor="text1"/>
          <w:spacing w:val="0"/>
          <w:kern w:val="44"/>
          <w:sz w:val="28"/>
          <w:szCs w:val="28"/>
          <w14:textFill>
            <w14:solidFill>
              <w14:schemeClr w14:val="tx1"/>
            </w14:solidFill>
          </w14:textFill>
        </w:rPr>
        <w:t>合同</w:t>
      </w:r>
    </w:p>
    <w:p w14:paraId="6FC6B31D">
      <w:pPr>
        <w:rPr>
          <w:rFonts w:hint="eastAsia"/>
        </w:rPr>
      </w:pPr>
    </w:p>
    <w:p w14:paraId="667EE0D0">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738B29E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80573D5">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00832E6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6F246398">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5BEE7761">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2551D699">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07CF3D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024CF4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62E1073">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    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2BE08A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    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05BEA32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签订时间：</w:t>
      </w:r>
    </w:p>
    <w:p w14:paraId="7D49ABA9">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1B61D2FA">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770CB0E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658B922B">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29BB3971">
      <w:pPr>
        <w:pageBreakBefore w:val="0"/>
        <w:kinsoku/>
        <w:wordWrap/>
        <w:overflowPunct/>
        <w:topLinePunct w:val="0"/>
        <w:bidi w:val="0"/>
        <w:spacing w:line="560" w:lineRule="exact"/>
        <w:jc w:val="center"/>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使</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用</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说</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明</w:t>
      </w:r>
    </w:p>
    <w:p w14:paraId="7DEDEB98">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121DB40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1.本合同标准文本适用于购买现成货物的采购项目，不包括需要供应商定制开发、创新研发的货物采购项目。</w:t>
      </w:r>
    </w:p>
    <w:p w14:paraId="03A0B073">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2.本合同标准文本为政府采购货物买卖合同编制提供参考，可以结合采购项目具体情况，对文本作必要的调整修订后使用。</w:t>
      </w:r>
    </w:p>
    <w:p w14:paraId="221CE8B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3.本合同标准文本各条款中，如涉及填写多家供应商、制造商，多种采购标的、分包主要内容等信息的，可根据采购项目具体情况添加信息项。</w:t>
      </w:r>
    </w:p>
    <w:p w14:paraId="42730B6D">
      <w:pPr>
        <w:pageBreakBefore w:val="0"/>
        <w:kinsoku/>
        <w:wordWrap/>
        <w:overflowPunct/>
        <w:topLinePunct w:val="0"/>
        <w:bidi w:val="0"/>
        <w:spacing w:line="56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8D027F8">
      <w:pPr>
        <w:spacing w:line="360" w:lineRule="auto"/>
        <w:outlineLvl w:val="9"/>
        <w:rPr>
          <w:rFonts w:hint="eastAsia" w:ascii="宋体" w:hAnsi="宋体" w:eastAsia="宋体" w:cs="宋体"/>
          <w:b/>
          <w:color w:val="000000" w:themeColor="text1"/>
          <w:sz w:val="28"/>
          <w:szCs w:val="28"/>
          <w14:textFill>
            <w14:solidFill>
              <w14:schemeClr w14:val="tx1"/>
            </w14:solidFill>
          </w14:textFill>
        </w:rPr>
      </w:pPr>
      <w:bookmarkStart w:id="821" w:name="_Toc22209"/>
    </w:p>
    <w:p w14:paraId="6B1363CE">
      <w:pPr>
        <w:pStyle w:val="3"/>
        <w:pageBreakBefore w:val="0"/>
        <w:kinsoku/>
        <w:wordWrap/>
        <w:overflowPunct/>
        <w:topLinePunct w:val="0"/>
        <w:bidi w:val="0"/>
        <w:adjustRightInd w:val="0"/>
        <w:snapToGrid w:val="0"/>
        <w:spacing w:beforeLines="0" w:line="56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第一节 政府采购合同协议书</w:t>
      </w:r>
      <w:bookmarkEnd w:id="821"/>
    </w:p>
    <w:p w14:paraId="3B92CFA0">
      <w:pPr>
        <w:pageBreakBefore w:val="0"/>
        <w:kinsoku/>
        <w:wordWrap/>
        <w:overflowPunct/>
        <w:topLinePunct w:val="0"/>
        <w:bidi w:val="0"/>
        <w:adjustRightInd w:val="0"/>
        <w:snapToGrid w:val="0"/>
        <w:spacing w:beforeLines="0" w:line="560" w:lineRule="exact"/>
        <w:jc w:val="center"/>
        <w:textAlignment w:val="auto"/>
        <w:outlineLvl w:val="9"/>
        <w:rPr>
          <w:rFonts w:hint="eastAsia" w:ascii="宋体" w:hAnsi="宋体" w:eastAsia="宋体" w:cs="宋体"/>
          <w:b w:val="0"/>
          <w:bCs w:val="0"/>
          <w:color w:val="000000" w:themeColor="text1"/>
          <w:sz w:val="24"/>
          <w:szCs w:val="24"/>
          <w14:textFill>
            <w14:solidFill>
              <w14:schemeClr w14:val="tx1"/>
            </w14:solidFill>
          </w14:textFill>
        </w:rPr>
      </w:pPr>
    </w:p>
    <w:p w14:paraId="663C98B6">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甲方（全称）：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D882AEA">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乙方（全称）：</w:t>
      </w:r>
    </w:p>
    <w:p w14:paraId="36E602FD">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代理机构（全称）：</w:t>
      </w:r>
      <w:r>
        <w:rPr>
          <w:rFonts w:hint="eastAsia" w:ascii="宋体" w:hAnsi="宋体" w:eastAsia="宋体" w:cs="宋体"/>
          <w:color w:val="000000" w:themeColor="text1"/>
          <w:sz w:val="24"/>
          <w:szCs w:val="24"/>
          <w:u w:val="single"/>
          <w:lang w:val="en-US" w:eastAsia="zh-CN"/>
          <w14:textFill>
            <w14:solidFill>
              <w14:schemeClr w14:val="tx1"/>
            </w14:solidFill>
          </w14:textFill>
        </w:rPr>
        <w:t>陕西宸永项目管理有限公司</w:t>
      </w:r>
    </w:p>
    <w:p w14:paraId="40480C93">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依据《中华人民共和国民法典》</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《中华人民共和国政府采购法》等有关的法律法规，以及</w:t>
      </w:r>
      <w:r>
        <w:rPr>
          <w:rFonts w:hint="eastAsia" w:ascii="宋体" w:hAnsi="宋体" w:eastAsia="宋体" w:cs="宋体"/>
          <w:i w:val="0"/>
          <w:iCs w:val="0"/>
          <w:color w:val="000000" w:themeColor="text1"/>
          <w:sz w:val="24"/>
          <w:szCs w:val="24"/>
          <w:u w:val="none"/>
          <w:lang w:eastAsia="zh-CN"/>
          <w14:textFill>
            <w14:solidFill>
              <w14:schemeClr w14:val="tx1"/>
            </w14:solidFill>
          </w14:textFill>
        </w:rPr>
        <w:t>本采购项目</w:t>
      </w:r>
      <w:r>
        <w:rPr>
          <w:rFonts w:hint="eastAsia" w:ascii="宋体" w:hAnsi="宋体" w:eastAsia="宋体" w:cs="宋体"/>
          <w:color w:val="000000" w:themeColor="text1"/>
          <w:sz w:val="24"/>
          <w:szCs w:val="24"/>
          <w14:textFill>
            <w14:solidFill>
              <w14:schemeClr w14:val="tx1"/>
            </w14:solidFill>
          </w14:textFill>
        </w:rPr>
        <w:t>的</w:t>
      </w:r>
      <w:r>
        <w:rPr>
          <w:rFonts w:hint="eastAsia"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lang w:eastAsia="zh-CN"/>
          <w14:textFill>
            <w14:solidFill>
              <w14:schemeClr w14:val="tx1"/>
            </w14:solidFill>
          </w14:textFill>
        </w:rPr>
        <w:t>文件等</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乙方的《投标（响应）文件》及《中标（成交）通知书》，甲乙双方同意签订本合同。具体情况及要求如下：     </w:t>
      </w:r>
    </w:p>
    <w:p w14:paraId="07DF74B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项目信息</w:t>
      </w:r>
    </w:p>
    <w:p w14:paraId="5993D4CA">
      <w:pPr>
        <w:pStyle w:val="12"/>
        <w:pageBreakBefore w:val="0"/>
        <w:numPr>
          <w:ilvl w:val="0"/>
          <w:numId w:val="7"/>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948815E">
      <w:pPr>
        <w:pStyle w:val="12"/>
        <w:pageBreakBefore w:val="0"/>
        <w:numPr>
          <w:ilvl w:val="0"/>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采购项目编号：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6F5AF78">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（2）采购计划编号：</w:t>
      </w:r>
      <w:r>
        <w:rPr>
          <w:rFonts w:hint="eastAsia" w:ascii="宋体" w:hAnsi="宋体" w:eastAsia="宋体" w:cs="宋体"/>
          <w:color w:val="000000" w:themeColor="text1"/>
          <w:sz w:val="24"/>
          <w:szCs w:val="24"/>
          <w:u w:val="single"/>
          <w14:textFill>
            <w14:solidFill>
              <w14:schemeClr w14:val="tx1"/>
            </w14:solidFill>
          </w14:textFill>
        </w:rPr>
        <w:t xml:space="preserve">  政采-延安市-2026-00759</w:t>
      </w:r>
      <w:r>
        <w:rPr>
          <w:rFonts w:hint="eastAsia" w:cs="宋体"/>
          <w:color w:val="FF0000"/>
          <w:sz w:val="24"/>
          <w:szCs w:val="24"/>
          <w:u w:val="none"/>
          <w:lang w:val="en-US" w:eastAsia="zh-CN"/>
        </w:rPr>
        <w:t xml:space="preserve">  </w:t>
      </w:r>
      <w:r>
        <w:rPr>
          <w:rFonts w:hint="eastAsia" w:cs="宋体"/>
          <w:color w:val="FF0000"/>
          <w:sz w:val="24"/>
          <w:szCs w:val="24"/>
          <w:u w:val="single"/>
          <w:lang w:val="en-US" w:eastAsia="zh-CN"/>
        </w:rPr>
        <w:t xml:space="preserve">   </w:t>
      </w:r>
      <w:r>
        <w:rPr>
          <w:rFonts w:hint="eastAsia" w:cs="宋体"/>
          <w:color w:val="FF0000"/>
          <w:sz w:val="24"/>
          <w:szCs w:val="24"/>
          <w:u w:val="none"/>
          <w:lang w:val="en-US" w:eastAsia="zh-CN"/>
        </w:rPr>
        <w:t xml:space="preserve"> </w:t>
      </w:r>
      <w:r>
        <w:rPr>
          <w:rFonts w:hint="eastAsia" w:cs="宋体"/>
          <w:color w:val="FF0000"/>
          <w:sz w:val="24"/>
          <w:szCs w:val="24"/>
          <w:u w:val="single"/>
          <w:lang w:val="en-US" w:eastAsia="zh-CN"/>
        </w:rPr>
        <w:t xml:space="preserve"> </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D3C9FE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（3）项目内容：</w:t>
      </w:r>
    </w:p>
    <w:p w14:paraId="64A57A09">
      <w:pPr>
        <w:keepNext w:val="0"/>
        <w:keepLines w:val="0"/>
        <w:pageBreakBefore w:val="0"/>
        <w:widowControl w:val="0"/>
        <w:kinsoku/>
        <w:wordWrap/>
        <w:overflowPunct/>
        <w:topLinePunct w:val="0"/>
        <w:autoSpaceDE/>
        <w:autoSpaceDN/>
        <w:bidi w:val="0"/>
        <w:adjustRightInd/>
        <w:snapToGrid/>
        <w:spacing w:line="560" w:lineRule="exact"/>
        <w:ind w:left="6319" w:leftChars="266" w:hanging="5760" w:hangingChars="2400"/>
        <w:jc w:val="left"/>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单位：元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423"/>
        <w:gridCol w:w="1423"/>
        <w:gridCol w:w="1423"/>
        <w:gridCol w:w="1423"/>
        <w:gridCol w:w="1423"/>
        <w:gridCol w:w="1"/>
      </w:tblGrid>
      <w:tr w14:paraId="70F6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B1F62A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货物名称</w:t>
            </w:r>
          </w:p>
        </w:tc>
        <w:tc>
          <w:tcPr>
            <w:tcW w:w="1423" w:type="dxa"/>
            <w:noWrap w:val="0"/>
            <w:vAlign w:val="top"/>
          </w:tcPr>
          <w:p w14:paraId="7138E5E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品牌</w:t>
            </w:r>
          </w:p>
        </w:tc>
        <w:tc>
          <w:tcPr>
            <w:tcW w:w="1423" w:type="dxa"/>
            <w:noWrap w:val="0"/>
            <w:vAlign w:val="top"/>
          </w:tcPr>
          <w:p w14:paraId="6FC12E3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数量</w:t>
            </w:r>
          </w:p>
        </w:tc>
        <w:tc>
          <w:tcPr>
            <w:tcW w:w="1423" w:type="dxa"/>
            <w:noWrap w:val="0"/>
            <w:vAlign w:val="top"/>
          </w:tcPr>
          <w:p w14:paraId="7713620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单价</w:t>
            </w:r>
          </w:p>
        </w:tc>
        <w:tc>
          <w:tcPr>
            <w:tcW w:w="1423" w:type="dxa"/>
            <w:noWrap w:val="0"/>
            <w:vAlign w:val="top"/>
          </w:tcPr>
          <w:p w14:paraId="2AAC446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金额</w:t>
            </w:r>
          </w:p>
        </w:tc>
        <w:tc>
          <w:tcPr>
            <w:tcW w:w="1423" w:type="dxa"/>
            <w:noWrap w:val="0"/>
            <w:vAlign w:val="top"/>
          </w:tcPr>
          <w:p w14:paraId="2A90985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w:t>
            </w:r>
          </w:p>
        </w:tc>
      </w:tr>
      <w:tr w14:paraId="3C1F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D40ECF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380CE55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7C6A0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04FF00B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E346FD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restart"/>
            <w:noWrap w:val="0"/>
            <w:vAlign w:val="top"/>
          </w:tcPr>
          <w:p w14:paraId="4C67A74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5D78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200695B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48CA4CC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511B7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6210A3D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F5FD3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57D124C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7DFA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5692" w:type="dxa"/>
            <w:gridSpan w:val="4"/>
            <w:noWrap w:val="0"/>
            <w:vAlign w:val="top"/>
          </w:tcPr>
          <w:p w14:paraId="7A11FFB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合计</w:t>
            </w:r>
          </w:p>
        </w:tc>
        <w:tc>
          <w:tcPr>
            <w:tcW w:w="1423" w:type="dxa"/>
            <w:noWrap w:val="0"/>
            <w:vAlign w:val="top"/>
          </w:tcPr>
          <w:p w14:paraId="1A6AA04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2692C4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14A8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423" w:type="dxa"/>
            <w:noWrap w:val="0"/>
            <w:vAlign w:val="top"/>
          </w:tcPr>
          <w:p w14:paraId="77FB4FE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大写金额</w:t>
            </w:r>
          </w:p>
        </w:tc>
        <w:tc>
          <w:tcPr>
            <w:tcW w:w="7116" w:type="dxa"/>
            <w:gridSpan w:val="6"/>
            <w:noWrap w:val="0"/>
            <w:vAlign w:val="top"/>
          </w:tcPr>
          <w:p w14:paraId="115CBAD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bl>
    <w:p w14:paraId="3D88A8D5">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lang w:val="en" w:eastAsia="zh-CN"/>
          <w14:textFill>
            <w14:solidFill>
              <w14:schemeClr w14:val="tx1"/>
            </w14:solidFill>
          </w14:textFill>
        </w:rPr>
      </w:pPr>
    </w:p>
    <w:p w14:paraId="0282C339">
      <w:pPr>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采购标的的技术要求、商务要求具体见附件。</w:t>
      </w:r>
    </w:p>
    <w:p w14:paraId="2F3231A5">
      <w:pPr>
        <w:pageBreakBefore w:val="0"/>
        <w:numPr>
          <w:ilvl w:val="0"/>
          <w:numId w:val="0"/>
        </w:numPr>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①涉及信息类产品，请填写该产品关键部件的品牌、型号：</w:t>
      </w:r>
    </w:p>
    <w:p w14:paraId="0817CB56">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标的名称：</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p>
    <w:p w14:paraId="0AA399BE">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关键部件：</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069E47C3">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4721E894">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②涉及车辆采购，请填写是否属于新能源汽车：</w:t>
      </w:r>
    </w:p>
    <w:p w14:paraId="13AA6B4F">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数量：</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p>
    <w:p w14:paraId="3D72D1C7">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7406321E">
      <w:pPr>
        <w:pStyle w:val="113"/>
        <w:pageBreakBefore w:val="0"/>
        <w:numPr>
          <w:ilvl w:val="0"/>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 w:eastAsia="zh-CN"/>
          <w14:textFill>
            <w14:solidFill>
              <w14:schemeClr w14:val="tx1"/>
            </w14:solidFill>
          </w14:textFill>
        </w:rPr>
        <w:t>4</w:t>
      </w:r>
      <w:r>
        <w:rPr>
          <w:rFonts w:hint="eastAsia" w:ascii="宋体" w:hAnsi="宋体" w:eastAsia="宋体" w:cs="宋体"/>
          <w:iCs w:val="0"/>
          <w:color w:val="000000" w:themeColor="text1"/>
          <w:sz w:val="24"/>
          <w:szCs w:val="24"/>
          <w:lang w:val="en-US" w:eastAsia="zh-CN"/>
          <w14:textFill>
            <w14:solidFill>
              <w14:schemeClr w14:val="tx1"/>
            </w14:solidFill>
          </w14:textFill>
        </w:rPr>
        <w:t>）政府采购组织形式：</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政府集中采购</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部门集中采购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val="en-US" w:eastAsia="zh-CN"/>
          <w14:textFill>
            <w14:solidFill>
              <w14:schemeClr w14:val="tx1"/>
            </w14:solidFill>
          </w14:textFill>
        </w:rPr>
        <w:t>分散采购</w:t>
      </w:r>
    </w:p>
    <w:p w14:paraId="079DE3A6">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w:t>
      </w:r>
      <w:r>
        <w:rPr>
          <w:rFonts w:hint="eastAsia" w:ascii="宋体" w:hAnsi="宋体" w:eastAsia="宋体" w:cs="宋体"/>
          <w:iCs w:val="0"/>
          <w:color w:val="000000" w:themeColor="text1"/>
          <w:sz w:val="24"/>
          <w:szCs w:val="24"/>
          <w:lang w:val="en" w:eastAsia="zh-CN"/>
          <w14:textFill>
            <w14:solidFill>
              <w14:schemeClr w14:val="tx1"/>
            </w14:solidFill>
          </w14:textFill>
        </w:rPr>
        <w:t>5</w:t>
      </w:r>
      <w:r>
        <w:rPr>
          <w:rFonts w:hint="eastAsia" w:ascii="宋体" w:hAnsi="宋体" w:eastAsia="宋体" w:cs="宋体"/>
          <w:iCs w:val="0"/>
          <w:color w:val="000000" w:themeColor="text1"/>
          <w:sz w:val="24"/>
          <w:szCs w:val="24"/>
          <w:lang w:val="en-US" w:eastAsia="zh-CN"/>
          <w14:textFill>
            <w14:solidFill>
              <w14:schemeClr w14:val="tx1"/>
            </w14:solidFill>
          </w14:textFill>
        </w:rPr>
        <w:t>）政府采购方式：</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公开招标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邀请招标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竞争性谈判</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竞争性磋商</w:t>
      </w:r>
    </w:p>
    <w:p w14:paraId="04226FB0">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询价</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单一来源</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框架协议</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其他：</w:t>
      </w:r>
      <w:r>
        <w:rPr>
          <w:rFonts w:hint="eastAsia" w:ascii="宋体" w:hAnsi="宋体" w:eastAsia="宋体" w:cs="宋体"/>
          <w:iCs w:val="0"/>
          <w:color w:val="000000" w:themeColor="text1"/>
          <w:sz w:val="24"/>
          <w:szCs w:val="24"/>
          <w:u w:val="single"/>
          <w:lang w:val="en-US" w:eastAsia="zh-CN"/>
          <w14:textFill>
            <w14:solidFill>
              <w14:schemeClr w14:val="tx1"/>
            </w14:solidFill>
          </w14:textFill>
        </w:rPr>
        <w:t xml:space="preserve">          </w:t>
      </w:r>
    </w:p>
    <w:p w14:paraId="0181BB58">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u w:val="none"/>
          <w:lang w:val="en-US" w:eastAsia="zh-CN"/>
          <w14:textFill>
            <w14:solidFill>
              <w14:schemeClr w14:val="tx1"/>
            </w14:solidFill>
          </w14:textFill>
        </w:rPr>
        <w:t>（注：在框架协议采购的第二阶段，可选择使用该合同文本）</w:t>
      </w:r>
    </w:p>
    <w:p w14:paraId="742E27DE">
      <w:pPr>
        <w:pStyle w:val="113"/>
        <w:pageBreakBefore w:val="0"/>
        <w:numPr>
          <w:ilvl w:val="0"/>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中标（成交）采购标的制造商是否为中小企业：</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 xml:space="preserve">是      </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否</w:t>
      </w:r>
    </w:p>
    <w:p w14:paraId="7E8DF807">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color w:val="000000" w:themeColor="text1"/>
          <w:sz w:val="24"/>
          <w:szCs w:val="24"/>
          <w:shd w:val="clear" w:color="auto" w:fill="auto"/>
          <w14:textFill>
            <w14:solidFill>
              <w14:schemeClr w14:val="tx1"/>
            </w14:solidFill>
          </w14:textFill>
        </w:rPr>
      </w:pPr>
      <w:r>
        <w:rPr>
          <w:rFonts w:hint="eastAsia" w:ascii="宋体" w:hAnsi="宋体" w:eastAsia="宋体" w:cs="宋体"/>
          <w:color w:val="000000" w:themeColor="text1"/>
          <w:w w:val="100"/>
          <w:sz w:val="24"/>
          <w:szCs w:val="24"/>
          <w:lang w:val="en-US" w:eastAsia="zh-CN"/>
          <w14:textFill>
            <w14:solidFill>
              <w14:schemeClr w14:val="tx1"/>
            </w14:solidFill>
          </w14:textFill>
        </w:rPr>
        <w:t xml:space="preserve">         本合同</w:t>
      </w:r>
      <w:r>
        <w:rPr>
          <w:rFonts w:hint="eastAsia" w:ascii="宋体" w:hAnsi="宋体" w:eastAsia="宋体" w:cs="宋体"/>
          <w:color w:val="000000" w:themeColor="text1"/>
          <w:w w:val="100"/>
          <w:sz w:val="24"/>
          <w:szCs w:val="24"/>
          <w14:textFill>
            <w14:solidFill>
              <w14:schemeClr w14:val="tx1"/>
            </w14:solidFill>
          </w14:textFill>
        </w:rPr>
        <w:t>是否</w:t>
      </w:r>
      <w:r>
        <w:rPr>
          <w:rFonts w:hint="eastAsia" w:ascii="宋体" w:hAnsi="宋体" w:eastAsia="宋体" w:cs="宋体"/>
          <w:color w:val="000000" w:themeColor="text1"/>
          <w:w w:val="100"/>
          <w:sz w:val="24"/>
          <w:szCs w:val="24"/>
          <w:lang w:eastAsia="zh-CN"/>
          <w14:textFill>
            <w14:solidFill>
              <w14:schemeClr w14:val="tx1"/>
            </w14:solidFill>
          </w14:textFill>
        </w:rPr>
        <w:t>为专门面向</w:t>
      </w:r>
      <w:r>
        <w:rPr>
          <w:rFonts w:hint="eastAsia" w:ascii="宋体" w:hAnsi="宋体" w:eastAsia="宋体" w:cs="宋体"/>
          <w:color w:val="000000" w:themeColor="text1"/>
          <w:w w:val="100"/>
          <w:sz w:val="24"/>
          <w:szCs w:val="24"/>
          <w14:textFill>
            <w14:solidFill>
              <w14:schemeClr w14:val="tx1"/>
            </w14:solidFill>
          </w14:textFill>
        </w:rPr>
        <w:t>中小企业</w:t>
      </w:r>
      <w:r>
        <w:rPr>
          <w:rFonts w:hint="eastAsia" w:ascii="宋体" w:hAnsi="宋体" w:eastAsia="宋体" w:cs="宋体"/>
          <w:color w:val="000000" w:themeColor="text1"/>
          <w:w w:val="100"/>
          <w:sz w:val="24"/>
          <w:szCs w:val="24"/>
          <w:lang w:eastAsia="zh-CN"/>
          <w14:textFill>
            <w14:solidFill>
              <w14:schemeClr w14:val="tx1"/>
            </w14:solidFill>
          </w14:textFill>
        </w:rPr>
        <w:t>的采</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购</w:t>
      </w:r>
      <w:r>
        <w:rPr>
          <w:rFonts w:hint="eastAsia" w:ascii="宋体" w:hAnsi="宋体" w:eastAsia="宋体" w:cs="宋体"/>
          <w:color w:val="000000" w:themeColor="text1"/>
          <w:w w:val="100"/>
          <w:sz w:val="24"/>
          <w:szCs w:val="24"/>
          <w:shd w:val="clear" w:color="auto" w:fill="auto"/>
          <w14:textFill>
            <w14:solidFill>
              <w14:schemeClr w14:val="tx1"/>
            </w14:solidFill>
          </w14:textFill>
        </w:rPr>
        <w:t>合同</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（中小企业预留合同）</w:t>
      </w:r>
      <w:r>
        <w:rPr>
          <w:rFonts w:hint="eastAsia" w:ascii="宋体" w:hAnsi="宋体" w:eastAsia="宋体" w:cs="宋体"/>
          <w:color w:val="000000" w:themeColor="text1"/>
          <w:sz w:val="24"/>
          <w:szCs w:val="24"/>
          <w:shd w:val="clear" w:color="auto" w:fill="auto"/>
          <w14:textFill>
            <w14:solidFill>
              <w14:schemeClr w14:val="tx1"/>
            </w14:solidFill>
          </w14:textFill>
        </w:rPr>
        <w:t>：</w:t>
      </w:r>
    </w:p>
    <w:p w14:paraId="1425BDB8">
      <w:pPr>
        <w:pageBreakBefore w:val="0"/>
        <w:numPr>
          <w:ilvl w:val="0"/>
          <w:numId w:val="0"/>
        </w:numPr>
        <w:kinsoku/>
        <w:wordWrap/>
        <w:overflowPunct/>
        <w:topLinePunct w:val="0"/>
        <w:bidi w:val="0"/>
        <w:adjustRightInd w:val="0"/>
        <w:snapToGrid w:val="0"/>
        <w:spacing w:before="0" w:beforeLines="0" w:line="560" w:lineRule="exact"/>
        <w:ind w:left="0" w:leftChars="0" w:firstLine="2400" w:firstLineChars="10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DA35AE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若本项目不专门面向中小企业采购，是否给予小微企业评审优惠：</w:t>
      </w:r>
    </w:p>
    <w:p w14:paraId="0963EBF2">
      <w:pPr>
        <w:pageBreakBefore w:val="0"/>
        <w:numPr>
          <w:ilvl w:val="0"/>
          <w:numId w:val="0"/>
        </w:numPr>
        <w:kinsoku/>
        <w:wordWrap/>
        <w:overflowPunct/>
        <w:topLinePunct w:val="0"/>
        <w:bidi w:val="0"/>
        <w:adjustRightInd w:val="0"/>
        <w:snapToGrid w:val="0"/>
        <w:spacing w:before="0" w:beforeLines="0" w:line="560" w:lineRule="exact"/>
        <w:ind w:firstLine="1440" w:firstLineChars="6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064E79A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中标（成交）采购标的制造商是否为残疾人福利性单位：</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EB5EAFF">
      <w:pPr>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中标（成交）采购标的制造商是否为监狱企业：</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69EAB5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）合同是否分包：</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37388FF">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分包主要内容：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B40D260">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（如供应商和制造商不同，请分别填写）</w:t>
      </w:r>
      <w:r>
        <w:rPr>
          <w:rFonts w:hint="eastAsia" w:ascii="宋体" w:hAnsi="宋体" w:eastAsia="宋体" w:cs="宋体"/>
          <w:color w:val="000000" w:themeColor="text1"/>
          <w:sz w:val="24"/>
          <w:szCs w:val="24"/>
          <w:highlight w:val="none"/>
          <w14:textFill>
            <w14:solidFill>
              <w14:schemeClr w14:val="tx1"/>
            </w14:solidFill>
          </w14:textFill>
        </w:rPr>
        <w:t>：</w:t>
      </w:r>
    </w:p>
    <w:p w14:paraId="5103C8A7">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BA9453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分包供应商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14:textFill>
            <w14:solidFill>
              <w14:schemeClr w14:val="tx1"/>
            </w14:solidFill>
          </w14:textFill>
        </w:rPr>
        <w:t>类型</w:t>
      </w:r>
      <w:r>
        <w:rPr>
          <w:rFonts w:hint="eastAsia" w:ascii="宋体" w:hAnsi="宋体" w:eastAsia="宋体" w:cs="宋体"/>
          <w:color w:val="000000" w:themeColor="text1"/>
          <w:sz w:val="24"/>
          <w:szCs w:val="24"/>
          <w:highlight w:val="none"/>
          <w:lang w:eastAsia="zh-CN"/>
          <w14:textFill>
            <w14:solidFill>
              <w14:schemeClr w14:val="tx1"/>
            </w14:solidFill>
          </w14:textFill>
        </w:rPr>
        <w:t>（如果供应商和制造商不同，只填写制造商类型）</w:t>
      </w:r>
      <w:r>
        <w:rPr>
          <w:rFonts w:hint="eastAsia" w:ascii="宋体" w:hAnsi="宋体" w:eastAsia="宋体" w:cs="宋体"/>
          <w:color w:val="000000" w:themeColor="text1"/>
          <w:sz w:val="24"/>
          <w:szCs w:val="24"/>
          <w14:textFill>
            <w14:solidFill>
              <w14:schemeClr w14:val="tx1"/>
            </w14:solidFill>
          </w14:textFill>
        </w:rPr>
        <w:t>：</w:t>
      </w:r>
    </w:p>
    <w:p w14:paraId="38C074F0">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大型企业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中型企业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小微型企业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7A752DC4">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残疾人福利性单位</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监狱</w:t>
      </w:r>
      <w:r>
        <w:rPr>
          <w:rFonts w:hint="eastAsia" w:ascii="宋体" w:hAnsi="宋体" w:eastAsia="宋体" w:cs="宋体"/>
          <w:iCs/>
          <w:color w:val="000000" w:themeColor="text1"/>
          <w:sz w:val="24"/>
          <w:szCs w:val="24"/>
          <w14:textFill>
            <w14:solidFill>
              <w14:schemeClr w14:val="tx1"/>
            </w14:solidFill>
          </w14:textFill>
        </w:rPr>
        <w:t>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p>
    <w:p w14:paraId="178B039B">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 w:eastAsia="zh-CN"/>
          <w14:textFill>
            <w14:solidFill>
              <w14:schemeClr w14:val="tx1"/>
            </w14:solidFill>
          </w14:textFill>
        </w:rPr>
        <w:t>8</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）中标（成交）供应商是否为外商投资企业：</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 xml:space="preserve">是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否</w:t>
      </w:r>
    </w:p>
    <w:p w14:paraId="17423D25">
      <w:pPr>
        <w:pStyle w:val="113"/>
        <w:pageBreakBefore w:val="0"/>
        <w:tabs>
          <w:tab w:val="left" w:pos="1340"/>
        </w:tabs>
        <w:kinsoku/>
        <w:wordWrap/>
        <w:overflowPunct/>
        <w:topLinePunct w:val="0"/>
        <w:bidi w:val="0"/>
        <w:spacing w:beforeLines="0" w:line="56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外商投资企业类型：</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全部由外国投资者投资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lang w:val="en-US" w:eastAsia="zh-CN"/>
          <w14:textFill>
            <w14:solidFill>
              <w14:schemeClr w14:val="tx1"/>
            </w14:solidFill>
          </w14:textFill>
        </w:rPr>
        <w:t>部分由外国投资者投资</w:t>
      </w:r>
    </w:p>
    <w:p w14:paraId="4FD3B65D">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9</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）是否涉及进口产品：</w:t>
      </w:r>
    </w:p>
    <w:p w14:paraId="2679438E">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29E8D742">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国别：</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规格型号：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t xml:space="preserve">      </w:t>
      </w:r>
    </w:p>
    <w:p w14:paraId="48FB27D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165E30CC">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（1</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0</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）是否涉及节能产品：</w:t>
      </w:r>
    </w:p>
    <w:p w14:paraId="0E1442F5">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，《节能产品政府采购品目清单》的底级品目名称：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91E8D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DD7CF4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49D9166B">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是否涉及环境标志产品：</w:t>
      </w:r>
    </w:p>
    <w:p w14:paraId="4829B47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，《环境标志产品政府采购品目清单》的底级品目名称：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6907CDB7">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382C2566">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61CA0BAB">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2"/>
          <w:sz w:val="24"/>
          <w:szCs w:val="24"/>
          <w:u w:val="none"/>
          <w:lang w:val="en-US" w:eastAsia="zh-CN"/>
          <w14:textFill>
            <w14:solidFill>
              <w14:schemeClr w14:val="tx1"/>
            </w14:solidFill>
          </w14:textFill>
        </w:rPr>
        <w:t>是否涉及绿色产品：</w:t>
      </w: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p>
    <w:p w14:paraId="50BD97FC">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是</w:t>
      </w:r>
      <w:r>
        <w:rPr>
          <w:rFonts w:hint="eastAsia" w:ascii="宋体" w:hAnsi="宋体" w:eastAsia="宋体" w:cs="宋体"/>
          <w:iCs w:val="0"/>
          <w:color w:val="000000" w:themeColor="text1"/>
          <w:kern w:val="2"/>
          <w:sz w:val="24"/>
          <w:szCs w:val="24"/>
          <w:u w:val="none"/>
          <w:lang w:eastAsia="zh-CN"/>
          <w14:textFill>
            <w14:solidFill>
              <w14:schemeClr w14:val="tx1"/>
            </w14:solidFill>
          </w14:textFill>
        </w:rPr>
        <w:t>，绿色产品政府采购相关政策确定的底级品目名称：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3B766E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05F83957">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否</w:t>
      </w:r>
    </w:p>
    <w:p w14:paraId="77EE8AC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（1</w:t>
      </w:r>
      <w:r>
        <w:rPr>
          <w:rFonts w:hint="eastAsia" w:ascii="宋体" w:hAnsi="宋体" w:eastAsia="宋体" w:cs="宋体"/>
          <w:color w:val="000000" w:themeColor="text1"/>
          <w:sz w:val="24"/>
          <w:szCs w:val="24"/>
          <w:lang w:val="en"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）涉及商品包装和快递包装的，是否参考</w:t>
      </w:r>
      <w:r>
        <w:rPr>
          <w:rFonts w:hint="eastAsia" w:ascii="宋体" w:hAnsi="宋体" w:eastAsia="宋体" w:cs="宋体"/>
          <w:color w:val="000000" w:themeColor="text1"/>
          <w:sz w:val="24"/>
          <w:szCs w:val="24"/>
          <w14:textFill>
            <w14:solidFill>
              <w14:schemeClr w14:val="tx1"/>
            </w14:solidFill>
          </w14:textFill>
        </w:rPr>
        <w:t>《商品包装政府采购需求标准（试行）》、《快递包装政府采购需求标准（试行）》</w:t>
      </w:r>
      <w:r>
        <w:rPr>
          <w:rFonts w:hint="eastAsia" w:ascii="宋体" w:hAnsi="宋体" w:eastAsia="宋体" w:cs="宋体"/>
          <w:color w:val="000000" w:themeColor="text1"/>
          <w:sz w:val="24"/>
          <w:szCs w:val="24"/>
          <w:lang w:eastAsia="zh-CN"/>
          <w14:textFill>
            <w14:solidFill>
              <w14:schemeClr w14:val="tx1"/>
            </w14:solidFill>
          </w14:textFill>
        </w:rPr>
        <w:t>明确产品及相关快递服务的具体包装要求：</w:t>
      </w:r>
    </w:p>
    <w:p w14:paraId="5BCBC366">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 xml:space="preserve">是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不涉及</w:t>
      </w:r>
    </w:p>
    <w:p w14:paraId="5B1CB0A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合同金额</w:t>
      </w:r>
    </w:p>
    <w:p w14:paraId="16EBCBE6">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（1）合同金额小写：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p>
    <w:p w14:paraId="3CD50142">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（注：固定单价合同应填写单价和最高限价）</w:t>
      </w:r>
    </w:p>
    <w:p w14:paraId="42DFE7F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合同定价方式</w:t>
      </w:r>
      <w:r>
        <w:rPr>
          <w:rFonts w:hint="eastAsia" w:ascii="宋体" w:hAnsi="宋体" w:eastAsia="宋体" w:cs="宋体"/>
          <w:color w:val="000000" w:themeColor="text1"/>
          <w:sz w:val="24"/>
          <w:szCs w:val="24"/>
          <w:lang w:eastAsia="zh-CN"/>
          <w14:textFill>
            <w14:solidFill>
              <w14:schemeClr w14:val="tx1"/>
            </w14:solidFill>
          </w14:textFill>
        </w:rPr>
        <w:t>（采用组合定价方式的，可以勾选多项）</w:t>
      </w:r>
      <w:r>
        <w:rPr>
          <w:rFonts w:hint="eastAsia" w:ascii="宋体" w:hAnsi="宋体" w:eastAsia="宋体" w:cs="宋体"/>
          <w:color w:val="000000" w:themeColor="text1"/>
          <w:sz w:val="24"/>
          <w:szCs w:val="24"/>
          <w14:textFill>
            <w14:solidFill>
              <w14:schemeClr w14:val="tx1"/>
            </w14:solidFill>
          </w14:textFill>
        </w:rPr>
        <w:t>：</w:t>
      </w:r>
    </w:p>
    <w:p w14:paraId="241B007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固定总价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固定单价</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固定费率</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成本补偿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绩效激励</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5AE7000">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）付款方式（按项目实际勾选填写）：</w:t>
      </w:r>
    </w:p>
    <w:p w14:paraId="0D662C7A">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全额付款：</w:t>
      </w:r>
      <w:r>
        <w:rPr>
          <w:rFonts w:hint="eastAsia" w:ascii="宋体" w:hAnsi="宋体" w:eastAsia="宋体" w:cs="宋体"/>
          <w:color w:val="000000" w:themeColor="text1"/>
          <w:sz w:val="24"/>
          <w:szCs w:val="24"/>
          <w:u w:val="single"/>
          <w14:textFill>
            <w14:solidFill>
              <w14:schemeClr w14:val="tx1"/>
            </w14:solidFill>
          </w14:textFill>
        </w:rPr>
        <w:t xml:space="preserve">     （应</w:t>
      </w:r>
      <w:r>
        <w:rPr>
          <w:rFonts w:hint="eastAsia" w:ascii="宋体" w:hAnsi="宋体" w:eastAsia="宋体" w:cs="宋体"/>
          <w:color w:val="000000" w:themeColor="text1"/>
          <w:sz w:val="24"/>
          <w:szCs w:val="24"/>
          <w:u w:val="single"/>
          <w:lang w:eastAsia="zh-CN"/>
          <w14:textFill>
            <w14:solidFill>
              <w14:schemeClr w14:val="tx1"/>
            </w14:solidFill>
          </w14:textFill>
        </w:rPr>
        <w:t>明确</w:t>
      </w:r>
      <w:r>
        <w:rPr>
          <w:rFonts w:hint="eastAsia" w:ascii="宋体" w:hAnsi="宋体" w:eastAsia="宋体" w:cs="宋体"/>
          <w:color w:val="000000" w:themeColor="text1"/>
          <w:sz w:val="24"/>
          <w:szCs w:val="24"/>
          <w:u w:val="single"/>
          <w14:textFill>
            <w14:solidFill>
              <w14:schemeClr w14:val="tx1"/>
            </w14:solidFill>
          </w14:textFill>
        </w:rPr>
        <w:t>一次性支付合同款项</w:t>
      </w:r>
      <w:r>
        <w:rPr>
          <w:rFonts w:hint="eastAsia" w:ascii="宋体" w:hAnsi="宋体" w:eastAsia="宋体" w:cs="宋体"/>
          <w:color w:val="000000" w:themeColor="text1"/>
          <w:sz w:val="24"/>
          <w:szCs w:val="24"/>
          <w:u w:val="single"/>
          <w:lang w:eastAsia="zh-CN"/>
          <w14:textFill>
            <w14:solidFill>
              <w14:schemeClr w14:val="tx1"/>
            </w14:solidFill>
          </w14:textFill>
        </w:rPr>
        <w:t>的条件</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07A5780">
      <w:pPr>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分期付款：</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其中涉及预付款的</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（应明确预付款的支付比例和支付条件） </w:t>
      </w:r>
    </w:p>
    <w:p w14:paraId="13ACCC41">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成本补偿：</w:t>
      </w:r>
      <w:r>
        <w:rPr>
          <w:rFonts w:hint="eastAsia" w:ascii="宋体" w:hAnsi="宋体" w:eastAsia="宋体" w:cs="宋体"/>
          <w:color w:val="000000" w:themeColor="text1"/>
          <w:sz w:val="24"/>
          <w:szCs w:val="24"/>
          <w:u w:val="single"/>
          <w14:textFill>
            <w14:solidFill>
              <w14:schemeClr w14:val="tx1"/>
            </w14:solidFill>
          </w14:textFill>
        </w:rPr>
        <w:t xml:space="preserve">      （应明确按照成本补偿方式的支付方式和支付条件）   </w:t>
      </w:r>
    </w:p>
    <w:p w14:paraId="11523576">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绩效激励：</w:t>
      </w:r>
      <w:r>
        <w:rPr>
          <w:rFonts w:hint="eastAsia" w:ascii="宋体" w:hAnsi="宋体" w:eastAsia="宋体" w:cs="宋体"/>
          <w:color w:val="000000" w:themeColor="text1"/>
          <w:sz w:val="24"/>
          <w:szCs w:val="24"/>
          <w:u w:val="single"/>
          <w14:textFill>
            <w14:solidFill>
              <w14:schemeClr w14:val="tx1"/>
            </w14:solidFill>
          </w14:textFill>
        </w:rPr>
        <w:t xml:space="preserve">      （应明确按照绩效激励方式的支付方式和支付条件）   </w:t>
      </w:r>
    </w:p>
    <w:p w14:paraId="1472DABF">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color w:val="000000" w:themeColor="text1"/>
          <w:sz w:val="24"/>
          <w:szCs w:val="24"/>
          <w:u w:val="single"/>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合同履行</w:t>
      </w:r>
    </w:p>
    <w:p w14:paraId="0CF3A08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（1）起始日期：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日，完成日期：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BC80B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履约</w:t>
      </w: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eastAsia="宋体" w:cs="宋体"/>
          <w:b w:val="0"/>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0350BF1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（3）履约担保：</w:t>
      </w:r>
      <w:r>
        <w:rPr>
          <w:rFonts w:hint="eastAsia" w:ascii="宋体" w:hAnsi="宋体" w:eastAsia="宋体" w:cs="宋体"/>
          <w:color w:val="000000" w:themeColor="text1"/>
          <w:sz w:val="24"/>
          <w:szCs w:val="24"/>
          <w:lang w:val="en-US" w:eastAsia="zh-CN"/>
          <w14:textFill>
            <w14:solidFill>
              <w14:schemeClr w14:val="tx1"/>
            </w14:solidFill>
          </w14:textFill>
        </w:rPr>
        <w:t>是否收取履约保证金：</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否</w:t>
      </w:r>
    </w:p>
    <w:p w14:paraId="68E72D31">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4906651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036B745D">
      <w:pPr>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履约担保期限</w:t>
      </w: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3503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3137AF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w:t>
      </w:r>
      <w:r>
        <w:rPr>
          <w:rFonts w:hint="eastAsia" w:ascii="宋体" w:hAnsi="宋体" w:eastAsia="宋体" w:cs="宋体"/>
          <w:bCs/>
          <w:color w:val="000000" w:themeColor="text1"/>
          <w:sz w:val="24"/>
          <w:szCs w:val="24"/>
          <w:lang w:eastAsia="zh-CN"/>
          <w14:textFill>
            <w14:solidFill>
              <w14:schemeClr w14:val="tx1"/>
            </w14:solidFill>
          </w14:textFill>
        </w:rPr>
        <w:t>风险处置措施和替代方案</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EA4FBE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合同验收</w:t>
      </w:r>
    </w:p>
    <w:p w14:paraId="78E44303">
      <w:pPr>
        <w:pageBreakBefore w:val="0"/>
        <w:numPr>
          <w:ilvl w:val="0"/>
          <w:numId w:val="8"/>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自行组织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委托第三方组织</w:t>
      </w:r>
    </w:p>
    <w:p w14:paraId="155C49B3">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验收主体：</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EACE438">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是否邀请本项目的其他供应商</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91F181D">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是否邀请专家</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34DAFEF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是否邀请服务对象</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B07E701">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是否邀请第三方检测机构</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20E237D3">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是否进行抽查检测：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，抽查比例：</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7C7DCD46">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是否存在破坏性检测：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lang w:eastAsia="zh-CN"/>
          <w14:textFill>
            <w14:solidFill>
              <w14:schemeClr w14:val="tx1"/>
            </w14:solidFill>
          </w14:textFill>
        </w:rPr>
        <w:t>（应明确对被破坏的检测产品的处理方式）</w:t>
      </w:r>
    </w:p>
    <w:p w14:paraId="12159F6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5CB40DF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验收组织的其他事项：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936FE1F">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（2）履约验收时间：</w:t>
      </w:r>
      <w:r>
        <w:rPr>
          <w:rFonts w:hint="eastAsia" w:ascii="宋体" w:hAnsi="宋体" w:eastAsia="宋体" w:cs="宋体"/>
          <w:bCs/>
          <w:color w:val="000000" w:themeColor="text1"/>
          <w:sz w:val="24"/>
          <w:szCs w:val="24"/>
          <w:u w:val="single"/>
          <w14:textFill>
            <w14:solidFill>
              <w14:schemeClr w14:val="tx1"/>
            </w14:solidFill>
          </w14:textFill>
        </w:rPr>
        <w:t>（计划于何时验收/供应商提出验收申请之日起   日内组织验收）</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4A75457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（3）履约验收方式：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一次性验收         </w:t>
      </w:r>
    </w:p>
    <w:p w14:paraId="467AECB1">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分期/分项验收</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（应明确分期</w:t>
      </w:r>
      <w:r>
        <w:rPr>
          <w:rFonts w:hint="eastAsia" w:ascii="宋体" w:hAnsi="宋体" w:eastAsia="宋体" w:cs="宋体"/>
          <w:bCs/>
          <w:color w:val="000000" w:themeColor="text1"/>
          <w:sz w:val="24"/>
          <w:szCs w:val="24"/>
          <w:u w:val="single"/>
          <w:lang w:val="en" w:eastAsia="zh-CN"/>
          <w14:textFill>
            <w14:solidFill>
              <w14:schemeClr w14:val="tx1"/>
            </w14:solidFill>
          </w14:textFill>
        </w:rPr>
        <w:t>/分项验收的工作安排</w:t>
      </w:r>
      <w:r>
        <w:rPr>
          <w:rFonts w:hint="eastAsia" w:ascii="宋体" w:hAnsi="宋体" w:eastAsia="宋体" w:cs="宋体"/>
          <w:bCs/>
          <w:color w:val="000000" w:themeColor="text1"/>
          <w:sz w:val="24"/>
          <w:szCs w:val="24"/>
          <w:u w:val="singl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512A26C4">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（4）履约验收程序：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1076EB2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（5）履约验收的内容：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（应当包括每一项技术和商务要求的履约情况，特别是落实政府采购扶持中小企业，支持绿色发展和乡村振兴等政策情况）</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35257A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（6）履约验收标准：</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7A96220E">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none"/>
          <w:lang w:val="en-US" w:eastAsia="zh-CN"/>
          <w14:textFill>
            <w14:solidFill>
              <w14:schemeClr w14:val="tx1"/>
            </w14:solidFill>
          </w14:textFill>
        </w:rPr>
        <w:t>7</w:t>
      </w:r>
      <w:r>
        <w:rPr>
          <w:rFonts w:hint="eastAsia" w:ascii="宋体" w:hAnsi="宋体" w:eastAsia="宋体" w:cs="宋体"/>
          <w:bCs/>
          <w:color w:val="000000" w:themeColor="text1"/>
          <w:sz w:val="24"/>
          <w:szCs w:val="24"/>
          <w:u w:val="none"/>
          <w:lang w:eastAsia="zh-CN"/>
          <w14:textFill>
            <w14:solidFill>
              <w14:schemeClr w14:val="tx1"/>
            </w14:solidFill>
          </w14:textFill>
        </w:rPr>
        <w:t>）是否以采购活动中供应商提供的样品作为参考：</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396A7EE">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（8）履约验收其他事项：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u w:val="single"/>
          <w14:textFill>
            <w14:solidFill>
              <w14:schemeClr w14:val="tx1"/>
            </w14:solidFill>
          </w14:textFill>
        </w:rPr>
        <w:t>（产权过户登记等）</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6BF5643A">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组成合同的文件</w:t>
      </w:r>
    </w:p>
    <w:p w14:paraId="165F29E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本协议书与下列文件一起构成合同文件，如下述文件之间有任何抵触、矛盾或歧义，应按以下顺序解释：</w:t>
      </w:r>
    </w:p>
    <w:p w14:paraId="18DF6C0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p>
    <w:p w14:paraId="053B7F0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）政府采购合同专用条款</w:t>
      </w:r>
    </w:p>
    <w:p w14:paraId="69D4487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）政府采购合同通用条款</w:t>
      </w:r>
    </w:p>
    <w:p w14:paraId="3C61B67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p>
    <w:p w14:paraId="02255BA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）投标（响应）文件</w:t>
      </w:r>
    </w:p>
    <w:p w14:paraId="48EDA3F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（6）采购文件</w:t>
      </w:r>
    </w:p>
    <w:p w14:paraId="7A13602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（7）有关技术文件，图纸</w:t>
      </w:r>
    </w:p>
    <w:p w14:paraId="02196D0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14:paraId="4B95198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合同生效</w:t>
      </w:r>
    </w:p>
    <w:p w14:paraId="04559A8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生效。</w:t>
      </w:r>
    </w:p>
    <w:p w14:paraId="257DC3E7">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合同份数</w:t>
      </w:r>
    </w:p>
    <w:p w14:paraId="4A037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本合同一式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val="en-US" w:eastAsia="zh-CN"/>
          <w14:textFill>
            <w14:solidFill>
              <w14:schemeClr w14:val="tx1"/>
            </w14:solidFill>
          </w14:textFill>
        </w:rPr>
        <w:t>代理机构</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均具有同等法律效力。</w:t>
      </w:r>
    </w:p>
    <w:p w14:paraId="64351A09">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合同订立时间：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021D10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合同订立地点：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C4136F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附件：具体标</w:t>
      </w:r>
      <w:r>
        <w:rPr>
          <w:rFonts w:hint="eastAsia" w:ascii="宋体" w:hAnsi="宋体" w:eastAsia="宋体" w:cs="宋体"/>
          <w:color w:val="000000" w:themeColor="text1"/>
          <w:sz w:val="24"/>
          <w:szCs w:val="24"/>
          <w:lang w:eastAsia="zh-CN"/>
          <w14:textFill>
            <w14:solidFill>
              <w14:schemeClr w14:val="tx1"/>
            </w14:solidFill>
          </w14:textFill>
        </w:rPr>
        <w:t>的及其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技术要求和商务要求</w:t>
      </w:r>
      <w:r>
        <w:rPr>
          <w:rFonts w:hint="eastAsia" w:ascii="宋体" w:hAnsi="宋体" w:eastAsia="宋体" w:cs="宋体"/>
          <w:color w:val="000000" w:themeColor="text1"/>
          <w:sz w:val="24"/>
          <w:szCs w:val="24"/>
          <w14:textFill>
            <w14:solidFill>
              <w14:schemeClr w14:val="tx1"/>
            </w14:solidFill>
          </w14:textFill>
        </w:rPr>
        <w:t>、联合协议、分包</w:t>
      </w:r>
      <w:r>
        <w:rPr>
          <w:rFonts w:hint="eastAsia" w:ascii="宋体" w:hAnsi="宋体" w:eastAsia="宋体" w:cs="宋体"/>
          <w:color w:val="000000" w:themeColor="text1"/>
          <w:sz w:val="24"/>
          <w:szCs w:val="24"/>
          <w:lang w:eastAsia="zh-CN"/>
          <w14:textFill>
            <w14:solidFill>
              <w14:schemeClr w14:val="tx1"/>
            </w14:solidFill>
          </w14:textFill>
        </w:rPr>
        <w:t>意向</w:t>
      </w:r>
      <w:r>
        <w:rPr>
          <w:rFonts w:hint="eastAsia" w:ascii="宋体" w:hAnsi="宋体" w:eastAsia="宋体" w:cs="宋体"/>
          <w:color w:val="000000" w:themeColor="text1"/>
          <w:sz w:val="24"/>
          <w:szCs w:val="24"/>
          <w14:textFill>
            <w14:solidFill>
              <w14:schemeClr w14:val="tx1"/>
            </w14:solidFill>
          </w14:textFill>
        </w:rPr>
        <w:t>协议等。</w:t>
      </w:r>
    </w:p>
    <w:p w14:paraId="1085E983">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p>
    <w:p w14:paraId="3A5F88EA">
      <w:pPr>
        <w:pageBreakBefore w:val="0"/>
        <w:kinsoku/>
        <w:wordWrap/>
        <w:overflowPunct/>
        <w:topLinePunct w:val="0"/>
        <w:bidi w:val="0"/>
        <w:spacing w:beforeLines="0" w:line="56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t xml:space="preserve">   </w:t>
      </w:r>
    </w:p>
    <w:p w14:paraId="0B17A052">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tbl>
      <w:tblPr>
        <w:tblStyle w:val="35"/>
        <w:tblW w:w="5530" w:type="pct"/>
        <w:tblInd w:w="-541"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3436"/>
        <w:gridCol w:w="3343"/>
        <w:gridCol w:w="3443"/>
      </w:tblGrid>
      <w:tr w14:paraId="54B627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515" w:hRule="atLeast"/>
        </w:trPr>
        <w:tc>
          <w:tcPr>
            <w:tcW w:w="1681" w:type="pct"/>
            <w:tcBorders>
              <w:bottom w:val="single" w:color="auto" w:sz="2" w:space="0"/>
              <w:right w:val="single" w:color="auto" w:sz="2" w:space="0"/>
            </w:tcBorders>
            <w:noWrap w:val="0"/>
            <w:vAlign w:val="center"/>
          </w:tcPr>
          <w:p w14:paraId="32BE06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p>
          <w:p w14:paraId="53E37F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35" w:type="pct"/>
            <w:tcBorders>
              <w:left w:val="single" w:color="auto" w:sz="2" w:space="0"/>
              <w:bottom w:val="single" w:color="auto" w:sz="2" w:space="0"/>
            </w:tcBorders>
            <w:noWrap w:val="0"/>
            <w:vAlign w:val="center"/>
          </w:tcPr>
          <w:p w14:paraId="2218F6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w:t>
            </w:r>
          </w:p>
          <w:p w14:paraId="28F75B2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82" w:type="pct"/>
            <w:tcBorders>
              <w:left w:val="single" w:color="auto" w:sz="2" w:space="0"/>
              <w:bottom w:val="single" w:color="auto" w:sz="2" w:space="0"/>
            </w:tcBorders>
            <w:noWrap w:val="0"/>
            <w:vAlign w:val="center"/>
          </w:tcPr>
          <w:p w14:paraId="02FEB22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w:t>
            </w:r>
          </w:p>
          <w:p w14:paraId="451D6BD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陕西宸永项目管理有限公司</w:t>
            </w:r>
          </w:p>
        </w:tc>
      </w:tr>
      <w:tr w14:paraId="091970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829" w:hRule="atLeast"/>
        </w:trPr>
        <w:tc>
          <w:tcPr>
            <w:tcW w:w="1681" w:type="pct"/>
            <w:tcBorders>
              <w:top w:val="single" w:color="auto" w:sz="2" w:space="0"/>
              <w:bottom w:val="single" w:color="auto" w:sz="2" w:space="0"/>
              <w:right w:val="single" w:color="auto" w:sz="2" w:space="0"/>
            </w:tcBorders>
            <w:noWrap w:val="0"/>
            <w:vAlign w:val="center"/>
          </w:tcPr>
          <w:p w14:paraId="069D6B9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C5E006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310841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r>
      <w:tr w14:paraId="6BB42E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78" w:hRule="atLeast"/>
        </w:trPr>
        <w:tc>
          <w:tcPr>
            <w:tcW w:w="1681" w:type="pct"/>
            <w:vMerge w:val="restart"/>
            <w:tcBorders>
              <w:top w:val="single" w:color="auto" w:sz="2" w:space="0"/>
              <w:right w:val="single" w:color="auto" w:sz="2" w:space="0"/>
            </w:tcBorders>
            <w:noWrap w:val="0"/>
            <w:vAlign w:val="center"/>
          </w:tcPr>
          <w:p w14:paraId="58E996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6DB451C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6552EFE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tcBorders>
            <w:noWrap w:val="0"/>
            <w:vAlign w:val="center"/>
          </w:tcPr>
          <w:p w14:paraId="28C9EA9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067B68D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71954E3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0405AAC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43C5463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317BB9D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r>
      <w:tr w14:paraId="700EFB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vMerge w:val="continue"/>
            <w:tcBorders>
              <w:bottom w:val="single" w:color="auto" w:sz="2" w:space="0"/>
              <w:right w:val="single" w:color="auto" w:sz="2" w:space="0"/>
            </w:tcBorders>
            <w:noWrap w:val="0"/>
            <w:vAlign w:val="center"/>
          </w:tcPr>
          <w:p w14:paraId="777F3CB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51CB93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拥有者性别：</w:t>
            </w:r>
          </w:p>
        </w:tc>
        <w:tc>
          <w:tcPr>
            <w:tcW w:w="1682" w:type="pct"/>
            <w:vMerge w:val="restart"/>
            <w:tcBorders>
              <w:top w:val="single" w:color="auto" w:sz="2" w:space="0"/>
              <w:left w:val="single" w:color="auto" w:sz="2" w:space="0"/>
            </w:tcBorders>
            <w:noWrap w:val="0"/>
            <w:vAlign w:val="center"/>
          </w:tcPr>
          <w:p w14:paraId="431968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所：延安市新区盛世花园北区12号楼一单元802室</w:t>
            </w:r>
          </w:p>
        </w:tc>
      </w:tr>
      <w:tr w14:paraId="141667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tcBorders>
              <w:top w:val="single" w:color="auto" w:sz="2" w:space="0"/>
              <w:bottom w:val="single" w:color="auto" w:sz="2" w:space="0"/>
              <w:right w:val="single" w:color="auto" w:sz="2" w:space="0"/>
            </w:tcBorders>
            <w:noWrap w:val="0"/>
            <w:vAlign w:val="center"/>
          </w:tcPr>
          <w:p w14:paraId="0F80752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p>
        </w:tc>
        <w:tc>
          <w:tcPr>
            <w:tcW w:w="1635" w:type="pct"/>
            <w:tcBorders>
              <w:top w:val="single" w:color="auto" w:sz="2" w:space="0"/>
              <w:left w:val="single" w:color="auto" w:sz="2" w:space="0"/>
              <w:bottom w:val="single" w:color="auto" w:sz="2" w:space="0"/>
            </w:tcBorders>
            <w:noWrap w:val="0"/>
            <w:vAlign w:val="center"/>
          </w:tcPr>
          <w:p w14:paraId="0716B77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bottom w:val="single" w:color="auto" w:sz="2" w:space="0"/>
            </w:tcBorders>
            <w:noWrap w:val="0"/>
            <w:vAlign w:val="center"/>
          </w:tcPr>
          <w:p w14:paraId="40A51C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616AB0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681" w:type="pct"/>
            <w:tcBorders>
              <w:top w:val="single" w:color="auto" w:sz="2" w:space="0"/>
              <w:bottom w:val="single" w:color="auto" w:sz="2" w:space="0"/>
              <w:right w:val="single" w:color="auto" w:sz="2" w:space="0"/>
            </w:tcBorders>
            <w:noWrap w:val="0"/>
            <w:vAlign w:val="center"/>
          </w:tcPr>
          <w:p w14:paraId="08E7B3C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AD6E7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24E38A6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杨工</w:t>
            </w:r>
          </w:p>
        </w:tc>
      </w:tr>
      <w:tr w14:paraId="3D79EF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61" w:hRule="atLeast"/>
        </w:trPr>
        <w:tc>
          <w:tcPr>
            <w:tcW w:w="1681" w:type="pct"/>
            <w:tcBorders>
              <w:top w:val="single" w:color="auto" w:sz="2" w:space="0"/>
              <w:bottom w:val="single" w:color="auto" w:sz="2" w:space="0"/>
              <w:right w:val="single" w:color="auto" w:sz="2" w:space="0"/>
            </w:tcBorders>
            <w:noWrap w:val="0"/>
            <w:vAlign w:val="center"/>
          </w:tcPr>
          <w:p w14:paraId="6B35C5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4A3512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B8562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0911-8688810</w:t>
            </w:r>
          </w:p>
        </w:tc>
      </w:tr>
      <w:tr w14:paraId="6DE0A9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07" w:hRule="atLeast"/>
        </w:trPr>
        <w:tc>
          <w:tcPr>
            <w:tcW w:w="1681" w:type="pct"/>
            <w:tcBorders>
              <w:top w:val="single" w:color="auto" w:sz="2" w:space="0"/>
              <w:bottom w:val="single" w:color="auto" w:sz="2" w:space="0"/>
              <w:right w:val="single" w:color="auto" w:sz="2" w:space="0"/>
            </w:tcBorders>
            <w:noWrap w:val="0"/>
            <w:vAlign w:val="center"/>
          </w:tcPr>
          <w:p w14:paraId="448A6C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p>
        </w:tc>
        <w:tc>
          <w:tcPr>
            <w:tcW w:w="1635" w:type="pct"/>
            <w:tcBorders>
              <w:top w:val="single" w:color="auto" w:sz="2" w:space="0"/>
              <w:left w:val="single" w:color="auto" w:sz="2" w:space="0"/>
              <w:bottom w:val="single" w:color="auto" w:sz="2" w:space="0"/>
            </w:tcBorders>
            <w:noWrap w:val="0"/>
            <w:vAlign w:val="center"/>
          </w:tcPr>
          <w:p w14:paraId="41258CA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4E39059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通信地址：延安市新区盛世花园北区12号楼一单元802室</w:t>
            </w:r>
          </w:p>
        </w:tc>
      </w:tr>
      <w:tr w14:paraId="412EDC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36" w:hRule="atLeast"/>
        </w:trPr>
        <w:tc>
          <w:tcPr>
            <w:tcW w:w="1681" w:type="pct"/>
            <w:tcBorders>
              <w:top w:val="single" w:color="auto" w:sz="2" w:space="0"/>
              <w:bottom w:val="single" w:color="auto" w:sz="2" w:space="0"/>
              <w:right w:val="single" w:color="auto" w:sz="2" w:space="0"/>
            </w:tcBorders>
            <w:noWrap w:val="0"/>
            <w:vAlign w:val="center"/>
          </w:tcPr>
          <w:p w14:paraId="1E3425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8903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92BA4B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716000</w:t>
            </w:r>
          </w:p>
        </w:tc>
      </w:tr>
      <w:tr w14:paraId="26C6CC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78" w:hRule="atLeast"/>
        </w:trPr>
        <w:tc>
          <w:tcPr>
            <w:tcW w:w="1681" w:type="pct"/>
            <w:tcBorders>
              <w:top w:val="single" w:color="auto" w:sz="2" w:space="0"/>
              <w:bottom w:val="single" w:color="auto" w:sz="2" w:space="0"/>
              <w:right w:val="single" w:color="auto" w:sz="2" w:space="0"/>
            </w:tcBorders>
            <w:noWrap w:val="0"/>
            <w:vAlign w:val="center"/>
          </w:tcPr>
          <w:p w14:paraId="3678A8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30F64FF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p>
          <w:p w14:paraId="7798A89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4684B25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fldChar w:fldCharType="begin"/>
            </w:r>
            <w:r>
              <w:rPr>
                <w:rFonts w:hint="eastAsia" w:ascii="宋体" w:hAnsi="宋体" w:eastAsia="宋体" w:cs="宋体"/>
                <w:color w:val="000000" w:themeColor="text1"/>
                <w:sz w:val="24"/>
                <w:szCs w:val="24"/>
                <w:lang w:eastAsia="zh-CN"/>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lang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471993164@qq.com</w:t>
            </w:r>
            <w:r>
              <w:rPr>
                <w:rFonts w:hint="eastAsia" w:ascii="宋体" w:hAnsi="宋体" w:eastAsia="宋体" w:cs="宋体"/>
                <w:color w:val="000000" w:themeColor="text1"/>
                <w:sz w:val="24"/>
                <w:szCs w:val="24"/>
                <w:lang w:eastAsia="zh-CN"/>
                <w14:textFill>
                  <w14:solidFill>
                    <w14:schemeClr w14:val="tx1"/>
                  </w14:solidFill>
                </w14:textFill>
              </w:rPr>
              <w:fldChar w:fldCharType="end"/>
            </w:r>
          </w:p>
        </w:tc>
      </w:tr>
      <w:tr w14:paraId="652F4F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78" w:hRule="atLeast"/>
        </w:trPr>
        <w:tc>
          <w:tcPr>
            <w:tcW w:w="1681" w:type="pct"/>
            <w:vMerge w:val="restart"/>
            <w:tcBorders>
              <w:top w:val="single" w:color="auto" w:sz="2" w:space="0"/>
              <w:right w:val="single" w:color="auto" w:sz="2" w:space="0"/>
            </w:tcBorders>
            <w:noWrap w:val="0"/>
            <w:vAlign w:val="center"/>
          </w:tcPr>
          <w:p w14:paraId="0B58360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4955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pacing w:val="20"/>
                <w:sz w:val="24"/>
                <w:szCs w:val="24"/>
                <w:lang w:val="en-US" w:eastAsia="zh-CN"/>
                <w14:textFill>
                  <w14:solidFill>
                    <w14:schemeClr w14:val="tx1"/>
                  </w14:solidFill>
                </w14:textFill>
              </w:rPr>
              <w:t>统一社会信用代码：</w:t>
            </w:r>
          </w:p>
        </w:tc>
        <w:tc>
          <w:tcPr>
            <w:tcW w:w="1682" w:type="pct"/>
            <w:vMerge w:val="restart"/>
            <w:tcBorders>
              <w:top w:val="single" w:color="auto" w:sz="2" w:space="0"/>
              <w:left w:val="single" w:color="auto" w:sz="2" w:space="0"/>
            </w:tcBorders>
            <w:noWrap w:val="0"/>
            <w:vAlign w:val="center"/>
          </w:tcPr>
          <w:p w14:paraId="03DD107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：91610132MAB0PNX9XG</w:t>
            </w:r>
          </w:p>
        </w:tc>
      </w:tr>
      <w:tr w14:paraId="0B02C0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1" w:hRule="atLeast"/>
        </w:trPr>
        <w:tc>
          <w:tcPr>
            <w:tcW w:w="1681" w:type="pct"/>
            <w:vMerge w:val="continue"/>
            <w:tcBorders>
              <w:right w:val="single" w:color="auto" w:sz="2" w:space="0"/>
            </w:tcBorders>
            <w:noWrap w:val="0"/>
            <w:vAlign w:val="center"/>
          </w:tcPr>
          <w:p w14:paraId="2540F99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7E3D10C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开户名称</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tcBorders>
            <w:noWrap w:val="0"/>
            <w:vAlign w:val="center"/>
          </w:tcPr>
          <w:p w14:paraId="5420F2F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334021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right w:val="single" w:color="auto" w:sz="2" w:space="0"/>
            </w:tcBorders>
            <w:noWrap w:val="0"/>
            <w:vAlign w:val="center"/>
          </w:tcPr>
          <w:p w14:paraId="07A3FDF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4E77DF3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开户银行:</w:t>
            </w:r>
          </w:p>
        </w:tc>
        <w:tc>
          <w:tcPr>
            <w:tcW w:w="1682" w:type="pct"/>
            <w:vMerge w:val="continue"/>
            <w:tcBorders>
              <w:left w:val="single" w:color="auto" w:sz="2" w:space="0"/>
            </w:tcBorders>
            <w:noWrap w:val="0"/>
            <w:vAlign w:val="center"/>
          </w:tcPr>
          <w:p w14:paraId="7C1C0F6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4A97BE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bottom w:val="single" w:color="auto" w:sz="2" w:space="0"/>
              <w:right w:val="single" w:color="auto" w:sz="2" w:space="0"/>
            </w:tcBorders>
            <w:noWrap w:val="0"/>
            <w:vAlign w:val="center"/>
          </w:tcPr>
          <w:p w14:paraId="13C888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2444F6A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银行账号：</w:t>
            </w:r>
          </w:p>
        </w:tc>
        <w:tc>
          <w:tcPr>
            <w:tcW w:w="1682" w:type="pct"/>
            <w:vMerge w:val="continue"/>
            <w:tcBorders>
              <w:left w:val="single" w:color="auto" w:sz="2" w:space="0"/>
              <w:bottom w:val="single" w:color="auto" w:sz="2" w:space="0"/>
            </w:tcBorders>
            <w:noWrap w:val="0"/>
            <w:vAlign w:val="center"/>
          </w:tcPr>
          <w:p w14:paraId="252FDE0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210791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3"/>
            <w:tcBorders>
              <w:top w:val="single" w:color="auto" w:sz="2" w:space="0"/>
            </w:tcBorders>
            <w:noWrap w:val="0"/>
            <w:vAlign w:val="center"/>
          </w:tcPr>
          <w:p w14:paraId="7AE08AFC">
            <w:pPr>
              <w:pStyle w:val="12"/>
              <w:keepNext w:val="0"/>
              <w:keepLines w:val="0"/>
              <w:pageBreakBefore w:val="0"/>
              <w:widowControl w:val="0"/>
              <w:kinsoku/>
              <w:wordWrap/>
              <w:overflowPunct/>
              <w:topLinePunct w:val="0"/>
              <w:autoSpaceDE/>
              <w:autoSpaceDN/>
              <w:bidi w:val="0"/>
              <w:adjustRightInd w:val="0"/>
              <w:snapToGrid w:val="0"/>
              <w:spacing w:before="156" w:beforeLines="50" w:after="0" w:line="400" w:lineRule="exact"/>
              <w:ind w:left="0" w:left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注：涉及联合体或其他合同主体的信息应按上表格式加列。</w:t>
            </w:r>
          </w:p>
        </w:tc>
      </w:tr>
    </w:tbl>
    <w:p w14:paraId="2C874029">
      <w:pPr>
        <w:pStyle w:val="3"/>
        <w:pageBreakBefore w:val="0"/>
        <w:kinsoku/>
        <w:wordWrap/>
        <w:overflowPunct/>
        <w:topLinePunct w:val="0"/>
        <w:bidi w:val="0"/>
        <w:adjustRightInd w:val="0"/>
        <w:snapToGrid w:val="0"/>
        <w:spacing w:before="156" w:beforeLines="50"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br w:type="page"/>
      </w:r>
      <w:bookmarkStart w:id="822" w:name="_Toc27624"/>
      <w:r>
        <w:rPr>
          <w:rFonts w:hint="eastAsia" w:ascii="宋体" w:hAnsi="宋体" w:eastAsia="宋体" w:cs="宋体"/>
          <w:b/>
          <w:bCs/>
          <w:color w:val="000000" w:themeColor="text1"/>
          <w:sz w:val="24"/>
          <w:szCs w:val="24"/>
          <w14:textFill>
            <w14:solidFill>
              <w14:schemeClr w14:val="tx1"/>
            </w14:solidFill>
          </w14:textFill>
        </w:rPr>
        <w:t>第二节 政府采购合同通用条款</w:t>
      </w:r>
      <w:bookmarkEnd w:id="822"/>
    </w:p>
    <w:p w14:paraId="744216D3">
      <w:pPr>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定义</w:t>
      </w:r>
    </w:p>
    <w:p w14:paraId="1EACE1A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1.1合同当事人</w:t>
      </w:r>
    </w:p>
    <w:p w14:paraId="426DDDD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（1）采购人（以下称甲方）是指使用财政性资金，通过政府采购方式向供应商购买货物</w:t>
      </w:r>
      <w:r>
        <w:rPr>
          <w:rFonts w:hint="eastAsia" w:ascii="宋体" w:hAnsi="宋体" w:eastAsia="宋体" w:cs="宋体"/>
          <w:color w:val="000000" w:themeColor="text1"/>
          <w:sz w:val="24"/>
          <w:szCs w:val="24"/>
          <w:highlight w:val="none"/>
          <w:lang w:val="en-US" w:eastAsia="zh-CN"/>
          <w14:textFill>
            <w14:solidFill>
              <w14:schemeClr w14:val="tx1"/>
            </w14:solidFill>
          </w14:textFill>
        </w:rPr>
        <w:t>及其相关服务的</w:t>
      </w:r>
      <w:r>
        <w:rPr>
          <w:rFonts w:hint="eastAsia" w:ascii="宋体" w:hAnsi="宋体" w:eastAsia="宋体" w:cs="宋体"/>
          <w:color w:val="000000" w:themeColor="text1"/>
          <w:sz w:val="24"/>
          <w:szCs w:val="24"/>
          <w:highlight w:val="none"/>
          <w14:textFill>
            <w14:solidFill>
              <w14:schemeClr w14:val="tx1"/>
            </w14:solidFill>
          </w14:textFill>
        </w:rPr>
        <w:t>国家机关、事业单位、团体组织。</w:t>
      </w:r>
    </w:p>
    <w:p w14:paraId="0263F3E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（2）供应商（以下称</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方）是指参加政府采购活动并且中标（成交），向采购人提供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合同约定的货物及其相关服务的法人、非法人组织或者自然人</w:t>
      </w:r>
      <w:r>
        <w:rPr>
          <w:rFonts w:hint="eastAsia" w:ascii="宋体" w:hAnsi="宋体" w:eastAsia="宋体" w:cs="宋体"/>
          <w:color w:val="000000" w:themeColor="text1"/>
          <w:sz w:val="24"/>
          <w:szCs w:val="24"/>
          <w:highlight w:val="none"/>
          <w14:textFill>
            <w14:solidFill>
              <w14:schemeClr w14:val="tx1"/>
            </w14:solidFill>
          </w14:textFill>
        </w:rPr>
        <w:t>。</w:t>
      </w:r>
    </w:p>
    <w:p w14:paraId="3FF755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eastAsia="宋体" w:cs="宋体"/>
          <w:color w:val="000000" w:themeColor="text1"/>
          <w:sz w:val="24"/>
          <w:szCs w:val="24"/>
          <w:highlight w:val="none"/>
          <w14:textFill>
            <w14:solidFill>
              <w14:schemeClr w14:val="tx1"/>
            </w14:solidFill>
          </w14:textFill>
        </w:rPr>
        <w:t>。</w:t>
      </w:r>
    </w:p>
    <w:p w14:paraId="5AA66B6C">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1.2本合同下列术语应解释为：</w:t>
      </w:r>
    </w:p>
    <w:p w14:paraId="4BBF406F">
      <w:pPr>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（1）“合同”系指</w:t>
      </w:r>
      <w:r>
        <w:rPr>
          <w:rFonts w:hint="eastAsia" w:ascii="宋体" w:hAnsi="宋体" w:eastAsia="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r>
        <w:rPr>
          <w:rFonts w:hint="eastAsia" w:ascii="宋体" w:hAnsi="宋体" w:eastAsia="宋体" w:cs="宋体"/>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政府采购合同通用条款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投标（响应）文件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有关技术文件</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z w:val="24"/>
          <w:szCs w:val="24"/>
          <w14:textFill>
            <w14:solidFill>
              <w14:schemeClr w14:val="tx1"/>
            </w14:solidFill>
          </w14:textFill>
        </w:rPr>
        <w:t>图纸</w:t>
      </w:r>
      <w:r>
        <w:rPr>
          <w:rFonts w:hint="eastAsia" w:ascii="宋体" w:hAnsi="宋体" w:eastAsia="宋体" w:cs="宋体"/>
          <w:color w:val="000000" w:themeColor="text1"/>
          <w:sz w:val="24"/>
          <w:szCs w:val="24"/>
          <w:lang w:eastAsia="zh-CN"/>
          <w14:textFill>
            <w14:solidFill>
              <w14:schemeClr w14:val="tx1"/>
            </w14:solidFill>
          </w14:textFill>
        </w:rPr>
        <w:t>，以及</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000000" w:themeColor="text1"/>
          <w:sz w:val="24"/>
          <w:szCs w:val="24"/>
          <w:highlight w:val="none"/>
          <w14:textFill>
            <w14:solidFill>
              <w14:schemeClr w14:val="tx1"/>
            </w14:solidFill>
          </w14:textFill>
        </w:rPr>
        <w:t>。</w:t>
      </w:r>
    </w:p>
    <w:p w14:paraId="04EBF842">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）“合同价</w:t>
      </w:r>
      <w:r>
        <w:rPr>
          <w:rFonts w:hint="eastAsia" w:ascii="宋体" w:hAnsi="宋体" w:eastAsia="宋体" w:cs="宋体"/>
          <w:color w:val="000000" w:themeColor="text1"/>
          <w:sz w:val="24"/>
          <w:szCs w:val="24"/>
          <w:highlight w:val="none"/>
          <w:lang w:val="en-US" w:eastAsia="zh-CN"/>
          <w14:textFill>
            <w14:solidFill>
              <w14:schemeClr w14:val="tx1"/>
            </w14:solidFill>
          </w14:textFill>
        </w:rPr>
        <w:t>款</w:t>
      </w:r>
      <w:r>
        <w:rPr>
          <w:rFonts w:hint="eastAsia" w:ascii="宋体" w:hAnsi="宋体" w:eastAsia="宋体" w:cs="宋体"/>
          <w:color w:val="000000" w:themeColor="text1"/>
          <w:sz w:val="24"/>
          <w:szCs w:val="24"/>
          <w:highlight w:val="none"/>
          <w14:textFill>
            <w14:solidFill>
              <w14:schemeClr w14:val="tx1"/>
            </w14:solidFill>
          </w14:textFill>
        </w:rPr>
        <w:t>”系指根据本合同规定乙方在全面履行合同义务后甲方应支付给乙方的价款。</w:t>
      </w:r>
    </w:p>
    <w:p w14:paraId="0F482FF7">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p w14:paraId="3B85D41A">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4"/>
          <w:szCs w:val="24"/>
          <w:highlight w:val="none"/>
          <w14:textFill>
            <w14:solidFill>
              <w14:schemeClr w14:val="tx1"/>
            </w14:solidFill>
          </w14:textFill>
        </w:rPr>
        <w:t>技术、管理和</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废弃处置、</w:t>
      </w:r>
      <w:r>
        <w:rPr>
          <w:rFonts w:hint="eastAsia" w:ascii="宋体" w:hAnsi="宋体" w:eastAsia="宋体" w:cs="宋体"/>
          <w:color w:val="000000" w:themeColor="text1"/>
          <w:sz w:val="24"/>
          <w:szCs w:val="24"/>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义务。</w:t>
      </w:r>
    </w:p>
    <w:p w14:paraId="04AB164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项目中的部分履约内容，分给具有相应资质条件的供应商履行合同的行为。</w:t>
      </w:r>
    </w:p>
    <w:p w14:paraId="59106116">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“联合体”系指</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z w:val="24"/>
          <w:szCs w:val="24"/>
          <w14:textFill>
            <w14:solidFill>
              <w14:schemeClr w14:val="tx1"/>
            </w14:solidFill>
          </w14:textFill>
        </w:rPr>
        <w:t>两个以上的自然人、法人或者</w:t>
      </w:r>
      <w:r>
        <w:rPr>
          <w:rFonts w:hint="eastAsia" w:ascii="宋体" w:hAnsi="宋体" w:eastAsia="宋体" w:cs="宋体"/>
          <w:color w:val="000000" w:themeColor="text1"/>
          <w:sz w:val="24"/>
          <w:szCs w:val="24"/>
          <w:lang w:val="en-US" w:eastAsia="zh-CN"/>
          <w14:textFill>
            <w14:solidFill>
              <w14:schemeClr w14:val="tx1"/>
            </w14:solidFill>
          </w14:textFill>
        </w:rPr>
        <w:t>非法人</w:t>
      </w:r>
      <w:r>
        <w:rPr>
          <w:rFonts w:hint="eastAsia" w:ascii="宋体" w:hAnsi="宋体" w:eastAsia="宋体" w:cs="宋体"/>
          <w:color w:val="000000" w:themeColor="text1"/>
          <w:sz w:val="24"/>
          <w:szCs w:val="24"/>
          <w14:textFill>
            <w14:solidFill>
              <w14:schemeClr w14:val="tx1"/>
            </w14:solidFill>
          </w14:textFill>
        </w:rPr>
        <w:t>组织组成，</w:t>
      </w:r>
      <w:r>
        <w:rPr>
          <w:rFonts w:hint="eastAsia" w:ascii="宋体" w:hAnsi="宋体" w:eastAsia="宋体" w:cs="宋体"/>
          <w:color w:val="000000" w:themeColor="text1"/>
          <w:sz w:val="24"/>
          <w:szCs w:val="24"/>
          <w:lang w:eastAsia="zh-CN"/>
          <w14:textFill>
            <w14:solidFill>
              <w14:schemeClr w14:val="tx1"/>
            </w14:solidFill>
          </w14:textFill>
        </w:rPr>
        <w:t>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00239FB">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）其他术语解释，见【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746AF26">
      <w:pPr>
        <w:pageBreakBefore w:val="0"/>
        <w:numPr>
          <w:ilvl w:val="0"/>
          <w:numId w:val="9"/>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合同标的及金额</w:t>
      </w:r>
    </w:p>
    <w:p w14:paraId="4F173E8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任何费用。</w:t>
      </w:r>
    </w:p>
    <w:p w14:paraId="405763B5">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履行合同的时间、地点和方式</w:t>
      </w:r>
    </w:p>
    <w:p w14:paraId="72B70F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乙方应当在约定的时间、地点</w:t>
      </w:r>
      <w:r>
        <w:rPr>
          <w:rFonts w:hint="eastAsia" w:ascii="宋体" w:hAnsi="宋体" w:eastAsia="宋体" w:cs="宋体"/>
          <w:color w:val="000000" w:themeColor="text1"/>
          <w:sz w:val="24"/>
          <w:szCs w:val="24"/>
          <w:lang w:eastAsia="zh-CN"/>
          <w14:textFill>
            <w14:solidFill>
              <w14:schemeClr w14:val="tx1"/>
            </w14:solidFill>
          </w14:textFill>
        </w:rPr>
        <w:t>，按照约定</w:t>
      </w:r>
      <w:r>
        <w:rPr>
          <w:rFonts w:hint="eastAsia" w:ascii="宋体" w:hAnsi="宋体" w:eastAsia="宋体" w:cs="宋体"/>
          <w:color w:val="000000" w:themeColor="text1"/>
          <w:sz w:val="24"/>
          <w:szCs w:val="24"/>
          <w14:textFill>
            <w14:solidFill>
              <w14:schemeClr w14:val="tx1"/>
            </w14:solidFill>
          </w14:textFill>
        </w:rPr>
        <w:t>方式履行合同。</w:t>
      </w:r>
    </w:p>
    <w:p w14:paraId="50721F0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甲方的权利和义务</w:t>
      </w:r>
    </w:p>
    <w:p w14:paraId="5D3A613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59D4779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415B89D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 甲方有权要求乙方对缺陷部分予以修复，并按合同约定享有货物保修及其他合同约定的权利。</w:t>
      </w:r>
    </w:p>
    <w:p w14:paraId="4655CC59">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未</w:t>
      </w:r>
      <w:r>
        <w:rPr>
          <w:rFonts w:hint="eastAsia" w:ascii="宋体" w:hAnsi="宋体" w:eastAsia="宋体" w:cs="宋体"/>
          <w:color w:val="000000" w:themeColor="text1"/>
          <w:sz w:val="24"/>
          <w:szCs w:val="24"/>
          <w:highlight w:val="none"/>
          <w:lang w:val="en-US" w:eastAsia="zh-CN"/>
          <w14:textFill>
            <w14:solidFill>
              <w14:schemeClr w14:val="tx1"/>
            </w14:solidFill>
          </w14:textFill>
        </w:rPr>
        <w:t>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视为验收通过。</w:t>
      </w:r>
    </w:p>
    <w:p w14:paraId="6D947307">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合同价款，不得以内部人员变更、履行内部付款流程等为由，拒绝或迟延支付。</w:t>
      </w:r>
    </w:p>
    <w:p w14:paraId="087FB9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由甲方承担的其他义务和责任。</w:t>
      </w:r>
    </w:p>
    <w:p w14:paraId="57AAE34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乙方的权利和义务</w:t>
      </w:r>
    </w:p>
    <w:p w14:paraId="2EB40A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w:t>
      </w:r>
    </w:p>
    <w:p w14:paraId="6C93E1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及相关</w:t>
      </w:r>
      <w:r>
        <w:rPr>
          <w:rFonts w:hint="eastAsia" w:ascii="宋体" w:hAnsi="宋体" w:eastAsia="宋体" w:cs="宋体"/>
          <w:color w:val="000000" w:themeColor="text1"/>
          <w:sz w:val="24"/>
          <w:szCs w:val="24"/>
          <w:highlight w:val="none"/>
          <w14:textFill>
            <w14:solidFill>
              <w14:schemeClr w14:val="tx1"/>
            </w14:solidFill>
          </w14:textFill>
        </w:rPr>
        <w:t>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及验收</w:t>
      </w:r>
      <w:r>
        <w:rPr>
          <w:rFonts w:hint="eastAsia" w:ascii="宋体" w:hAnsi="宋体" w:eastAsia="宋体" w:cs="宋体"/>
          <w:color w:val="000000" w:themeColor="text1"/>
          <w:sz w:val="24"/>
          <w:szCs w:val="24"/>
          <w:highlight w:val="none"/>
          <w14:textFill>
            <w14:solidFill>
              <w14:schemeClr w14:val="tx1"/>
            </w14:solidFill>
          </w14:textFill>
        </w:rPr>
        <w:t>，并负责项目实施过程中的所有协调工作。</w:t>
      </w:r>
    </w:p>
    <w:p w14:paraId="4AB21999">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0D4F5191">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由乙方承担的其他义务和责任。</w:t>
      </w:r>
    </w:p>
    <w:p w14:paraId="3DC0D8AD">
      <w:pPr>
        <w:pageBreakBefore w:val="0"/>
        <w:numPr>
          <w:ilvl w:val="0"/>
          <w:numId w:val="1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行</w:t>
      </w:r>
    </w:p>
    <w:p w14:paraId="61FAD63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甲乙双方应当按照</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约定顺序履行合同义务；如果没有先后顺序的，应当同时履行。</w:t>
      </w:r>
    </w:p>
    <w:p w14:paraId="7CA99CC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0E9169CE">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和交付</w:t>
      </w:r>
      <w:r>
        <w:rPr>
          <w:rFonts w:hint="eastAsia" w:ascii="宋体" w:hAnsi="宋体" w:eastAsia="宋体" w:cs="宋体"/>
          <w:b/>
          <w:bCs/>
          <w:color w:val="000000" w:themeColor="text1"/>
          <w:sz w:val="24"/>
          <w:szCs w:val="24"/>
          <w:highlight w:val="none"/>
          <w14:textFill>
            <w14:solidFill>
              <w14:schemeClr w14:val="tx1"/>
            </w14:solidFill>
          </w14:textFill>
        </w:rPr>
        <w:t>要求</w:t>
      </w:r>
    </w:p>
    <w:p w14:paraId="4E0EC44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本合同</w:t>
      </w:r>
      <w:r>
        <w:rPr>
          <w:rFonts w:hint="eastAsia" w:ascii="宋体" w:hAnsi="宋体" w:eastAsia="宋体" w:cs="宋体"/>
          <w:bCs/>
          <w:color w:val="000000" w:themeColor="text1"/>
          <w:sz w:val="24"/>
          <w:szCs w:val="24"/>
          <w:highlight w:val="none"/>
          <w14:textFill>
            <w14:solidFill>
              <w14:schemeClr w14:val="tx1"/>
            </w14:solidFill>
          </w14:textFill>
        </w:rPr>
        <w:t>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快递包装的，</w:t>
      </w:r>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约定的</w:t>
      </w:r>
      <w:r>
        <w:rPr>
          <w:rFonts w:hint="eastAsia" w:ascii="宋体" w:hAnsi="宋体" w:eastAsia="宋体" w:cs="宋体"/>
          <w:color w:val="000000" w:themeColor="text1"/>
          <w:sz w:val="24"/>
          <w:szCs w:val="24"/>
          <w:highlight w:val="none"/>
          <w14:textFill>
            <w14:solidFill>
              <w14:schemeClr w14:val="tx1"/>
            </w14:solidFill>
          </w14:textFill>
        </w:rPr>
        <w:t>指定现场。</w:t>
      </w:r>
    </w:p>
    <w:p w14:paraId="71C6687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，并装卸、交付至甲方</w:t>
      </w:r>
      <w:r>
        <w:rPr>
          <w:rFonts w:hint="eastAsia" w:ascii="宋体" w:hAnsi="宋体" w:eastAsia="宋体" w:cs="宋体"/>
          <w:color w:val="000000" w:themeColor="text1"/>
          <w:sz w:val="24"/>
          <w:szCs w:val="24"/>
          <w:highlight w:val="none"/>
          <w14:textFill>
            <w14:solidFill>
              <w14:schemeClr w14:val="tx1"/>
            </w14:solidFill>
          </w14:textFill>
        </w:rPr>
        <w:t>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包含</w:t>
      </w:r>
      <w:r>
        <w:rPr>
          <w:rFonts w:hint="eastAsia" w:ascii="宋体" w:hAnsi="宋体" w:eastAsia="宋体" w:cs="宋体"/>
          <w:color w:val="000000" w:themeColor="text1"/>
          <w:sz w:val="24"/>
          <w:szCs w:val="24"/>
          <w:highlight w:val="none"/>
          <w14:textFill>
            <w14:solidFill>
              <w14:schemeClr w14:val="tx1"/>
            </w14:solidFill>
          </w14:textFill>
        </w:rPr>
        <w:t>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w:t>
      </w:r>
    </w:p>
    <w:p w14:paraId="12964841">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 货物保险要求按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28087D0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除采购活动</w:t>
      </w:r>
      <w:r>
        <w:rPr>
          <w:rFonts w:hint="eastAsia" w:ascii="宋体" w:hAnsi="宋体" w:eastAsia="宋体" w:cs="宋体"/>
          <w:color w:val="000000" w:themeColor="text1"/>
          <w:sz w:val="24"/>
          <w:szCs w:val="24"/>
          <w:highlight w:val="none"/>
          <w14:textFill>
            <w14:solidFill>
              <w14:schemeClr w14:val="tx1"/>
            </w14:solidFill>
          </w14:textFill>
        </w:rPr>
        <w:t>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4"/>
          <w:szCs w:val="24"/>
          <w:highlight w:val="none"/>
          <w14:textFill>
            <w14:solidFill>
              <w14:schemeClr w14:val="tx1"/>
            </w14:solidFill>
          </w14:textFill>
        </w:rPr>
        <w:t>，乙方提供产品及相关快递服务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涉及到</w:t>
      </w:r>
      <w:r>
        <w:rPr>
          <w:rFonts w:hint="eastAsia" w:ascii="宋体" w:hAnsi="宋体" w:eastAsia="宋体" w:cs="宋体"/>
          <w:color w:val="000000" w:themeColor="text1"/>
          <w:sz w:val="24"/>
          <w:szCs w:val="24"/>
          <w:highlight w:val="none"/>
          <w14:textFill>
            <w14:solidFill>
              <w14:schemeClr w14:val="tx1"/>
            </w14:solidFill>
          </w14:textFill>
        </w:rPr>
        <w:t>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应</w:t>
      </w:r>
      <w:r>
        <w:rPr>
          <w:rFonts w:hint="eastAsia" w:ascii="宋体" w:hAnsi="宋体" w:eastAsia="宋体" w:cs="宋体"/>
          <w:color w:val="000000" w:themeColor="text1"/>
          <w:sz w:val="24"/>
          <w:szCs w:val="24"/>
          <w:highlight w:val="none"/>
          <w:lang w:val="en-US" w:eastAsia="zh-CN"/>
          <w14:textFill>
            <w14:solidFill>
              <w14:schemeClr w14:val="tx1"/>
            </w14:solidFill>
          </w14:textFill>
        </w:rPr>
        <w:t>不低于</w:t>
      </w:r>
      <w:r>
        <w:rPr>
          <w:rFonts w:hint="eastAsia" w:ascii="宋体" w:hAnsi="宋体" w:eastAsia="宋体" w:cs="宋体"/>
          <w:color w:val="000000" w:themeColor="text1"/>
          <w:sz w:val="24"/>
          <w:szCs w:val="24"/>
          <w:highlight w:val="none"/>
          <w14:textFill>
            <w14:solidFill>
              <w14:schemeClr w14:val="tx1"/>
            </w14:solidFill>
          </w14:textFill>
        </w:rPr>
        <w:t>《商品包装政府采购需求标准（试行）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color w:val="000000" w:themeColor="text1"/>
          <w:sz w:val="24"/>
          <w:szCs w:val="24"/>
          <w:highlight w:val="none"/>
          <w14:textFill>
            <w14:solidFill>
              <w14:schemeClr w14:val="tx1"/>
            </w14:solidFill>
          </w14:textFill>
        </w:rPr>
        <w:t>，并作为履约验收的内容，必要时甲方可以要求乙方在履约验收环节出具检测报告。</w:t>
      </w:r>
    </w:p>
    <w:p w14:paraId="355B2D3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themeColor="text1"/>
          <w:sz w:val="24"/>
          <w:szCs w:val="24"/>
          <w14:textFill>
            <w14:solidFill>
              <w14:schemeClr w14:val="tx1"/>
            </w14:solidFill>
          </w14:textFill>
        </w:rPr>
        <w:t>乙方在运输到达之前</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z w:val="24"/>
          <w:szCs w:val="24"/>
          <w14:textFill>
            <w14:solidFill>
              <w14:schemeClr w14:val="tx1"/>
            </w14:solidFill>
          </w14:textFill>
        </w:rPr>
        <w:t>提前通知</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，并提示货物运输装卸的注意事项</w:t>
      </w:r>
      <w:r>
        <w:rPr>
          <w:rFonts w:hint="eastAsia" w:ascii="宋体" w:hAnsi="宋体" w:eastAsia="宋体" w:cs="宋体"/>
          <w:color w:val="000000" w:themeColor="text1"/>
          <w:sz w:val="24"/>
          <w:szCs w:val="24"/>
          <w:lang w:eastAsia="zh-CN"/>
          <w14:textFill>
            <w14:solidFill>
              <w14:schemeClr w14:val="tx1"/>
            </w14:solidFill>
          </w14:textFill>
        </w:rPr>
        <w:t>，甲方配合乙方做好货物的接收工作。</w:t>
      </w:r>
    </w:p>
    <w:p w14:paraId="7582BAC5">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themeColor="text1"/>
          <w:kern w:val="2"/>
          <w:sz w:val="24"/>
          <w:szCs w:val="24"/>
          <w:highlight w:val="none"/>
          <w14:textFill>
            <w14:solidFill>
              <w14:schemeClr w14:val="tx1"/>
            </w14:solidFill>
          </w14:textFill>
        </w:rPr>
        <w:t>如因包装</w:t>
      </w:r>
      <w:r>
        <w:rPr>
          <w:rFonts w:hint="eastAsia" w:ascii="宋体" w:hAnsi="宋体" w:eastAsia="宋体" w:cs="宋体"/>
          <w:color w:val="000000" w:themeColor="text1"/>
          <w:kern w:val="2"/>
          <w:sz w:val="24"/>
          <w:szCs w:val="24"/>
          <w:highlight w:val="none"/>
          <w:lang w:eastAsia="zh-CN"/>
          <w14:textFill>
            <w14:solidFill>
              <w14:schemeClr w14:val="tx1"/>
            </w14:solidFill>
          </w14:textFill>
        </w:rPr>
        <w:t>、运输</w:t>
      </w:r>
      <w:r>
        <w:rPr>
          <w:rFonts w:hint="eastAsia" w:ascii="宋体" w:hAnsi="宋体" w:eastAsia="宋体" w:cs="宋体"/>
          <w:color w:val="000000" w:themeColor="text1"/>
          <w:kern w:val="2"/>
          <w:sz w:val="24"/>
          <w:szCs w:val="24"/>
          <w:highlight w:val="none"/>
          <w14:textFill>
            <w14:solidFill>
              <w14:schemeClr w14:val="tx1"/>
            </w14:solidFill>
          </w14:textFill>
        </w:rPr>
        <w:t>问题导致货物</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损毁、丢失</w:t>
      </w:r>
      <w:r>
        <w:rPr>
          <w:rFonts w:hint="eastAsia" w:ascii="宋体" w:hAnsi="宋体" w:eastAsia="宋体" w:cs="宋体"/>
          <w:color w:val="000000" w:themeColor="text1"/>
          <w:kern w:val="2"/>
          <w:sz w:val="24"/>
          <w:szCs w:val="24"/>
          <w:highlight w:val="none"/>
          <w14:textFill>
            <w14:solidFill>
              <w14:schemeClr w14:val="tx1"/>
            </w14:solidFill>
          </w14:textFill>
        </w:rPr>
        <w:t>或者品质下降，</w:t>
      </w:r>
      <w:r>
        <w:rPr>
          <w:rFonts w:hint="eastAsia" w:ascii="宋体" w:hAnsi="宋体" w:eastAsia="宋体" w:cs="宋体"/>
          <w:color w:val="000000" w:themeColor="text1"/>
          <w:kern w:val="2"/>
          <w:sz w:val="24"/>
          <w:szCs w:val="24"/>
          <w:highlight w:val="none"/>
          <w:lang w:eastAsia="zh-CN"/>
          <w14:textFill>
            <w14:solidFill>
              <w14:schemeClr w14:val="tx1"/>
            </w14:solidFill>
          </w14:textFill>
        </w:rPr>
        <w:t>甲方</w:t>
      </w:r>
      <w:r>
        <w:rPr>
          <w:rFonts w:hint="eastAsia" w:ascii="宋体" w:hAnsi="宋体" w:eastAsia="宋体" w:cs="宋体"/>
          <w:color w:val="000000" w:themeColor="text1"/>
          <w:kern w:val="2"/>
          <w:sz w:val="24"/>
          <w:szCs w:val="24"/>
          <w:highlight w:val="none"/>
          <w14:textFill>
            <w14:solidFill>
              <w14:schemeClr w14:val="tx1"/>
            </w14:solidFill>
          </w14:textFill>
        </w:rPr>
        <w:t>有权要求降价、换货、拒收部分或整批货物，由此</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产生</w:t>
      </w:r>
      <w:r>
        <w:rPr>
          <w:rFonts w:hint="eastAsia" w:ascii="宋体" w:hAnsi="宋体" w:eastAsia="宋体" w:cs="宋体"/>
          <w:color w:val="000000" w:themeColor="text1"/>
          <w:kern w:val="2"/>
          <w:sz w:val="24"/>
          <w:szCs w:val="24"/>
          <w:highlight w:val="none"/>
          <w14:textFill>
            <w14:solidFill>
              <w14:schemeClr w14:val="tx1"/>
            </w14:solidFill>
          </w14:textFill>
        </w:rPr>
        <w:t>的费用和损失，均由</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乙方</w:t>
      </w:r>
      <w:r>
        <w:rPr>
          <w:rFonts w:hint="eastAsia" w:ascii="宋体" w:hAnsi="宋体" w:eastAsia="宋体" w:cs="宋体"/>
          <w:color w:val="000000" w:themeColor="text1"/>
          <w:kern w:val="2"/>
          <w:sz w:val="24"/>
          <w:szCs w:val="24"/>
          <w:highlight w:val="none"/>
          <w14:textFill>
            <w14:solidFill>
              <w14:schemeClr w14:val="tx1"/>
            </w14:solidFill>
          </w14:textFill>
        </w:rPr>
        <w:t>承担。</w:t>
      </w:r>
    </w:p>
    <w:p w14:paraId="75A57AC0">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质量标准和保证</w:t>
      </w:r>
    </w:p>
    <w:p w14:paraId="01C1055F">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质量标准</w:t>
      </w:r>
    </w:p>
    <w:p w14:paraId="281E87B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（1）本合同下</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w:t>
      </w:r>
      <w:r>
        <w:rPr>
          <w:rFonts w:hint="eastAsia" w:ascii="宋体" w:hAnsi="宋体" w:eastAsia="宋体" w:cs="宋体"/>
          <w:color w:val="000000" w:themeColor="text1"/>
          <w:sz w:val="24"/>
          <w:szCs w:val="24"/>
          <w:highlight w:val="none"/>
          <w:lang w:eastAsia="zh-CN"/>
          <w14:textFill>
            <w14:solidFill>
              <w14:schemeClr w14:val="tx1"/>
            </w14:solidFill>
          </w14:textFill>
        </w:rPr>
        <w:t>合同</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定的品牌、规格型号、技术性能、配置、质量、数量等要求。</w:t>
      </w:r>
      <w:r>
        <w:rPr>
          <w:rFonts w:hint="eastAsia" w:ascii="宋体" w:hAnsi="宋体" w:eastAsia="宋体" w:cs="宋体"/>
          <w:color w:val="000000" w:themeColor="text1"/>
          <w:sz w:val="24"/>
          <w:szCs w:val="24"/>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279669">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（2）采用中华人民共和国法定计量单位。</w:t>
      </w:r>
    </w:p>
    <w:p w14:paraId="635A942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的货物应符合国家有关安全、环保、卫生</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规定。</w:t>
      </w:r>
    </w:p>
    <w:p w14:paraId="18004FC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（4）乙方应向甲方提交所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货物的技术文件，包括相应的中文技术文件，如：产品目录、图纸、操作手册、使用说明、维护手册或服务指南</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文件应包装好随货物一同发运。</w:t>
      </w:r>
    </w:p>
    <w:p w14:paraId="49685B7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保证</w:t>
      </w:r>
    </w:p>
    <w:p w14:paraId="7DC223D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（1）乙方应保证</w:t>
      </w:r>
      <w:r>
        <w:rPr>
          <w:rFonts w:hint="eastAsia" w:ascii="宋体" w:hAnsi="宋体" w:eastAsia="宋体" w:cs="宋体"/>
          <w:color w:val="000000" w:themeColor="text1"/>
          <w:sz w:val="24"/>
          <w:szCs w:val="24"/>
          <w:highlight w:val="none"/>
          <w:lang w:eastAsia="zh-CN"/>
          <w14:textFill>
            <w14:solidFill>
              <w14:schemeClr w14:val="tx1"/>
            </w14:solidFill>
          </w14:textFill>
        </w:rPr>
        <w:t>提供的货物</w:t>
      </w:r>
      <w:r>
        <w:rPr>
          <w:rFonts w:hint="eastAsia" w:ascii="宋体" w:hAnsi="宋体" w:eastAsia="宋体" w:cs="宋体"/>
          <w:color w:val="000000" w:themeColor="text1"/>
          <w:sz w:val="24"/>
          <w:szCs w:val="24"/>
          <w:highlight w:val="none"/>
          <w14:textFill>
            <w14:solidFill>
              <w14:schemeClr w14:val="tx1"/>
            </w14:solidFill>
          </w14:textFill>
        </w:rPr>
        <w:t>完全符合合同规定的质量、规格和性能要求。乙方应保证货物在正确安装、正常使用和保养条件下，</w:t>
      </w:r>
      <w:r>
        <w:rPr>
          <w:rFonts w:hint="eastAsia" w:ascii="宋体" w:hAnsi="宋体" w:eastAsia="宋体" w:cs="宋体"/>
          <w:color w:val="000000" w:themeColor="text1"/>
          <w:sz w:val="24"/>
          <w:szCs w:val="24"/>
          <w14:textFill>
            <w14:solidFill>
              <w14:schemeClr w14:val="tx1"/>
            </w14:solidFill>
          </w14:textFill>
        </w:rPr>
        <w:t>在其使用寿命期内具</w:t>
      </w:r>
      <w:r>
        <w:rPr>
          <w:rFonts w:hint="eastAsia" w:ascii="宋体" w:hAnsi="宋体" w:eastAsia="宋体" w:cs="宋体"/>
          <w:color w:val="000000" w:themeColor="text1"/>
          <w:sz w:val="24"/>
          <w:szCs w:val="24"/>
          <w:lang w:eastAsia="zh-CN"/>
          <w14:textFill>
            <w14:solidFill>
              <w14:schemeClr w14:val="tx1"/>
            </w14:solidFill>
          </w14:textFill>
        </w:rPr>
        <w:t>备合同约定</w:t>
      </w:r>
      <w:r>
        <w:rPr>
          <w:rFonts w:hint="eastAsia" w:ascii="宋体" w:hAnsi="宋体" w:eastAsia="宋体" w:cs="宋体"/>
          <w:color w:val="000000" w:themeColor="text1"/>
          <w:sz w:val="24"/>
          <w:szCs w:val="24"/>
          <w14:textFill>
            <w14:solidFill>
              <w14:schemeClr w14:val="tx1"/>
            </w14:solidFill>
          </w14:textFill>
        </w:rPr>
        <w:t>的性能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存在</w:t>
      </w:r>
      <w:r>
        <w:rPr>
          <w:rFonts w:hint="eastAsia" w:ascii="宋体" w:hAnsi="宋体" w:eastAsia="宋体" w:cs="宋体"/>
          <w:color w:val="000000" w:themeColor="text1"/>
          <w:sz w:val="24"/>
          <w:szCs w:val="24"/>
          <w:highlight w:val="none"/>
          <w14:textFill>
            <w14:solidFill>
              <w14:schemeClr w14:val="tx1"/>
            </w14:solidFill>
          </w14:textFill>
        </w:rPr>
        <w:t>质量保证期的，货物最终交付验收</w:t>
      </w:r>
      <w:r>
        <w:rPr>
          <w:rFonts w:hint="eastAsia" w:ascii="宋体" w:hAnsi="宋体" w:eastAsia="宋体" w:cs="宋体"/>
          <w:color w:val="000000" w:themeColor="text1"/>
          <w:sz w:val="24"/>
          <w:szCs w:val="24"/>
          <w:highlight w:val="none"/>
          <w:lang w:eastAsia="zh-CN"/>
          <w14:textFill>
            <w14:solidFill>
              <w14:schemeClr w14:val="tx1"/>
            </w14:solidFill>
          </w14:textFill>
        </w:rPr>
        <w:t>合格</w:t>
      </w:r>
      <w:r>
        <w:rPr>
          <w:rFonts w:hint="eastAsia" w:ascii="宋体" w:hAnsi="宋体" w:eastAsia="宋体" w:cs="宋体"/>
          <w:color w:val="000000" w:themeColor="text1"/>
          <w:sz w:val="24"/>
          <w:szCs w:val="24"/>
          <w:highlight w:val="none"/>
          <w14:textFill>
            <w14:solidFill>
              <w14:schemeClr w14:val="tx1"/>
            </w14:solidFill>
          </w14:textFill>
        </w:rPr>
        <w:t>后</w:t>
      </w:r>
      <w:r>
        <w:rPr>
          <w:rFonts w:hint="eastAsia" w:ascii="宋体" w:hAnsi="宋体" w:eastAsia="宋体" w:cs="宋体"/>
          <w:color w:val="000000" w:themeColor="text1"/>
          <w:sz w:val="24"/>
          <w:szCs w:val="24"/>
          <w:highlight w:val="none"/>
          <w:lang w:eastAsia="zh-CN"/>
          <w14:textFill>
            <w14:solidFill>
              <w14:schemeClr w14:val="tx1"/>
            </w14:solidFill>
          </w14:textFill>
        </w:rPr>
        <w:t>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规定或乙方</w:t>
      </w:r>
      <w:r>
        <w:rPr>
          <w:rFonts w:hint="eastAsia" w:ascii="宋体" w:hAnsi="宋体" w:eastAsia="宋体" w:cs="宋体"/>
          <w:color w:val="000000" w:themeColor="text1"/>
          <w:sz w:val="24"/>
          <w:szCs w:val="24"/>
          <w:highlight w:val="none"/>
          <w:lang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承诺（两者以较长的为准）的质量保证期内，本保证保持有效。</w:t>
      </w:r>
    </w:p>
    <w:p w14:paraId="59764D5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（2）在质量保证期内所发现的缺陷，甲方应尽快以书面形式通知乙方。</w:t>
      </w:r>
    </w:p>
    <w:p w14:paraId="421C473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（3）乙方收到通知后</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应在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规定的响应时间内以合理的速度免费维修或更换有缺陷的货物或部件。</w:t>
      </w:r>
    </w:p>
    <w:p w14:paraId="48365B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追究</w:t>
      </w: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的违约责任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3A83A2A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（5）乙方在约定的时间内未能弥补缺陷，甲方可采取必要的补救措施，但其风险和费用将由乙方承担，甲方根据合同</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对乙方行使的其他权利不受影响。</w:t>
      </w:r>
    </w:p>
    <w:p w14:paraId="56076F91">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权利瑕疵担保</w:t>
      </w:r>
    </w:p>
    <w:p w14:paraId="6B85501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乙方保证对其出售的货物享有合法的权利。</w:t>
      </w:r>
    </w:p>
    <w:p w14:paraId="5E9E609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乙方保证在交付的货物上不存在抵押权等担保物权。</w:t>
      </w:r>
    </w:p>
    <w:p w14:paraId="4F92CFA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对第三人</w:t>
      </w:r>
      <w:r>
        <w:rPr>
          <w:rFonts w:hint="eastAsia" w:ascii="宋体" w:hAnsi="宋体" w:eastAsia="宋体" w:cs="宋体"/>
          <w:color w:val="000000" w:themeColor="text1"/>
          <w:sz w:val="24"/>
          <w:szCs w:val="24"/>
          <w:highlight w:val="none"/>
          <w14:textFill>
            <w14:solidFill>
              <w14:schemeClr w14:val="tx1"/>
            </w14:solidFill>
          </w14:textFill>
        </w:rPr>
        <w:t>侵权的，则由乙方承担全部责任。</w:t>
      </w:r>
    </w:p>
    <w:p w14:paraId="57E8E0AA">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知识产权保护</w:t>
      </w:r>
    </w:p>
    <w:p w14:paraId="6DE2CB3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.1 乙方对其所销售的货物应当享有知识产权或经权利人合法授权，保证没有侵犯任何第三人的知识产权等权利。</w:t>
      </w:r>
      <w:bookmarkStart w:id="823" w:name="_Hlk163047038"/>
      <w:r>
        <w:rPr>
          <w:rFonts w:hint="eastAsia" w:ascii="宋体" w:hAnsi="宋体" w:eastAsia="宋体" w:cs="宋体"/>
          <w:color w:val="000000" w:themeColor="text1"/>
          <w:sz w:val="24"/>
          <w:szCs w:val="24"/>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823"/>
      <w:r>
        <w:rPr>
          <w:rFonts w:hint="eastAsia" w:ascii="宋体" w:hAnsi="宋体" w:eastAsia="宋体" w:cs="宋体"/>
          <w:color w:val="000000" w:themeColor="text1"/>
          <w:sz w:val="24"/>
          <w:szCs w:val="24"/>
          <w:highlight w:val="none"/>
          <w14:textFill>
            <w14:solidFill>
              <w14:schemeClr w14:val="tx1"/>
            </w14:solidFill>
          </w14:textFill>
        </w:rPr>
        <w:t>。</w:t>
      </w:r>
    </w:p>
    <w:p w14:paraId="45543B4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保密义务</w:t>
      </w:r>
    </w:p>
    <w:p w14:paraId="4C0710C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11.1 </w:t>
      </w:r>
      <w:r>
        <w:rPr>
          <w:rFonts w:hint="eastAsia" w:ascii="宋体" w:hAnsi="宋体" w:eastAsia="宋体" w:cs="宋体"/>
          <w:color w:val="000000" w:themeColor="text1"/>
          <w:sz w:val="24"/>
          <w:szCs w:val="24"/>
          <w14:textFill>
            <w14:solidFill>
              <w14:schemeClr w14:val="tx1"/>
            </w14:solidFill>
          </w14:textFill>
        </w:rPr>
        <w:t>甲、乙双方</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z w:val="24"/>
          <w:szCs w:val="24"/>
          <w14:textFill>
            <w14:solidFill>
              <w14:schemeClr w14:val="tx1"/>
            </w14:solidFill>
          </w14:textFill>
        </w:rPr>
        <w:t>采购和合同履行过程中所获悉的</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商业秘密或者其他应当保密的信息，均有保密义务</w:t>
      </w:r>
      <w:r>
        <w:rPr>
          <w:rFonts w:hint="eastAsia" w:ascii="宋体" w:hAnsi="宋体" w:eastAsia="宋体" w:cs="宋体"/>
          <w:color w:val="000000" w:themeColor="text1"/>
          <w:sz w:val="24"/>
          <w:szCs w:val="24"/>
          <w:lang w:eastAsia="zh-CN"/>
          <w14:textFill>
            <w14:solidFill>
              <w14:schemeClr w14:val="tx1"/>
            </w14:solidFill>
          </w14:textFill>
        </w:rPr>
        <w:t>且不受合同有效期所限，直至该信息成为公开信息</w:t>
      </w:r>
      <w:r>
        <w:rPr>
          <w:rFonts w:hint="eastAsia" w:ascii="宋体" w:hAnsi="宋体" w:eastAsia="宋体" w:cs="宋体"/>
          <w:color w:val="000000" w:themeColor="text1"/>
          <w:sz w:val="24"/>
          <w:szCs w:val="24"/>
          <w14:textFill>
            <w14:solidFill>
              <w14:schemeClr w14:val="tx1"/>
            </w14:solidFill>
          </w14:textFill>
        </w:rPr>
        <w:t>。泄露、不正当地使用</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w:t>
      </w:r>
      <w:r>
        <w:rPr>
          <w:rFonts w:hint="eastAsia" w:ascii="宋体" w:hAnsi="宋体" w:eastAsia="宋体" w:cs="宋体"/>
          <w:color w:val="000000" w:themeColor="text1"/>
          <w:sz w:val="24"/>
          <w:szCs w:val="24"/>
          <w:lang w:eastAsia="zh-CN"/>
          <w14:textFill>
            <w14:solidFill>
              <w14:schemeClr w14:val="tx1"/>
            </w14:solidFill>
          </w14:textFill>
        </w:rPr>
        <w:t>其他应当保密的</w:t>
      </w:r>
      <w:r>
        <w:rPr>
          <w:rFonts w:hint="eastAsia" w:ascii="宋体" w:hAnsi="宋体" w:eastAsia="宋体" w:cs="宋体"/>
          <w:color w:val="000000" w:themeColor="text1"/>
          <w:sz w:val="24"/>
          <w:szCs w:val="24"/>
          <w14:textFill>
            <w14:solidFill>
              <w14:schemeClr w14:val="tx1"/>
            </w14:solidFill>
          </w14:textFill>
        </w:rPr>
        <w:t>信息，应当承担</w:t>
      </w:r>
      <w:r>
        <w:rPr>
          <w:rFonts w:hint="eastAsia" w:ascii="宋体" w:hAnsi="宋体" w:eastAsia="宋体" w:cs="宋体"/>
          <w:color w:val="000000" w:themeColor="text1"/>
          <w:sz w:val="24"/>
          <w:szCs w:val="24"/>
          <w:lang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中约定。</w:t>
      </w:r>
    </w:p>
    <w:p w14:paraId="5B24619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合同价款支付</w:t>
      </w:r>
    </w:p>
    <w:p w14:paraId="5F552EFA">
      <w:pPr>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eastAsia="zh-CN"/>
          <w14:textFill>
            <w14:solidFill>
              <w14:schemeClr w14:val="tx1"/>
            </w14:solidFill>
          </w14:textFill>
        </w:rPr>
        <w:t>合同价款支付</w:t>
      </w:r>
      <w:r>
        <w:rPr>
          <w:rFonts w:hint="eastAsia" w:ascii="宋体" w:hAnsi="宋体" w:eastAsia="宋体" w:cs="宋体"/>
          <w:color w:val="000000" w:themeColor="text1"/>
          <w:sz w:val="24"/>
          <w:szCs w:val="24"/>
          <w:highlight w:val="none"/>
          <w14:textFill>
            <w14:solidFill>
              <w14:schemeClr w14:val="tx1"/>
            </w14:solidFill>
          </w14:textFill>
        </w:rPr>
        <w:t>按照国库集中支付</w:t>
      </w:r>
      <w:r>
        <w:rPr>
          <w:rFonts w:hint="eastAsia" w:ascii="宋体" w:hAnsi="宋体" w:eastAsia="宋体" w:cs="宋体"/>
          <w:color w:val="000000" w:themeColor="text1"/>
          <w:sz w:val="24"/>
          <w:szCs w:val="24"/>
          <w:highlight w:val="none"/>
          <w:lang w:eastAsia="zh-CN"/>
          <w14:textFill>
            <w14:solidFill>
              <w14:schemeClr w14:val="tx1"/>
            </w14:solidFill>
          </w14:textFill>
        </w:rPr>
        <w:t>制度及财政管理相关</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78C89F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12.2 </w:t>
      </w:r>
      <w:r>
        <w:rPr>
          <w:rFonts w:hint="eastAsia" w:ascii="宋体" w:hAnsi="宋体" w:eastAsia="宋体" w:cs="宋体"/>
          <w:color w:val="000000" w:themeColor="text1"/>
          <w:sz w:val="24"/>
          <w:szCs w:val="24"/>
          <w14:textFill>
            <w14:solidFill>
              <w14:schemeClr w14:val="tx1"/>
            </w14:solidFill>
          </w14:textFill>
        </w:rPr>
        <w:t>对于满足合同约定支付条件的，</w:t>
      </w:r>
      <w:r>
        <w:rPr>
          <w:rFonts w:hint="eastAsia" w:ascii="宋体" w:hAnsi="宋体" w:eastAsia="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原则上应当自收到发票后10个工作日内将资金支付到合同约定的</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账户，不得以机构变动、人员更替、政策调整等为由迟延付款，不得将采购文件和合同中未规定的义务作为向</w:t>
      </w:r>
      <w:r>
        <w:rPr>
          <w:rFonts w:hint="eastAsia" w:ascii="宋体" w:hAnsi="宋体" w:eastAsia="宋体" w:cs="宋体"/>
          <w:color w:val="000000" w:themeColor="text1"/>
          <w:sz w:val="24"/>
          <w:szCs w:val="24"/>
          <w:lang w:val="en-US"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付款的条件。具体合同价款支付时间在【政府采购合同专用条款】中</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w:t>
      </w:r>
    </w:p>
    <w:p w14:paraId="224A4B82">
      <w:pPr>
        <w:pStyle w:val="11"/>
        <w:pageBreakBefore w:val="0"/>
        <w:kinsoku/>
        <w:wordWrap/>
        <w:overflowPunct/>
        <w:topLinePunct w:val="0"/>
        <w:bidi w:val="0"/>
        <w:spacing w:after="0" w:line="56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履约保证金</w:t>
      </w:r>
    </w:p>
    <w:p w14:paraId="74553232">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乙方应当以支票、汇票、本票或者金融机构、担保机构出具的保函等非现金形式提交。</w:t>
      </w:r>
    </w:p>
    <w:p w14:paraId="6A9385A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 如果乙方</w:t>
      </w:r>
      <w:r>
        <w:rPr>
          <w:rFonts w:hint="eastAsia" w:ascii="宋体" w:hAnsi="宋体" w:eastAsia="宋体" w:cs="宋体"/>
          <w:color w:val="000000" w:themeColor="text1"/>
          <w:sz w:val="24"/>
          <w:szCs w:val="24"/>
          <w:highlight w:val="none"/>
          <w:lang w:eastAsia="zh-CN"/>
          <w14:textFill>
            <w14:solidFill>
              <w14:schemeClr w14:val="tx1"/>
            </w14:solidFill>
          </w14:textFill>
        </w:rPr>
        <w:t>出现</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w:t>
      </w:r>
      <w:r>
        <w:rPr>
          <w:rFonts w:hint="eastAsia" w:ascii="宋体" w:hAnsi="宋体" w:eastAsia="宋体" w:cs="宋体"/>
          <w:b w:val="0"/>
          <w:bCs w:val="0"/>
          <w:color w:val="000000" w:themeColor="text1"/>
          <w:sz w:val="24"/>
          <w:szCs w:val="24"/>
          <w:lang w:eastAsia="zh-CN"/>
          <w14:textFill>
            <w14:solidFill>
              <w14:schemeClr w14:val="tx1"/>
            </w14:solidFill>
          </w14:textFill>
        </w:rPr>
        <w:t>情形的</w:t>
      </w:r>
      <w:r>
        <w:rPr>
          <w:rFonts w:hint="eastAsia" w:ascii="宋体" w:hAnsi="宋体" w:eastAsia="宋体" w:cs="宋体"/>
          <w:color w:val="000000" w:themeColor="text1"/>
          <w:sz w:val="24"/>
          <w:szCs w:val="24"/>
          <w:highlight w:val="none"/>
          <w14:textFill>
            <w14:solidFill>
              <w14:schemeClr w14:val="tx1"/>
            </w14:solidFill>
          </w14:textFill>
        </w:rPr>
        <w:t>，履约保证金不予退还；如果乙方未能按合同约定全面履行义务，甲方有权从履约保证金中取得补偿或赔偿，</w:t>
      </w:r>
      <w:r>
        <w:rPr>
          <w:rFonts w:hint="eastAsia" w:ascii="宋体" w:hAnsi="宋体" w:eastAsia="宋体" w:cs="宋体"/>
          <w:color w:val="000000" w:themeColor="text1"/>
          <w:sz w:val="24"/>
          <w:szCs w:val="24"/>
          <w:highlight w:val="none"/>
          <w:lang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不影响甲方要求乙方承担合同约定的超过履约保证金的违约责任的权利。</w:t>
      </w:r>
    </w:p>
    <w:p w14:paraId="5429F760">
      <w:pPr>
        <w:pageBreakBefore w:val="0"/>
        <w:kinsoku/>
        <w:wordWrap/>
        <w:overflowPunct/>
        <w:topLinePunct w:val="0"/>
        <w:bidi w:val="0"/>
        <w:spacing w:line="560" w:lineRule="exact"/>
        <w:ind w:firstLine="42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 甲方在项目通过验收后按照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规定的时间内将履约保证金退还乙方；逾期退还的，乙方可要求甲方支付违约金，违约金按照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规定支付。</w:t>
      </w:r>
    </w:p>
    <w:p w14:paraId="44AF5E36">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售后服务</w:t>
      </w:r>
    </w:p>
    <w:p w14:paraId="0932F03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除项目不涉及或采购活动中明确约定无须承担外，乙方还应提供下列服务：</w:t>
      </w:r>
    </w:p>
    <w:p w14:paraId="229F85F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（1）货物的现场移动、安装、调试、启动监督及技术支持；</w:t>
      </w:r>
    </w:p>
    <w:p w14:paraId="62849E5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（2）提供货物组装和维修所需的专用工具和辅助材料；</w:t>
      </w:r>
    </w:p>
    <w:p w14:paraId="632298F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的期限内对所有的货物实施运行监督、维修，但前提条件是该服务并不能免除乙方在质量保证期内所承担的义务；</w:t>
      </w:r>
    </w:p>
    <w:p w14:paraId="20E66CD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（4）在制造商</w:t>
      </w:r>
      <w:r>
        <w:rPr>
          <w:rFonts w:hint="eastAsia" w:ascii="宋体" w:hAnsi="宋体" w:eastAsia="宋体" w:cs="宋体"/>
          <w:color w:val="000000" w:themeColor="text1"/>
          <w:sz w:val="24"/>
          <w:szCs w:val="24"/>
          <w:highlight w:val="none"/>
          <w:lang w:eastAsia="zh-CN"/>
          <w14:textFill>
            <w14:solidFill>
              <w14:schemeClr w14:val="tx1"/>
            </w14:solidFill>
          </w14:textFill>
        </w:rPr>
        <w:t>所在地</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指定</w:t>
      </w:r>
      <w:r>
        <w:rPr>
          <w:rFonts w:hint="eastAsia" w:ascii="宋体" w:hAnsi="宋体" w:eastAsia="宋体" w:cs="宋体"/>
          <w:color w:val="000000" w:themeColor="text1"/>
          <w:sz w:val="24"/>
          <w:szCs w:val="24"/>
          <w:highlight w:val="none"/>
          <w14:textFill>
            <w14:solidFill>
              <w14:schemeClr w14:val="tx1"/>
            </w14:solidFill>
          </w14:textFill>
        </w:rPr>
        <w:t>现场就货物的安装、启动、运营、维护</w:t>
      </w:r>
      <w:r>
        <w:rPr>
          <w:rFonts w:hint="eastAsia" w:ascii="宋体" w:hAnsi="宋体" w:eastAsia="宋体" w:cs="宋体"/>
          <w:color w:val="000000" w:themeColor="text1"/>
          <w:sz w:val="24"/>
          <w:szCs w:val="24"/>
          <w:highlight w:val="none"/>
          <w:lang w:eastAsia="zh-CN"/>
          <w14:textFill>
            <w14:solidFill>
              <w14:schemeClr w14:val="tx1"/>
            </w14:solidFill>
          </w14:textFill>
        </w:rPr>
        <w:t>、废弃处置等</w:t>
      </w:r>
      <w:r>
        <w:rPr>
          <w:rFonts w:hint="eastAsia" w:ascii="宋体" w:hAnsi="宋体" w:eastAsia="宋体" w:cs="宋体"/>
          <w:color w:val="000000" w:themeColor="text1"/>
          <w:sz w:val="24"/>
          <w:szCs w:val="24"/>
          <w:highlight w:val="none"/>
          <w14:textFill>
            <w14:solidFill>
              <w14:schemeClr w14:val="tx1"/>
            </w14:solidFill>
          </w14:textFill>
        </w:rPr>
        <w:t>对甲方操作人员进行培训</w:t>
      </w:r>
      <w:r>
        <w:rPr>
          <w:rFonts w:hint="eastAsia" w:ascii="宋体" w:hAnsi="宋体" w:eastAsia="宋体" w:cs="宋体"/>
          <w:color w:val="000000" w:themeColor="text1"/>
          <w:sz w:val="24"/>
          <w:szCs w:val="24"/>
          <w:lang w:eastAsia="zh-CN"/>
          <w14:textFill>
            <w14:solidFill>
              <w14:schemeClr w14:val="tx1"/>
            </w14:solidFill>
          </w14:textFill>
        </w:rPr>
        <w:t>；</w:t>
      </w:r>
    </w:p>
    <w:p w14:paraId="27E85DF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约定，货物在有效使用年限届满后应予回收的，乙方负有自行或者委托第三人对货物予以回收的义务；</w:t>
      </w:r>
    </w:p>
    <w:p w14:paraId="332C780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规定由乙方提供的其他服务。</w:t>
      </w:r>
    </w:p>
    <w:p w14:paraId="71924D7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乙方提供的</w:t>
      </w:r>
      <w:r>
        <w:rPr>
          <w:rFonts w:hint="eastAsia" w:ascii="宋体" w:hAnsi="宋体" w:eastAsia="宋体" w:cs="宋体"/>
          <w:color w:val="000000" w:themeColor="text1"/>
          <w:sz w:val="24"/>
          <w:szCs w:val="24"/>
          <w:highlight w:val="none"/>
          <w:lang w:eastAsia="zh-CN"/>
          <w14:textFill>
            <w14:solidFill>
              <w14:schemeClr w14:val="tx1"/>
            </w14:solidFill>
          </w14:textFill>
        </w:rPr>
        <w:t>售后</w:t>
      </w:r>
      <w:r>
        <w:rPr>
          <w:rFonts w:hint="eastAsia" w:ascii="宋体" w:hAnsi="宋体" w:eastAsia="宋体" w:cs="宋体"/>
          <w:color w:val="000000" w:themeColor="text1"/>
          <w:sz w:val="24"/>
          <w:szCs w:val="24"/>
          <w:highlight w:val="none"/>
          <w14:textFill>
            <w14:solidFill>
              <w14:schemeClr w14:val="tx1"/>
            </w14:solidFill>
          </w14:textFill>
        </w:rPr>
        <w:t>服务的费用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已</w:t>
      </w:r>
      <w:r>
        <w:rPr>
          <w:rFonts w:hint="eastAsia" w:ascii="宋体" w:hAnsi="宋体" w:eastAsia="宋体" w:cs="宋体"/>
          <w:color w:val="000000" w:themeColor="text1"/>
          <w:sz w:val="24"/>
          <w:szCs w:val="24"/>
          <w:highlight w:val="none"/>
          <w14:textFill>
            <w14:solidFill>
              <w14:schemeClr w14:val="tx1"/>
            </w14:solidFill>
          </w14:textFill>
        </w:rPr>
        <w:t>包含在合同价款中，甲方不再另行支付。</w:t>
      </w:r>
    </w:p>
    <w:p w14:paraId="778498EB">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违约责任</w:t>
      </w:r>
    </w:p>
    <w:p w14:paraId="2505CE6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.1质量瑕疵的</w:t>
      </w:r>
      <w:r>
        <w:rPr>
          <w:rFonts w:hint="eastAsia" w:ascii="宋体" w:hAnsi="宋体" w:eastAsia="宋体" w:cs="宋体"/>
          <w:bCs/>
          <w:color w:val="000000" w:themeColor="text1"/>
          <w:sz w:val="24"/>
          <w:szCs w:val="24"/>
          <w:highlight w:val="none"/>
          <w:lang w:eastAsia="zh-CN"/>
          <w14:textFill>
            <w14:solidFill>
              <w14:schemeClr w14:val="tx1"/>
            </w14:solidFill>
          </w14:textFill>
        </w:rPr>
        <w:t>违约责任</w:t>
      </w:r>
    </w:p>
    <w:p w14:paraId="606F142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的产品不符合</w:t>
      </w:r>
      <w:r>
        <w:rPr>
          <w:rFonts w:hint="eastAsia" w:ascii="宋体" w:hAnsi="宋体" w:eastAsia="宋体" w:cs="宋体"/>
          <w:color w:val="000000" w:themeColor="text1"/>
          <w:sz w:val="24"/>
          <w:szCs w:val="24"/>
          <w:highlight w:val="none"/>
          <w:lang w:eastAsia="zh-CN"/>
          <w14:textFill>
            <w14:solidFill>
              <w14:schemeClr w14:val="tx1"/>
            </w14:solidFill>
          </w14:textFill>
        </w:rPr>
        <w:t>合同约定的</w:t>
      </w:r>
      <w:r>
        <w:rPr>
          <w:rFonts w:hint="eastAsia" w:ascii="宋体" w:hAnsi="宋体" w:eastAsia="宋体" w:cs="宋体"/>
          <w:color w:val="000000" w:themeColor="text1"/>
          <w:sz w:val="24"/>
          <w:szCs w:val="24"/>
          <w:highlight w:val="none"/>
          <w14:textFill>
            <w14:solidFill>
              <w14:schemeClr w14:val="tx1"/>
            </w14:solidFill>
          </w14:textFill>
        </w:rPr>
        <w:t>质量标准或存在产品质量缺陷，</w:t>
      </w:r>
      <w:r>
        <w:rPr>
          <w:rFonts w:hint="eastAsia" w:ascii="宋体" w:hAnsi="宋体" w:eastAsia="宋体" w:cs="宋体"/>
          <w:color w:val="000000" w:themeColor="text1"/>
          <w:sz w:val="24"/>
          <w:szCs w:val="24"/>
          <w:highlight w:val="none"/>
          <w:lang w:eastAsia="zh-CN"/>
          <w14:textFill>
            <w14:solidFill>
              <w14:schemeClr w14:val="tx1"/>
            </w14:solidFill>
          </w14:textFill>
        </w:rPr>
        <w:t>甲方有权要求乙方根据</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lang w:eastAsia="zh-CN"/>
          <w14:textFill>
            <w14:solidFill>
              <w14:schemeClr w14:val="tx1"/>
            </w14:solidFill>
          </w14:textFill>
        </w:rPr>
        <w:t>及时修理、重作、更换，并承担由此给甲</w:t>
      </w:r>
      <w:r>
        <w:rPr>
          <w:rFonts w:hint="eastAsia" w:ascii="宋体" w:hAnsi="宋体" w:eastAsia="宋体" w:cs="宋体"/>
          <w:color w:val="000000" w:themeColor="text1"/>
          <w:sz w:val="24"/>
          <w:szCs w:val="24"/>
          <w:highlight w:val="none"/>
          <w14:textFill>
            <w14:solidFill>
              <w14:schemeClr w14:val="tx1"/>
            </w14:solidFill>
          </w14:textFill>
        </w:rPr>
        <w:t>方</w:t>
      </w:r>
      <w:r>
        <w:rPr>
          <w:rFonts w:hint="eastAsia" w:ascii="宋体" w:hAnsi="宋体" w:eastAsia="宋体" w:cs="宋体"/>
          <w:color w:val="000000" w:themeColor="text1"/>
          <w:sz w:val="24"/>
          <w:szCs w:val="24"/>
          <w:highlight w:val="none"/>
          <w:lang w:eastAsia="zh-CN"/>
          <w14:textFill>
            <w14:solidFill>
              <w14:schemeClr w14:val="tx1"/>
            </w14:solidFill>
          </w14:textFill>
        </w:rPr>
        <w:t>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17C7E0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.2 迟延交货的违约责任</w:t>
      </w:r>
    </w:p>
    <w:p w14:paraId="531AB6C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（1）乙方应按照本合同规定的时间、地点交货和提供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服务。在履行合同过程中，如果乙方遇到可能</w:t>
      </w:r>
      <w:r>
        <w:rPr>
          <w:rFonts w:hint="eastAsia" w:ascii="宋体" w:hAnsi="宋体" w:eastAsia="宋体" w:cs="宋体"/>
          <w:color w:val="000000" w:themeColor="text1"/>
          <w:sz w:val="24"/>
          <w:szCs w:val="24"/>
          <w:highlight w:val="none"/>
          <w:lang w:eastAsia="zh-CN"/>
          <w14:textFill>
            <w14:solidFill>
              <w14:schemeClr w14:val="tx1"/>
            </w14:solidFill>
          </w14:textFill>
        </w:rPr>
        <w:t>影响</w:t>
      </w:r>
      <w:r>
        <w:rPr>
          <w:rFonts w:hint="eastAsia" w:ascii="宋体" w:hAnsi="宋体" w:eastAsia="宋体" w:cs="宋体"/>
          <w:color w:val="000000" w:themeColor="text1"/>
          <w:sz w:val="24"/>
          <w:szCs w:val="24"/>
          <w:highlight w:val="none"/>
          <w14:textFill>
            <w14:solidFill>
              <w14:schemeClr w14:val="tx1"/>
            </w14:solidFill>
          </w14:textFill>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 w:val="24"/>
          <w:szCs w:val="24"/>
          <w:highlight w:val="none"/>
          <w:lang w:eastAsia="zh-CN"/>
          <w14:textFill>
            <w14:solidFill>
              <w14:schemeClr w14:val="tx1"/>
            </w14:solidFill>
          </w14:textFill>
        </w:rPr>
        <w:t>长</w:t>
      </w:r>
      <w:r>
        <w:rPr>
          <w:rFonts w:hint="eastAsia" w:ascii="宋体" w:hAnsi="宋体" w:eastAsia="宋体" w:cs="宋体"/>
          <w:color w:val="000000" w:themeColor="text1"/>
          <w:sz w:val="24"/>
          <w:szCs w:val="24"/>
          <w:highlight w:val="none"/>
          <w14:textFill>
            <w14:solidFill>
              <w14:schemeClr w14:val="tx1"/>
            </w14:solidFill>
          </w14:textFill>
        </w:rPr>
        <w:t>交货时间或延期提供服务。</w:t>
      </w:r>
    </w:p>
    <w:p w14:paraId="7DF6D2A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（2）如果乙方没有按照合同规定的时间交货和提供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服务，甲方有权从货款中扣除误期赔偿费而不影响合同项下的其他补救方法，赔偿费按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规定执行。如果涉及公共利益，且赔偿金额无法弥补公共利益损失，</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可要求继续履行或者</w:t>
      </w:r>
      <w:r>
        <w:rPr>
          <w:rFonts w:hint="eastAsia" w:ascii="宋体" w:hAnsi="宋体" w:eastAsia="宋体" w:cs="宋体"/>
          <w:color w:val="000000" w:themeColor="text1"/>
          <w:sz w:val="24"/>
          <w:szCs w:val="24"/>
          <w:highlight w:val="none"/>
          <w:lang w:eastAsia="zh-CN"/>
          <w14:textFill>
            <w14:solidFill>
              <w14:schemeClr w14:val="tx1"/>
            </w14:solidFill>
          </w14:textFill>
        </w:rPr>
        <w:t>采取其他补救措施</w:t>
      </w:r>
      <w:r>
        <w:rPr>
          <w:rFonts w:hint="eastAsia" w:ascii="宋体" w:hAnsi="宋体" w:eastAsia="宋体" w:cs="宋体"/>
          <w:color w:val="000000" w:themeColor="text1"/>
          <w:sz w:val="24"/>
          <w:szCs w:val="24"/>
          <w:highlight w:val="none"/>
          <w14:textFill>
            <w14:solidFill>
              <w14:schemeClr w14:val="tx1"/>
            </w14:solidFill>
          </w14:textFill>
        </w:rPr>
        <w:t>。</w:t>
      </w:r>
    </w:p>
    <w:p w14:paraId="174D1B2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迟延支付的违约责任</w:t>
      </w:r>
    </w:p>
    <w:p w14:paraId="75CF24A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甲方存在迟延支付乙方合同款项的，应当承担</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规定的逾期付款利息。</w:t>
      </w:r>
    </w:p>
    <w:p w14:paraId="6AB23510">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.4其他违约责任根据项目实际需要按</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3DF77CF">
      <w:pPr>
        <w:pageBreakBefore w:val="0"/>
        <w:numPr>
          <w:ilvl w:val="0"/>
          <w:numId w:val="11"/>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合同变更</w:t>
      </w:r>
      <w:r>
        <w:rPr>
          <w:rFonts w:hint="eastAsia" w:ascii="宋体" w:hAnsi="宋体" w:eastAsia="宋体" w:cs="宋体"/>
          <w:b/>
          <w:color w:val="000000" w:themeColor="text1"/>
          <w:sz w:val="24"/>
          <w:szCs w:val="24"/>
          <w:highlight w:val="none"/>
          <w:lang w:eastAsia="zh-CN"/>
          <w14:textFill>
            <w14:solidFill>
              <w14:schemeClr w14:val="tx1"/>
            </w14:solidFill>
          </w14:textFill>
        </w:rPr>
        <w:t>、中止与终止</w:t>
      </w:r>
    </w:p>
    <w:p w14:paraId="496E899F">
      <w:pPr>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.1合同的</w:t>
      </w:r>
      <w:r>
        <w:rPr>
          <w:rFonts w:hint="eastAsia" w:ascii="宋体" w:hAnsi="宋体" w:eastAsia="宋体" w:cs="宋体"/>
          <w:color w:val="000000" w:themeColor="text1"/>
          <w:sz w:val="24"/>
          <w:szCs w:val="24"/>
          <w:highlight w:val="none"/>
          <w:lang w:eastAsia="zh-CN"/>
          <w14:textFill>
            <w14:solidFill>
              <w14:schemeClr w14:val="tx1"/>
            </w14:solidFill>
          </w14:textFill>
        </w:rPr>
        <w:t>变更</w:t>
      </w:r>
    </w:p>
    <w:p w14:paraId="74C0B31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政府采购合同履行中，</w:t>
      </w:r>
      <w:r>
        <w:rPr>
          <w:rFonts w:hint="eastAsia" w:ascii="宋体" w:hAnsi="宋体" w:eastAsia="宋体" w:cs="宋体"/>
          <w:color w:val="000000" w:themeColor="text1"/>
          <w:sz w:val="24"/>
          <w:szCs w:val="24"/>
          <w:highlight w:val="none"/>
          <w14:textFill>
            <w14:solidFill>
              <w14:schemeClr w14:val="tx1"/>
            </w14:solidFill>
          </w14:textFill>
        </w:rPr>
        <w:t>在不改变合同其他条款的前提下，甲方可以在合同价款</w:t>
      </w: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的范围内追加与合同标的相同的货物，并就此与乙方协商</w:t>
      </w:r>
      <w:r>
        <w:rPr>
          <w:rFonts w:hint="eastAsia" w:ascii="宋体" w:hAnsi="宋体" w:eastAsia="宋体" w:cs="宋体"/>
          <w:color w:val="000000" w:themeColor="text1"/>
          <w:sz w:val="24"/>
          <w:szCs w:val="24"/>
          <w:highlight w:val="none"/>
          <w:lang w:eastAsia="zh-CN"/>
          <w14:textFill>
            <w14:solidFill>
              <w14:schemeClr w14:val="tx1"/>
            </w14:solidFill>
          </w14:textFill>
        </w:rPr>
        <w:t>一致后</w:t>
      </w:r>
      <w:r>
        <w:rPr>
          <w:rFonts w:hint="eastAsia" w:ascii="宋体" w:hAnsi="宋体" w:eastAsia="宋体" w:cs="宋体"/>
          <w:color w:val="000000" w:themeColor="text1"/>
          <w:sz w:val="24"/>
          <w:szCs w:val="24"/>
          <w:highlight w:val="none"/>
          <w14:textFill>
            <w14:solidFill>
              <w14:schemeClr w14:val="tx1"/>
            </w14:solidFill>
          </w14:textFill>
        </w:rPr>
        <w:t>签订补充协议。</w:t>
      </w:r>
    </w:p>
    <w:p w14:paraId="565D3D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合同的中止</w:t>
      </w:r>
    </w:p>
    <w:p w14:paraId="353337F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（1）合同履行过程中因供应商就采购文件、采购过程或结果提起投诉的，甲方认为有必要的，</w:t>
      </w:r>
      <w:r>
        <w:rPr>
          <w:rFonts w:hint="eastAsia" w:ascii="宋体" w:hAnsi="宋体" w:eastAsia="宋体" w:cs="宋体"/>
          <w:color w:val="000000" w:themeColor="text1"/>
          <w:sz w:val="24"/>
          <w:szCs w:val="24"/>
          <w:highlight w:val="none"/>
          <w:lang w:eastAsia="zh-CN"/>
          <w14:textFill>
            <w14:solidFill>
              <w14:schemeClr w14:val="tx1"/>
            </w14:solidFill>
          </w14:textFill>
        </w:rPr>
        <w:t>可以</w:t>
      </w:r>
      <w:r>
        <w:rPr>
          <w:rFonts w:hint="eastAsia" w:ascii="宋体" w:hAnsi="宋体" w:eastAsia="宋体" w:cs="宋体"/>
          <w:color w:val="000000" w:themeColor="text1"/>
          <w:sz w:val="24"/>
          <w:szCs w:val="24"/>
          <w:highlight w:val="none"/>
          <w14:textFill>
            <w14:solidFill>
              <w14:schemeClr w14:val="tx1"/>
            </w14:solidFill>
          </w14:textFill>
        </w:rPr>
        <w:t>中止合同的履行。</w:t>
      </w:r>
    </w:p>
    <w:p w14:paraId="7AED527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合同履行过程中，</w:t>
      </w:r>
      <w:r>
        <w:rPr>
          <w:rFonts w:hint="eastAsia" w:ascii="宋体" w:hAnsi="宋体" w:eastAsia="宋体" w:cs="宋体"/>
          <w:color w:val="000000" w:themeColor="text1"/>
          <w:sz w:val="24"/>
          <w:szCs w:val="24"/>
          <w:highlight w:val="none"/>
          <w14:textFill>
            <w14:solidFill>
              <w14:schemeClr w14:val="tx1"/>
            </w14:solidFill>
          </w14:textFill>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 w:val="24"/>
          <w:szCs w:val="24"/>
          <w:highlight w:val="none"/>
          <w:lang w:eastAsia="zh-CN"/>
          <w14:textFill>
            <w14:solidFill>
              <w14:schemeClr w14:val="tx1"/>
            </w14:solidFill>
          </w14:textFill>
        </w:rPr>
        <w:t>，乙方有义务及时告知甲方</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以书面形式通知乙方中止合同</w:t>
      </w:r>
      <w:r>
        <w:rPr>
          <w:rFonts w:hint="eastAsia" w:ascii="宋体" w:hAnsi="宋体" w:eastAsia="宋体" w:cs="宋体"/>
          <w:color w:val="000000" w:themeColor="text1"/>
          <w:sz w:val="24"/>
          <w:szCs w:val="24"/>
          <w:highlight w:val="none"/>
          <w:lang w:eastAsia="zh-CN"/>
          <w14:textFill>
            <w14:solidFill>
              <w14:schemeClr w14:val="tx1"/>
            </w14:solidFill>
          </w14:textFill>
        </w:rPr>
        <w:t>并要求乙方在合理期限内消除相关情形或者提供适当担保。</w:t>
      </w:r>
      <w:r>
        <w:rPr>
          <w:rFonts w:hint="eastAsia" w:ascii="宋体" w:hAnsi="宋体" w:eastAsia="宋体" w:cs="宋体"/>
          <w:color w:val="000000" w:themeColor="text1"/>
          <w:sz w:val="24"/>
          <w:szCs w:val="24"/>
          <w:highlight w:val="none"/>
          <w14:textFill>
            <w14:solidFill>
              <w14:schemeClr w14:val="tx1"/>
            </w14:solidFill>
          </w14:textFill>
        </w:rPr>
        <w:t>乙方提供适当担保的，</w:t>
      </w:r>
      <w:r>
        <w:rPr>
          <w:rFonts w:hint="eastAsia" w:ascii="宋体" w:hAnsi="宋体" w:eastAsia="宋体" w:cs="宋体"/>
          <w:color w:val="000000" w:themeColor="text1"/>
          <w:sz w:val="24"/>
          <w:szCs w:val="24"/>
          <w:highlight w:val="none"/>
          <w:lang w:eastAsia="zh-CN"/>
          <w14:textFill>
            <w14:solidFill>
              <w14:schemeClr w14:val="tx1"/>
            </w14:solidFill>
          </w14:textFill>
        </w:rPr>
        <w:t>合同继续</w:t>
      </w:r>
      <w:r>
        <w:rPr>
          <w:rFonts w:hint="eastAsia" w:ascii="宋体" w:hAnsi="宋体" w:eastAsia="宋体" w:cs="宋体"/>
          <w:color w:val="000000" w:themeColor="text1"/>
          <w:sz w:val="24"/>
          <w:szCs w:val="24"/>
          <w:highlight w:val="none"/>
          <w14:textFill>
            <w14:solidFill>
              <w14:schemeClr w14:val="tx1"/>
            </w14:solidFill>
          </w14:textFill>
        </w:rPr>
        <w:t>履行</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方在合理期限内未恢复履约能力且未提供适当担保的，视为拒绝</w:t>
      </w:r>
      <w:r>
        <w:rPr>
          <w:rFonts w:hint="eastAsia" w:ascii="宋体" w:hAnsi="宋体" w:eastAsia="宋体" w:cs="宋体"/>
          <w:color w:val="000000" w:themeColor="text1"/>
          <w:sz w:val="24"/>
          <w:szCs w:val="24"/>
          <w:highlight w:val="none"/>
          <w:lang w:eastAsia="zh-CN"/>
          <w14:textFill>
            <w14:solidFill>
              <w14:schemeClr w14:val="tx1"/>
            </w14:solidFill>
          </w14:textFill>
        </w:rPr>
        <w:t>继续</w:t>
      </w:r>
      <w:r>
        <w:rPr>
          <w:rFonts w:hint="eastAsia" w:ascii="宋体" w:hAnsi="宋体" w:eastAsia="宋体" w:cs="宋体"/>
          <w:color w:val="000000" w:themeColor="text1"/>
          <w:sz w:val="24"/>
          <w:szCs w:val="24"/>
          <w:highlight w:val="none"/>
          <w14:textFill>
            <w14:solidFill>
              <w14:schemeClr w14:val="tx1"/>
            </w14:solidFill>
          </w14:textFill>
        </w:rPr>
        <w:t>履约，甲方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解除合同并要求乙方承担</w:t>
      </w:r>
      <w:r>
        <w:rPr>
          <w:rFonts w:hint="eastAsia" w:ascii="宋体" w:hAnsi="宋体" w:eastAsia="宋体" w:cs="宋体"/>
          <w:color w:val="000000" w:themeColor="text1"/>
          <w:sz w:val="24"/>
          <w:szCs w:val="24"/>
          <w:highlight w:val="none"/>
          <w:lang w:eastAsia="zh-CN"/>
          <w14:textFill>
            <w14:solidFill>
              <w14:schemeClr w14:val="tx1"/>
            </w14:solidFill>
          </w14:textFill>
        </w:rPr>
        <w:t>由此给甲方造成的损失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6AAD80BC">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（3）乙方分立、合并或者变更住所的，应当及时以书面形式告知甲方。乙方没有</w:t>
      </w:r>
      <w:r>
        <w:rPr>
          <w:rFonts w:hint="eastAsia" w:ascii="宋体" w:hAnsi="宋体" w:eastAsia="宋体" w:cs="宋体"/>
          <w:color w:val="000000" w:themeColor="text1"/>
          <w:sz w:val="24"/>
          <w:szCs w:val="24"/>
          <w:lang w:eastAsia="zh-CN"/>
          <w14:textFill>
            <w14:solidFill>
              <w14:schemeClr w14:val="tx1"/>
            </w14:solidFill>
          </w14:textFill>
        </w:rPr>
        <w:t>及时告知</w:t>
      </w:r>
      <w:r>
        <w:rPr>
          <w:rFonts w:hint="eastAsia" w:ascii="宋体" w:hAnsi="宋体" w:eastAsia="宋体" w:cs="宋体"/>
          <w:color w:val="000000" w:themeColor="text1"/>
          <w:sz w:val="24"/>
          <w:szCs w:val="24"/>
          <w14:textFill>
            <w14:solidFill>
              <w14:schemeClr w14:val="tx1"/>
            </w14:solidFill>
          </w14:textFill>
        </w:rPr>
        <w:t>甲方，致使</w:t>
      </w:r>
      <w:r>
        <w:rPr>
          <w:rFonts w:hint="eastAsia" w:ascii="宋体" w:hAnsi="宋体" w:eastAsia="宋体" w:cs="宋体"/>
          <w:color w:val="000000" w:themeColor="text1"/>
          <w:sz w:val="24"/>
          <w:szCs w:val="24"/>
          <w:lang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履行发生困难的，甲方可以中止合同履行并要求乙方承担由此给甲方造成的损失。</w:t>
      </w:r>
    </w:p>
    <w:p w14:paraId="4E40B22A">
      <w:pPr>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）甲方不得以行政区划调整、政府换届、机构或者职能调整以及相关责任人更替为由中止合同。</w:t>
      </w:r>
    </w:p>
    <w:p w14:paraId="4FA5E0C8">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合同的终止</w:t>
      </w:r>
    </w:p>
    <w:p w14:paraId="25E905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（1）合同因有效期限届满而终止；</w:t>
      </w:r>
    </w:p>
    <w:p w14:paraId="314ADE03">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（2）乙方未</w:t>
      </w:r>
      <w:r>
        <w:rPr>
          <w:rFonts w:hint="eastAsia" w:ascii="宋体" w:hAnsi="宋体" w:eastAsia="宋体" w:cs="宋体"/>
          <w:color w:val="000000" w:themeColor="text1"/>
          <w:sz w:val="24"/>
          <w:szCs w:val="24"/>
          <w:highlight w:val="none"/>
          <w:lang w:eastAsia="zh-CN"/>
          <w14:textFill>
            <w14:solidFill>
              <w14:schemeClr w14:val="tx1"/>
            </w14:solidFill>
          </w14:textFill>
        </w:rPr>
        <w:t>按</w:t>
      </w:r>
      <w:r>
        <w:rPr>
          <w:rFonts w:hint="eastAsia" w:ascii="宋体" w:hAnsi="宋体" w:eastAsia="宋体" w:cs="宋体"/>
          <w:color w:val="000000" w:themeColor="text1"/>
          <w:sz w:val="24"/>
          <w:szCs w:val="24"/>
          <w:highlight w:val="none"/>
          <w14:textFill>
            <w14:solidFill>
              <w14:schemeClr w14:val="tx1"/>
            </w14:solidFill>
          </w14:textFill>
        </w:rPr>
        <w:t>合同约定履行，构成根本性违约的，甲方有权终止合同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并追究乙方的违约责</w:t>
      </w:r>
      <w:r>
        <w:rPr>
          <w:rFonts w:hint="eastAsia" w:ascii="宋体" w:hAnsi="宋体" w:eastAsia="宋体" w:cs="宋体"/>
          <w:color w:val="000000" w:themeColor="text1"/>
          <w:sz w:val="24"/>
          <w:szCs w:val="24"/>
          <w:lang w:val="en-US" w:eastAsia="zh-CN"/>
          <w14:textFill>
            <w14:solidFill>
              <w14:schemeClr w14:val="tx1"/>
            </w14:solidFill>
          </w14:textFill>
        </w:rPr>
        <w:t>任</w:t>
      </w:r>
      <w:r>
        <w:rPr>
          <w:rFonts w:hint="eastAsia" w:ascii="宋体" w:hAnsi="宋体" w:eastAsia="宋体" w:cs="宋体"/>
          <w:color w:val="000000" w:themeColor="text1"/>
          <w:sz w:val="24"/>
          <w:szCs w:val="24"/>
          <w:highlight w:val="none"/>
          <w14:textFill>
            <w14:solidFill>
              <w14:schemeClr w14:val="tx1"/>
            </w14:solidFill>
          </w14:textFill>
        </w:rPr>
        <w:t>。</w:t>
      </w:r>
    </w:p>
    <w:p w14:paraId="27F369FA">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16.4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涉及国家利益、社会公共利益的情形</w:t>
      </w:r>
    </w:p>
    <w:p w14:paraId="6A3050BE">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政府采购合同继续履行将损害国家利益和社会公共利益的，双方当事人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应当变更、</w:t>
      </w:r>
      <w:r>
        <w:rPr>
          <w:rFonts w:hint="eastAsia" w:ascii="宋体" w:hAnsi="宋体" w:eastAsia="宋体" w:cs="宋体"/>
          <w:color w:val="000000" w:themeColor="text1"/>
          <w:sz w:val="24"/>
          <w:szCs w:val="24"/>
          <w14:textFill>
            <w14:solidFill>
              <w14:schemeClr w14:val="tx1"/>
            </w14:solidFill>
          </w14:textFill>
        </w:rPr>
        <w:t>中止</w:t>
      </w:r>
      <w:r>
        <w:rPr>
          <w:rFonts w:hint="eastAsia" w:ascii="宋体" w:hAnsi="宋体" w:eastAsia="宋体" w:cs="宋体"/>
          <w:color w:val="000000" w:themeColor="text1"/>
          <w:sz w:val="24"/>
          <w:szCs w:val="24"/>
          <w:lang w:eastAsia="zh-CN"/>
          <w14:textFill>
            <w14:solidFill>
              <w14:schemeClr w14:val="tx1"/>
            </w14:solidFill>
          </w14:textFill>
        </w:rPr>
        <w:t>或者终止</w:t>
      </w:r>
      <w:r>
        <w:rPr>
          <w:rFonts w:hint="eastAsia" w:ascii="宋体" w:hAnsi="宋体" w:eastAsia="宋体" w:cs="宋体"/>
          <w:color w:val="000000" w:themeColor="text1"/>
          <w:sz w:val="24"/>
          <w:szCs w:val="24"/>
          <w14:textFill>
            <w14:solidFill>
              <w14:schemeClr w14:val="tx1"/>
            </w14:solidFill>
          </w14:textFill>
        </w:rPr>
        <w:t>合同。有过错的一方应当承担赔偿责任，双方都有过错的，各自承担相应的责任。</w:t>
      </w:r>
    </w:p>
    <w:p w14:paraId="55597ED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合同分包</w:t>
      </w:r>
    </w:p>
    <w:p w14:paraId="13B5EFB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乙方不得</w:t>
      </w:r>
      <w:r>
        <w:rPr>
          <w:rFonts w:hint="eastAsia" w:ascii="宋体" w:hAnsi="宋体" w:eastAsia="宋体" w:cs="宋体"/>
          <w:color w:val="000000" w:themeColor="text1"/>
          <w:sz w:val="24"/>
          <w:szCs w:val="24"/>
          <w:highlight w:val="none"/>
          <w:lang w:eastAsia="zh-CN"/>
          <w14:textFill>
            <w14:solidFill>
              <w14:schemeClr w14:val="tx1"/>
            </w14:solidFill>
          </w14:textFill>
        </w:rPr>
        <w:t>将合同转包给其他供应商。涉及合同分包的，乙方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lang w:eastAsia="zh-CN"/>
          <w14:textFill>
            <w14:solidFill>
              <w14:schemeClr w14:val="tx1"/>
            </w14:solidFill>
          </w14:textFill>
        </w:rPr>
        <w:t>根据采购文件和投标（响应）文件规定进行</w:t>
      </w:r>
      <w:r>
        <w:rPr>
          <w:rFonts w:hint="eastAsia" w:ascii="宋体" w:hAnsi="宋体" w:eastAsia="宋体" w:cs="宋体"/>
          <w:color w:val="000000" w:themeColor="text1"/>
          <w:sz w:val="24"/>
          <w:szCs w:val="24"/>
          <w:highlight w:val="none"/>
          <w14:textFill>
            <w14:solidFill>
              <w14:schemeClr w14:val="tx1"/>
            </w14:solidFill>
          </w14:textFill>
        </w:rPr>
        <w:t>合同分包。</w:t>
      </w:r>
    </w:p>
    <w:p w14:paraId="4CB751B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乙方执行政府采购政策向中小企业依法分包的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乙方应当按采购文件</w:t>
      </w:r>
      <w:r>
        <w:rPr>
          <w:rFonts w:hint="eastAsia" w:ascii="宋体" w:hAnsi="宋体" w:eastAsia="宋体"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投标（响应）文件签订分包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协议属于本合同组成部分。</w:t>
      </w:r>
    </w:p>
    <w:p w14:paraId="322752B9">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不可抗力</w:t>
      </w:r>
    </w:p>
    <w:p w14:paraId="7F6A4BA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不可抗力是指合同双方不能预见、不能避免且不能克服的客观情况。</w:t>
      </w:r>
    </w:p>
    <w:p w14:paraId="67E001A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任何一方对由于不可抗力造成的部分或全部不能履行合同不承担违约责任。但迟延履行后发生不可抗力的，不能免除责任。</w:t>
      </w:r>
    </w:p>
    <w:p w14:paraId="4FD7A40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.3 遇有不可抗力的一方，应及时将事件情况以书面形式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告</w:t>
      </w:r>
      <w:r>
        <w:rPr>
          <w:rFonts w:hint="eastAsia" w:ascii="宋体" w:hAnsi="宋体" w:eastAsia="宋体" w:cs="宋体"/>
          <w:color w:val="000000" w:themeColor="text1"/>
          <w:sz w:val="24"/>
          <w:szCs w:val="24"/>
          <w:highlight w:val="none"/>
          <w14:textFill>
            <w14:solidFill>
              <w14:schemeClr w14:val="tx1"/>
            </w14:solidFill>
          </w14:textFill>
        </w:rPr>
        <w:t>知另一方，并在事件发生后及时向另一方提交合同不能履行或部分不能履行或需要延期履行</w:t>
      </w:r>
      <w:r>
        <w:rPr>
          <w:rFonts w:hint="eastAsia" w:ascii="宋体" w:hAnsi="宋体" w:eastAsia="宋体" w:cs="宋体"/>
          <w:color w:val="000000" w:themeColor="text1"/>
          <w:sz w:val="24"/>
          <w:szCs w:val="24"/>
          <w:highlight w:val="none"/>
          <w:lang w:eastAsia="zh-CN"/>
          <w14:textFill>
            <w14:solidFill>
              <w14:schemeClr w14:val="tx1"/>
            </w14:solidFill>
          </w14:textFill>
        </w:rPr>
        <w:t>的详细</w:t>
      </w:r>
      <w:r>
        <w:rPr>
          <w:rFonts w:hint="eastAsia" w:ascii="宋体" w:hAnsi="宋体" w:eastAsia="宋体" w:cs="宋体"/>
          <w:color w:val="000000" w:themeColor="text1"/>
          <w:sz w:val="24"/>
          <w:szCs w:val="24"/>
          <w:highlight w:val="none"/>
          <w14:textFill>
            <w14:solidFill>
              <w14:schemeClr w14:val="tx1"/>
            </w14:solidFill>
          </w14:textFill>
        </w:rPr>
        <w:t>报告</w:t>
      </w:r>
      <w:r>
        <w:rPr>
          <w:rFonts w:hint="eastAsia" w:ascii="宋体" w:hAnsi="宋体" w:eastAsia="宋体" w:cs="宋体"/>
          <w:color w:val="000000" w:themeColor="text1"/>
          <w:sz w:val="24"/>
          <w:szCs w:val="24"/>
          <w:highlight w:val="none"/>
          <w:lang w:eastAsia="zh-CN"/>
          <w14:textFill>
            <w14:solidFill>
              <w14:schemeClr w14:val="tx1"/>
            </w14:solidFill>
          </w14:textFill>
        </w:rPr>
        <w:t>，以</w:t>
      </w:r>
      <w:r>
        <w:rPr>
          <w:rFonts w:hint="eastAsia" w:ascii="宋体" w:hAnsi="宋体" w:eastAsia="宋体" w:cs="宋体"/>
          <w:color w:val="000000" w:themeColor="text1"/>
          <w:sz w:val="24"/>
          <w:szCs w:val="24"/>
          <w:highlight w:val="none"/>
          <w:lang w:val="en-US" w:eastAsia="zh-CN"/>
          <w14:textFill>
            <w14:solidFill>
              <w14:schemeClr w14:val="tx1"/>
            </w14:solidFill>
          </w14:textFill>
        </w:rPr>
        <w:t>及证明不可抗力发生及其持续时间的证据</w:t>
      </w:r>
      <w:r>
        <w:rPr>
          <w:rFonts w:hint="eastAsia" w:ascii="宋体" w:hAnsi="宋体" w:eastAsia="宋体" w:cs="宋体"/>
          <w:color w:val="000000" w:themeColor="text1"/>
          <w:sz w:val="24"/>
          <w:szCs w:val="24"/>
          <w:highlight w:val="none"/>
          <w14:textFill>
            <w14:solidFill>
              <w14:schemeClr w14:val="tx1"/>
            </w14:solidFill>
          </w14:textFill>
        </w:rPr>
        <w:t>。</w:t>
      </w:r>
    </w:p>
    <w:p w14:paraId="1CD531D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解决争议的方法</w:t>
      </w:r>
    </w:p>
    <w:p w14:paraId="6B37DECA">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.1 因本合同及合同有关事项发生的争议，由</w:t>
      </w:r>
      <w:r>
        <w:rPr>
          <w:rFonts w:hint="eastAsia" w:ascii="宋体" w:hAnsi="宋体" w:eastAsia="宋体" w:cs="宋体"/>
          <w:color w:val="000000" w:themeColor="text1"/>
          <w:sz w:val="24"/>
          <w:szCs w:val="24"/>
          <w:lang w:eastAsia="zh-CN"/>
          <w14:textFill>
            <w14:solidFill>
              <w14:schemeClr w14:val="tx1"/>
            </w14:solidFill>
          </w14:textFill>
        </w:rPr>
        <w:t>甲乙双</w:t>
      </w:r>
      <w:r>
        <w:rPr>
          <w:rFonts w:hint="eastAsia" w:ascii="宋体" w:hAnsi="宋体" w:eastAsia="宋体" w:cs="宋体"/>
          <w:color w:val="000000" w:themeColor="text1"/>
          <w:sz w:val="24"/>
          <w:szCs w:val="24"/>
          <w14:textFill>
            <w14:solidFill>
              <w14:schemeClr w14:val="tx1"/>
            </w14:solidFill>
          </w14:textFill>
        </w:rPr>
        <w:t>方友好协商解决。协商不成时，可以</w:t>
      </w:r>
      <w:r>
        <w:rPr>
          <w:rFonts w:hint="eastAsia" w:ascii="宋体" w:hAnsi="宋体" w:eastAsia="宋体" w:cs="宋体"/>
          <w:color w:val="000000" w:themeColor="text1"/>
          <w:sz w:val="24"/>
          <w:szCs w:val="24"/>
          <w:lang w:eastAsia="zh-CN"/>
          <w14:textFill>
            <w14:solidFill>
              <w14:schemeClr w14:val="tx1"/>
            </w14:solidFill>
          </w14:textFill>
        </w:rPr>
        <w:t>向有关组织申请</w:t>
      </w:r>
      <w:r>
        <w:rPr>
          <w:rFonts w:hint="eastAsia" w:ascii="宋体" w:hAnsi="宋体" w:eastAsia="宋体" w:cs="宋体"/>
          <w:color w:val="000000" w:themeColor="text1"/>
          <w:sz w:val="24"/>
          <w:szCs w:val="24"/>
          <w14:textFill>
            <w14:solidFill>
              <w14:schemeClr w14:val="tx1"/>
            </w14:solidFill>
          </w14:textFill>
        </w:rPr>
        <w:t>调解。合同一方或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z w:val="24"/>
          <w:szCs w:val="24"/>
          <w14:textFill>
            <w14:solidFill>
              <w14:schemeClr w14:val="tx1"/>
            </w14:solidFill>
          </w14:textFill>
        </w:rPr>
        <w:t>方不愿调解或调解不成的，可以通过仲裁或诉讼的方式解决争议。</w:t>
      </w:r>
    </w:p>
    <w:p w14:paraId="28A75799">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 选择仲裁的，应在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中进一步约定选择与争议有实际联系的地点的人民法院管辖，但管辖法院的约定不得违反级别管辖和专属管辖的规定。</w:t>
      </w:r>
    </w:p>
    <w:p w14:paraId="45CC7C72">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.3 如</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14:textFill>
            <w14:solidFill>
              <w14:schemeClr w14:val="tx1"/>
            </w14:solidFill>
          </w14:textFill>
        </w:rPr>
        <w:t>有争议的事项不影响合同其他部分的履行，在争议解决期间，合同其他部分应</w:t>
      </w:r>
      <w:r>
        <w:rPr>
          <w:rFonts w:hint="eastAsia" w:ascii="宋体" w:hAnsi="宋体" w:eastAsia="宋体" w:cs="宋体"/>
          <w:color w:val="000000" w:themeColor="text1"/>
          <w:sz w:val="24"/>
          <w:szCs w:val="24"/>
          <w:lang w:eastAsia="zh-CN"/>
          <w14:textFill>
            <w14:solidFill>
              <w14:schemeClr w14:val="tx1"/>
            </w14:solidFill>
          </w14:textFill>
        </w:rPr>
        <w:t>当</w:t>
      </w:r>
      <w:r>
        <w:rPr>
          <w:rFonts w:hint="eastAsia" w:ascii="宋体" w:hAnsi="宋体" w:eastAsia="宋体" w:cs="宋体"/>
          <w:color w:val="000000" w:themeColor="text1"/>
          <w:sz w:val="24"/>
          <w:szCs w:val="24"/>
          <w14:textFill>
            <w14:solidFill>
              <w14:schemeClr w14:val="tx1"/>
            </w14:solidFill>
          </w14:textFill>
        </w:rPr>
        <w:t>继续履行。</w:t>
      </w:r>
    </w:p>
    <w:p w14:paraId="7678841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政府采购政策</w:t>
      </w:r>
    </w:p>
    <w:p w14:paraId="43D8813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20.1 </w:t>
      </w:r>
      <w:r>
        <w:rPr>
          <w:rFonts w:hint="eastAsia" w:ascii="宋体" w:hAnsi="宋体" w:eastAsia="宋体" w:cs="宋体"/>
          <w:color w:val="000000" w:themeColor="text1"/>
          <w:sz w:val="24"/>
          <w:szCs w:val="24"/>
          <w:lang w:val="en-GB"/>
          <w14:textFill>
            <w14:solidFill>
              <w14:schemeClr w14:val="tx1"/>
            </w14:solidFill>
          </w14:textFill>
        </w:rPr>
        <w:t>本合同应当按照规定执行政府采购政策。</w:t>
      </w:r>
    </w:p>
    <w:p w14:paraId="2CF3A5C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lang w:val="en-GB"/>
          <w14:textFill>
            <w14:solidFill>
              <w14:schemeClr w14:val="tx1"/>
            </w14:solidFill>
          </w14:textFill>
        </w:rPr>
        <w:t>未按规定要求执行政府采购政策造成损失的</w:t>
      </w:r>
      <w:r>
        <w:rPr>
          <w:rFonts w:hint="eastAsia" w:ascii="宋体" w:hAnsi="宋体" w:eastAsia="宋体" w:cs="宋体"/>
          <w:color w:val="000000" w:themeColor="text1"/>
          <w:sz w:val="24"/>
          <w:szCs w:val="24"/>
          <w:highlight w:val="none"/>
          <w14:textFill>
            <w14:solidFill>
              <w14:schemeClr w14:val="tx1"/>
            </w14:solidFill>
          </w14:textFill>
        </w:rPr>
        <w:t>，有过错的一方应当承担赔偿责任，双方都有过错的，各自承担相应的责任。</w:t>
      </w:r>
    </w:p>
    <w:p w14:paraId="4DFE30BA">
      <w:pPr>
        <w:pStyle w:val="11"/>
        <w:pageBreakBefore w:val="0"/>
        <w:kinsoku/>
        <w:wordWrap/>
        <w:overflowPunct/>
        <w:topLinePunct w:val="0"/>
        <w:bidi w:val="0"/>
        <w:spacing w:after="0"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对于</w:t>
      </w:r>
      <w:r>
        <w:rPr>
          <w:rFonts w:hint="eastAsia" w:ascii="宋体" w:hAnsi="宋体" w:eastAsia="宋体" w:cs="宋体"/>
          <w:color w:val="000000" w:themeColor="text1"/>
          <w:sz w:val="24"/>
          <w:szCs w:val="24"/>
          <w:highlight w:val="none"/>
          <w:lang w:eastAsia="zh-CN"/>
          <w14:textFill>
            <w14:solidFill>
              <w14:schemeClr w14:val="tx1"/>
            </w14:solidFill>
          </w14:textFill>
        </w:rPr>
        <w:t>为落实中小企业支持政策，</w:t>
      </w:r>
      <w:r>
        <w:rPr>
          <w:rFonts w:hint="eastAsia" w:ascii="宋体" w:hAnsi="宋体" w:eastAsia="宋体" w:cs="宋体"/>
          <w:color w:val="000000" w:themeColor="text1"/>
          <w:sz w:val="24"/>
          <w:szCs w:val="24"/>
          <w:highlight w:val="none"/>
          <w14:textFill>
            <w14:solidFill>
              <w14:schemeClr w14:val="tx1"/>
            </w14:solidFill>
          </w14:textFill>
        </w:rPr>
        <w:t>通过采购项目</w:t>
      </w:r>
      <w:r>
        <w:rPr>
          <w:rFonts w:hint="eastAsia" w:ascii="宋体" w:hAnsi="宋体" w:eastAsia="宋体" w:cs="宋体"/>
          <w:color w:val="000000" w:themeColor="text1"/>
          <w:sz w:val="24"/>
          <w:szCs w:val="24"/>
          <w:highlight w:val="none"/>
          <w:lang w:eastAsia="zh-CN"/>
          <w14:textFill>
            <w14:solidFill>
              <w14:schemeClr w14:val="tx1"/>
            </w14:solidFill>
          </w14:textFill>
        </w:rPr>
        <w:t>整体</w:t>
      </w:r>
      <w:r>
        <w:rPr>
          <w:rFonts w:hint="eastAsia" w:ascii="宋体" w:hAnsi="宋体" w:eastAsia="宋体" w:cs="宋体"/>
          <w:color w:val="000000" w:themeColor="text1"/>
          <w:sz w:val="24"/>
          <w:szCs w:val="24"/>
          <w:highlight w:val="none"/>
          <w14:textFill>
            <w14:solidFill>
              <w14:schemeClr w14:val="tx1"/>
            </w14:solidFill>
          </w14:textFill>
        </w:rPr>
        <w:t>预留、</w:t>
      </w:r>
      <w:r>
        <w:rPr>
          <w:rFonts w:hint="eastAsia" w:ascii="宋体" w:hAnsi="宋体" w:eastAsia="宋体" w:cs="宋体"/>
          <w:color w:val="000000" w:themeColor="text1"/>
          <w:sz w:val="24"/>
          <w:szCs w:val="24"/>
          <w:highlight w:val="none"/>
          <w:lang w:eastAsia="zh-CN"/>
          <w14:textFill>
            <w14:solidFill>
              <w14:schemeClr w14:val="tx1"/>
            </w14:solidFill>
          </w14:textFill>
        </w:rPr>
        <w:t>设置</w:t>
      </w:r>
      <w:r>
        <w:rPr>
          <w:rFonts w:hint="eastAsia" w:ascii="宋体" w:hAnsi="宋体" w:eastAsia="宋体" w:cs="宋体"/>
          <w:color w:val="000000" w:themeColor="text1"/>
          <w:sz w:val="24"/>
          <w:szCs w:val="24"/>
          <w:highlight w:val="none"/>
          <w14:textFill>
            <w14:solidFill>
              <w14:schemeClr w14:val="tx1"/>
            </w14:solidFill>
          </w14:textFill>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B11755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法律适用</w:t>
      </w:r>
    </w:p>
    <w:p w14:paraId="663DD76F">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.1 本合同的订立、生效、解释、履行及与本合同有关的争议解决，均适用法律、行政法规。</w:t>
      </w:r>
    </w:p>
    <w:p w14:paraId="15B89813">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.2 本合同条款与法律、行政法规的强制性规定不一致的，双方当事人应按照法律、行政法规的强制性规定修改本合同的相关条款。</w:t>
      </w:r>
    </w:p>
    <w:p w14:paraId="49390193">
      <w:pPr>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szCs w:val="24"/>
          <w:highlight w:val="none"/>
          <w14:textFill>
            <w14:solidFill>
              <w14:schemeClr w14:val="tx1"/>
            </w14:solidFill>
          </w14:textFill>
        </w:rPr>
        <w:t>通知</w:t>
      </w:r>
    </w:p>
    <w:p w14:paraId="08F13B51">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本合同任何一方向对方发出的通知、信件、数据电文等，应当发送至本合同第一部分《政府采购合同协议书》所约定的通讯地址、联系人、联系电话或电子邮箱。</w:t>
      </w:r>
    </w:p>
    <w:p w14:paraId="23DC6B7F">
      <w:pPr>
        <w:pStyle w:val="113"/>
        <w:pageBreakBefore w:val="0"/>
        <w:kinsoku/>
        <w:wordWrap/>
        <w:overflowPunct/>
        <w:topLinePunct w:val="0"/>
        <w:bidi w:val="0"/>
        <w:spacing w:line="560" w:lineRule="exact"/>
        <w:ind w:firstLine="0" w:firstLine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一方当事人变更名称、</w:t>
      </w:r>
      <w:r>
        <w:rPr>
          <w:rFonts w:hint="eastAsia" w:ascii="宋体" w:hAnsi="宋体" w:eastAsia="宋体" w:cs="宋体"/>
          <w:color w:val="000000" w:themeColor="text1"/>
          <w:sz w:val="24"/>
          <w:szCs w:val="24"/>
          <w:lang w:eastAsia="zh-CN"/>
          <w14:textFill>
            <w14:solidFill>
              <w14:schemeClr w14:val="tx1"/>
            </w14:solidFill>
          </w14:textFill>
        </w:rPr>
        <w:t>住所</w:t>
      </w:r>
      <w:r>
        <w:rPr>
          <w:rFonts w:hint="eastAsia" w:ascii="宋体" w:hAnsi="宋体" w:eastAsia="宋体" w:cs="宋体"/>
          <w:color w:val="000000" w:themeColor="text1"/>
          <w:sz w:val="24"/>
          <w:szCs w:val="24"/>
          <w14:textFill>
            <w14:solidFill>
              <w14:schemeClr w14:val="tx1"/>
            </w14:solidFill>
          </w14:textFill>
        </w:rPr>
        <w:t>、联系人、联系电话或电子邮箱</w:t>
      </w:r>
      <w:r>
        <w:rPr>
          <w:rFonts w:hint="eastAsia" w:ascii="宋体" w:hAnsi="宋体" w:eastAsia="宋体" w:cs="宋体"/>
          <w:color w:val="000000" w:themeColor="text1"/>
          <w:sz w:val="24"/>
          <w:szCs w:val="24"/>
          <w:lang w:eastAsia="zh-CN"/>
          <w14:textFill>
            <w14:solidFill>
              <w14:schemeClr w14:val="tx1"/>
            </w14:solidFill>
          </w14:textFill>
        </w:rPr>
        <w:t>等信息</w:t>
      </w:r>
      <w:r>
        <w:rPr>
          <w:rFonts w:hint="eastAsia" w:ascii="宋体" w:hAnsi="宋体" w:eastAsia="宋体" w:cs="宋体"/>
          <w:color w:val="000000" w:themeColor="text1"/>
          <w:sz w:val="24"/>
          <w:szCs w:val="24"/>
          <w14:textFill>
            <w14:solidFill>
              <w14:schemeClr w14:val="tx1"/>
            </w14:solidFill>
          </w14:textFill>
        </w:rPr>
        <w:t>的，应当在变更后3日内及时书面通知对方，对方实际收到变更通知前的送达仍为有效送达。</w:t>
      </w:r>
    </w:p>
    <w:p w14:paraId="2F189085">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本合同一方给另一方的通知均应采用书面形式，传真或快递送到本合同中规定的对方的地址和办理签收手续。</w:t>
      </w:r>
    </w:p>
    <w:p w14:paraId="0B2208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通知以送达之日或通知书中规定的生效之日起生效，两者中以较迟之日为准。</w:t>
      </w:r>
    </w:p>
    <w:p w14:paraId="2C5966A1">
      <w:pPr>
        <w:pageBreakBefore w:val="0"/>
        <w:numPr>
          <w:ilvl w:val="0"/>
          <w:numId w:val="12"/>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合同未尽事项</w:t>
      </w:r>
    </w:p>
    <w:p w14:paraId="4DA908C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.1合同未尽事项见</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w:t>
      </w:r>
    </w:p>
    <w:p w14:paraId="06638FAD">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23.2 合同附件与合同正文具有同等的法律效力。</w:t>
      </w:r>
      <w:bookmarkStart w:id="824" w:name="_Toc20313"/>
    </w:p>
    <w:p w14:paraId="61DA00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第三节 政府采购合同专用条款</w:t>
      </w:r>
      <w:bookmarkEnd w:id="824"/>
    </w:p>
    <w:p w14:paraId="50E738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76941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5D00E8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E21FD3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14D5D27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联合体具体要求</w:t>
            </w:r>
          </w:p>
        </w:tc>
        <w:tc>
          <w:tcPr>
            <w:tcW w:w="5170" w:type="dxa"/>
            <w:noWrap w:val="0"/>
            <w:vAlign w:val="center"/>
          </w:tcPr>
          <w:p w14:paraId="0BE35BE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09401E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EA197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7DCD04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280DF9F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其他术语解释</w:t>
            </w:r>
          </w:p>
        </w:tc>
        <w:tc>
          <w:tcPr>
            <w:tcW w:w="5170" w:type="dxa"/>
            <w:noWrap w:val="0"/>
            <w:vAlign w:val="center"/>
          </w:tcPr>
          <w:p w14:paraId="7C9E89C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75D368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EA27D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F31EC3B">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4.4款</w:t>
            </w:r>
          </w:p>
        </w:tc>
        <w:tc>
          <w:tcPr>
            <w:tcW w:w="1742" w:type="dxa"/>
            <w:noWrap w:val="0"/>
            <w:vAlign w:val="center"/>
          </w:tcPr>
          <w:p w14:paraId="53F4D72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履约验收中甲方提出异议或作出说明的期限</w:t>
            </w:r>
          </w:p>
        </w:tc>
        <w:tc>
          <w:tcPr>
            <w:tcW w:w="5170" w:type="dxa"/>
            <w:noWrap w:val="0"/>
            <w:vAlign w:val="center"/>
          </w:tcPr>
          <w:p w14:paraId="3EBFC70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F5363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7085F0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7572A4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4.6款</w:t>
            </w:r>
          </w:p>
        </w:tc>
        <w:tc>
          <w:tcPr>
            <w:tcW w:w="1742" w:type="dxa"/>
            <w:noWrap w:val="0"/>
            <w:vAlign w:val="center"/>
          </w:tcPr>
          <w:p w14:paraId="208F539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约定甲方承担的其他义务和责任</w:t>
            </w:r>
          </w:p>
        </w:tc>
        <w:tc>
          <w:tcPr>
            <w:tcW w:w="5170" w:type="dxa"/>
            <w:noWrap w:val="0"/>
            <w:vAlign w:val="center"/>
          </w:tcPr>
          <w:p w14:paraId="3089D4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269FB3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DF441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2C96888D">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5.4款</w:t>
            </w:r>
          </w:p>
        </w:tc>
        <w:tc>
          <w:tcPr>
            <w:tcW w:w="1742" w:type="dxa"/>
            <w:noWrap w:val="0"/>
            <w:vAlign w:val="center"/>
          </w:tcPr>
          <w:p w14:paraId="04E9D62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约定乙方承担的其他义务和责任</w:t>
            </w:r>
          </w:p>
        </w:tc>
        <w:tc>
          <w:tcPr>
            <w:tcW w:w="5170" w:type="dxa"/>
            <w:noWrap w:val="0"/>
            <w:vAlign w:val="center"/>
          </w:tcPr>
          <w:p w14:paraId="28DEE18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11212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60C025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65C56EEA">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6.1款</w:t>
            </w:r>
          </w:p>
        </w:tc>
        <w:tc>
          <w:tcPr>
            <w:tcW w:w="1742" w:type="dxa"/>
            <w:noWrap w:val="0"/>
            <w:vAlign w:val="center"/>
          </w:tcPr>
          <w:p w14:paraId="1C6C927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履行合同义务的顺序</w:t>
            </w:r>
          </w:p>
        </w:tc>
        <w:tc>
          <w:tcPr>
            <w:tcW w:w="5170" w:type="dxa"/>
            <w:noWrap w:val="0"/>
            <w:vAlign w:val="center"/>
          </w:tcPr>
          <w:p w14:paraId="7D986C4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18DDA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0EED7FA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0747B5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36A8023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包装</w:t>
            </w:r>
            <w:r>
              <w:rPr>
                <w:rFonts w:hint="eastAsia" w:ascii="宋体" w:hAnsi="宋体" w:eastAsia="宋体" w:cs="宋体"/>
                <w:color w:val="000000" w:themeColor="text1"/>
                <w:sz w:val="24"/>
                <w:szCs w:val="24"/>
                <w:lang w:eastAsia="zh-CN"/>
                <w14:textFill>
                  <w14:solidFill>
                    <w14:schemeClr w14:val="tx1"/>
                  </w14:solidFill>
                </w14:textFill>
              </w:rPr>
              <w:t>特殊要求</w:t>
            </w:r>
          </w:p>
        </w:tc>
        <w:tc>
          <w:tcPr>
            <w:tcW w:w="5170" w:type="dxa"/>
            <w:noWrap w:val="0"/>
            <w:vAlign w:val="center"/>
          </w:tcPr>
          <w:p w14:paraId="39540457">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5D877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0FE81AA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42" w:type="dxa"/>
            <w:noWrap w:val="0"/>
            <w:vAlign w:val="center"/>
          </w:tcPr>
          <w:p w14:paraId="267A74C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指定现场</w:t>
            </w:r>
          </w:p>
        </w:tc>
        <w:tc>
          <w:tcPr>
            <w:tcW w:w="5170" w:type="dxa"/>
            <w:noWrap w:val="0"/>
            <w:vAlign w:val="center"/>
          </w:tcPr>
          <w:p w14:paraId="2617272B">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20637D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9BC12E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991B8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614973D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运输特殊要求</w:t>
            </w:r>
          </w:p>
        </w:tc>
        <w:tc>
          <w:tcPr>
            <w:tcW w:w="5170" w:type="dxa"/>
            <w:noWrap w:val="0"/>
            <w:vAlign w:val="center"/>
          </w:tcPr>
          <w:p w14:paraId="0AE9B8DF">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DEB72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D1C12D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AFA73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563DFF2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保险要求</w:t>
            </w:r>
          </w:p>
        </w:tc>
        <w:tc>
          <w:tcPr>
            <w:tcW w:w="5170" w:type="dxa"/>
            <w:noWrap w:val="0"/>
            <w:vAlign w:val="center"/>
          </w:tcPr>
          <w:p w14:paraId="3699D4FA">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7069C7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ECE368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4B179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.2（1）项</w:t>
            </w:r>
          </w:p>
        </w:tc>
        <w:tc>
          <w:tcPr>
            <w:tcW w:w="1742" w:type="dxa"/>
            <w:noWrap w:val="0"/>
            <w:vAlign w:val="center"/>
          </w:tcPr>
          <w:p w14:paraId="509B18F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质量保证期</w:t>
            </w:r>
          </w:p>
        </w:tc>
        <w:tc>
          <w:tcPr>
            <w:tcW w:w="5170" w:type="dxa"/>
            <w:noWrap w:val="0"/>
            <w:vAlign w:val="center"/>
          </w:tcPr>
          <w:p w14:paraId="38F3EEF2">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1E584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8EC139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7E6FC5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.2（3）项</w:t>
            </w:r>
          </w:p>
        </w:tc>
        <w:tc>
          <w:tcPr>
            <w:tcW w:w="1742" w:type="dxa"/>
            <w:noWrap w:val="0"/>
            <w:vAlign w:val="center"/>
          </w:tcPr>
          <w:p w14:paraId="1A8E7C9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货物质量缺陷</w:t>
            </w:r>
          </w:p>
          <w:p w14:paraId="2EEB49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响应时间</w:t>
            </w:r>
          </w:p>
        </w:tc>
        <w:tc>
          <w:tcPr>
            <w:tcW w:w="5170" w:type="dxa"/>
            <w:noWrap w:val="0"/>
            <w:vAlign w:val="center"/>
          </w:tcPr>
          <w:p w14:paraId="46C46DD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A47F0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F94D84C">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第二节</w:t>
            </w:r>
          </w:p>
          <w:p w14:paraId="4D6CE74D">
            <w:pPr>
              <w:pStyle w:val="113"/>
              <w:pageBreakBefore w:val="0"/>
              <w:kinsoku/>
              <w:wordWrap/>
              <w:overflowPunct/>
              <w:topLinePunct w:val="0"/>
              <w:bidi w:val="0"/>
              <w:spacing w:line="560" w:lineRule="exact"/>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第11.1款</w:t>
            </w:r>
          </w:p>
        </w:tc>
        <w:tc>
          <w:tcPr>
            <w:tcW w:w="1742" w:type="dxa"/>
            <w:noWrap w:val="0"/>
            <w:vAlign w:val="center"/>
          </w:tcPr>
          <w:p w14:paraId="5DE45323">
            <w:pPr>
              <w:pageBreakBefore w:val="0"/>
              <w:kinsoku/>
              <w:wordWrap/>
              <w:overflowPunct/>
              <w:topLinePunct w:val="0"/>
              <w:bidi w:val="0"/>
              <w:adjustRightInd w:val="0"/>
              <w:snapToGrid w:val="0"/>
              <w:spacing w:line="56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其他应当保密的信息</w:t>
            </w:r>
          </w:p>
        </w:tc>
        <w:tc>
          <w:tcPr>
            <w:tcW w:w="5170" w:type="dxa"/>
            <w:noWrap w:val="0"/>
            <w:vAlign w:val="center"/>
          </w:tcPr>
          <w:p w14:paraId="4229FAC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51AF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E9FEDF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A7FAD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.2款</w:t>
            </w:r>
          </w:p>
        </w:tc>
        <w:tc>
          <w:tcPr>
            <w:tcW w:w="1742" w:type="dxa"/>
            <w:noWrap w:val="0"/>
            <w:vAlign w:val="center"/>
          </w:tcPr>
          <w:p w14:paraId="04DFC95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合同价款支付</w:t>
            </w:r>
            <w:r>
              <w:rPr>
                <w:rFonts w:hint="eastAsia" w:ascii="宋体" w:hAnsi="宋体" w:eastAsia="宋体" w:cs="宋体"/>
                <w:color w:val="000000" w:themeColor="text1"/>
                <w:sz w:val="24"/>
                <w:szCs w:val="24"/>
                <w:lang w:eastAsia="zh-CN"/>
                <w14:textFill>
                  <w14:solidFill>
                    <w14:schemeClr w14:val="tx1"/>
                  </w14:solidFill>
                </w14:textFill>
              </w:rPr>
              <w:t>时间</w:t>
            </w:r>
          </w:p>
        </w:tc>
        <w:tc>
          <w:tcPr>
            <w:tcW w:w="5170" w:type="dxa"/>
            <w:noWrap w:val="0"/>
            <w:vAlign w:val="center"/>
          </w:tcPr>
          <w:p w14:paraId="777A872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3E1B1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1C3237E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DFA22E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13.2</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20AC835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履约保证金不予退还的情形</w:t>
            </w:r>
          </w:p>
        </w:tc>
        <w:tc>
          <w:tcPr>
            <w:tcW w:w="5170" w:type="dxa"/>
            <w:noWrap w:val="0"/>
            <w:vAlign w:val="center"/>
          </w:tcPr>
          <w:p w14:paraId="19C6A69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9AE2D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93871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27C8F1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13.3</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1CA9F73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履约保证金退还时间及</w:t>
            </w:r>
            <w:r>
              <w:rPr>
                <w:rFonts w:hint="eastAsia" w:ascii="宋体" w:hAnsi="宋体" w:eastAsia="宋体" w:cs="宋体"/>
                <w:color w:val="000000" w:themeColor="text1"/>
                <w:sz w:val="24"/>
                <w:szCs w:val="24"/>
                <w:lang w:eastAsia="zh-CN"/>
                <w14:textFill>
                  <w14:solidFill>
                    <w14:schemeClr w14:val="tx1"/>
                  </w14:solidFill>
                </w14:textFill>
              </w:rPr>
              <w:t>逾期退还的</w:t>
            </w:r>
            <w:r>
              <w:rPr>
                <w:rFonts w:hint="eastAsia" w:ascii="宋体" w:hAnsi="宋体" w:eastAsia="宋体" w:cs="宋体"/>
                <w:color w:val="000000" w:themeColor="text1"/>
                <w:sz w:val="24"/>
                <w:szCs w:val="24"/>
                <w14:textFill>
                  <w14:solidFill>
                    <w14:schemeClr w14:val="tx1"/>
                  </w14:solidFill>
                </w14:textFill>
              </w:rPr>
              <w:t>违约金</w:t>
            </w:r>
          </w:p>
        </w:tc>
        <w:tc>
          <w:tcPr>
            <w:tcW w:w="5170" w:type="dxa"/>
            <w:noWrap w:val="0"/>
            <w:vAlign w:val="center"/>
          </w:tcPr>
          <w:p w14:paraId="0DFFF37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849C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E957C9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D7134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F68108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运行监督、维修期限</w:t>
            </w:r>
          </w:p>
        </w:tc>
        <w:tc>
          <w:tcPr>
            <w:tcW w:w="5170" w:type="dxa"/>
            <w:noWrap w:val="0"/>
            <w:vAlign w:val="center"/>
          </w:tcPr>
          <w:p w14:paraId="095B42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2C174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7FF353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3CD8C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3BB748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货物回收的约定</w:t>
            </w:r>
          </w:p>
        </w:tc>
        <w:tc>
          <w:tcPr>
            <w:tcW w:w="5170" w:type="dxa"/>
            <w:noWrap w:val="0"/>
            <w:vAlign w:val="center"/>
          </w:tcPr>
          <w:p w14:paraId="5150FA4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F99AE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483530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52C8C33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7DCE9EA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乙方提供的其他服务</w:t>
            </w:r>
          </w:p>
        </w:tc>
        <w:tc>
          <w:tcPr>
            <w:tcW w:w="5170" w:type="dxa"/>
            <w:noWrap w:val="0"/>
            <w:vAlign w:val="center"/>
          </w:tcPr>
          <w:p w14:paraId="51B69F0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D63E5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5A110E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2A13656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1款</w:t>
            </w:r>
          </w:p>
        </w:tc>
        <w:tc>
          <w:tcPr>
            <w:tcW w:w="1742" w:type="dxa"/>
            <w:noWrap w:val="0"/>
            <w:vAlign w:val="center"/>
          </w:tcPr>
          <w:p w14:paraId="28BF4F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修理、重作、更换相关具体规定</w:t>
            </w:r>
          </w:p>
        </w:tc>
        <w:tc>
          <w:tcPr>
            <w:tcW w:w="5170" w:type="dxa"/>
            <w:noWrap w:val="0"/>
            <w:vAlign w:val="center"/>
          </w:tcPr>
          <w:p w14:paraId="2FBD788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7F1F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9349DC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C1D980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.2（2）项</w:t>
            </w:r>
          </w:p>
        </w:tc>
        <w:tc>
          <w:tcPr>
            <w:tcW w:w="1742" w:type="dxa"/>
            <w:noWrap w:val="0"/>
            <w:vAlign w:val="center"/>
          </w:tcPr>
          <w:p w14:paraId="4EA23E7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迟延交货赔偿费</w:t>
            </w:r>
          </w:p>
        </w:tc>
        <w:tc>
          <w:tcPr>
            <w:tcW w:w="5170" w:type="dxa"/>
            <w:noWrap w:val="0"/>
            <w:vAlign w:val="center"/>
          </w:tcPr>
          <w:p w14:paraId="0FDF606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753EC2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7CEC2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96031A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3款</w:t>
            </w:r>
          </w:p>
        </w:tc>
        <w:tc>
          <w:tcPr>
            <w:tcW w:w="1742" w:type="dxa"/>
            <w:noWrap w:val="0"/>
            <w:vAlign w:val="center"/>
          </w:tcPr>
          <w:p w14:paraId="20F91F2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逾期付款利息</w:t>
            </w:r>
          </w:p>
        </w:tc>
        <w:tc>
          <w:tcPr>
            <w:tcW w:w="5170" w:type="dxa"/>
            <w:noWrap w:val="0"/>
            <w:vAlign w:val="center"/>
          </w:tcPr>
          <w:p w14:paraId="3452A9C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1660A1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41820C0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C649FC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left w:val="single" w:color="auto" w:sz="2" w:space="0"/>
              <w:bottom w:val="single" w:color="auto" w:sz="2" w:space="0"/>
              <w:right w:val="single" w:color="auto" w:sz="2" w:space="0"/>
            </w:tcBorders>
            <w:noWrap w:val="0"/>
            <w:vAlign w:val="center"/>
          </w:tcPr>
          <w:p w14:paraId="5B6D6C6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其他违约责任</w:t>
            </w:r>
          </w:p>
        </w:tc>
        <w:tc>
          <w:tcPr>
            <w:tcW w:w="5170" w:type="dxa"/>
            <w:tcBorders>
              <w:left w:val="single" w:color="auto" w:sz="2" w:space="0"/>
              <w:bottom w:val="single" w:color="auto" w:sz="2" w:space="0"/>
            </w:tcBorders>
            <w:noWrap w:val="0"/>
            <w:vAlign w:val="center"/>
          </w:tcPr>
          <w:p w14:paraId="4C8B9E7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35CED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00B8F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7F8D1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top w:val="single" w:color="auto" w:sz="2" w:space="0"/>
              <w:left w:val="single" w:color="auto" w:sz="2" w:space="0"/>
              <w:right w:val="single" w:color="auto" w:sz="2" w:space="0"/>
            </w:tcBorders>
            <w:noWrap w:val="0"/>
            <w:vAlign w:val="center"/>
          </w:tcPr>
          <w:p w14:paraId="10D04D1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解决争议的方法</w:t>
            </w:r>
          </w:p>
        </w:tc>
        <w:tc>
          <w:tcPr>
            <w:tcW w:w="5170" w:type="dxa"/>
            <w:tcBorders>
              <w:top w:val="single" w:color="auto" w:sz="2" w:space="0"/>
              <w:left w:val="single" w:color="auto" w:sz="2" w:space="0"/>
            </w:tcBorders>
            <w:noWrap w:val="0"/>
            <w:vAlign w:val="center"/>
          </w:tcPr>
          <w:p w14:paraId="1378D429">
            <w:pPr>
              <w:pageBreakBefore w:val="0"/>
              <w:kinsoku/>
              <w:wordWrap/>
              <w:overflowPunct/>
              <w:topLinePunct w:val="0"/>
              <w:autoSpaceDE w:val="0"/>
              <w:autoSpaceDN w:val="0"/>
              <w:bidi w:val="0"/>
              <w:adjustRightInd w:val="0"/>
              <w:snapToGrid w:val="0"/>
              <w:spacing w:line="560" w:lineRule="exact"/>
              <w:ind w:left="480" w:hanging="480" w:hangingChars="200"/>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因本合同及合同有关事项发生的争议，按下列第</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种方式解决：</w:t>
            </w:r>
          </w:p>
          <w:p w14:paraId="159D1894">
            <w:pPr>
              <w:pageBreakBefore w:val="0"/>
              <w:kinsoku/>
              <w:wordWrap/>
              <w:overflowPunct/>
              <w:topLinePunct w:val="0"/>
              <w:autoSpaceDE w:val="0"/>
              <w:autoSpaceDN w:val="0"/>
              <w:bidi w:val="0"/>
              <w:adjustRightInd w:val="0"/>
              <w:snapToGrid w:val="0"/>
              <w:spacing w:line="560" w:lineRule="exact"/>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（1）向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仲裁委员会申请仲裁，仲裁地点为</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w:t>
            </w:r>
          </w:p>
          <w:p w14:paraId="76C8F523">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（2）向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人民法院起诉。</w:t>
            </w:r>
          </w:p>
        </w:tc>
      </w:tr>
      <w:tr w14:paraId="600691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68F930E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A0A598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第2</w:t>
            </w:r>
            <w:r>
              <w:rPr>
                <w:rFonts w:hint="eastAsia" w:ascii="宋体" w:hAnsi="宋体" w:eastAsia="宋体" w:cs="宋体"/>
                <w:color w:val="000000" w:themeColor="text1"/>
                <w:sz w:val="24"/>
                <w:szCs w:val="24"/>
                <w:lang w:val="en-US" w:eastAsia="zh-CN"/>
                <w14:textFill>
                  <w14:solidFill>
                    <w14:schemeClr w14:val="tx1"/>
                  </w14:solidFill>
                </w14:textFill>
              </w:rPr>
              <w:t>3.1</w:t>
            </w:r>
            <w:r>
              <w:rPr>
                <w:rFonts w:hint="eastAsia" w:ascii="宋体" w:hAnsi="宋体" w:eastAsia="宋体" w:cs="宋体"/>
                <w:color w:val="000000" w:themeColor="text1"/>
                <w:sz w:val="24"/>
                <w:szCs w:val="24"/>
                <w:lang w:eastAsia="zh-CN"/>
                <w14:textFill>
                  <w14:solidFill>
                    <w14:schemeClr w14:val="tx1"/>
                  </w14:solidFill>
                </w14:textFill>
              </w:rPr>
              <w:t>款</w:t>
            </w:r>
          </w:p>
        </w:tc>
        <w:tc>
          <w:tcPr>
            <w:tcW w:w="1742" w:type="dxa"/>
            <w:noWrap w:val="0"/>
            <w:vAlign w:val="center"/>
          </w:tcPr>
          <w:p w14:paraId="46F7D66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其他专用条款</w:t>
            </w:r>
          </w:p>
        </w:tc>
        <w:tc>
          <w:tcPr>
            <w:tcW w:w="5170" w:type="dxa"/>
            <w:noWrap w:val="0"/>
            <w:vAlign w:val="center"/>
          </w:tcPr>
          <w:p w14:paraId="0D0ACC8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r>
    </w:tbl>
    <w:p w14:paraId="4576F294">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bookmarkEnd w:id="819"/>
    <w:bookmarkEnd w:id="820"/>
    <w:p w14:paraId="050A2E6B">
      <w:pPr>
        <w:bidi w:val="0"/>
        <w:rPr>
          <w:rFonts w:hint="eastAsia"/>
          <w:color w:val="000000" w:themeColor="text1"/>
          <w:lang w:val="en-US" w:eastAsia="zh-CN"/>
          <w14:textFill>
            <w14:solidFill>
              <w14:schemeClr w14:val="tx1"/>
            </w14:solidFill>
          </w14:textFill>
        </w:rPr>
      </w:pPr>
      <w:bookmarkStart w:id="825" w:name="_Toc16364"/>
      <w:bookmarkStart w:id="826" w:name="_Toc15815"/>
      <w:bookmarkStart w:id="827" w:name="_Toc5721"/>
      <w:bookmarkStart w:id="828" w:name="_Toc18137"/>
      <w:bookmarkStart w:id="829" w:name="_Toc21232"/>
      <w:bookmarkStart w:id="830" w:name="_Toc27587"/>
      <w:bookmarkStart w:id="831" w:name="_Toc22906"/>
      <w:bookmarkStart w:id="832" w:name="_Toc9987"/>
      <w:bookmarkStart w:id="833" w:name="_Toc29759"/>
      <w:bookmarkStart w:id="834" w:name="_Toc29747"/>
      <w:bookmarkStart w:id="835" w:name="_Toc13116"/>
      <w:bookmarkStart w:id="836" w:name="_Toc7968"/>
      <w:bookmarkStart w:id="837" w:name="_Toc17609"/>
    </w:p>
    <w:p w14:paraId="498280DB">
      <w:pPr>
        <w:bidi w:val="0"/>
        <w:rPr>
          <w:rFonts w:hint="eastAsia"/>
          <w:color w:val="000000" w:themeColor="text1"/>
          <w:lang w:val="en-US" w:eastAsia="zh-CN"/>
          <w14:textFill>
            <w14:solidFill>
              <w14:schemeClr w14:val="tx1"/>
            </w14:solidFill>
          </w14:textFill>
        </w:rPr>
      </w:pPr>
    </w:p>
    <w:p w14:paraId="7BFD9926">
      <w:pPr>
        <w:bidi w:val="0"/>
        <w:rPr>
          <w:rFonts w:hint="eastAsia"/>
          <w:color w:val="000000" w:themeColor="text1"/>
          <w:lang w:val="en-US" w:eastAsia="zh-CN"/>
          <w14:textFill>
            <w14:solidFill>
              <w14:schemeClr w14:val="tx1"/>
            </w14:solidFill>
          </w14:textFill>
        </w:rPr>
      </w:pPr>
    </w:p>
    <w:p w14:paraId="71F3B008">
      <w:pPr>
        <w:bidi w:val="0"/>
        <w:rPr>
          <w:rFonts w:hint="eastAsia"/>
          <w:color w:val="000000" w:themeColor="text1"/>
          <w:lang w:val="en-US" w:eastAsia="zh-CN"/>
          <w14:textFill>
            <w14:solidFill>
              <w14:schemeClr w14:val="tx1"/>
            </w14:solidFill>
          </w14:textFill>
        </w:rPr>
      </w:pPr>
    </w:p>
    <w:p w14:paraId="2CD3A808">
      <w:pPr>
        <w:bidi w:val="0"/>
        <w:rPr>
          <w:rFonts w:hint="eastAsia"/>
          <w:color w:val="000000" w:themeColor="text1"/>
          <w:lang w:val="en-US" w:eastAsia="zh-CN"/>
          <w14:textFill>
            <w14:solidFill>
              <w14:schemeClr w14:val="tx1"/>
            </w14:solidFill>
          </w14:textFill>
        </w:rPr>
      </w:pPr>
    </w:p>
    <w:p w14:paraId="547B6704">
      <w:pPr>
        <w:bidi w:val="0"/>
        <w:rPr>
          <w:rFonts w:hint="eastAsia"/>
          <w:color w:val="000000" w:themeColor="text1"/>
          <w:lang w:val="en-US" w:eastAsia="zh-CN"/>
          <w14:textFill>
            <w14:solidFill>
              <w14:schemeClr w14:val="tx1"/>
            </w14:solidFill>
          </w14:textFill>
        </w:rPr>
      </w:pPr>
    </w:p>
    <w:p w14:paraId="1556D1A4">
      <w:pPr>
        <w:bidi w:val="0"/>
        <w:rPr>
          <w:rFonts w:hint="eastAsia"/>
          <w:color w:val="000000" w:themeColor="text1"/>
          <w:lang w:val="en-US" w:eastAsia="zh-CN"/>
          <w14:textFill>
            <w14:solidFill>
              <w14:schemeClr w14:val="tx1"/>
            </w14:solidFill>
          </w14:textFill>
        </w:rPr>
      </w:pPr>
    </w:p>
    <w:p w14:paraId="333FF715">
      <w:pPr>
        <w:bidi w:val="0"/>
        <w:rPr>
          <w:rFonts w:hint="eastAsia"/>
          <w:color w:val="000000" w:themeColor="text1"/>
          <w:lang w:val="en-US" w:eastAsia="zh-CN"/>
          <w14:textFill>
            <w14:solidFill>
              <w14:schemeClr w14:val="tx1"/>
            </w14:solidFill>
          </w14:textFill>
        </w:rPr>
      </w:pPr>
    </w:p>
    <w:p w14:paraId="23AEB521">
      <w:pPr>
        <w:bidi w:val="0"/>
        <w:rPr>
          <w:rFonts w:hint="eastAsia"/>
          <w:color w:val="000000" w:themeColor="text1"/>
          <w:lang w:val="en-US" w:eastAsia="zh-CN"/>
          <w14:textFill>
            <w14:solidFill>
              <w14:schemeClr w14:val="tx1"/>
            </w14:solidFill>
          </w14:textFill>
        </w:rPr>
      </w:pPr>
    </w:p>
    <w:p w14:paraId="4912855F">
      <w:pPr>
        <w:bidi w:val="0"/>
        <w:rPr>
          <w:rFonts w:hint="eastAsia"/>
          <w:color w:val="000000" w:themeColor="text1"/>
          <w:lang w:val="en-US" w:eastAsia="zh-CN"/>
          <w14:textFill>
            <w14:solidFill>
              <w14:schemeClr w14:val="tx1"/>
            </w14:solidFill>
          </w14:textFill>
        </w:rPr>
      </w:pPr>
    </w:p>
    <w:p w14:paraId="376E2C56">
      <w:pPr>
        <w:bidi w:val="0"/>
        <w:rPr>
          <w:rFonts w:hint="eastAsia"/>
          <w:color w:val="000000" w:themeColor="text1"/>
          <w:lang w:val="en-US" w:eastAsia="zh-CN"/>
          <w14:textFill>
            <w14:solidFill>
              <w14:schemeClr w14:val="tx1"/>
            </w14:solidFill>
          </w14:textFill>
        </w:rPr>
      </w:pPr>
    </w:p>
    <w:p w14:paraId="5E5A8988">
      <w:pPr>
        <w:bidi w:val="0"/>
        <w:rPr>
          <w:rFonts w:hint="eastAsia"/>
          <w:color w:val="000000" w:themeColor="text1"/>
          <w:lang w:val="en-US" w:eastAsia="zh-CN"/>
          <w14:textFill>
            <w14:solidFill>
              <w14:schemeClr w14:val="tx1"/>
            </w14:solidFill>
          </w14:textFill>
        </w:rPr>
      </w:pPr>
    </w:p>
    <w:p w14:paraId="03860D77">
      <w:pPr>
        <w:bidi w:val="0"/>
        <w:rPr>
          <w:rFonts w:hint="eastAsia"/>
          <w:color w:val="000000" w:themeColor="text1"/>
          <w:lang w:val="en-US" w:eastAsia="zh-CN"/>
          <w14:textFill>
            <w14:solidFill>
              <w14:schemeClr w14:val="tx1"/>
            </w14:solidFill>
          </w14:textFill>
        </w:rPr>
      </w:pPr>
    </w:p>
    <w:p w14:paraId="153B96C2">
      <w:pPr>
        <w:rPr>
          <w:rFonts w:hint="eastAsia"/>
          <w:color w:val="000000" w:themeColor="text1"/>
          <w:lang w:val="en-US" w:eastAsia="zh-CN"/>
          <w14:textFill>
            <w14:solidFill>
              <w14:schemeClr w14:val="tx1"/>
            </w14:solidFill>
          </w14:textFill>
        </w:rPr>
        <w:sectPr>
          <w:headerReference r:id="rId12" w:type="default"/>
          <w:footerReference r:id="rId13"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D2CF74B">
      <w:pPr>
        <w:rPr>
          <w:rFonts w:hint="eastAsia"/>
          <w:color w:val="000000" w:themeColor="text1"/>
          <w:lang w:val="en-US" w:eastAsia="zh-CN"/>
          <w14:textFill>
            <w14:solidFill>
              <w14:schemeClr w14:val="tx1"/>
            </w14:solidFill>
          </w14:textFill>
        </w:rPr>
      </w:pPr>
    </w:p>
    <w:p w14:paraId="6D72D1F3">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30"/>
          <w:szCs w:val="30"/>
          <w:lang w:val="en-US" w:eastAsia="zh-CN"/>
          <w14:textFill>
            <w14:solidFill>
              <w14:schemeClr w14:val="tx1"/>
            </w14:solidFill>
          </w14:textFill>
        </w:rPr>
      </w:pPr>
      <w:bookmarkStart w:id="838" w:name="_Toc7956"/>
      <w:r>
        <w:rPr>
          <w:rFonts w:hint="eastAsia"/>
          <w:color w:val="000000" w:themeColor="text1"/>
          <w:sz w:val="30"/>
          <w:szCs w:val="30"/>
          <w:lang w:val="en-US" w:eastAsia="zh-CN"/>
          <w14:textFill>
            <w14:solidFill>
              <w14:schemeClr w14:val="tx1"/>
            </w14:solidFill>
          </w14:textFill>
        </w:rPr>
        <w:t xml:space="preserve">第六章 </w:t>
      </w:r>
      <w:r>
        <w:rPr>
          <w:rFonts w:hint="eastAsia"/>
          <w:color w:val="000000" w:themeColor="text1"/>
          <w:sz w:val="30"/>
          <w:szCs w:val="30"/>
          <w14:textFill>
            <w14:solidFill>
              <w14:schemeClr w14:val="tx1"/>
            </w14:solidFill>
          </w14:textFill>
        </w:rPr>
        <w:t>技术</w:t>
      </w:r>
      <w:bookmarkEnd w:id="825"/>
      <w:r>
        <w:rPr>
          <w:rFonts w:hint="eastAsia"/>
          <w:color w:val="000000" w:themeColor="text1"/>
          <w:sz w:val="30"/>
          <w:szCs w:val="30"/>
          <w14:textFill>
            <w14:solidFill>
              <w14:schemeClr w14:val="tx1"/>
            </w14:solidFill>
          </w14:textFill>
        </w:rPr>
        <w:t>要</w:t>
      </w:r>
      <w:r>
        <w:rPr>
          <w:rFonts w:hint="eastAsia"/>
          <w:color w:val="000000" w:themeColor="text1"/>
          <w:sz w:val="30"/>
          <w:szCs w:val="30"/>
          <w:lang w:val="en-US" w:eastAsia="zh-CN"/>
          <w14:textFill>
            <w14:solidFill>
              <w14:schemeClr w14:val="tx1"/>
            </w14:solidFill>
          </w14:textFill>
        </w:rPr>
        <w:t>求</w:t>
      </w:r>
      <w:bookmarkEnd w:id="826"/>
      <w:bookmarkEnd w:id="827"/>
      <w:bookmarkEnd w:id="828"/>
      <w:bookmarkEnd w:id="829"/>
      <w:bookmarkEnd w:id="830"/>
      <w:bookmarkEnd w:id="831"/>
      <w:bookmarkEnd w:id="832"/>
      <w:bookmarkEnd w:id="833"/>
      <w:bookmarkEnd w:id="834"/>
      <w:bookmarkEnd w:id="835"/>
      <w:bookmarkEnd w:id="836"/>
      <w:bookmarkEnd w:id="837"/>
      <w:bookmarkEnd w:id="838"/>
      <w:bookmarkStart w:id="839" w:name="_Toc22812"/>
      <w:bookmarkStart w:id="840" w:name="_Toc28143"/>
      <w:bookmarkStart w:id="841" w:name="_Toc15622"/>
      <w:bookmarkStart w:id="842" w:name="_Toc27208"/>
      <w:bookmarkStart w:id="843" w:name="_Toc32472"/>
      <w:bookmarkStart w:id="844" w:name="_Toc4693"/>
      <w:bookmarkStart w:id="845" w:name="_Toc22670"/>
      <w:bookmarkStart w:id="846" w:name="_Toc11784"/>
      <w:bookmarkStart w:id="847" w:name="_Toc20261"/>
      <w:bookmarkStart w:id="848" w:name="_Toc9578"/>
    </w:p>
    <w:p w14:paraId="103BD1C1">
      <w:pPr>
        <w:spacing w:line="360" w:lineRule="auto"/>
        <w:ind w:firstLine="482" w:firstLineChars="200"/>
        <w:rPr>
          <w:rFonts w:asciiTheme="minorEastAsia" w:hAnsiTheme="minorEastAsia" w:eastAsiaTheme="minorEastAsia" w:cstheme="minorEastAsia"/>
          <w:b/>
          <w:bCs/>
          <w:sz w:val="24"/>
          <w:szCs w:val="24"/>
        </w:rPr>
      </w:pPr>
      <w:bookmarkStart w:id="849" w:name="_Toc193446428"/>
      <w:bookmarkStart w:id="850" w:name="_Toc180412084"/>
      <w:bookmarkStart w:id="851" w:name="_Toc2255"/>
      <w:r>
        <w:rPr>
          <w:rFonts w:hint="eastAsia" w:asciiTheme="minorEastAsia" w:hAnsiTheme="minorEastAsia" w:eastAsiaTheme="minorEastAsia" w:cstheme="minorEastAsia"/>
          <w:b/>
          <w:bCs/>
          <w:sz w:val="24"/>
          <w:szCs w:val="24"/>
        </w:rPr>
        <w:t xml:space="preserve"> 平台建设要求</w:t>
      </w:r>
    </w:p>
    <w:p w14:paraId="58EB7F65">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通过制定全城停车资源联网汇聚标准规范，搭建一体化城市停车平台，接入城市停车动静态数据，统一纳入管理，实现“全城一个停车场”。为停车主管单位，提供人、车、场、位、设备五维一体的资源统筹管理，实现城市停车数据互联共享、停车需求智能分析、停车资源智能调度、治理成效全程跟进，为政府完善城市停车政策、优化停车设施布局、改善停车乱象提供决策依据；在车主端，可在全城范围内找位、导航、停车等，实现一部手机停全城，为车主提供完善的线上服务，提升停车体验。</w:t>
      </w:r>
    </w:p>
    <w:p w14:paraId="1CB5C9F3">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平台功能要求</w:t>
      </w:r>
    </w:p>
    <w:p w14:paraId="44266A9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监管应用属于静态交通系统的一部分，是以城市停车场数据为基础，以互联网、智能计算和大数据等新一代信息技术为支撑，构建城市级停车信息采集、处理、分析和管理为一体的易用、高效的智慧应用。面对“停车乱、交通堵、管理难”等停车问题，通过车场资源整合、实时停车数据采集、停车智能诱导、多维度的数据统计分析等多方面措施，帮助政府监管单位实现停车资源有效管理，并在停车资源优化配置、停车资源科学调度等方面为监管单位提供决策依据，结合丰富的场景化应用，提升停车资源供给能力，缓解停车压力。主要业务应用包括联网汇聚、资源管理、运行监管、公众服务、监管可视化等。</w:t>
      </w:r>
    </w:p>
    <w:p w14:paraId="263A30C4">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联网汇聚</w:t>
      </w:r>
    </w:p>
    <w:p w14:paraId="08C4C27D">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制定标准规范，实现多来源、多种类、多类型的停车数据的汇聚接入，并对联网汇聚上来的停车数据进行统一管理，可对接入的进度、接入的数据质量进行监测，帮助监管单位及时掌握车场接入状态，便于推进车场接入工作。同时，支持过车记录和空余位记录的管理，便于对动态停车数据的分析，为车场运行监管等应用提供基础支撑能力。</w:t>
      </w:r>
    </w:p>
    <w:p w14:paraId="5B93E1C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1、数据汇聚接入网关（后台）</w:t>
      </w:r>
    </w:p>
    <w:p w14:paraId="00802303">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通过数据汇聚网关，实现多来源、多种类、多类型的停车数据的汇聚接入、数据标准化转换、数据存储，以标准开放接口服务的方式支撑下级停车场库平台对接。</w:t>
      </w:r>
    </w:p>
    <w:p w14:paraId="69D75AC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2、数据汇聚监测引擎（后台）</w:t>
      </w:r>
    </w:p>
    <w:p w14:paraId="18F57DE5">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对下级平台数据汇聚对接情况进行实时监控与数据分析，检测平台离线、数据质量问题。</w:t>
      </w:r>
    </w:p>
    <w:p w14:paraId="37748DB7">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3、接入管理</w:t>
      </w:r>
    </w:p>
    <w:p w14:paraId="56C83D36">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对联网汇聚上来的停车数据进行统一管理，同时可对接入的进度、接入的数据质量进行监测。可对停车场库的停车资源接入情况进行汇总及统计分析支持对各停车场停车记录、空余记录等停车动态数据统一管理。</w:t>
      </w:r>
    </w:p>
    <w:p w14:paraId="26F53F2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4、停车数据管理</w:t>
      </w:r>
    </w:p>
    <w:p w14:paraId="47021C8D">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停车场通过联网接入系统后，系统支持展示各停车场停车记录和余位空闲记录。可根据车牌号码、入车时间、停车时长、停车场名称、停车状态等检索条件查询停车记录。支持查看每笔停车记录相关的停车场、停车时长、状态等信息以及出入车图片。</w:t>
      </w:r>
    </w:p>
    <w:p w14:paraId="58F7C63D">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资源管理</w:t>
      </w:r>
    </w:p>
    <w:p w14:paraId="4B5A160A">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源管理是基于车场信息普查工具，实现对全市停车场（库）、道路停车点基础信息的采集，初步完成资源归集，并通过车场备案、联网汇聚等方式为每一个停车场（库）、道路停车点建立涵盖本底、经营单位、平台厂商、备案状态、接入状态等多维数据的电子档案，实现对车场资源的统一纳管。资源管理主要内容包括车场信息普查、资源档案管理等功能。</w:t>
      </w:r>
    </w:p>
    <w:p w14:paraId="7D924127">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支持统计展示注册车主数量。支持统计指定时间段内新注册用户数量和每日注册量变化趋势。支持统计指定时间段内每日活跃用户数量及变化趋势。</w:t>
      </w:r>
    </w:p>
    <w:p w14:paraId="66460E61">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运行监管</w:t>
      </w:r>
    </w:p>
    <w:p w14:paraId="0662A51C">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打造一个监管中心，对车场、车辆等运行情况集中监管，围绕车场运行、车辆运行、分析研判三个方面，为监管单位提供监管一张图、车场运行监管、车辆运行监管、辅助决策等功能，实现城市停车资源分布、资源利用程度、重点区域、停车趋势、重点车辆动态信息的全面掌握，为停车主管单位的规划研判、政策制定、管理服务提供决策支撑。</w:t>
      </w:r>
    </w:p>
    <w:p w14:paraId="3F0AD2E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1、一张图管理</w:t>
      </w:r>
    </w:p>
    <w:p w14:paraId="27C0E1E3">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一张GIS地图，展示车场、重点区域、诱导屏分布及实时运行状态，支持车场、重点区域按照利用率、周转率、当前占用率等多维度分析展示，支持停车热力分析。同时，基于车场维度对嫌疑车、僵尸车告警记录进行展示。</w:t>
      </w:r>
    </w:p>
    <w:p w14:paraId="273285B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2、车场运行监管</w:t>
      </w:r>
    </w:p>
    <w:p w14:paraId="66392A70">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全市、行政区划的停车场备案、接入情况、在线情况进行分析，并对各车场停车流量、利用率、周转率、平均停车时长等运行数据进行统计及列表展示。支持对停车场评价次数、评分进行统计分析，对停车场服务质量进行排名展示。</w:t>
      </w:r>
    </w:p>
    <w:p w14:paraId="6D1032D1">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3、车辆运行监管</w:t>
      </w:r>
    </w:p>
    <w:p w14:paraId="19DEBD2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嫌疑车辆、违停车辆、僵尸车辆的基础信息及停车行为进行监管。可对特管车辆进行定位，列表展示定位告警的停车记录；支持违停记录管理、违停趋势分析、违停时段分布统计；支持僵尸车智能监测，并可对生成的僵尸车记录进行处理结果标记。</w:t>
      </w:r>
    </w:p>
    <w:p w14:paraId="0BED9024">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4、辅助决策</w:t>
      </w:r>
    </w:p>
    <w:p w14:paraId="6A214FAB">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提供多种以机器学习算法为核心的辅助决策应用，使监管单位实现数据智能快速规模化转型落地，聚焦城市停车精细化管理，在科学合理地新建车场和泊位、盘活存量停车资源、洞察城市停车态势、有效诱导等方面，全面有效提升监管单位的决策能力。主要内容包括资源供需分析、存量优化分析、停车预测分析、停车综合分析、停车指数分析等功能。</w:t>
      </w:r>
    </w:p>
    <w:p w14:paraId="06882D9B">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公共服务</w:t>
      </w:r>
    </w:p>
    <w:p w14:paraId="3E3A4922">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共服务主要为面向车主提供的智能诱导服务。在延安交管支队公众号配置菜单-停车余位信息发布、展示管辖范围内所有停车场，点击可基于用户手机已安装地图进行导航、查询发布的车场停车位总数、余位信息。平台通过对接延安交管支队微信公众号，推送管辖区域内的所有停车场信息，包含地址、总车位数量、剩余车位数量；车主点击后，可调用手机导航，进行线路规划导航。</w:t>
      </w:r>
    </w:p>
    <w:p w14:paraId="64B38E07">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监管可视化</w:t>
      </w:r>
    </w:p>
    <w:p w14:paraId="4B68F7A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管可视化主要面向城市停车监管单位领导管理层，围绕停车管理业务，为管理人员呈现城市级停车场基础数据及运行态势，并对重点区域停车难题进行关键指标分析，辅助管理人员对城市停车科学规划与指挥决策。主要内容包括资源管理，帮助管理单位掌握车场资源底数、资源分布、运行态势以及重点区域运行情况；公众服务，帮助管理单位了解服务车主数量、各类服务次数以及服务质量。</w:t>
      </w:r>
    </w:p>
    <w:p w14:paraId="5D5911BE">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1、车场资源数据综合展示</w:t>
      </w:r>
    </w:p>
    <w:p w14:paraId="64191E44">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展示城市车场、泊位、充电桩等资源数据，直观展示全城停车和充电资源的区域和业态分布情况、各种类型停车资源的占比、车场资源的实时接入情况、备案情况、停车资源运行情况等，辅助城市停车资源规划与调控决策。</w:t>
      </w:r>
    </w:p>
    <w:p w14:paraId="6AF5595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.通过公众停车服务分析，能直观了解停车服务次数、支付服务、诱导服务、错时共享服务等信息，掌握服务量级变化趋势，为制定服务策略与改进计划提供数据依据。</w:t>
      </w:r>
    </w:p>
    <w:p w14:paraId="116AECA9">
      <w:pPr>
        <w:spacing w:line="360" w:lineRule="auto"/>
        <w:ind w:firstLine="482" w:firstLineChars="200"/>
        <w:rPr>
          <w:rFonts w:asciiTheme="minorEastAsia" w:hAnsiTheme="minorEastAsia" w:eastAsiaTheme="minorEastAsia" w:cstheme="minorEastAsia"/>
          <w:b/>
          <w:bCs/>
          <w:sz w:val="24"/>
          <w:szCs w:val="24"/>
        </w:rPr>
      </w:pPr>
      <w:bookmarkStart w:id="852" w:name="_Toc180412087"/>
    </w:p>
    <w:p w14:paraId="59A31159">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车主公众服务</w:t>
      </w:r>
    </w:p>
    <w:p w14:paraId="1DEB6A8F">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城市停车公众停车服务应用是智慧停车平台面向公众的移动端应用，主要是微信公众号等可以提供车场查询、导航等服务。</w:t>
      </w:r>
    </w:p>
    <w:p w14:paraId="061C4CF6">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1、支持以列表形式展示平台发布的资讯内容，支持查看资讯详情，支持资讯图文显示。</w:t>
      </w:r>
    </w:p>
    <w:p w14:paraId="605E29A0">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2、支持查找个人当前位置周边的停车点；查看停车点名称、地址、开放时段、收费标准等信息；收藏停车点。</w:t>
      </w:r>
    </w:p>
    <w:p w14:paraId="44446EF5">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3、支持查找个人当前位置周边的充电站；查看充电站名称、地址、开放时段、收费标准、停车优惠等信息；收藏充电站。</w:t>
      </w:r>
    </w:p>
    <w:bookmarkEnd w:id="852"/>
    <w:p w14:paraId="260C4FEF">
      <w:pPr>
        <w:spacing w:line="360" w:lineRule="auto"/>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平台功能清单</w:t>
      </w:r>
    </w:p>
    <w:tbl>
      <w:tblPr>
        <w:tblStyle w:val="35"/>
        <w:tblW w:w="5001" w:type="pct"/>
        <w:tblInd w:w="-5" w:type="dxa"/>
        <w:tblLayout w:type="autofit"/>
        <w:tblCellMar>
          <w:top w:w="0" w:type="dxa"/>
          <w:left w:w="108" w:type="dxa"/>
          <w:bottom w:w="0" w:type="dxa"/>
          <w:right w:w="108" w:type="dxa"/>
        </w:tblCellMar>
      </w:tblPr>
      <w:tblGrid>
        <w:gridCol w:w="438"/>
        <w:gridCol w:w="225"/>
        <w:gridCol w:w="687"/>
        <w:gridCol w:w="36"/>
        <w:gridCol w:w="802"/>
        <w:gridCol w:w="699"/>
        <w:gridCol w:w="6357"/>
      </w:tblGrid>
      <w:tr w14:paraId="2051B933">
        <w:tblPrEx>
          <w:tblCellMar>
            <w:top w:w="0" w:type="dxa"/>
            <w:left w:w="108" w:type="dxa"/>
            <w:bottom w:w="0" w:type="dxa"/>
            <w:right w:w="108" w:type="dxa"/>
          </w:tblCellMar>
        </w:tblPrEx>
        <w:trPr>
          <w:trHeight w:val="330" w:hRule="atLeast"/>
        </w:trPr>
        <w:tc>
          <w:tcPr>
            <w:tcW w:w="3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A5F8D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序号</w:t>
            </w:r>
          </w:p>
        </w:tc>
        <w:tc>
          <w:tcPr>
            <w:tcW w:w="383" w:type="pct"/>
            <w:tcBorders>
              <w:top w:val="single" w:color="auto" w:sz="4" w:space="0"/>
              <w:left w:val="nil"/>
              <w:bottom w:val="single" w:color="auto" w:sz="4" w:space="0"/>
              <w:right w:val="single" w:color="auto" w:sz="4" w:space="0"/>
            </w:tcBorders>
            <w:shd w:val="clear" w:color="auto" w:fill="auto"/>
            <w:vAlign w:val="center"/>
          </w:tcPr>
          <w:p w14:paraId="1571FDFF">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系统名称</w:t>
            </w:r>
          </w:p>
        </w:tc>
        <w:tc>
          <w:tcPr>
            <w:tcW w:w="476" w:type="pct"/>
            <w:gridSpan w:val="2"/>
            <w:tcBorders>
              <w:top w:val="single" w:color="auto" w:sz="4" w:space="0"/>
              <w:left w:val="nil"/>
              <w:bottom w:val="single" w:color="auto" w:sz="4" w:space="0"/>
              <w:right w:val="single" w:color="auto" w:sz="4" w:space="0"/>
            </w:tcBorders>
            <w:shd w:val="clear" w:color="auto" w:fill="auto"/>
            <w:vAlign w:val="center"/>
          </w:tcPr>
          <w:p w14:paraId="53667D6B">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模块名称</w:t>
            </w:r>
          </w:p>
        </w:tc>
        <w:tc>
          <w:tcPr>
            <w:tcW w:w="389" w:type="pct"/>
            <w:tcBorders>
              <w:top w:val="single" w:color="auto" w:sz="4" w:space="0"/>
              <w:left w:val="nil"/>
              <w:bottom w:val="single" w:color="auto" w:sz="4" w:space="0"/>
              <w:right w:val="single" w:color="auto" w:sz="4" w:space="0"/>
            </w:tcBorders>
            <w:shd w:val="clear" w:color="auto" w:fill="auto"/>
            <w:vAlign w:val="center"/>
          </w:tcPr>
          <w:p w14:paraId="27A42721">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子模块名称</w:t>
            </w:r>
          </w:p>
        </w:tc>
        <w:tc>
          <w:tcPr>
            <w:tcW w:w="3449" w:type="pct"/>
            <w:tcBorders>
              <w:top w:val="single" w:color="auto" w:sz="4" w:space="0"/>
              <w:left w:val="nil"/>
              <w:bottom w:val="single" w:color="auto" w:sz="4" w:space="0"/>
              <w:right w:val="single" w:color="auto" w:sz="4" w:space="0"/>
            </w:tcBorders>
            <w:shd w:val="clear" w:color="auto" w:fill="auto"/>
            <w:vAlign w:val="center"/>
          </w:tcPr>
          <w:p w14:paraId="0500C13D">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功能描述</w:t>
            </w:r>
          </w:p>
        </w:tc>
      </w:tr>
      <w:tr w14:paraId="38A7B5AD">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4C2B150">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一</w:t>
            </w:r>
          </w:p>
        </w:tc>
        <w:tc>
          <w:tcPr>
            <w:tcW w:w="4697" w:type="pct"/>
            <w:gridSpan w:val="5"/>
            <w:tcBorders>
              <w:top w:val="single" w:color="auto" w:sz="4" w:space="0"/>
              <w:left w:val="nil"/>
              <w:bottom w:val="single" w:color="auto" w:sz="4" w:space="0"/>
              <w:right w:val="single" w:color="auto" w:sz="4" w:space="0"/>
            </w:tcBorders>
            <w:shd w:val="clear" w:color="000000" w:fill="FFFFFF"/>
            <w:vAlign w:val="center"/>
          </w:tcPr>
          <w:p w14:paraId="05D14091">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城市停车诱导监管平台</w:t>
            </w:r>
          </w:p>
        </w:tc>
      </w:tr>
      <w:tr w14:paraId="163D8CC1">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B9399B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2CD05F6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展示中心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34849B3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资源管理</w:t>
            </w:r>
          </w:p>
        </w:tc>
        <w:tc>
          <w:tcPr>
            <w:tcW w:w="389" w:type="pct"/>
            <w:tcBorders>
              <w:top w:val="nil"/>
              <w:left w:val="nil"/>
              <w:bottom w:val="single" w:color="auto" w:sz="4" w:space="0"/>
              <w:right w:val="single" w:color="auto" w:sz="4" w:space="0"/>
            </w:tcBorders>
            <w:shd w:val="clear" w:color="000000" w:fill="FFFFFF"/>
            <w:vAlign w:val="center"/>
          </w:tcPr>
          <w:p w14:paraId="74CD7B2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停车设施分析</w:t>
            </w:r>
          </w:p>
        </w:tc>
        <w:tc>
          <w:tcPr>
            <w:tcW w:w="3449" w:type="pct"/>
            <w:tcBorders>
              <w:top w:val="nil"/>
              <w:left w:val="nil"/>
              <w:bottom w:val="single" w:color="auto" w:sz="4" w:space="0"/>
              <w:right w:val="single" w:color="auto" w:sz="4" w:space="0"/>
            </w:tcBorders>
            <w:shd w:val="clear" w:color="000000" w:fill="FFFFFF"/>
            <w:vAlign w:val="center"/>
          </w:tcPr>
          <w:p w14:paraId="3BBB920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1.展示全市或区县已建、在建、待建状态的停车场数量和停车位数量。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2.展示全市或区县路外公共停车场、路外专用停车场、路内道路停车场的数量与停车位数量，便于了解停车场解资源结构组成与分布。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3.展示全市或区县的充电站数量以及快充桩数量、慢充桩数量。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4.展示全市或区县的普查车场数量，对比展示已备案停车场数与备案率、已接入停车场数与接入率、在线停车场数与在线率。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5.列表滚动展示所辖下级各行政区划的已备案停车场数与备案率、已接入停车场数与接入率、在线停车场数与在线率，可对比呈现各区域的数据备案推进情况、停车场接入工作进展以及停车场在线情况。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6.按行政区划展示停车场和停车位数量，便于了解停车设施区域分布情况。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7.按交通枢纽、企业园区等业态区分展示停车场和停车位数量，便于了解各业态的停车设施分布情况。</w:t>
            </w:r>
          </w:p>
        </w:tc>
      </w:tr>
      <w:tr w14:paraId="307350C1">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BB423A0">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F02E84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D61DF0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F6F0BC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停车运行分析</w:t>
            </w:r>
          </w:p>
        </w:tc>
        <w:tc>
          <w:tcPr>
            <w:tcW w:w="3449" w:type="pct"/>
            <w:tcBorders>
              <w:top w:val="nil"/>
              <w:left w:val="nil"/>
              <w:bottom w:val="single" w:color="auto" w:sz="4" w:space="0"/>
              <w:right w:val="single" w:color="auto" w:sz="4" w:space="0"/>
            </w:tcBorders>
            <w:shd w:val="clear" w:color="000000" w:fill="FFFFFF"/>
            <w:vAlign w:val="center"/>
          </w:tcPr>
          <w:p w14:paraId="77C26532">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1.通过车位指标展示区域停车运行情况，显示当前时刻区域内道路泊位的停车周转率，当前时刻所有在停车数量和停车位占用率。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2.展示停车场指标展示区域总体停车状态，显示停车难区域数量，当前停车难的高占用车场数以及区域停车高峰时长。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3.展示今日停车流量并以图形化方式按时间呈现停车流量变化情况，便于发现停车需求高峰时刻。通过今日数据与历史数据对比，可帮助发现停车流量异常情况。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4.展示今日停车场利用率，以图形化方式按时间呈现利用率变化情况，便于掌握停车需求持续情况。通过今日数据与历史数据对比，可帮助发现需求变化情况。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5.展示今日平均停车时长，以图形化方式对比展示各停车时长区间的停车次数。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6.展示全市或区县的停车运行指数，以可视化方式呈现下级行政区划的停车运行指数和区域占用率并排名。</w:t>
            </w:r>
          </w:p>
        </w:tc>
      </w:tr>
      <w:tr w14:paraId="2D1EE901">
        <w:tblPrEx>
          <w:tblCellMar>
            <w:top w:w="0" w:type="dxa"/>
            <w:left w:w="108" w:type="dxa"/>
            <w:bottom w:w="0" w:type="dxa"/>
            <w:right w:w="108" w:type="dxa"/>
          </w:tblCellMar>
        </w:tblPrEx>
        <w:trPr>
          <w:trHeight w:val="11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3CEA943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005471A">
            <w:pPr>
              <w:widowControl/>
              <w:spacing w:line="360" w:lineRule="auto"/>
              <w:jc w:val="left"/>
              <w:rPr>
                <w:rFonts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7A203B4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公众服务</w:t>
            </w:r>
          </w:p>
        </w:tc>
        <w:tc>
          <w:tcPr>
            <w:tcW w:w="389" w:type="pct"/>
            <w:tcBorders>
              <w:top w:val="nil"/>
              <w:left w:val="nil"/>
              <w:bottom w:val="single" w:color="auto" w:sz="4" w:space="0"/>
              <w:right w:val="single" w:color="auto" w:sz="4" w:space="0"/>
            </w:tcBorders>
            <w:shd w:val="clear" w:color="000000" w:fill="FFFFFF"/>
            <w:vAlign w:val="center"/>
          </w:tcPr>
          <w:p w14:paraId="7C587603">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公共服务分析</w:t>
            </w:r>
          </w:p>
        </w:tc>
        <w:tc>
          <w:tcPr>
            <w:tcW w:w="3449" w:type="pct"/>
            <w:tcBorders>
              <w:top w:val="nil"/>
              <w:left w:val="nil"/>
              <w:bottom w:val="single" w:color="auto" w:sz="4" w:space="0"/>
              <w:right w:val="single" w:color="auto" w:sz="4" w:space="0"/>
            </w:tcBorders>
            <w:shd w:val="clear" w:color="000000" w:fill="FFFFFF"/>
            <w:vAlign w:val="center"/>
          </w:tcPr>
          <w:p w14:paraId="7DB26DD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1.展示累计注册用户数，支持对比展示各渠道注册用户数占比。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2.支持可视化方式展示近六个月的月度活跃用户数及变化趋势。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3.展示今日停车诱导服务次数。展示诱导服务累计覆盖的车主用户数量。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4.以可视化图表展示近六个月诱导服务使用次数及变化趋势。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5.支持对停车订单进行统计分析，展示今日停车次数及累计服务车辆数。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6.可视化图表对比展示近六月不同类型停车次数以及变化趋势，帮助了解停车服务需求量。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7.通过对停车订单支付方式进行分析，展示线上支付、线下支付笔数占比，同时展示无感支付率。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8.可视化图表直观展示现金、微信、支付宝等各类支付方式的缴费笔数及占比。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9.展示错时共享车位数和错时共享服务覆盖用户数。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10.可视化方式展示近六个月错时共享车位数量及变化趋势、错时共享包月用户数及变化趋势。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11.展示各停车场平均评分及评分次数，可对比展示各分值评分次数。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12.可展示今日订单申诉次数，可以可视化方式展示近六个月万笔订单申诉数及变化趋势。</w:t>
            </w:r>
          </w:p>
        </w:tc>
      </w:tr>
      <w:tr w14:paraId="19D2C527">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071F1E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89C505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74AB092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停车地图</w:t>
            </w:r>
          </w:p>
        </w:tc>
        <w:tc>
          <w:tcPr>
            <w:tcW w:w="389" w:type="pct"/>
            <w:tcBorders>
              <w:top w:val="nil"/>
              <w:left w:val="nil"/>
              <w:bottom w:val="single" w:color="auto" w:sz="4" w:space="0"/>
              <w:right w:val="single" w:color="auto" w:sz="4" w:space="0"/>
            </w:tcBorders>
            <w:shd w:val="clear" w:color="000000" w:fill="FFFFFF"/>
            <w:vAlign w:val="center"/>
          </w:tcPr>
          <w:p w14:paraId="44F407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停车服务地图</w:t>
            </w:r>
          </w:p>
        </w:tc>
        <w:tc>
          <w:tcPr>
            <w:tcW w:w="3449" w:type="pct"/>
            <w:tcBorders>
              <w:top w:val="nil"/>
              <w:left w:val="nil"/>
              <w:bottom w:val="single" w:color="auto" w:sz="4" w:space="0"/>
              <w:right w:val="single" w:color="auto" w:sz="4" w:space="0"/>
            </w:tcBorders>
            <w:shd w:val="clear" w:color="000000" w:fill="FFFFFF"/>
            <w:vAlign w:val="center"/>
          </w:tcPr>
          <w:p w14:paraId="54867A1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1.支持在地图上以不同图标展示不同类型停车场，点击停车场图标可展示停车场类型、业态、地址、服务次数、支付方式占比等信息。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2.支持切换展示或隐藏不同类型停车场。</w:t>
            </w:r>
          </w:p>
        </w:tc>
      </w:tr>
      <w:tr w14:paraId="163FC8F4">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0E29909">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FD3576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5BB6BB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EEF0E2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停车资源地图</w:t>
            </w:r>
          </w:p>
        </w:tc>
        <w:tc>
          <w:tcPr>
            <w:tcW w:w="3449" w:type="pct"/>
            <w:tcBorders>
              <w:top w:val="nil"/>
              <w:left w:val="nil"/>
              <w:bottom w:val="single" w:color="auto" w:sz="4" w:space="0"/>
              <w:right w:val="single" w:color="auto" w:sz="4" w:space="0"/>
            </w:tcBorders>
            <w:shd w:val="clear" w:color="000000" w:fill="FFFFFF"/>
            <w:vAlign w:val="center"/>
          </w:tcPr>
          <w:p w14:paraId="775979A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1.支持在地图上刻画区域轮廓并查看各区县的今日停车服务次数、今日缴费次数、诱导次数、错时共享使用次数，选中区县后，地图切换到该区县地图详情界面。选中区县时，两侧数据看板呈现区县数据。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2.支持以城市地图作为背景，在地图上定位展示各个停车场。可在地图上切换类型选择展示路外公共停车场、路外专用停车场、路内道路停车场中的一类或多类。</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3.支持以城市地图作为背景，在地图上定位展示各个充电站。可在地图上切换类型选择展示或隐藏充电站。点击充电站图标可展示地址、快充桩数量、慢充桩数量、充电站类型、经营单位、经营时间、联系电话。</w:t>
            </w:r>
          </w:p>
        </w:tc>
      </w:tr>
      <w:tr w14:paraId="12DA05B2">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895DEA8">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92729C4">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663559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F6A224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停车效率地图</w:t>
            </w:r>
          </w:p>
        </w:tc>
        <w:tc>
          <w:tcPr>
            <w:tcW w:w="3449" w:type="pct"/>
            <w:tcBorders>
              <w:top w:val="nil"/>
              <w:left w:val="nil"/>
              <w:bottom w:val="single" w:color="auto" w:sz="4" w:space="0"/>
              <w:right w:val="single" w:color="auto" w:sz="4" w:space="0"/>
            </w:tcBorders>
            <w:shd w:val="clear" w:color="000000" w:fill="FFFFFF"/>
            <w:vAlign w:val="center"/>
          </w:tcPr>
          <w:p w14:paraId="706E506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1.支持点击车场图标展示停车场运行特征数据，包括该车场类型、业态、在停车数量、空闲车位数量、当日车位占用率、周转率、利用率、停车流量等信息。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2.在地图上以热力图方式用颜色变化实时展现停车量的分布情况。通过热力图颜色的深度和色块的大小，表示各区域车场车辆停放饱和度、繁忙程度。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3.可在地图上切换展示不同特征的停车场，包括盲点停车场、高占用停车场和有协查车辆出入告警的停车场。</w:t>
            </w:r>
          </w:p>
        </w:tc>
      </w:tr>
      <w:tr w14:paraId="34B91D07">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53D2CC3">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16EBC75">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40B725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ED007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车场地图展示</w:t>
            </w:r>
          </w:p>
        </w:tc>
        <w:tc>
          <w:tcPr>
            <w:tcW w:w="3449" w:type="pct"/>
            <w:tcBorders>
              <w:top w:val="nil"/>
              <w:left w:val="nil"/>
              <w:bottom w:val="single" w:color="auto" w:sz="4" w:space="0"/>
              <w:right w:val="single" w:color="auto" w:sz="4" w:space="0"/>
            </w:tcBorders>
            <w:shd w:val="clear" w:color="000000" w:fill="FFFFFF"/>
            <w:vAlign w:val="center"/>
          </w:tcPr>
          <w:p w14:paraId="3EFA50E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1.支持切换展示或隐藏不同类型设备。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2.可在地图上定位展示各类型诱导屏，可详细查看诱导屏信息和当前播放的节目截图。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3.可切换展示重点区域，查看重点区域的详细信息，包括区域空余车位数、占用率、协查车辆告警次数等。</w:t>
            </w:r>
          </w:p>
        </w:tc>
      </w:tr>
      <w:tr w14:paraId="68FE2634">
        <w:tblPrEx>
          <w:tblCellMar>
            <w:top w:w="0" w:type="dxa"/>
            <w:left w:w="108" w:type="dxa"/>
            <w:bottom w:w="0" w:type="dxa"/>
            <w:right w:w="108" w:type="dxa"/>
          </w:tblCellMar>
        </w:tblPrEx>
        <w:trPr>
          <w:trHeight w:val="580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6249E4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1138B23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093BC1ED">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监管一张图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（中屏）</w:t>
            </w:r>
          </w:p>
        </w:tc>
        <w:tc>
          <w:tcPr>
            <w:tcW w:w="389" w:type="pct"/>
            <w:tcBorders>
              <w:top w:val="nil"/>
              <w:left w:val="nil"/>
              <w:bottom w:val="single" w:color="auto" w:sz="4" w:space="0"/>
              <w:right w:val="single" w:color="auto" w:sz="4" w:space="0"/>
            </w:tcBorders>
            <w:shd w:val="clear" w:color="000000" w:fill="FFFFFF"/>
            <w:vAlign w:val="center"/>
          </w:tcPr>
          <w:p w14:paraId="007267C3">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停车场地图</w:t>
            </w:r>
          </w:p>
        </w:tc>
        <w:tc>
          <w:tcPr>
            <w:tcW w:w="3449" w:type="pct"/>
            <w:tcBorders>
              <w:top w:val="nil"/>
              <w:left w:val="nil"/>
              <w:bottom w:val="single" w:color="auto" w:sz="4" w:space="0"/>
              <w:right w:val="single" w:color="auto" w:sz="4" w:space="0"/>
            </w:tcBorders>
            <w:shd w:val="clear" w:color="000000" w:fill="FFFFFF"/>
            <w:vAlign w:val="center"/>
          </w:tcPr>
          <w:p w14:paraId="2DC61550">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选择城市、区县、街道等行政区划，通过信息看板展示行政区划下的停车场数量、停车位数量、充电站数量、今日停车流量、当前占用率、今日周转率、今日利用率、区域内高占用停车场数量、区域内盲点停车场数量、错时共享停车场数量、今日区域内告警次数。</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2.支持展示全市、区县、街道各行政区划停车场数量与在线停车场数量，选择具体街道可展开列表呈现区域内的所有在线和离线的停车场。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3.支持列表展示区域内的充电站，并显式区域停车场内充电站与独立充电站。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4.支持通过选择列表中的停车场名称或点击地图上的停车场图标展示选中停车场的基本信息，包括：停车场名称、停车场地址、停车场类型、停车位等信息。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5.支持展示场内快充桩数量、慢充桩数量。点击详情支持展示充电经营单位名称、营业时间、联系电话。</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6.支持可视化展示停车场运行信息，包括：今日停车流量、在停车数量、剩余泊位、占用率、今日周转率，今日利用率、今日平均停车时长、24小时出入车趋势、24小时占用率趋势等信息。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7.支持通过选择列表中的充电站名称或点击地图上的充电站图标展示选中充电站的基本信息，包括：充电站名称、地址、类型、快充桩数量、慢充桩数量、营业时间、服务电话、收费规则、运营单位等信息。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8.支持根据停车场名称模糊匹配检索停车场，在列表中展示符合条件的停车场。支持根据停车场类型、停车场标签、我的收藏停车场快速检索停车场。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9.支持根据充电站名称模糊匹配检索充电站，在列表中展示符合条件的充电站。支持根据充电站标签、我的收藏快速检索充电站。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10.支持对停车场进行收藏和取消收藏。支持通过“我的收藏”快速检索所有已收藏停车场，并展示在线、离线状态。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支持基于地图定位展示全市停车场，通过特定图标区分展示路外公共停车场、路外专用停车场和路内道路停车场；支持停车场聚合展示，地图缩小到一定比例尺时局部多个停车场聚合为一个图标展示，图标中数字表示停车场数量；支持在停车场列表点选停车场名称时，地图上自动定位停车场，图标自动切换为选中状态，同时通过信息看板展示选中停车场的信息概览；支持根据停车场停车位占用率情况，在地图上对高占用的停车场自动切换图标展示方式（颜色）进行区分标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12.支持展示停车场今日协查车辆告警次数。点击告警信息可查看协查车辆告警详情。</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13.支持切换展示车辆停放密度热力图，通过热力图展示当前停车场运行情况。</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14.支持选择指定日期，在地图上按时间展示停车热力变化情况。支持快进、快退、暂停、播放操作。</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15.支持在地图上配置停车场定位位置，保存生效后同步更新停车场档案。</w:t>
            </w:r>
          </w:p>
        </w:tc>
      </w:tr>
      <w:tr w14:paraId="52BB4F57">
        <w:tblPrEx>
          <w:tblCellMar>
            <w:top w:w="0" w:type="dxa"/>
            <w:left w:w="108" w:type="dxa"/>
            <w:bottom w:w="0" w:type="dxa"/>
            <w:right w:w="108" w:type="dxa"/>
          </w:tblCellMar>
        </w:tblPrEx>
        <w:trPr>
          <w:trHeight w:val="1366"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D774DF6">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DE701E4">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D741D3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D6D049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重点区域地图</w:t>
            </w:r>
          </w:p>
        </w:tc>
        <w:tc>
          <w:tcPr>
            <w:tcW w:w="3449" w:type="pct"/>
            <w:tcBorders>
              <w:top w:val="nil"/>
              <w:left w:val="nil"/>
              <w:bottom w:val="single" w:color="auto" w:sz="4" w:space="0"/>
              <w:right w:val="single" w:color="auto" w:sz="4" w:space="0"/>
            </w:tcBorders>
            <w:shd w:val="clear" w:color="000000" w:fill="FFFFFF"/>
            <w:vAlign w:val="center"/>
          </w:tcPr>
          <w:p w14:paraId="0DC1A60C">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通过重点区域列表展示所有已划设的重点区域，点击任意重点区域可在信息看板展示重点区域信息，包括：停车场数量、停车位数量、充电站数量、诱导屏数量、车场类型分布、区域停车流量、今日利用率、周转率、当前占用率、占用率变化趋势、车辆类型占比、区域内高占用车场数、区域内盲点车场数、区域内错时共享车场数、当前告警次数、区域内停车订单支付方式占比，同时自动在地图上定位重点区域。</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2.支持在列表里展示重点区域下的停车场清单，选中停车场可展示停车场信息。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3.支持在列表里展示重点区域下的充电站清单，选中充电站可展示充电站信息。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4.支持根据重点区域名称关键字模糊匹配检索目标重点区域；支持拖曳地图查找重点区域，选中重点区域可在信息看板展示信息。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5.支持在地图上以不规则区域框展示各重点区域。支持地图上显示或隐藏重点区域内各停车场；支持以颜色区分展示当前时刻重点区域停车位使用情况，红色代表高占用，黄色代表适中，绿色代表占用率较低。</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6.支持在地图上自定义绘制不规则区域为重点关注区域并设置区域名称，配置区域中心。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7.支持在重点区域列表对重点区域进行排序，支持修改区域名称；支持在地图上修改重点区域的范围、中心坐标。</w:t>
            </w:r>
          </w:p>
        </w:tc>
      </w:tr>
      <w:tr w14:paraId="45D05A5C">
        <w:tblPrEx>
          <w:tblCellMar>
            <w:top w:w="0" w:type="dxa"/>
            <w:left w:w="108" w:type="dxa"/>
            <w:bottom w:w="0" w:type="dxa"/>
            <w:right w:w="108" w:type="dxa"/>
          </w:tblCellMar>
        </w:tblPrEx>
        <w:trPr>
          <w:trHeight w:val="60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B14C882">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CCC1207">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9EE1E2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51297C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诱导屏地图</w:t>
            </w:r>
          </w:p>
        </w:tc>
        <w:tc>
          <w:tcPr>
            <w:tcW w:w="3449" w:type="pct"/>
            <w:tcBorders>
              <w:top w:val="nil"/>
              <w:left w:val="nil"/>
              <w:bottom w:val="single" w:color="auto" w:sz="4" w:space="0"/>
              <w:right w:val="single" w:color="auto" w:sz="4" w:space="0"/>
            </w:tcBorders>
            <w:shd w:val="clear" w:color="000000" w:fill="FFFFFF"/>
            <w:vAlign w:val="center"/>
          </w:tcPr>
          <w:p w14:paraId="5CEB2B7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列表展示各区域部署的诱导屏；点击诱导屏名称可在信息看板上展示诱导屏名称、诱导屏类型、诱导屏在线状态、诱导屏当前发布停车节目截图；支持根据诱导屏名称模糊匹配检索诱导屏，查询结果在列表展示，点击诱导屏名称地图上自动定位标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2.支持对列表中未配置安装位置的诱导屏进行快捷设置，在地图上设置部署经纬度并存档。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地图定位展示全市的诱导屏，可通过不同颜色图标来呈现诱导屏在线/离线的状态；支持拖曳地图查找诱导屏，点击诱导屏图标可查看诱导屏详细信息，包括诱导屏基本情况和正在发布停车诱导节目截图。</w:t>
            </w:r>
          </w:p>
        </w:tc>
      </w:tr>
      <w:tr w14:paraId="41CF1D2B">
        <w:tblPrEx>
          <w:tblCellMar>
            <w:top w:w="0" w:type="dxa"/>
            <w:left w:w="108" w:type="dxa"/>
            <w:bottom w:w="0" w:type="dxa"/>
            <w:right w:w="108" w:type="dxa"/>
          </w:tblCellMar>
        </w:tblPrEx>
        <w:trPr>
          <w:trHeight w:val="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FA9E65A">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938CE58">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DD0959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22EEA1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车辆地图</w:t>
            </w:r>
          </w:p>
        </w:tc>
        <w:tc>
          <w:tcPr>
            <w:tcW w:w="3449" w:type="pct"/>
            <w:tcBorders>
              <w:top w:val="nil"/>
              <w:left w:val="nil"/>
              <w:bottom w:val="single" w:color="auto" w:sz="4" w:space="0"/>
              <w:right w:val="single" w:color="auto" w:sz="4" w:space="0"/>
            </w:tcBorders>
            <w:shd w:val="clear" w:color="000000" w:fill="FFFFFF"/>
            <w:vAlign w:val="center"/>
          </w:tcPr>
          <w:p w14:paraId="79568A2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区域告警次数、停车场告警次数。支持以列表形式展示今日协查车辆出入过的停车场，及其车牌号码与今日出入车次数；支持展示协查车告警记录详情，包括：协查车车牌号码、协查原因、出入车时间、出入车图片；支持点击列表选中存在告警的停车场，在地图上自动定位展示；支持在地图上以警示图标标识今日存在协查车辆出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各行政区划下停车场僵尸车车辆告警记录。选中停车场可展示平台监测出的场内僵尸车信息，包括：僵尸车车牌、入车时间、停车时长等。支持基于僵尸车处理结果为僵尸车记录打标签；支持点击列表选中存在告警的停车场，在地图上自动定位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3.支持根据车辆车牌号码查询今日车辆在停车场的过车记录，展示信息包括：车辆号牌、出入停车场名称、过车时间。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4.支持根据车辆车牌号码、出入时间区间进行检索，在地图上按照时间顺序展示车辆停车记录。地图上点击出入标识可查看车辆具体停车时间、出入车图片信息。</w:t>
            </w:r>
          </w:p>
        </w:tc>
      </w:tr>
      <w:tr w14:paraId="72D1D8C6">
        <w:tblPrEx>
          <w:tblCellMar>
            <w:top w:w="0" w:type="dxa"/>
            <w:left w:w="108" w:type="dxa"/>
            <w:bottom w:w="0" w:type="dxa"/>
            <w:right w:w="108" w:type="dxa"/>
          </w:tblCellMar>
        </w:tblPrEx>
        <w:trPr>
          <w:trHeight w:val="2928"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CF71E8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56879D8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04DD7A5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运行监管</w:t>
            </w:r>
          </w:p>
        </w:tc>
        <w:tc>
          <w:tcPr>
            <w:tcW w:w="389" w:type="pct"/>
            <w:tcBorders>
              <w:top w:val="nil"/>
              <w:left w:val="nil"/>
              <w:bottom w:val="single" w:color="auto" w:sz="4" w:space="0"/>
              <w:right w:val="single" w:color="auto" w:sz="4" w:space="0"/>
            </w:tcBorders>
            <w:shd w:val="clear" w:color="000000" w:fill="FFFFFF"/>
            <w:vAlign w:val="center"/>
          </w:tcPr>
          <w:p w14:paraId="2013954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车场运行监管</w:t>
            </w:r>
          </w:p>
        </w:tc>
        <w:tc>
          <w:tcPr>
            <w:tcW w:w="3449" w:type="pct"/>
            <w:tcBorders>
              <w:top w:val="nil"/>
              <w:left w:val="nil"/>
              <w:bottom w:val="single" w:color="auto" w:sz="4" w:space="0"/>
              <w:right w:val="single" w:color="auto" w:sz="4" w:space="0"/>
            </w:tcBorders>
            <w:shd w:val="clear" w:color="000000" w:fill="FFFFFF"/>
            <w:vAlign w:val="center"/>
          </w:tcPr>
          <w:p w14:paraId="637CC7C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1.可对全市、行政区划的停车场备案、接入情况、在线情况进行分析。支持以可视化方式展示全市、各行政区划的备案停车场数量和备案率、停车场接入数量和接入率、停车场平台在线数量和在线率。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2.支持列表展示所选区域或其子区域的各类停车场数量、备案停车场数量、接入停车场数量、在线停车场数量、备案率、接入率、在线率。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针对区域、业态、停车场三个统计维度分析并展示今日停车场运行数据；支持根据区域、停车场类型、停车场名称检索停车场，展示目标停车场的类型、所属业态、车位数等基础信息和当前余位数、占用率、车位状态、今日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4.支持按区域或按业态展示停车场数量、停车位数量，实时余位数、占用率，今日停车流量、周转率、利用率、平均停车时长。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针对区域、业态、停车场三个维度，切换展示历史停车运行数据。支持按照区域、日期段（日、周、月、年）等条件检索，展示各类业态或各区域指定时间内的停车场数量、停车位数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6.支持按照区域、停车场类型（路外公共停车场、路外专用停车场、路内道路停车场）、停车场名称等条件对今日车场运行数据进行统计及列表展示，数据内容包括：停车流量、利用率、周转率、平均停车时长。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根据区域、年份、节假日、停车场名称进行检索，展示目标停车场在指定年份节假日期间的停车流量、利用率、周转率对比趋势图；支持通过图表展示节假日停车场运行数据趋势，帮助管理部门了解历史节假日停车需求，提前预判，采取手段进行引导分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8.支持列表展示指定年份节假日期间各停车场运行数据，包括停车场流量、周转率、平均停车时长、停车高峰时长等。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基于停车场名称、车牌号码、出入车时间区间、泊位号、数据质量等条件对停车记录进行查询，展示停车场名称、车牌号码、车牌颜色、泊位编号、停车类型、出入车时间、停车时长、出入场图片等信息。支持停车记录导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10.支持根据停车场的车主评价次数、车主评分统计，对停车场服务质量进行排名，以可视化的方式展示评价最好的停车场、评价次数最多的停车场。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11.支持展示各评分区间停车场数量与占比。支持查看具体停车场评价次数，全部车主评价详情，包括评价内容、评分、评价时间等。</w:t>
            </w:r>
          </w:p>
        </w:tc>
      </w:tr>
      <w:tr w14:paraId="646BF815">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8CE040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3C4F627">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B6E9F9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5F07DC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车主习惯分析</w:t>
            </w:r>
          </w:p>
        </w:tc>
        <w:tc>
          <w:tcPr>
            <w:tcW w:w="3449" w:type="pct"/>
            <w:tcBorders>
              <w:top w:val="nil"/>
              <w:left w:val="nil"/>
              <w:bottom w:val="single" w:color="auto" w:sz="4" w:space="0"/>
              <w:right w:val="single" w:color="auto" w:sz="4" w:space="0"/>
            </w:tcBorders>
            <w:shd w:val="clear" w:color="000000" w:fill="FFFFFF"/>
            <w:vAlign w:val="center"/>
          </w:tcPr>
          <w:p w14:paraId="5DA1F99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1.支持对停车订单进行统计，按支付方式、停车场所、停车时长维度对分析车主停车习惯。</w:t>
            </w:r>
          </w:p>
        </w:tc>
      </w:tr>
      <w:tr w14:paraId="20618DA2">
        <w:tblPrEx>
          <w:tblCellMar>
            <w:top w:w="0" w:type="dxa"/>
            <w:left w:w="108" w:type="dxa"/>
            <w:bottom w:w="0" w:type="dxa"/>
            <w:right w:w="108" w:type="dxa"/>
          </w:tblCellMar>
        </w:tblPrEx>
        <w:trPr>
          <w:trHeight w:val="40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53EA819">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7D5666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54F2F1E">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C771104">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车辆运行监管</w:t>
            </w:r>
          </w:p>
        </w:tc>
        <w:tc>
          <w:tcPr>
            <w:tcW w:w="3449" w:type="pct"/>
            <w:tcBorders>
              <w:top w:val="nil"/>
              <w:left w:val="nil"/>
              <w:bottom w:val="single" w:color="auto" w:sz="4" w:space="0"/>
              <w:right w:val="single" w:color="auto" w:sz="4" w:space="0"/>
            </w:tcBorders>
            <w:shd w:val="clear" w:color="000000" w:fill="FFFFFF"/>
            <w:vAlign w:val="center"/>
          </w:tcPr>
          <w:p w14:paraId="6A31669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协查信息，协查信息包括：车牌号码、车辆类型、车身颜色、协查原因（恶意欠费、多次违章未处理、危害公共安全、限制通行等）、协查期限（一个月、六个月、永久、自定义）等。支持配置联动告警帐号。支持批量导入协查信息。支持对协查车辆进行撤控、编辑等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2.支持基于车牌号码、协查人、协查原因、协查期限检索当前生效的协查信息。支持批量导出全部或选中的协查信息。支持快捷查看协查车具体历史告警信息，支持查看协查车曾出入的停车场与次数。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3.支持展示历史协查记录，展示内容包括车辆信息、协查原因、告警次数、撤控人、撤控时间、撤控原因。支持对已撤控的车辆进行重新协查。</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4.支持以系统通知方式向平台登录用户推送协查车辆告警信息。支持在消息提醒中查看历史告警信息。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5.支持根据车牌号码、协查原因、过车时间等条件检索协查告警记录，支持展示告警信息详情，包括：车牌号码、车辆类型、车联颜色、过车时间、停车场、泊位号、过车图片等。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6.支持展示已消除告警的协查告警记录。支持根据车牌号码、协查原因、停车场查询解除告警记录。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7.支持批量导入违停数据。支持下载违停数据导入模版。支持根据车牌号码、违停地点、违停事件发生时间（日、周、月）检索违停记录。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8.支持展示目标地点在指定日期区间的违停次数。支持以可视化方式展示违停时间的日期及时间段的分布情况。支持根据违停次数进行违停高发地点排名。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分析停车场出入车数据，自动发现并记录存在僵尸车停车行为的车辆。支持以列表方式展示存在僵尸车停车行为车辆的号牌、当前在停停车场、入车时间、停车时长。支持基于入车时间区间、停车场、处理标签等条件检索潜在僵尸车辆，检索结果展示入车时间、入车图片。支持过滤展示当前仍然在停的僵尸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10.支持根据僵尸车处置结果为僵尸车打标签。</w:t>
            </w:r>
          </w:p>
        </w:tc>
      </w:tr>
      <w:tr w14:paraId="6B49783B">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2917940">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AA7EDE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46F141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2DEDF64">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监管报告</w:t>
            </w:r>
          </w:p>
        </w:tc>
        <w:tc>
          <w:tcPr>
            <w:tcW w:w="3449" w:type="pct"/>
            <w:tcBorders>
              <w:top w:val="nil"/>
              <w:left w:val="nil"/>
              <w:bottom w:val="single" w:color="auto" w:sz="4" w:space="0"/>
              <w:right w:val="single" w:color="auto" w:sz="4" w:space="0"/>
            </w:tcBorders>
            <w:shd w:val="clear" w:color="000000" w:fill="FFFFFF"/>
            <w:vAlign w:val="center"/>
          </w:tcPr>
          <w:p w14:paraId="7CCF02BD">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按照模版生成月度、年度停车监管报告。支持基于月、年查询对应周期的停车监管报告。支持预览监管报告内容，点击目录可快捷定位到监管报告对应章节。默认按停车资源管理、停车秩序管理、停车收费监管、服务水平等专题展示各项数据并给出分析建议。支持手动重新生成报告，根据模板更新报告文字、各项指标和图表。支持下载pdf格式和word格式的监管报告。</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月度、年度报告模版。可对报告模板进行配置，自定义编辑报告模板的标题、文字，支持在报告中快速插入各类停车数据指标、图表、表格，支持对报告的字体、字号、编号、缩进量、背景颜色、行距等属性进行设置。支持统计各数据指标、图表、表格在监管报告中的使用次数。支持配置停车数据指标阈值和触达阈值时应提示的预警信息，条件被触发是在监管报告中自动生成预警信息。</w:t>
            </w:r>
          </w:p>
        </w:tc>
      </w:tr>
      <w:tr w14:paraId="3B64CC76">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AD2990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3C46C55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593918C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辅助决策</w:t>
            </w:r>
          </w:p>
        </w:tc>
        <w:tc>
          <w:tcPr>
            <w:tcW w:w="389" w:type="pct"/>
            <w:tcBorders>
              <w:top w:val="nil"/>
              <w:left w:val="nil"/>
              <w:bottom w:val="single" w:color="auto" w:sz="4" w:space="0"/>
              <w:right w:val="single" w:color="auto" w:sz="4" w:space="0"/>
            </w:tcBorders>
            <w:shd w:val="clear" w:color="000000" w:fill="FFFFFF"/>
            <w:vAlign w:val="center"/>
          </w:tcPr>
          <w:p w14:paraId="3971494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资源供需分析</w:t>
            </w:r>
          </w:p>
        </w:tc>
        <w:tc>
          <w:tcPr>
            <w:tcW w:w="3449" w:type="pct"/>
            <w:tcBorders>
              <w:top w:val="nil"/>
              <w:left w:val="nil"/>
              <w:bottom w:val="single" w:color="auto" w:sz="4" w:space="0"/>
              <w:right w:val="single" w:color="auto" w:sz="4" w:space="0"/>
            </w:tcBorders>
            <w:shd w:val="clear" w:color="000000" w:fill="FFFFFF"/>
            <w:vAlign w:val="center"/>
          </w:tcPr>
          <w:p w14:paraId="700A3BD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日期、区域、停车场对停车数据进行检索，展示指定日期区间内所选区域的停车流量趋势、本/外地车停车量趋势、新能源/非新能源车辆停车辆趋势图。支持列表展示各停车场停车位泊位数、总停车量、出入车流量、本/外地车停车量、新能源/传统能源车辆停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2.支持对日常停车需求和资源供给能力进行分析，支持展示所选区域的泊位供应量、需求量及停车运行指标。支持展示停车供需指数。支持以可视化方式展示近六个月停车泊位缺口变化趋势。</w:t>
            </w:r>
          </w:p>
        </w:tc>
      </w:tr>
      <w:tr w14:paraId="127A98DD">
        <w:tblPrEx>
          <w:tblCellMar>
            <w:top w:w="0" w:type="dxa"/>
            <w:left w:w="108" w:type="dxa"/>
            <w:bottom w:w="0" w:type="dxa"/>
            <w:right w:w="108" w:type="dxa"/>
          </w:tblCellMar>
        </w:tblPrEx>
        <w:trPr>
          <w:trHeight w:val="8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18167DA">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C61C196">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EFB1194">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E40020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存量优化分析</w:t>
            </w:r>
          </w:p>
        </w:tc>
        <w:tc>
          <w:tcPr>
            <w:tcW w:w="3449" w:type="pct"/>
            <w:tcBorders>
              <w:top w:val="nil"/>
              <w:left w:val="nil"/>
              <w:bottom w:val="single" w:color="auto" w:sz="4" w:space="0"/>
              <w:right w:val="single" w:color="auto" w:sz="4" w:space="0"/>
            </w:tcBorders>
            <w:shd w:val="clear" w:color="000000" w:fill="FFFFFF"/>
            <w:vAlign w:val="center"/>
          </w:tcPr>
          <w:p w14:paraId="443EA06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1.支持展示指定日期区间的不同收费等级停车场的周转率、平均单泊位应收、平均停车时长。支持对不同收费等级停车场进行周转率排名。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识别并列表展示具有错时共享潜力的停车场，同时展示停车场建议错时共享的时段、可错时共享的停车位数量、周边可分流的停车场数量。点击列表里的停车场，可在地图上自动定位停车场。支持地图上定位展示具有错时共享潜力的停车场，点击车场可展示空闲时段和当前占用率，并框选周边可互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挖掘并展示各区域泊位利用率长期较低，而周边停车需求旺盛的车场。支持展示指定区域盲点车场数量与环比变化数据。支持展示盲点停车场占比与组成结构。支持可视化展示近3个月、近6个月、近1年所选区域盲点停车场数量变化趋势。支持展示盲点停车场区域分布数量与各区域盲点停车场比重。支持在地图上展示盲点停车场、诱导屏。支持切换展示全部停车场或只展示盲点停车场；支持根据停车情况对区域内盲点车场进行统计排名。支持展示盲点停车场今日停车数据与统计周期数据。支持在选中盲点停车场列表中的停车场时，在地图上自动定位对应停车场。支持在地图选中盲点停车场，看板展示周边停车资源数量、周边违停情况、周边诱导屏建设情况、停车场设施情况、收费标准、最近统计周期运行情况。支持展示近一个月盲点停车场与相邻停车场中繁忙停车场的利用率变化趋势对比图。支持在地图上以图标标识盲点车场周边可分流停车场。支持在选中盲点停车场列表中的停车场时，在地图上自动定位对应停车场。</w:t>
            </w:r>
          </w:p>
        </w:tc>
      </w:tr>
      <w:tr w14:paraId="2A1A0E82">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4CDDBC4">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0E1510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DB7E2D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5536C9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停车预测分析</w:t>
            </w:r>
          </w:p>
        </w:tc>
        <w:tc>
          <w:tcPr>
            <w:tcW w:w="3449" w:type="pct"/>
            <w:tcBorders>
              <w:top w:val="nil"/>
              <w:left w:val="nil"/>
              <w:bottom w:val="single" w:color="auto" w:sz="4" w:space="0"/>
              <w:right w:val="single" w:color="auto" w:sz="4" w:space="0"/>
            </w:tcBorders>
            <w:shd w:val="clear" w:color="000000" w:fill="FFFFFF"/>
            <w:vAlign w:val="center"/>
          </w:tcPr>
          <w:p w14:paraId="766CF55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区域、停车场展示停车位供给总量、当前空余停车位数量。支持以可视化方式展示当前时刻停车余位指数。支持以可视化方式展示所选区域或停车场近一小时实际余位数量与未来二十四小时的预测余位数量、预测余位指数。支持通过不同颜色展示停车余位指数区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所选区域、停车场近七日日均停车量、平均通行时长，各类场景下的支付方式占比。支持展示所选区域未来三日日均停车量、平均通行时长的预测值。支持展示通行效率存在优化空间的排名前十的停车场列表，展示各停车场名称与平均通行时长。支持在地图定位各停车场并展示停车位数量、通行时长、日均停车量。</w:t>
            </w:r>
          </w:p>
        </w:tc>
      </w:tr>
      <w:tr w14:paraId="022D577C">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B4B7B6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BE707DA">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009328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0F153F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停车综合分析</w:t>
            </w:r>
          </w:p>
        </w:tc>
        <w:tc>
          <w:tcPr>
            <w:tcW w:w="3449" w:type="pct"/>
            <w:tcBorders>
              <w:top w:val="nil"/>
              <w:left w:val="nil"/>
              <w:bottom w:val="single" w:color="auto" w:sz="4" w:space="0"/>
              <w:right w:val="single" w:color="auto" w:sz="4" w:space="0"/>
            </w:tcBorders>
            <w:shd w:val="clear" w:color="auto" w:fill="auto"/>
            <w:vAlign w:val="center"/>
          </w:tcPr>
          <w:p w14:paraId="590B4DA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停车设施资源、停车运行效率、停车服务水平三个维度进行分析，建立城市停车评价指标体系，对城市停车体系运行质量进行综合评分。支持展示所选区域的停车治理综合评分，分项展示停车资源指数、停车服务指数、停车运行指数。支持对所选区域的子区域进行指数排名；支持以可视化方式展示近3个月、近6个月、近12个月区域停车综合评分变化趋势，支持各行政区划评分月度对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指定统计周期、指定区域的停车综合评分，支持展示每个统计周期内各区域的资源、运行、服务指数以及作为支撑的各项二级指数。支持可视化展示指定统计周期、指定区域的综合评分及各项指数变化趋势图，支持展示本区划与上级行政区划的各项指数对比。</w:t>
            </w:r>
          </w:p>
        </w:tc>
      </w:tr>
      <w:tr w14:paraId="340A6CFA">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56F8D64">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8CAE65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135076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85C074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停车指数分析</w:t>
            </w:r>
          </w:p>
        </w:tc>
        <w:tc>
          <w:tcPr>
            <w:tcW w:w="3449" w:type="pct"/>
            <w:tcBorders>
              <w:top w:val="nil"/>
              <w:left w:val="nil"/>
              <w:bottom w:val="single" w:color="auto" w:sz="4" w:space="0"/>
              <w:right w:val="single" w:color="auto" w:sz="4" w:space="0"/>
            </w:tcBorders>
            <w:shd w:val="clear" w:color="auto" w:fill="auto"/>
            <w:vAlign w:val="center"/>
          </w:tcPr>
          <w:p w14:paraId="3AF1B10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1.支持根据区域、停车场类型、时间区间等条件检索停车场，分析展示停车运行指数、停车利用率、停车高峰时段与累计高峰时长、停车低谷时段与累计低谷时长。</w:t>
            </w:r>
          </w:p>
        </w:tc>
      </w:tr>
      <w:tr w14:paraId="6B5FE496">
        <w:tblPrEx>
          <w:tblCellMar>
            <w:top w:w="0" w:type="dxa"/>
            <w:left w:w="108" w:type="dxa"/>
            <w:bottom w:w="0" w:type="dxa"/>
            <w:right w:w="108" w:type="dxa"/>
          </w:tblCellMar>
        </w:tblPrEx>
        <w:trPr>
          <w:trHeight w:val="29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AE8C27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598FB74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6A1928C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停车诱导服务</w:t>
            </w:r>
          </w:p>
        </w:tc>
        <w:tc>
          <w:tcPr>
            <w:tcW w:w="389" w:type="pct"/>
            <w:tcBorders>
              <w:top w:val="nil"/>
              <w:left w:val="nil"/>
              <w:bottom w:val="single" w:color="auto" w:sz="4" w:space="0"/>
              <w:right w:val="single" w:color="auto" w:sz="4" w:space="0"/>
            </w:tcBorders>
            <w:shd w:val="clear" w:color="000000" w:fill="FFFFFF"/>
            <w:vAlign w:val="center"/>
          </w:tcPr>
          <w:p w14:paraId="07AAD4D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数据源管理</w:t>
            </w:r>
          </w:p>
        </w:tc>
        <w:tc>
          <w:tcPr>
            <w:tcW w:w="3449" w:type="pct"/>
            <w:tcBorders>
              <w:top w:val="nil"/>
              <w:left w:val="nil"/>
              <w:bottom w:val="single" w:color="auto" w:sz="4" w:space="0"/>
              <w:right w:val="single" w:color="auto" w:sz="4" w:space="0"/>
            </w:tcBorders>
            <w:shd w:val="clear" w:color="000000" w:fill="FFFFFF"/>
            <w:vAlign w:val="center"/>
          </w:tcPr>
          <w:p w14:paraId="7929D45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1.支持查看诱导屏与停车场关联关系，支持将单个或者多个停车场与具体诱导屏进行关联。支持查看指定数据源最近一次余位数据更新结果。</w:t>
            </w:r>
          </w:p>
        </w:tc>
      </w:tr>
      <w:tr w14:paraId="0C5377D1">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745A201">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8E3B2B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37B693D">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F41ADD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余位自动发布</w:t>
            </w:r>
          </w:p>
        </w:tc>
        <w:tc>
          <w:tcPr>
            <w:tcW w:w="3449" w:type="pct"/>
            <w:tcBorders>
              <w:top w:val="nil"/>
              <w:left w:val="nil"/>
              <w:bottom w:val="single" w:color="auto" w:sz="4" w:space="0"/>
              <w:right w:val="single" w:color="auto" w:sz="4" w:space="0"/>
            </w:tcBorders>
            <w:shd w:val="clear" w:color="000000" w:fill="FFFFFF"/>
            <w:vAlign w:val="center"/>
          </w:tcPr>
          <w:p w14:paraId="354718C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1.支持自动检测停车场余位数据变化情况，在诱导屏固定区域关联展示指定停车场余位数据（动态刷新）。</w:t>
            </w:r>
          </w:p>
        </w:tc>
      </w:tr>
      <w:tr w14:paraId="203925D6">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FA3A540">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593695A">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A10D99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7BB46C4">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数据更新记录</w:t>
            </w:r>
          </w:p>
        </w:tc>
        <w:tc>
          <w:tcPr>
            <w:tcW w:w="3449" w:type="pct"/>
            <w:tcBorders>
              <w:top w:val="nil"/>
              <w:left w:val="nil"/>
              <w:bottom w:val="single" w:color="auto" w:sz="4" w:space="0"/>
              <w:right w:val="single" w:color="auto" w:sz="4" w:space="0"/>
            </w:tcBorders>
            <w:shd w:val="clear" w:color="000000" w:fill="FFFFFF"/>
            <w:vAlign w:val="center"/>
          </w:tcPr>
          <w:p w14:paraId="02393B1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1.支持对余位信息更新记录进行查询，展示内容包括：数据源名称、更新内容、更新时间、更新结果。</w:t>
            </w:r>
          </w:p>
        </w:tc>
      </w:tr>
      <w:tr w14:paraId="358DF124">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3C6914E">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F71B386">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AFAF146">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D3D2E5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画布管理</w:t>
            </w:r>
          </w:p>
        </w:tc>
        <w:tc>
          <w:tcPr>
            <w:tcW w:w="3449" w:type="pct"/>
            <w:tcBorders>
              <w:top w:val="nil"/>
              <w:left w:val="nil"/>
              <w:bottom w:val="single" w:color="auto" w:sz="4" w:space="0"/>
              <w:right w:val="single" w:color="auto" w:sz="4" w:space="0"/>
            </w:tcBorders>
            <w:shd w:val="clear" w:color="000000" w:fill="FFFFFF"/>
            <w:vAlign w:val="center"/>
          </w:tcPr>
          <w:p w14:paraId="7F8302A2">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1.支持以缩略图方式展示画布并标识同步状态，支持基于画布名称、同步状态查询画布。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2.支持添加、预览、编辑、删除画布，支持设置画布名称和尺寸。</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3.支持发布画布至素材库网页列表。支持在画布上自定义添加/删除水平公路、垂直公路、横向文本、纵向文本、上下左右箭头、方向图例、停车场，形成道路路网图，</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4.支持鼠标拖拉方式调整元素位置和形状，支持设置文字大小和颜色，支持设置道路颜色。支持支持上传和删除自定义元素。支持为停车场关联数据源。支持为道路关联路段。</w:t>
            </w:r>
          </w:p>
        </w:tc>
      </w:tr>
      <w:tr w14:paraId="0685FD20">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058BEAD">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1D16101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汇聚中心</w:t>
            </w:r>
          </w:p>
        </w:tc>
        <w:tc>
          <w:tcPr>
            <w:tcW w:w="476" w:type="pct"/>
            <w:gridSpan w:val="2"/>
            <w:tcBorders>
              <w:top w:val="nil"/>
              <w:left w:val="nil"/>
              <w:bottom w:val="single" w:color="auto" w:sz="4" w:space="0"/>
              <w:right w:val="single" w:color="auto" w:sz="4" w:space="0"/>
            </w:tcBorders>
            <w:shd w:val="clear" w:color="000000" w:fill="FFFFFF"/>
            <w:vAlign w:val="center"/>
          </w:tcPr>
          <w:p w14:paraId="4CDCDBA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89" w:type="pct"/>
            <w:tcBorders>
              <w:top w:val="nil"/>
              <w:left w:val="nil"/>
              <w:bottom w:val="single" w:color="auto" w:sz="4" w:space="0"/>
              <w:right w:val="single" w:color="auto" w:sz="4" w:space="0"/>
            </w:tcBorders>
            <w:shd w:val="clear" w:color="000000" w:fill="FFFFFF"/>
            <w:vAlign w:val="center"/>
          </w:tcPr>
          <w:p w14:paraId="0C26A22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449" w:type="pct"/>
            <w:tcBorders>
              <w:top w:val="nil"/>
              <w:left w:val="nil"/>
              <w:bottom w:val="single" w:color="auto" w:sz="4" w:space="0"/>
              <w:right w:val="single" w:color="auto" w:sz="4" w:space="0"/>
            </w:tcBorders>
            <w:shd w:val="clear" w:color="000000" w:fill="FFFFFF"/>
            <w:vAlign w:val="center"/>
          </w:tcPr>
          <w:p w14:paraId="480E0E1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1.通过数据汇聚网关，实现多来源、多种类、多类型的停车数据的汇聚接入、数据标准化转换、数据存储，以标准开放接口服务的方式支撑下级停车场库平台对接。</w:t>
            </w:r>
          </w:p>
        </w:tc>
      </w:tr>
      <w:tr w14:paraId="037C7413">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D438300">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5C9C658B">
            <w:pPr>
              <w:widowControl/>
              <w:spacing w:line="360" w:lineRule="auto"/>
              <w:jc w:val="left"/>
              <w:rPr>
                <w:rFonts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182247C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89" w:type="pct"/>
            <w:tcBorders>
              <w:top w:val="nil"/>
              <w:left w:val="nil"/>
              <w:bottom w:val="single" w:color="auto" w:sz="4" w:space="0"/>
              <w:right w:val="single" w:color="auto" w:sz="4" w:space="0"/>
            </w:tcBorders>
            <w:shd w:val="clear" w:color="000000" w:fill="FFFFFF"/>
            <w:vAlign w:val="center"/>
          </w:tcPr>
          <w:p w14:paraId="3E286AD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449" w:type="pct"/>
            <w:tcBorders>
              <w:top w:val="nil"/>
              <w:left w:val="nil"/>
              <w:bottom w:val="single" w:color="auto" w:sz="4" w:space="0"/>
              <w:right w:val="single" w:color="auto" w:sz="4" w:space="0"/>
            </w:tcBorders>
            <w:shd w:val="clear" w:color="000000" w:fill="FFFFFF"/>
            <w:vAlign w:val="center"/>
          </w:tcPr>
          <w:p w14:paraId="06328D8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1.对下级平台数据汇聚对接情况进行实时监控与数据分析，检测平台离线、数据质量问题。</w:t>
            </w:r>
          </w:p>
        </w:tc>
      </w:tr>
      <w:tr w14:paraId="7B2E054C">
        <w:tblPrEx>
          <w:tblCellMar>
            <w:top w:w="0" w:type="dxa"/>
            <w:left w:w="108" w:type="dxa"/>
            <w:bottom w:w="0" w:type="dxa"/>
            <w:right w:w="108" w:type="dxa"/>
          </w:tblCellMar>
        </w:tblPrEx>
        <w:trPr>
          <w:trHeight w:val="174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93A4423">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212A2E34">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0615FD5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接入管理</w:t>
            </w:r>
          </w:p>
        </w:tc>
        <w:tc>
          <w:tcPr>
            <w:tcW w:w="389" w:type="pct"/>
            <w:tcBorders>
              <w:top w:val="nil"/>
              <w:left w:val="nil"/>
              <w:bottom w:val="single" w:color="auto" w:sz="4" w:space="0"/>
              <w:right w:val="single" w:color="auto" w:sz="4" w:space="0"/>
            </w:tcBorders>
            <w:shd w:val="clear" w:color="auto" w:fill="auto"/>
            <w:vAlign w:val="center"/>
          </w:tcPr>
          <w:p w14:paraId="527301D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区域接入分析</w:t>
            </w:r>
          </w:p>
        </w:tc>
        <w:tc>
          <w:tcPr>
            <w:tcW w:w="3449" w:type="pct"/>
            <w:tcBorders>
              <w:top w:val="nil"/>
              <w:left w:val="nil"/>
              <w:bottom w:val="single" w:color="auto" w:sz="4" w:space="0"/>
              <w:right w:val="single" w:color="auto" w:sz="4" w:space="0"/>
            </w:tcBorders>
            <w:shd w:val="clear" w:color="auto" w:fill="auto"/>
            <w:vAlign w:val="center"/>
          </w:tcPr>
          <w:p w14:paraId="711482C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1.支持按区域、区域类型、停车场类型进行检索，以图形化方式展示选中区域及下级区域停车场接入数量、接入车场占比。展示在线停车场数量、接入停车场数量占比。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列表形式展示各区域的停车场总数、接入车场数、接入车位数、车场接入率、在线车场数、车场在线率。支持根据接入率、在线率、车场接入数、车场在线数进行区域排序，并显式标识接入率前三位的区域。</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照时间维度（月、季、年）、区域、停车场类型查询历史时间段内指定区域停车场接入分析数据。支持以图形化方式对比展示选中区域在指定时间段内的接入量变化趋势、接入率变化趋势。支持以列表展示统计时段内各区域的停车场数量、接入量、接入率。支持导出历史接入分析数据。</w:t>
            </w:r>
          </w:p>
        </w:tc>
      </w:tr>
      <w:tr w14:paraId="6ABE614F">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410ED43">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5DE3B3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201AAE5">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247456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业态接入分析</w:t>
            </w:r>
          </w:p>
        </w:tc>
        <w:tc>
          <w:tcPr>
            <w:tcW w:w="3449" w:type="pct"/>
            <w:tcBorders>
              <w:top w:val="nil"/>
              <w:left w:val="nil"/>
              <w:bottom w:val="single" w:color="auto" w:sz="4" w:space="0"/>
              <w:right w:val="single" w:color="auto" w:sz="4" w:space="0"/>
            </w:tcBorders>
            <w:shd w:val="clear" w:color="auto" w:fill="auto"/>
            <w:vAlign w:val="center"/>
          </w:tcPr>
          <w:p w14:paraId="2E0CA2E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1.为便于了解各业态车场接入情况，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2.支持基于业态分析车场接入率和在线率。支持按区域、业态进行检索，以图形化方式展示各区域下各业态的停车场接入情况。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3.支持列表展示指定区域下辖区域的各业态停车场接入率、停车位接入量、车场接入率、车场在线率。</w:t>
            </w:r>
          </w:p>
        </w:tc>
      </w:tr>
      <w:tr w14:paraId="7872F4E1">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420C401">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DF0A095">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C879B8D">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903436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服务商接入分析</w:t>
            </w:r>
          </w:p>
        </w:tc>
        <w:tc>
          <w:tcPr>
            <w:tcW w:w="3449" w:type="pct"/>
            <w:tcBorders>
              <w:top w:val="nil"/>
              <w:left w:val="nil"/>
              <w:bottom w:val="single" w:color="auto" w:sz="4" w:space="0"/>
              <w:right w:val="single" w:color="auto" w:sz="4" w:space="0"/>
            </w:tcBorders>
            <w:shd w:val="clear" w:color="auto" w:fill="auto"/>
            <w:vAlign w:val="center"/>
          </w:tcPr>
          <w:p w14:paraId="5A89473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1.为便于对各信息系统服务商接入情况进行摸底和考核，支持基于信息系统服务商和信息系统进行接入分析。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2.支持按区域、信息系统服务商、信息系统进行检索，以图表展示已接入停车场数量和占比、各服务商接入停车场占比、在线停车场数量和占比。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3.支持以列表展示指定区域下各服务商、信息系统的的接入车场数、接入车位数、接入率、在线率，便于了解区域中存在哪些信息系统服务商及各服务商及当前车场接入进度。</w:t>
            </w:r>
          </w:p>
        </w:tc>
      </w:tr>
      <w:tr w14:paraId="3C6C7973">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05AB40B">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AE4AF43">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FCC396F">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EBECB2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接入进度管理</w:t>
            </w:r>
          </w:p>
        </w:tc>
        <w:tc>
          <w:tcPr>
            <w:tcW w:w="3449" w:type="pct"/>
            <w:tcBorders>
              <w:top w:val="nil"/>
              <w:left w:val="nil"/>
              <w:bottom w:val="single" w:color="auto" w:sz="4" w:space="0"/>
              <w:right w:val="single" w:color="auto" w:sz="4" w:space="0"/>
            </w:tcBorders>
            <w:shd w:val="clear" w:color="auto" w:fill="auto"/>
            <w:vAlign w:val="center"/>
          </w:tcPr>
          <w:p w14:paraId="095FBBC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1.支持按照信息系统服务商、信息系统名称、状态查询服务商接入进度数据，展示信息包括信息系统名称、信息系统服务商名称、当前接入状态、接入车场数、对接平台IP、今日上传数量。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2.支持查询服务商接入详情，内容包括服务商接入的生命周期，以及服务商下各停车场接入平台的时间、当前状态。</w:t>
            </w:r>
          </w:p>
        </w:tc>
      </w:tr>
      <w:tr w14:paraId="1CA6C088">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6E19E1E">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7731312">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6FD0EC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5EA4FA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车场接入分析</w:t>
            </w:r>
          </w:p>
        </w:tc>
        <w:tc>
          <w:tcPr>
            <w:tcW w:w="3449" w:type="pct"/>
            <w:tcBorders>
              <w:top w:val="nil"/>
              <w:left w:val="nil"/>
              <w:bottom w:val="single" w:color="auto" w:sz="4" w:space="0"/>
              <w:right w:val="single" w:color="auto" w:sz="4" w:space="0"/>
            </w:tcBorders>
            <w:shd w:val="clear" w:color="auto" w:fill="auto"/>
            <w:vAlign w:val="center"/>
          </w:tcPr>
          <w:p w14:paraId="53C9A4E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1.支持展示各车场接入厂商、当前接入状态、最近一次数据上传时间、最近一次上传数据质量，2.支持展示最近24小时停车场上传数据数量及数据正常率。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3.支持按日期展示各个停车场累计数据上传数量、正常率和累计离线次数。</w:t>
            </w:r>
          </w:p>
        </w:tc>
      </w:tr>
      <w:tr w14:paraId="0F661A58">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4D26D48">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969881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C73C23A">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241E56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接入质量管理</w:t>
            </w:r>
          </w:p>
        </w:tc>
        <w:tc>
          <w:tcPr>
            <w:tcW w:w="3449" w:type="pct"/>
            <w:tcBorders>
              <w:top w:val="nil"/>
              <w:left w:val="nil"/>
              <w:bottom w:val="single" w:color="auto" w:sz="4" w:space="0"/>
              <w:right w:val="single" w:color="auto" w:sz="4" w:space="0"/>
            </w:tcBorders>
            <w:shd w:val="clear" w:color="auto" w:fill="auto"/>
            <w:vAlign w:val="center"/>
          </w:tcPr>
          <w:p w14:paraId="2426290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停车场、信息系统服务商、车场在线状态、数据质量评级等条件查询停车场24小时内接入的数据质量，展示信息有停车场名称、信息系统服务商名称、车场在线状态、最近一条数据上传时间、最近一条数据质量、上传数量、正常数量、数据质量评估等级。</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2.支持按时间范围、停车场、信息系统服务商、数据质量评级等条件查询停车场接入的数据质量，展示信息有停车场名称、信息系统服务商名称、上传数量、离线次数、数据质量评估等级。</w:t>
            </w:r>
          </w:p>
        </w:tc>
      </w:tr>
      <w:tr w14:paraId="6018DDCE">
        <w:tblPrEx>
          <w:tblCellMar>
            <w:top w:w="0" w:type="dxa"/>
            <w:left w:w="108" w:type="dxa"/>
            <w:bottom w:w="0" w:type="dxa"/>
            <w:right w:w="108" w:type="dxa"/>
          </w:tblCellMar>
        </w:tblPrEx>
        <w:trPr>
          <w:trHeight w:val="87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521B4F7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3B39DC3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0358F6F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停车数据管理</w:t>
            </w:r>
          </w:p>
        </w:tc>
        <w:tc>
          <w:tcPr>
            <w:tcW w:w="389" w:type="pct"/>
            <w:tcBorders>
              <w:top w:val="nil"/>
              <w:left w:val="nil"/>
              <w:bottom w:val="single" w:color="auto" w:sz="4" w:space="0"/>
              <w:right w:val="single" w:color="auto" w:sz="4" w:space="0"/>
            </w:tcBorders>
            <w:shd w:val="clear" w:color="auto" w:fill="auto"/>
            <w:vAlign w:val="center"/>
          </w:tcPr>
          <w:p w14:paraId="12007FF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停车记录管理</w:t>
            </w:r>
          </w:p>
        </w:tc>
        <w:tc>
          <w:tcPr>
            <w:tcW w:w="3449" w:type="pct"/>
            <w:tcBorders>
              <w:top w:val="nil"/>
              <w:left w:val="nil"/>
              <w:bottom w:val="single" w:color="auto" w:sz="4" w:space="0"/>
              <w:right w:val="single" w:color="auto" w:sz="4" w:space="0"/>
            </w:tcBorders>
            <w:shd w:val="clear" w:color="auto" w:fill="auto"/>
            <w:vAlign w:val="center"/>
          </w:tcPr>
          <w:p w14:paraId="2D03A082">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停车场通过联网接入系统后，支持对各停车场停车记录集中存储和展示。支持根据车牌号码、入车时间、停车时长、停车场名称、停车状态等检索条件查询停车记录。支持查看每笔停车记录相关的停车场、停车时长、状态等信息以及出入车图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2.支持导出选中或全部停车记录。</w:t>
            </w:r>
          </w:p>
        </w:tc>
      </w:tr>
      <w:tr w14:paraId="041F1FEC">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3EE9CAD">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EE20BF8">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89EF79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37F068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过车记录管理</w:t>
            </w:r>
          </w:p>
        </w:tc>
        <w:tc>
          <w:tcPr>
            <w:tcW w:w="3449" w:type="pct"/>
            <w:tcBorders>
              <w:top w:val="nil"/>
              <w:left w:val="nil"/>
              <w:bottom w:val="single" w:color="auto" w:sz="4" w:space="0"/>
              <w:right w:val="single" w:color="auto" w:sz="4" w:space="0"/>
            </w:tcBorders>
            <w:shd w:val="clear" w:color="auto" w:fill="auto"/>
            <w:vAlign w:val="center"/>
          </w:tcPr>
          <w:p w14:paraId="1C5CEEDF">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1.支持根据出入车时间、出入方向、车牌号码、停车场名称、停车类型、泊位号、数据质量等条件检索过车记录。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2.支持检索并导出选中或全部过车记录。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3.支持对过车记录进行人工抽检，对任一条数据进行数据质量审核，判定数据问题并记录原因。</w:t>
            </w:r>
          </w:p>
        </w:tc>
      </w:tr>
      <w:tr w14:paraId="17CCAA7F">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28E6EBC">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DFD5B6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D26B2FF">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958CFD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空余记录管理</w:t>
            </w:r>
          </w:p>
        </w:tc>
        <w:tc>
          <w:tcPr>
            <w:tcW w:w="3449" w:type="pct"/>
            <w:tcBorders>
              <w:top w:val="nil"/>
              <w:left w:val="nil"/>
              <w:bottom w:val="single" w:color="auto" w:sz="4" w:space="0"/>
              <w:right w:val="single" w:color="auto" w:sz="4" w:space="0"/>
            </w:tcBorders>
            <w:shd w:val="clear" w:color="000000" w:fill="FFFFFF"/>
            <w:vAlign w:val="center"/>
          </w:tcPr>
          <w:p w14:paraId="5057FD5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支持展示下级停车场信息系统上传的各停车场空余车位记录。</w:t>
            </w:r>
          </w:p>
        </w:tc>
      </w:tr>
      <w:tr w14:paraId="55419384">
        <w:tblPrEx>
          <w:tblCellMar>
            <w:top w:w="0" w:type="dxa"/>
            <w:left w:w="108" w:type="dxa"/>
            <w:bottom w:w="0" w:type="dxa"/>
            <w:right w:w="108" w:type="dxa"/>
          </w:tblCellMar>
        </w:tblPrEx>
        <w:trPr>
          <w:trHeight w:val="832"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E34D6D8">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4D7CDF5">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6AE0344">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2DC0BC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数据质量分析</w:t>
            </w:r>
          </w:p>
        </w:tc>
        <w:tc>
          <w:tcPr>
            <w:tcW w:w="3449" w:type="pct"/>
            <w:tcBorders>
              <w:top w:val="nil"/>
              <w:left w:val="nil"/>
              <w:bottom w:val="single" w:color="auto" w:sz="4" w:space="0"/>
              <w:right w:val="single" w:color="auto" w:sz="4" w:space="0"/>
            </w:tcBorders>
            <w:shd w:val="clear" w:color="000000" w:fill="FFFFFF"/>
            <w:vAlign w:val="center"/>
          </w:tcPr>
          <w:p w14:paraId="152B35C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1.支持对各车场上传的数据进行质量检测，便于发现车场数据问题，确保数据完整性、时效性，支撑数据分析和公众停车信息服务。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维度（日、月、年）、区域、经营单位、信息系统服务商等条件进行检索，展示指定区域停车场上传数据总量、正常数据条数、数据质量评级，以及数据规范性、完整性、准确性、时效性各项指标评分。支持以图形化方式展示指定区域、信息系统服务商在特定时间段内数据质量分析结果，展示合格数据、规范性问题数据、完整性问题数据、准确性问题数据、时效性问题数据的数量，便于发现主要数据问题，有针对性的进行整改。</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3.支持对各信息系统服务商数据进行分析，展示各服务商的等级评分。支持以列表展示各区域的数据质量数据，内容包括区域名称、接收数据量、正常数据量、数据质量评级、规范率、完整率、准确率、时效率。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照时间维度（日、月、年）、区域、停车场、信息系统服务商、经营单位、数据质量评级、查询车场数据域数据质量，以列表展示各停车场的数据质量数据，内容包括区域名称、接收数据量、正常数据量、数据质量评级、规范率、完整率、准确率、实效率。</w:t>
            </w:r>
          </w:p>
        </w:tc>
      </w:tr>
      <w:tr w14:paraId="0A6A4BFA">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4D8A2405">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1D8147C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22FD6B2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告警管理</w:t>
            </w:r>
          </w:p>
        </w:tc>
        <w:tc>
          <w:tcPr>
            <w:tcW w:w="389" w:type="pct"/>
            <w:tcBorders>
              <w:top w:val="nil"/>
              <w:left w:val="nil"/>
              <w:bottom w:val="single" w:color="auto" w:sz="4" w:space="0"/>
              <w:right w:val="single" w:color="auto" w:sz="4" w:space="0"/>
            </w:tcBorders>
            <w:shd w:val="clear" w:color="auto" w:fill="auto"/>
            <w:vAlign w:val="center"/>
          </w:tcPr>
          <w:p w14:paraId="58874F2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停车场离线告警</w:t>
            </w:r>
          </w:p>
        </w:tc>
        <w:tc>
          <w:tcPr>
            <w:tcW w:w="3449" w:type="pct"/>
            <w:tcBorders>
              <w:top w:val="nil"/>
              <w:left w:val="nil"/>
              <w:bottom w:val="single" w:color="auto" w:sz="4" w:space="0"/>
              <w:right w:val="single" w:color="auto" w:sz="4" w:space="0"/>
            </w:tcBorders>
            <w:shd w:val="clear" w:color="auto" w:fill="auto"/>
            <w:vAlign w:val="center"/>
          </w:tcPr>
          <w:p w14:paraId="2E33DA84">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1.支持对停车场离线情况进行统计分析，便于发现频繁数据中断的停车场，要求整改确保数据完整获取。</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2.支持根据时间、区域、停车场、信息系统服务商等条件检索停车场离线数据。支持图形化方式展示指定区域当前离线车场数，指定时间段内的离线次数和离线告警次数。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3.支持按离线次数进行排名，展示离线最频繁的10家停车场。 支持按离线时长进行排名，展示累计离线时长最长的10家停车场。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4.支持以列表展示查询条件范围内停车场告警数据，内容包括当前状态、累计离线时长、离线次数、告警次数。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5.支持展示停车场离线告警详情，包括累计离线次数、累计离线时长。支持对每次离线时长进行统计，分析离线时长分布。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6.支持以离线告警日历直观展示停车场离线情况，点击日历表可以展示离线时间范围、离线时长、告警次数，便于发现离线规律。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7.支持开启和关闭离线告警通知功能，关闭告警的停车场不再自动推送信息通知用户。</w:t>
            </w:r>
          </w:p>
        </w:tc>
      </w:tr>
      <w:tr w14:paraId="2EAEFCC0">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36CC07DA">
            <w:pPr>
              <w:widowControl/>
              <w:spacing w:line="360" w:lineRule="auto"/>
              <w:jc w:val="left"/>
              <w:rPr>
                <w:rFonts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F62708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2DEAE41">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66C61F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停车场异常数据告警</w:t>
            </w:r>
          </w:p>
        </w:tc>
        <w:tc>
          <w:tcPr>
            <w:tcW w:w="3449" w:type="pct"/>
            <w:tcBorders>
              <w:top w:val="nil"/>
              <w:left w:val="nil"/>
              <w:bottom w:val="single" w:color="auto" w:sz="4" w:space="0"/>
              <w:right w:val="single" w:color="auto" w:sz="4" w:space="0"/>
            </w:tcBorders>
            <w:shd w:val="clear" w:color="auto" w:fill="auto"/>
            <w:vAlign w:val="center"/>
          </w:tcPr>
          <w:p w14:paraId="7BC9E1AF">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1.支持对存在数据突变、持续数据质量不合格等数据异常情况的车场进行检测。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区域、业态、停车场、信息系统服务商进行检索，展示指定区域特定时间段内的数据异常车场数量、数据异常告警次数。支持根据异常严重情况对停车场进行排名，展示异常问题较严重10个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3.支持基于数据异常类型进行统计，展示各类异常情况次数和占比。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4.支持以列表展示符合查询条件的停车场数据异常告警数据，包括区域、停车场名称、异常类型、检测时间、告警次数。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5.支持开启和关闭停车场数据异常告警通知功能，关闭告警的停车场不再自动发送信息通知用户。</w:t>
            </w:r>
          </w:p>
        </w:tc>
      </w:tr>
      <w:tr w14:paraId="06109C77">
        <w:tblPrEx>
          <w:tblCellMar>
            <w:top w:w="0" w:type="dxa"/>
            <w:left w:w="108" w:type="dxa"/>
            <w:bottom w:w="0" w:type="dxa"/>
            <w:right w:w="108" w:type="dxa"/>
          </w:tblCellMar>
        </w:tblPrEx>
        <w:trPr>
          <w:trHeight w:val="145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8996EA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tcBorders>
              <w:top w:val="nil"/>
              <w:left w:val="nil"/>
              <w:bottom w:val="single" w:color="auto" w:sz="4" w:space="0"/>
              <w:right w:val="single" w:color="auto" w:sz="4" w:space="0"/>
            </w:tcBorders>
            <w:shd w:val="clear" w:color="000000" w:fill="FFFFFF"/>
            <w:vAlign w:val="center"/>
          </w:tcPr>
          <w:p w14:paraId="4034600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微信公众号</w:t>
            </w:r>
          </w:p>
        </w:tc>
        <w:tc>
          <w:tcPr>
            <w:tcW w:w="476" w:type="pct"/>
            <w:gridSpan w:val="2"/>
            <w:tcBorders>
              <w:top w:val="nil"/>
              <w:left w:val="nil"/>
              <w:bottom w:val="single" w:color="auto" w:sz="4" w:space="0"/>
              <w:right w:val="single" w:color="auto" w:sz="4" w:space="0"/>
            </w:tcBorders>
            <w:shd w:val="clear" w:color="auto" w:fill="auto"/>
            <w:vAlign w:val="center"/>
          </w:tcPr>
          <w:p w14:paraId="23930F5C">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31A9E89">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41C7A90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1.在延安交管支队公众号配置菜单-停车余位信息发布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2.展示管辖范围内所有停车场，点击可基于用户手机已安装地图进行导航</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3.支持查询发布的车场停车位总数、余位信息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平台通过对接延安交管支队微信公众号，推送管辖区域内的所有停车场信息，包含地址、总车位数量、剩余车位数量；车主点击后，可调用手机导航，进行线路规划导航。</w:t>
            </w:r>
          </w:p>
        </w:tc>
      </w:tr>
      <w:tr w14:paraId="01A2DDF0">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AE6E92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tcBorders>
              <w:top w:val="nil"/>
              <w:left w:val="nil"/>
              <w:bottom w:val="single" w:color="auto" w:sz="4" w:space="0"/>
              <w:right w:val="single" w:color="auto" w:sz="4" w:space="0"/>
            </w:tcBorders>
            <w:shd w:val="clear" w:color="000000" w:fill="FFFFFF"/>
            <w:vAlign w:val="center"/>
          </w:tcPr>
          <w:p w14:paraId="4055980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高德地图数据对接</w:t>
            </w:r>
          </w:p>
        </w:tc>
        <w:tc>
          <w:tcPr>
            <w:tcW w:w="476" w:type="pct"/>
            <w:gridSpan w:val="2"/>
            <w:tcBorders>
              <w:top w:val="nil"/>
              <w:left w:val="nil"/>
              <w:bottom w:val="single" w:color="auto" w:sz="4" w:space="0"/>
              <w:right w:val="single" w:color="auto" w:sz="4" w:space="0"/>
            </w:tcBorders>
            <w:shd w:val="clear" w:color="auto" w:fill="auto"/>
            <w:vAlign w:val="center"/>
          </w:tcPr>
          <w:p w14:paraId="6BF2E3BD">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BDBC5D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27847C0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1.对接高德地图接口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2.对高德推送已接入监管平台的停车场余位信息，用于高德对外展示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平台对接高德地图，提供停车场数据，包含地址、总车位数量，余位数量，用于高德地图对外展示。</w:t>
            </w:r>
          </w:p>
        </w:tc>
      </w:tr>
      <w:tr w14:paraId="737D07CF">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EB2E7D2">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tcBorders>
              <w:top w:val="nil"/>
              <w:left w:val="nil"/>
              <w:bottom w:val="single" w:color="auto" w:sz="4" w:space="0"/>
              <w:right w:val="single" w:color="auto" w:sz="4" w:space="0"/>
            </w:tcBorders>
            <w:shd w:val="clear" w:color="auto" w:fill="auto"/>
            <w:vAlign w:val="center"/>
          </w:tcPr>
          <w:p w14:paraId="64CFE9A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诱导屏对接</w:t>
            </w:r>
          </w:p>
        </w:tc>
        <w:tc>
          <w:tcPr>
            <w:tcW w:w="476" w:type="pct"/>
            <w:gridSpan w:val="2"/>
            <w:tcBorders>
              <w:top w:val="nil"/>
              <w:left w:val="nil"/>
              <w:bottom w:val="single" w:color="auto" w:sz="4" w:space="0"/>
              <w:right w:val="single" w:color="auto" w:sz="4" w:space="0"/>
            </w:tcBorders>
            <w:shd w:val="clear" w:color="auto" w:fill="auto"/>
            <w:vAlign w:val="center"/>
          </w:tcPr>
          <w:p w14:paraId="4CB7BAEE">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DA5F18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0EF330D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1.支持在一二级信息发布屏上调用已接入监管平台的停车场余位信息，对外发布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2.支持“红、黄、蓝”三色展示路况拥堵程度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平台支持接入一二级信息发布诱导屏，对外发布停车场余位信息；支持按“红、黄、蓝”三色，对外展示路况拥堵情况。</w:t>
            </w:r>
          </w:p>
        </w:tc>
      </w:tr>
      <w:tr w14:paraId="46118CB1">
        <w:tblPrEx>
          <w:tblCellMar>
            <w:top w:w="0" w:type="dxa"/>
            <w:left w:w="108" w:type="dxa"/>
            <w:bottom w:w="0" w:type="dxa"/>
            <w:right w:w="108" w:type="dxa"/>
          </w:tblCellMar>
        </w:tblPrEx>
        <w:trPr>
          <w:trHeight w:val="11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74FD855">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tcBorders>
              <w:top w:val="nil"/>
              <w:left w:val="nil"/>
              <w:bottom w:val="single" w:color="auto" w:sz="4" w:space="0"/>
              <w:right w:val="single" w:color="auto" w:sz="4" w:space="0"/>
            </w:tcBorders>
            <w:shd w:val="clear" w:color="auto" w:fill="auto"/>
            <w:vAlign w:val="center"/>
          </w:tcPr>
          <w:p w14:paraId="0DEC35D0">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车场满位预警</w:t>
            </w:r>
          </w:p>
        </w:tc>
        <w:tc>
          <w:tcPr>
            <w:tcW w:w="476" w:type="pct"/>
            <w:gridSpan w:val="2"/>
            <w:tcBorders>
              <w:top w:val="nil"/>
              <w:left w:val="nil"/>
              <w:bottom w:val="single" w:color="auto" w:sz="4" w:space="0"/>
              <w:right w:val="single" w:color="auto" w:sz="4" w:space="0"/>
            </w:tcBorders>
            <w:shd w:val="clear" w:color="auto" w:fill="auto"/>
            <w:vAlign w:val="center"/>
          </w:tcPr>
          <w:p w14:paraId="100A2833">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AAB2253">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11312D2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1.针对车场满位无余位时，平台产生告警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2.支持后台策略分析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3.支持车位数据校准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平台针对车场满位，无余位时，产生告警，提供相关满位信息，支持针对不准确的车位余位，数据调整校准。</w:t>
            </w:r>
          </w:p>
        </w:tc>
      </w:tr>
      <w:tr w14:paraId="7173FFBE">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right w:val="single" w:color="auto" w:sz="4" w:space="0"/>
            </w:tcBorders>
            <w:shd w:val="clear" w:color="auto" w:fill="auto"/>
            <w:noWrap/>
            <w:vAlign w:val="center"/>
          </w:tcPr>
          <w:p w14:paraId="79B0285E">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w:t>
            </w:r>
          </w:p>
        </w:tc>
        <w:tc>
          <w:tcPr>
            <w:tcW w:w="383" w:type="pct"/>
            <w:vMerge w:val="restart"/>
            <w:tcBorders>
              <w:top w:val="nil"/>
              <w:left w:val="nil"/>
              <w:right w:val="single" w:color="auto" w:sz="4" w:space="0"/>
            </w:tcBorders>
            <w:shd w:val="clear" w:color="auto" w:fill="auto"/>
            <w:vAlign w:val="center"/>
          </w:tcPr>
          <w:p w14:paraId="50D8972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系统管理</w:t>
            </w:r>
          </w:p>
        </w:tc>
        <w:tc>
          <w:tcPr>
            <w:tcW w:w="476" w:type="pct"/>
            <w:gridSpan w:val="2"/>
            <w:vMerge w:val="restart"/>
            <w:tcBorders>
              <w:top w:val="nil"/>
              <w:left w:val="nil"/>
              <w:right w:val="single" w:color="auto" w:sz="4" w:space="0"/>
            </w:tcBorders>
            <w:shd w:val="clear" w:color="auto" w:fill="auto"/>
            <w:vAlign w:val="center"/>
          </w:tcPr>
          <w:p w14:paraId="4C46382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基础配置</w:t>
            </w:r>
          </w:p>
        </w:tc>
        <w:tc>
          <w:tcPr>
            <w:tcW w:w="389" w:type="pct"/>
            <w:tcBorders>
              <w:top w:val="nil"/>
              <w:left w:val="nil"/>
              <w:bottom w:val="single" w:color="auto" w:sz="4" w:space="0"/>
              <w:right w:val="single" w:color="auto" w:sz="4" w:space="0"/>
            </w:tcBorders>
            <w:shd w:val="clear" w:color="auto" w:fill="auto"/>
            <w:vAlign w:val="center"/>
          </w:tcPr>
          <w:p w14:paraId="67FC451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组织机构管理</w:t>
            </w:r>
          </w:p>
        </w:tc>
        <w:tc>
          <w:tcPr>
            <w:tcW w:w="3449" w:type="pct"/>
            <w:tcBorders>
              <w:top w:val="nil"/>
              <w:left w:val="nil"/>
              <w:bottom w:val="single" w:color="auto" w:sz="4" w:space="0"/>
              <w:right w:val="single" w:color="auto" w:sz="4" w:space="0"/>
            </w:tcBorders>
            <w:shd w:val="clear" w:color="auto" w:fill="auto"/>
            <w:vAlign w:val="center"/>
          </w:tcPr>
          <w:p w14:paraId="008A805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支持以树形菜单结构展示组织架构，呈现层级关系。支持对组织的新增、删除、修改、查询、导入、导出。</w:t>
            </w:r>
          </w:p>
        </w:tc>
      </w:tr>
      <w:tr w14:paraId="46C7FA9D">
        <w:tblPrEx>
          <w:tblCellMar>
            <w:top w:w="0" w:type="dxa"/>
            <w:left w:w="108" w:type="dxa"/>
            <w:bottom w:w="0" w:type="dxa"/>
            <w:right w:w="108" w:type="dxa"/>
          </w:tblCellMar>
        </w:tblPrEx>
        <w:trPr>
          <w:trHeight w:val="823" w:hRule="atLeast"/>
        </w:trPr>
        <w:tc>
          <w:tcPr>
            <w:tcW w:w="303" w:type="pct"/>
            <w:gridSpan w:val="2"/>
            <w:vMerge w:val="continue"/>
            <w:tcBorders>
              <w:left w:val="single" w:color="auto" w:sz="4" w:space="0"/>
              <w:right w:val="single" w:color="auto" w:sz="4" w:space="0"/>
            </w:tcBorders>
            <w:shd w:val="clear" w:color="auto" w:fill="auto"/>
            <w:noWrap/>
            <w:vAlign w:val="center"/>
          </w:tcPr>
          <w:p w14:paraId="30E22A62">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431B1B25">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2E340A40">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0E4AB11">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7B9D00A4">
            <w:pPr>
              <w:pStyle w:val="119"/>
              <w:widowControl/>
              <w:numPr>
                <w:ilvl w:val="0"/>
                <w:numId w:val="13"/>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支持对平台用户添加、修改、注销。支持帐号查询、帐号启用、帐号禁用、重置帐号密码。</w:t>
            </w:r>
          </w:p>
          <w:p w14:paraId="05D4ADB1">
            <w:pPr>
              <w:pStyle w:val="119"/>
              <w:widowControl/>
              <w:numPr>
                <w:ilvl w:val="0"/>
                <w:numId w:val="13"/>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支持对用户帐号的安全信息、登录认证方式进行配置，支持用户帐号与人员关联。</w:t>
            </w:r>
          </w:p>
          <w:p w14:paraId="01B96BC5">
            <w:pPr>
              <w:pStyle w:val="119"/>
              <w:widowControl/>
              <w:numPr>
                <w:ilvl w:val="0"/>
                <w:numId w:val="13"/>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支持对用户进行导入、导出。</w:t>
            </w:r>
          </w:p>
          <w:p w14:paraId="5A433708">
            <w:pPr>
              <w:pStyle w:val="119"/>
              <w:widowControl/>
              <w:numPr>
                <w:ilvl w:val="0"/>
                <w:numId w:val="13"/>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支持记录并展示用户的登录次数、最后登录时间。</w:t>
            </w:r>
          </w:p>
          <w:p w14:paraId="48168495">
            <w:pPr>
              <w:pStyle w:val="119"/>
              <w:widowControl/>
              <w:numPr>
                <w:ilvl w:val="0"/>
                <w:numId w:val="13"/>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支持对平台用户组添加、修改、删除。用户组导入、导出。</w:t>
            </w:r>
          </w:p>
        </w:tc>
      </w:tr>
      <w:tr w14:paraId="042C7A8E">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68F8CC4E">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D725ACD">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6DF1A8E7">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62A953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人员管理</w:t>
            </w:r>
          </w:p>
        </w:tc>
        <w:tc>
          <w:tcPr>
            <w:tcW w:w="3449" w:type="pct"/>
            <w:tcBorders>
              <w:top w:val="nil"/>
              <w:left w:val="nil"/>
              <w:bottom w:val="single" w:color="auto" w:sz="4" w:space="0"/>
              <w:right w:val="single" w:color="auto" w:sz="4" w:space="0"/>
            </w:tcBorders>
            <w:shd w:val="clear" w:color="auto" w:fill="auto"/>
            <w:vAlign w:val="center"/>
          </w:tcPr>
          <w:p w14:paraId="0402CE73">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支持对人员信息增加、删除、修改、导入、导出。支持查看各组织下的人员清单及人员详情。</w:t>
            </w:r>
          </w:p>
        </w:tc>
      </w:tr>
      <w:tr w14:paraId="7731A0E9">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0AC52577">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0EB2DC3">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12071F52">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8BF8B3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角色管理</w:t>
            </w:r>
          </w:p>
        </w:tc>
        <w:tc>
          <w:tcPr>
            <w:tcW w:w="3449" w:type="pct"/>
            <w:tcBorders>
              <w:top w:val="nil"/>
              <w:left w:val="nil"/>
              <w:bottom w:val="single" w:color="auto" w:sz="4" w:space="0"/>
              <w:right w:val="single" w:color="auto" w:sz="4" w:space="0"/>
            </w:tcBorders>
            <w:shd w:val="clear" w:color="auto" w:fill="auto"/>
            <w:vAlign w:val="center"/>
          </w:tcPr>
          <w:p w14:paraId="3DD5FB7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平台角色的新增、删除、配置、查询。支持对角色进行菜单、区域、组织等权限进行设置。</w:t>
            </w:r>
          </w:p>
        </w:tc>
      </w:tr>
      <w:tr w14:paraId="61FFDA16">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1E18E42F">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182D2B6F">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restart"/>
            <w:tcBorders>
              <w:top w:val="nil"/>
              <w:left w:val="nil"/>
              <w:right w:val="single" w:color="auto" w:sz="4" w:space="0"/>
            </w:tcBorders>
            <w:shd w:val="clear" w:color="auto" w:fill="auto"/>
            <w:vAlign w:val="center"/>
          </w:tcPr>
          <w:p w14:paraId="3C02E3B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门户管理</w:t>
            </w:r>
          </w:p>
        </w:tc>
        <w:tc>
          <w:tcPr>
            <w:tcW w:w="389" w:type="pct"/>
            <w:tcBorders>
              <w:top w:val="nil"/>
              <w:left w:val="nil"/>
              <w:bottom w:val="single" w:color="auto" w:sz="4" w:space="0"/>
              <w:right w:val="single" w:color="auto" w:sz="4" w:space="0"/>
            </w:tcBorders>
            <w:shd w:val="clear" w:color="auto" w:fill="auto"/>
            <w:vAlign w:val="center"/>
          </w:tcPr>
          <w:p w14:paraId="251B3FF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登录配置</w:t>
            </w:r>
          </w:p>
        </w:tc>
        <w:tc>
          <w:tcPr>
            <w:tcW w:w="3449" w:type="pct"/>
            <w:tcBorders>
              <w:top w:val="nil"/>
              <w:left w:val="nil"/>
              <w:bottom w:val="single" w:color="auto" w:sz="4" w:space="0"/>
              <w:right w:val="single" w:color="auto" w:sz="4" w:space="0"/>
            </w:tcBorders>
            <w:shd w:val="clear" w:color="auto" w:fill="auto"/>
            <w:vAlign w:val="center"/>
          </w:tcPr>
          <w:p w14:paraId="4EFCE14D">
            <w:pPr>
              <w:pStyle w:val="119"/>
              <w:widowControl/>
              <w:numPr>
                <w:ilvl w:val="0"/>
                <w:numId w:val="1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支持对登录页主题进行配置。支持对登录页进行创建、编辑、预览、删除、设为主登录。</w:t>
            </w:r>
          </w:p>
          <w:p w14:paraId="7CE46792">
            <w:pPr>
              <w:pStyle w:val="119"/>
              <w:widowControl/>
              <w:numPr>
                <w:ilvl w:val="0"/>
                <w:numId w:val="14"/>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支持对登录页logo、页面背景、前景插图、跳转插图等参数进行自定义配置。</w:t>
            </w:r>
          </w:p>
        </w:tc>
      </w:tr>
      <w:tr w14:paraId="6EA354C5">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23B3B60E">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1432FA5">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11AEC731">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A6B57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首页配置</w:t>
            </w:r>
          </w:p>
        </w:tc>
        <w:tc>
          <w:tcPr>
            <w:tcW w:w="3449" w:type="pct"/>
            <w:tcBorders>
              <w:top w:val="nil"/>
              <w:left w:val="nil"/>
              <w:bottom w:val="single" w:color="auto" w:sz="4" w:space="0"/>
              <w:right w:val="single" w:color="auto" w:sz="4" w:space="0"/>
            </w:tcBorders>
            <w:shd w:val="clear" w:color="auto" w:fill="auto"/>
            <w:vAlign w:val="center"/>
          </w:tcPr>
          <w:p w14:paraId="6BEDB151">
            <w:pPr>
              <w:pStyle w:val="119"/>
              <w:widowControl/>
              <w:numPr>
                <w:ilvl w:val="0"/>
                <w:numId w:val="15"/>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支持对首页主题进行创建、导入、配置、预览、发布。</w:t>
            </w:r>
          </w:p>
          <w:p w14:paraId="5954AD5F">
            <w:pPr>
              <w:pStyle w:val="119"/>
              <w:widowControl/>
              <w:numPr>
                <w:ilvl w:val="0"/>
                <w:numId w:val="15"/>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支持对首页名称、logo、样式进行自定义设置。</w:t>
            </w:r>
          </w:p>
        </w:tc>
      </w:tr>
      <w:tr w14:paraId="0DB9AE18">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bottom w:val="single" w:color="auto" w:sz="4" w:space="0"/>
              <w:right w:val="single" w:color="auto" w:sz="4" w:space="0"/>
            </w:tcBorders>
            <w:shd w:val="clear" w:color="auto" w:fill="auto"/>
            <w:noWrap/>
            <w:vAlign w:val="center"/>
          </w:tcPr>
          <w:p w14:paraId="465B6BDC">
            <w:pPr>
              <w:widowControl/>
              <w:spacing w:line="360" w:lineRule="auto"/>
              <w:jc w:val="center"/>
              <w:rPr>
                <w:rFonts w:asciiTheme="minorEastAsia" w:hAnsiTheme="minorEastAsia" w:eastAsiaTheme="minorEastAsia" w:cstheme="minorEastAsia"/>
                <w:color w:val="000000"/>
                <w:kern w:val="0"/>
                <w:sz w:val="22"/>
                <w:szCs w:val="22"/>
              </w:rPr>
            </w:pPr>
          </w:p>
        </w:tc>
        <w:tc>
          <w:tcPr>
            <w:tcW w:w="383" w:type="pct"/>
            <w:vMerge w:val="continue"/>
            <w:tcBorders>
              <w:left w:val="nil"/>
              <w:bottom w:val="single" w:color="auto" w:sz="4" w:space="0"/>
              <w:right w:val="single" w:color="auto" w:sz="4" w:space="0"/>
            </w:tcBorders>
            <w:shd w:val="clear" w:color="auto" w:fill="auto"/>
            <w:vAlign w:val="center"/>
          </w:tcPr>
          <w:p w14:paraId="3DC18E77">
            <w:pPr>
              <w:widowControl/>
              <w:spacing w:line="360" w:lineRule="auto"/>
              <w:jc w:val="center"/>
              <w:rPr>
                <w:rFonts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3B5413BD">
            <w:pPr>
              <w:widowControl/>
              <w:spacing w:line="360" w:lineRule="auto"/>
              <w:jc w:val="center"/>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3C4748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公告管理</w:t>
            </w:r>
          </w:p>
        </w:tc>
        <w:tc>
          <w:tcPr>
            <w:tcW w:w="3449" w:type="pct"/>
            <w:tcBorders>
              <w:top w:val="nil"/>
              <w:left w:val="nil"/>
              <w:bottom w:val="single" w:color="auto" w:sz="4" w:space="0"/>
              <w:right w:val="single" w:color="auto" w:sz="4" w:space="0"/>
            </w:tcBorders>
            <w:shd w:val="clear" w:color="auto" w:fill="auto"/>
            <w:vAlign w:val="center"/>
          </w:tcPr>
          <w:p w14:paraId="01D5286A">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支持对系统公告进行管理。包括：公告新建、预览、发布/取消发布、删除等。</w:t>
            </w:r>
          </w:p>
        </w:tc>
      </w:tr>
      <w:tr w14:paraId="199A36A5">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F54411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二</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70D730E2">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信息发布管理平台</w:t>
            </w:r>
          </w:p>
        </w:tc>
      </w:tr>
      <w:tr w14:paraId="78066E89">
        <w:tblPrEx>
          <w:tblCellMar>
            <w:top w:w="0" w:type="dxa"/>
            <w:left w:w="108" w:type="dxa"/>
            <w:bottom w:w="0" w:type="dxa"/>
            <w:right w:w="108" w:type="dxa"/>
          </w:tblCellMar>
        </w:tblPrEx>
        <w:trPr>
          <w:trHeight w:val="39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EEA619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63185A28">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12AAC08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389" w:type="pct"/>
            <w:tcBorders>
              <w:top w:val="nil"/>
              <w:left w:val="nil"/>
              <w:bottom w:val="single" w:color="auto" w:sz="4" w:space="0"/>
              <w:right w:val="single" w:color="auto" w:sz="4" w:space="0"/>
            </w:tcBorders>
            <w:shd w:val="clear" w:color="000000" w:fill="FFFFFF"/>
            <w:vAlign w:val="center"/>
          </w:tcPr>
          <w:p w14:paraId="436E8A5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内容制作</w:t>
            </w:r>
          </w:p>
        </w:tc>
        <w:tc>
          <w:tcPr>
            <w:tcW w:w="3449" w:type="pct"/>
            <w:tcBorders>
              <w:top w:val="nil"/>
              <w:left w:val="nil"/>
              <w:bottom w:val="single" w:color="auto" w:sz="4" w:space="0"/>
              <w:right w:val="single" w:color="auto" w:sz="4" w:space="0"/>
            </w:tcBorders>
            <w:shd w:val="clear" w:color="000000" w:fill="FFFFFF"/>
            <w:vAlign w:val="center"/>
          </w:tcPr>
          <w:p w14:paraId="70DCAE8A">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1.支持在节目库以缩略图方式展示节目并标识节目审核状态，点击审核状态可查看审核记录。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2.支持根据节目名称、节目类型、系统类型、屏幕类型、屏幕尺寸、审核状态、可见权限、创建时间、更新时间等条件检索节目。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3.支持添加、编辑、编辑属性信息发布节目和诱导节目。支持预览节目，可切换倍速预览和全屏预览节目。支持快捷选择屏幕设备进行紧急插播。</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4.支持创建、删除节目分组，支持对分组名称进行编辑。</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5.支持在素材库展示素材文件并标识素材审核状态，点击审核状态可查看审核记录。支持根据素材名称、素材类型、可见权限、审核状态、是否过期等条件检索素材。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6.支持预览、编辑、下载素材。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7.支持上传本地素材，配置素材可见权限、有效期等信息。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添加动态素材，设置素材类型、素材名称描述信息等，可根据素材类型设置不同素材参数，支持设置动态网页素材的网页地址，支持设置数据源素材的数据源地址，支持设置直播视频素材的直播来源（网络ipc、手动设置、监控点）、ip类型、ip地址、端口号、通道号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9.支持删除素材，支持通过回收站管理还原已删除的素材或清空回收站。</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10.支持过期素材管理，支持修改已过期素材有效期。</w:t>
            </w:r>
          </w:p>
        </w:tc>
      </w:tr>
      <w:tr w14:paraId="1F811E17">
        <w:tblPrEx>
          <w:tblCellMar>
            <w:top w:w="0" w:type="dxa"/>
            <w:left w:w="108" w:type="dxa"/>
            <w:bottom w:w="0" w:type="dxa"/>
            <w:right w:w="108" w:type="dxa"/>
          </w:tblCellMar>
        </w:tblPrEx>
        <w:trPr>
          <w:trHeight w:val="19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6A056C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continue"/>
            <w:tcBorders>
              <w:top w:val="nil"/>
              <w:left w:val="single" w:color="auto" w:sz="4" w:space="0"/>
              <w:bottom w:val="single" w:color="auto" w:sz="4" w:space="0"/>
              <w:right w:val="single" w:color="auto" w:sz="4" w:space="0"/>
            </w:tcBorders>
            <w:vAlign w:val="center"/>
          </w:tcPr>
          <w:p w14:paraId="7112E369">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B773D5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C2183F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内容发布</w:t>
            </w:r>
          </w:p>
        </w:tc>
        <w:tc>
          <w:tcPr>
            <w:tcW w:w="3449" w:type="pct"/>
            <w:tcBorders>
              <w:top w:val="nil"/>
              <w:left w:val="nil"/>
              <w:bottom w:val="single" w:color="auto" w:sz="4" w:space="0"/>
              <w:right w:val="single" w:color="auto" w:sz="4" w:space="0"/>
            </w:tcBorders>
            <w:shd w:val="clear" w:color="000000" w:fill="FFFFFF"/>
            <w:vAlign w:val="center"/>
          </w:tcPr>
          <w:p w14:paraId="5DB8372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1.支持查看任务列表，支持根据任务名称、关联设备、设备所属组织、设备所属分组、关联节目名称、任务分类、任务类型、播放模式、审核状态等条件检索任务。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创建、删除、编辑、停止常规任务，支持查看常规任务详情。支持为任务添加一个或多个播放计划，支持设置播放计划的类型（普通轮播、时段轮播），支持在播放计划里添加/删除/清空节目，支持删除播放计划。支持设置时段轮播计划的播放时间。支持配置发布设置参数，包括生效方式、下载方式，支持配置关联终端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3.支持创建追加任务。</w:t>
            </w:r>
          </w:p>
        </w:tc>
      </w:tr>
      <w:tr w14:paraId="7DE90707">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B5811A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2E5AC1D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47300C3">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EE7BFF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发布记录</w:t>
            </w:r>
          </w:p>
        </w:tc>
        <w:tc>
          <w:tcPr>
            <w:tcW w:w="3449" w:type="pct"/>
            <w:tcBorders>
              <w:top w:val="nil"/>
              <w:left w:val="nil"/>
              <w:bottom w:val="single" w:color="auto" w:sz="4" w:space="0"/>
              <w:right w:val="single" w:color="auto" w:sz="4" w:space="0"/>
            </w:tcBorders>
            <w:shd w:val="clear" w:color="000000" w:fill="FFFFFF"/>
            <w:vAlign w:val="center"/>
          </w:tcPr>
          <w:p w14:paraId="256AEA2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1.支持查看常规、追加、插播任务列表，查看各项任务发布信息和发布状态，支持重新发布和停止发布。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2.支持查看发布终端总数、发布成功数、发布失败数。</w:t>
            </w:r>
          </w:p>
        </w:tc>
      </w:tr>
      <w:tr w14:paraId="567FFC2A">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91E2CE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35E0F7EC">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64128A3">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9C351C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终端控制</w:t>
            </w:r>
          </w:p>
        </w:tc>
        <w:tc>
          <w:tcPr>
            <w:tcW w:w="3449" w:type="pct"/>
            <w:tcBorders>
              <w:top w:val="nil"/>
              <w:left w:val="nil"/>
              <w:bottom w:val="single" w:color="auto" w:sz="4" w:space="0"/>
              <w:right w:val="single" w:color="auto" w:sz="4" w:space="0"/>
            </w:tcBorders>
            <w:shd w:val="clear" w:color="000000" w:fill="FFFFFF"/>
            <w:vAlign w:val="center"/>
          </w:tcPr>
          <w:p w14:paraId="6CD9CDD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1.支持按照所属组织、所属分组展示终端列表。支持展示各设备当前播放节目的小图，支持节目截屏。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2.支持对终端开机、关机、插播、停止插播、定时开关失效等控制操作。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3.支持配置终端参数。</w:t>
            </w:r>
          </w:p>
        </w:tc>
      </w:tr>
      <w:tr w14:paraId="2FB384FA">
        <w:tblPrEx>
          <w:tblCellMar>
            <w:top w:w="0" w:type="dxa"/>
            <w:left w:w="108" w:type="dxa"/>
            <w:bottom w:w="0" w:type="dxa"/>
            <w:right w:w="108" w:type="dxa"/>
          </w:tblCellMar>
        </w:tblPrEx>
        <w:trPr>
          <w:trHeight w:val="815"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32979E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continue"/>
            <w:tcBorders>
              <w:top w:val="nil"/>
              <w:left w:val="single" w:color="auto" w:sz="4" w:space="0"/>
              <w:bottom w:val="single" w:color="auto" w:sz="4" w:space="0"/>
              <w:right w:val="single" w:color="auto" w:sz="4" w:space="0"/>
            </w:tcBorders>
            <w:vAlign w:val="center"/>
          </w:tcPr>
          <w:p w14:paraId="74A8127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01C977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CF2FFF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发布终端</w:t>
            </w:r>
          </w:p>
        </w:tc>
        <w:tc>
          <w:tcPr>
            <w:tcW w:w="3449" w:type="pct"/>
            <w:tcBorders>
              <w:top w:val="nil"/>
              <w:left w:val="nil"/>
              <w:bottom w:val="single" w:color="auto" w:sz="4" w:space="0"/>
              <w:right w:val="single" w:color="auto" w:sz="4" w:space="0"/>
            </w:tcBorders>
            <w:shd w:val="clear" w:color="000000" w:fill="FFFFFF"/>
            <w:vAlign w:val="center"/>
          </w:tcPr>
          <w:p w14:paraId="542A1F8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1.支持按照所属组织、所属分组展示终端列表，并统计呈现终端设备总数、在线设备数量、离线设备数量、在线率、离线率。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2.支持展示终端设备名称、厂商类型、屏幕类型、设备分辨率、版本号、在线状态、ip地址、激活状态等信息。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3.支持添加、删除、批量导出、批量导入设备。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4.支持在地图上控制设备。</w:t>
            </w:r>
          </w:p>
        </w:tc>
      </w:tr>
      <w:tr w14:paraId="36046ACE">
        <w:tblPrEx>
          <w:tblCellMar>
            <w:top w:w="0" w:type="dxa"/>
            <w:left w:w="108" w:type="dxa"/>
            <w:bottom w:w="0" w:type="dxa"/>
            <w:right w:w="108" w:type="dxa"/>
          </w:tblCellMar>
        </w:tblPrEx>
        <w:trPr>
          <w:trHeight w:val="132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57F5A3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continue"/>
            <w:tcBorders>
              <w:top w:val="nil"/>
              <w:left w:val="single" w:color="auto" w:sz="4" w:space="0"/>
              <w:bottom w:val="single" w:color="auto" w:sz="4" w:space="0"/>
              <w:right w:val="single" w:color="auto" w:sz="4" w:space="0"/>
            </w:tcBorders>
            <w:vAlign w:val="center"/>
          </w:tcPr>
          <w:p w14:paraId="1A08BBC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7F58844">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EA01C3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发布配置</w:t>
            </w:r>
          </w:p>
        </w:tc>
        <w:tc>
          <w:tcPr>
            <w:tcW w:w="3449" w:type="pct"/>
            <w:tcBorders>
              <w:top w:val="nil"/>
              <w:left w:val="nil"/>
              <w:bottom w:val="single" w:color="auto" w:sz="4" w:space="0"/>
              <w:right w:val="single" w:color="auto" w:sz="4" w:space="0"/>
            </w:tcBorders>
            <w:shd w:val="clear" w:color="000000" w:fill="FFFFFF"/>
            <w:vAlign w:val="center"/>
          </w:tcPr>
          <w:p w14:paraId="5B8D8CB2">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1.支持天气服务配置，开启或关闭天气服务开关。</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2.支持审核配置，支持设置审核内容、审核流程。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3.支持存储配置、NTP服务配置。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4.支持场景配置，配置诱导屏、信息发布屏。支持信息发布屏系统、屏幕类型配置。支持诱导屏厂商配置。</w:t>
            </w:r>
          </w:p>
        </w:tc>
      </w:tr>
      <w:tr w14:paraId="20DF6A48">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3EF9E6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0CFF9521">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BBFBEB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5CE75FB">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快速发布</w:t>
            </w:r>
          </w:p>
        </w:tc>
        <w:tc>
          <w:tcPr>
            <w:tcW w:w="3449" w:type="pct"/>
            <w:tcBorders>
              <w:top w:val="nil"/>
              <w:left w:val="nil"/>
              <w:bottom w:val="single" w:color="auto" w:sz="4" w:space="0"/>
              <w:right w:val="single" w:color="auto" w:sz="4" w:space="0"/>
            </w:tcBorders>
            <w:shd w:val="clear" w:color="000000" w:fill="FFFFFF"/>
            <w:vAlign w:val="center"/>
          </w:tcPr>
          <w:p w14:paraId="67FA94EE">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1.支持在一个界面内选择屏幕，编排内容，快速发布节目。</w:t>
            </w:r>
          </w:p>
        </w:tc>
      </w:tr>
      <w:tr w14:paraId="57992729">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DE0214D">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2386972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C56924D">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9B53FB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素材管理</w:t>
            </w:r>
          </w:p>
        </w:tc>
        <w:tc>
          <w:tcPr>
            <w:tcW w:w="3449" w:type="pct"/>
            <w:tcBorders>
              <w:top w:val="nil"/>
              <w:left w:val="nil"/>
              <w:bottom w:val="single" w:color="auto" w:sz="4" w:space="0"/>
              <w:right w:val="single" w:color="auto" w:sz="4" w:space="0"/>
            </w:tcBorders>
            <w:shd w:val="clear" w:color="000000" w:fill="FFFFFF"/>
            <w:vAlign w:val="center"/>
          </w:tcPr>
          <w:p w14:paraId="79474F5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1.支持添加信息发布静态素材（图片、文本、pdf、word、excel、ppt、静态网页）、动态素材（网页、视频直播、数据源）。支持对素材进行查询、编辑、删除、审核、下载、预览。素材</w:t>
            </w:r>
          </w:p>
        </w:tc>
      </w:tr>
      <w:tr w14:paraId="527E7220">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C9F7FD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6264689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71A6D67">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0A612C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节目管理</w:t>
            </w:r>
          </w:p>
        </w:tc>
        <w:tc>
          <w:tcPr>
            <w:tcW w:w="3449" w:type="pct"/>
            <w:tcBorders>
              <w:top w:val="nil"/>
              <w:left w:val="nil"/>
              <w:bottom w:val="single" w:color="auto" w:sz="4" w:space="0"/>
              <w:right w:val="single" w:color="auto" w:sz="4" w:space="0"/>
            </w:tcBorders>
            <w:shd w:val="clear" w:color="000000" w:fill="FFFFFF"/>
            <w:vAlign w:val="center"/>
          </w:tcPr>
          <w:p w14:paraId="6F59C21B">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1.支持添加节目，在窗口中创建文字、图片、网页、多媒体等。支持查询、编辑、删除、审核节目。</w:t>
            </w:r>
          </w:p>
        </w:tc>
      </w:tr>
      <w:tr w14:paraId="4D0D512A">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3B37C2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0611FEA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4F336C3">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E7E460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日程管理</w:t>
            </w:r>
          </w:p>
        </w:tc>
        <w:tc>
          <w:tcPr>
            <w:tcW w:w="3449" w:type="pct"/>
            <w:tcBorders>
              <w:top w:val="nil"/>
              <w:left w:val="nil"/>
              <w:bottom w:val="single" w:color="auto" w:sz="4" w:space="0"/>
              <w:right w:val="single" w:color="auto" w:sz="4" w:space="0"/>
            </w:tcBorders>
            <w:shd w:val="clear" w:color="000000" w:fill="FFFFFF"/>
            <w:vAlign w:val="center"/>
          </w:tcPr>
          <w:p w14:paraId="60F93B0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1.支持添加、编辑、删除、审核、查询轮播日程。</w:t>
            </w:r>
          </w:p>
        </w:tc>
      </w:tr>
      <w:tr w14:paraId="10535CA8">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FDAD1E8">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vMerge w:val="continue"/>
            <w:tcBorders>
              <w:top w:val="nil"/>
              <w:left w:val="single" w:color="auto" w:sz="4" w:space="0"/>
              <w:bottom w:val="single" w:color="auto" w:sz="4" w:space="0"/>
              <w:right w:val="single" w:color="auto" w:sz="4" w:space="0"/>
            </w:tcBorders>
            <w:vAlign w:val="center"/>
          </w:tcPr>
          <w:p w14:paraId="4DD03630">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3525B2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A855BA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审核管理</w:t>
            </w:r>
          </w:p>
        </w:tc>
        <w:tc>
          <w:tcPr>
            <w:tcW w:w="3449" w:type="pct"/>
            <w:tcBorders>
              <w:top w:val="nil"/>
              <w:left w:val="nil"/>
              <w:bottom w:val="single" w:color="auto" w:sz="4" w:space="0"/>
              <w:right w:val="single" w:color="auto" w:sz="4" w:space="0"/>
            </w:tcBorders>
            <w:shd w:val="clear" w:color="000000" w:fill="FFFFFF"/>
            <w:vAlign w:val="center"/>
          </w:tcPr>
          <w:p w14:paraId="31D43DE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1.支持单个/批量素材、节目、日程的审核。</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2.支持待审核、全部状态（待审核和已审核两种状态）的审核列表的查看。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3.支持开启批量审核、关闭批量审核。支持对待审核的内容进行批量审核。</w:t>
            </w:r>
          </w:p>
        </w:tc>
      </w:tr>
      <w:tr w14:paraId="08D0C164">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2E88534">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vMerge w:val="continue"/>
            <w:tcBorders>
              <w:top w:val="nil"/>
              <w:left w:val="single" w:color="auto" w:sz="4" w:space="0"/>
              <w:bottom w:val="single" w:color="auto" w:sz="4" w:space="0"/>
              <w:right w:val="single" w:color="auto" w:sz="4" w:space="0"/>
            </w:tcBorders>
            <w:vAlign w:val="center"/>
          </w:tcPr>
          <w:p w14:paraId="0502CBBE">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5E594F8">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89578FF">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发布管理</w:t>
            </w:r>
          </w:p>
        </w:tc>
        <w:tc>
          <w:tcPr>
            <w:tcW w:w="3449" w:type="pct"/>
            <w:tcBorders>
              <w:top w:val="nil"/>
              <w:left w:val="nil"/>
              <w:bottom w:val="single" w:color="auto" w:sz="4" w:space="0"/>
              <w:right w:val="single" w:color="auto" w:sz="4" w:space="0"/>
            </w:tcBorders>
            <w:shd w:val="clear" w:color="000000" w:fill="FFFFFF"/>
            <w:vAlign w:val="center"/>
          </w:tcPr>
          <w:p w14:paraId="2B57FE71">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1.支持选择已创建的日程、生效时间、发布终端，点击确定即可创建发布计划。支持分类查看发布列表，支持查看某条发布计划的终端详情。支持取消发布、重新发布。</w:t>
            </w:r>
          </w:p>
        </w:tc>
      </w:tr>
      <w:tr w14:paraId="784957DC">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ADB5F9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vMerge w:val="continue"/>
            <w:tcBorders>
              <w:top w:val="nil"/>
              <w:left w:val="single" w:color="auto" w:sz="4" w:space="0"/>
              <w:bottom w:val="single" w:color="auto" w:sz="4" w:space="0"/>
              <w:right w:val="single" w:color="auto" w:sz="4" w:space="0"/>
            </w:tcBorders>
            <w:vAlign w:val="center"/>
          </w:tcPr>
          <w:p w14:paraId="6B8D1017">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90B798B">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C8CEF2C">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终端监控</w:t>
            </w:r>
          </w:p>
        </w:tc>
        <w:tc>
          <w:tcPr>
            <w:tcW w:w="3449" w:type="pct"/>
            <w:tcBorders>
              <w:top w:val="nil"/>
              <w:left w:val="nil"/>
              <w:bottom w:val="single" w:color="auto" w:sz="4" w:space="0"/>
              <w:right w:val="single" w:color="auto" w:sz="4" w:space="0"/>
            </w:tcBorders>
            <w:shd w:val="clear" w:color="000000" w:fill="FFFFFF"/>
            <w:vAlign w:val="center"/>
          </w:tcPr>
          <w:p w14:paraId="4DEEC1C6">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1.支持支持诱导屏开机、关机、插播节目、取消插播、停止插播、定时开关失效等终端控制操作。支持配置诱导屏基本参数，支持设置定时开机时段，支持设置日计划。</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2.支持展示当前诱导屏播放节目，支持节目截屏。</w:t>
            </w:r>
          </w:p>
        </w:tc>
      </w:tr>
      <w:tr w14:paraId="09D61BA0">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860D59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vMerge w:val="continue"/>
            <w:tcBorders>
              <w:top w:val="nil"/>
              <w:left w:val="single" w:color="auto" w:sz="4" w:space="0"/>
              <w:bottom w:val="single" w:color="auto" w:sz="4" w:space="0"/>
              <w:right w:val="single" w:color="auto" w:sz="4" w:space="0"/>
            </w:tcBorders>
            <w:vAlign w:val="center"/>
          </w:tcPr>
          <w:p w14:paraId="677D1C0D">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6BF7330">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D53DC66">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诱导屏管理</w:t>
            </w:r>
          </w:p>
        </w:tc>
        <w:tc>
          <w:tcPr>
            <w:tcW w:w="3449" w:type="pct"/>
            <w:tcBorders>
              <w:top w:val="nil"/>
              <w:left w:val="nil"/>
              <w:bottom w:val="single" w:color="auto" w:sz="4" w:space="0"/>
              <w:right w:val="single" w:color="auto" w:sz="4" w:space="0"/>
            </w:tcBorders>
            <w:shd w:val="clear" w:color="000000" w:fill="FFFFFF"/>
            <w:vAlign w:val="center"/>
          </w:tcPr>
          <w:p w14:paraId="77661FDF">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1.支持通过录入诱导屏基本信息的方式，将诱导屏添加至平台，支持自动进行诱导屏信息同步。支持编辑、删除诱导屏。</w:t>
            </w:r>
          </w:p>
        </w:tc>
      </w:tr>
      <w:tr w14:paraId="6A614604">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7EDE4A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三</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12AF81E6">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数据集成软件平台</w:t>
            </w:r>
          </w:p>
        </w:tc>
      </w:tr>
      <w:tr w14:paraId="3CFA5BFF">
        <w:tblPrEx>
          <w:tblCellMar>
            <w:top w:w="0" w:type="dxa"/>
            <w:left w:w="108" w:type="dxa"/>
            <w:bottom w:w="0" w:type="dxa"/>
            <w:right w:w="108" w:type="dxa"/>
          </w:tblCellMar>
        </w:tblPrEx>
        <w:trPr>
          <w:trHeight w:val="2280" w:hRule="atLeast"/>
        </w:trPr>
        <w:tc>
          <w:tcPr>
            <w:tcW w:w="30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70173177">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w:t>
            </w:r>
          </w:p>
        </w:tc>
        <w:tc>
          <w:tcPr>
            <w:tcW w:w="383" w:type="pct"/>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17D1142D">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476" w:type="pct"/>
            <w:gridSpan w:val="2"/>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5E837BB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389" w:type="pct"/>
            <w:tcBorders>
              <w:top w:val="single" w:color="auto" w:sz="4" w:space="0"/>
              <w:left w:val="nil"/>
              <w:bottom w:val="single" w:color="auto" w:sz="4" w:space="0"/>
              <w:right w:val="single" w:color="auto" w:sz="4" w:space="0"/>
            </w:tcBorders>
            <w:shd w:val="clear" w:color="000000" w:fill="FFFFFF"/>
            <w:vAlign w:val="center"/>
          </w:tcPr>
          <w:p w14:paraId="7B39BB1A">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数据集成基础包</w:t>
            </w:r>
          </w:p>
        </w:tc>
        <w:tc>
          <w:tcPr>
            <w:tcW w:w="3449" w:type="pct"/>
            <w:tcBorders>
              <w:top w:val="single" w:color="auto" w:sz="4" w:space="0"/>
              <w:left w:val="nil"/>
              <w:bottom w:val="single" w:color="auto" w:sz="4" w:space="0"/>
              <w:right w:val="single" w:color="auto" w:sz="4" w:space="0"/>
            </w:tcBorders>
            <w:shd w:val="clear" w:color="000000" w:fill="FFFFFF"/>
            <w:vAlign w:val="center"/>
          </w:tcPr>
          <w:p w14:paraId="6AF7319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数据集成任务管理，包括查询、新建、修改等操作。支持按照关键字搜索和多条件组合查询任务列表，浏览任务信息，包括任务名称、运行状态、增量激活状态、策略激活时间、节点数、创建人和创建时间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2.支持按用户名、操作类型、操作状态、开始时间、结束时间等条件筛选查看操作日志。</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3.支持定义告警策略，包括数据集成任务运行异常、增量异常、数据断流、数据加载异常、插件运行异常、运行环境异常等，同时支持设置告警级别。</w:t>
            </w:r>
          </w:p>
        </w:tc>
      </w:tr>
      <w:tr w14:paraId="73708E4E">
        <w:tblPrEx>
          <w:tblCellMar>
            <w:top w:w="0" w:type="dxa"/>
            <w:left w:w="108" w:type="dxa"/>
            <w:bottom w:w="0" w:type="dxa"/>
            <w:right w:w="108" w:type="dxa"/>
          </w:tblCellMar>
        </w:tblPrEx>
        <w:trPr>
          <w:trHeight w:val="1290" w:hRule="atLeast"/>
        </w:trPr>
        <w:tc>
          <w:tcPr>
            <w:tcW w:w="303" w:type="pct"/>
            <w:gridSpan w:val="2"/>
            <w:tcBorders>
              <w:top w:val="nil"/>
              <w:left w:val="single" w:color="auto" w:sz="4" w:space="0"/>
              <w:bottom w:val="single" w:color="auto" w:sz="4" w:space="0"/>
              <w:right w:val="single" w:color="auto" w:sz="4" w:space="0"/>
            </w:tcBorders>
            <w:shd w:val="clear" w:color="000000" w:fill="FFFFFF"/>
            <w:vAlign w:val="center"/>
          </w:tcPr>
          <w:p w14:paraId="37AB291E">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w:t>
            </w:r>
          </w:p>
        </w:tc>
        <w:tc>
          <w:tcPr>
            <w:tcW w:w="383" w:type="pct"/>
            <w:vMerge w:val="continue"/>
            <w:tcBorders>
              <w:top w:val="single" w:color="auto" w:sz="4" w:space="0"/>
              <w:left w:val="single" w:color="auto" w:sz="4" w:space="0"/>
              <w:bottom w:val="single" w:color="000000" w:sz="4" w:space="0"/>
              <w:right w:val="single" w:color="auto" w:sz="4" w:space="0"/>
            </w:tcBorders>
            <w:vAlign w:val="center"/>
          </w:tcPr>
          <w:p w14:paraId="705DBC38">
            <w:pPr>
              <w:widowControl/>
              <w:spacing w:line="360" w:lineRule="auto"/>
              <w:jc w:val="left"/>
              <w:rPr>
                <w:rFonts w:asciiTheme="minorEastAsia" w:hAnsiTheme="minorEastAsia" w:eastAsiaTheme="minorEastAsia" w:cstheme="minorEastAsia"/>
                <w:kern w:val="0"/>
                <w:sz w:val="22"/>
                <w:szCs w:val="22"/>
              </w:rPr>
            </w:pPr>
          </w:p>
        </w:tc>
        <w:tc>
          <w:tcPr>
            <w:tcW w:w="476" w:type="pct"/>
            <w:gridSpan w:val="2"/>
            <w:vMerge w:val="continue"/>
            <w:tcBorders>
              <w:top w:val="single" w:color="auto" w:sz="4" w:space="0"/>
              <w:left w:val="single" w:color="auto" w:sz="4" w:space="0"/>
              <w:bottom w:val="single" w:color="000000" w:sz="4" w:space="0"/>
              <w:right w:val="single" w:color="auto" w:sz="4" w:space="0"/>
            </w:tcBorders>
            <w:vAlign w:val="center"/>
          </w:tcPr>
          <w:p w14:paraId="721107F2">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21DEC50">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视图数据级联        </w:t>
            </w:r>
          </w:p>
        </w:tc>
        <w:tc>
          <w:tcPr>
            <w:tcW w:w="3449" w:type="pct"/>
            <w:tcBorders>
              <w:top w:val="nil"/>
              <w:left w:val="nil"/>
              <w:bottom w:val="single" w:color="auto" w:sz="4" w:space="0"/>
              <w:right w:val="single" w:color="auto" w:sz="4" w:space="0"/>
            </w:tcBorders>
            <w:shd w:val="clear" w:color="000000" w:fill="FFFFFF"/>
            <w:vAlign w:val="center"/>
          </w:tcPr>
          <w:p w14:paraId="4418FEF8">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1.支持通过GA/T 1400及扩展协议级联人体、人脸、车辆、设备、车辆违法、非机动车等数据。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2.支持上下级视图库进行注册、保活，支持查看上下级在线情况。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3.支持订阅、取消订阅和修改订阅时间。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4.支持多个下级视图库的联网接入。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5.支持联网接入多个上级视图库。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6.支持设置人脸、人体、车辆、非机动车、违法过车等数据的过滤和填充规则，下级视图库根据规则将数据级联到上级视图库。</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 7.支持以采集接口方式接收下级推送的采集设备，人脸采集数据，车辆采集数据和人体采集数据。</w:t>
            </w:r>
          </w:p>
        </w:tc>
      </w:tr>
      <w:tr w14:paraId="258EEA3B">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1CD2D9E">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四</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6CFAD724">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交通综合管控平台</w:t>
            </w:r>
          </w:p>
        </w:tc>
      </w:tr>
      <w:tr w14:paraId="39385F72">
        <w:tblPrEx>
          <w:tblCellMar>
            <w:top w:w="0" w:type="dxa"/>
            <w:left w:w="108" w:type="dxa"/>
            <w:bottom w:w="0" w:type="dxa"/>
            <w:right w:w="108" w:type="dxa"/>
          </w:tblCellMar>
        </w:tblPrEx>
        <w:trPr>
          <w:trHeight w:val="330" w:hRule="atLeast"/>
        </w:trPr>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17167671">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w:t>
            </w:r>
          </w:p>
        </w:tc>
        <w:tc>
          <w:tcPr>
            <w:tcW w:w="542" w:type="pct"/>
            <w:gridSpan w:val="3"/>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16A873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交通综合管控平台</w:t>
            </w:r>
          </w:p>
        </w:tc>
        <w:tc>
          <w:tcPr>
            <w:tcW w:w="45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F7990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系统管理</w:t>
            </w:r>
          </w:p>
        </w:tc>
        <w:tc>
          <w:tcPr>
            <w:tcW w:w="389" w:type="pct"/>
            <w:tcBorders>
              <w:top w:val="single" w:color="auto" w:sz="4" w:space="0"/>
              <w:left w:val="nil"/>
              <w:bottom w:val="single" w:color="auto" w:sz="4" w:space="0"/>
              <w:right w:val="single" w:color="auto" w:sz="4" w:space="0"/>
            </w:tcBorders>
            <w:shd w:val="clear" w:color="auto" w:fill="auto"/>
            <w:vAlign w:val="center"/>
          </w:tcPr>
          <w:p w14:paraId="68245C5A">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部门管理</w:t>
            </w:r>
          </w:p>
        </w:tc>
        <w:tc>
          <w:tcPr>
            <w:tcW w:w="3449" w:type="pct"/>
            <w:tcBorders>
              <w:top w:val="single" w:color="auto" w:sz="4" w:space="0"/>
              <w:left w:val="nil"/>
              <w:bottom w:val="single" w:color="auto" w:sz="4" w:space="0"/>
              <w:right w:val="single" w:color="auto" w:sz="4" w:space="0"/>
            </w:tcBorders>
            <w:shd w:val="clear" w:color="auto" w:fill="auto"/>
            <w:vAlign w:val="center"/>
          </w:tcPr>
          <w:p w14:paraId="759FF5F5">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支持组织的新增、编辑、移动、批量添加和导入导出</w:t>
            </w:r>
          </w:p>
        </w:tc>
      </w:tr>
      <w:tr w14:paraId="3890C99D">
        <w:tblPrEx>
          <w:tblCellMar>
            <w:top w:w="0" w:type="dxa"/>
            <w:left w:w="108" w:type="dxa"/>
            <w:bottom w:w="0" w:type="dxa"/>
            <w:right w:w="108" w:type="dxa"/>
          </w:tblCellMar>
        </w:tblPrEx>
        <w:trPr>
          <w:trHeight w:val="16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59FC41B">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F0DEBEC">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1D04644E">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1CF07D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权限管理</w:t>
            </w:r>
          </w:p>
        </w:tc>
        <w:tc>
          <w:tcPr>
            <w:tcW w:w="3449" w:type="pct"/>
            <w:tcBorders>
              <w:top w:val="nil"/>
              <w:left w:val="nil"/>
              <w:bottom w:val="single" w:color="auto" w:sz="4" w:space="0"/>
              <w:right w:val="single" w:color="auto" w:sz="4" w:space="0"/>
            </w:tcBorders>
            <w:shd w:val="clear" w:color="auto" w:fill="auto"/>
            <w:vAlign w:val="center"/>
          </w:tcPr>
          <w:p w14:paraId="27550F8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1、支持查看角色列表；</w:t>
            </w:r>
          </w:p>
          <w:p w14:paraId="0DC40CAC">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2、支持角色的删除、启用、禁用、克隆以及分配；</w:t>
            </w:r>
          </w:p>
          <w:p w14:paraId="607041B9">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3、支持在应用中心以及系统管理中分别添加/编辑角色基本信息，其中角色名称必填；</w:t>
            </w:r>
          </w:p>
          <w:p w14:paraId="5F877A17">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4、支持系统管理中的管理角色配置用户权限管理各菜单或者功能项</w:t>
            </w:r>
          </w:p>
        </w:tc>
      </w:tr>
      <w:tr w14:paraId="26B40B48">
        <w:tblPrEx>
          <w:tblCellMar>
            <w:top w:w="0" w:type="dxa"/>
            <w:left w:w="108" w:type="dxa"/>
            <w:bottom w:w="0" w:type="dxa"/>
            <w:right w:w="108" w:type="dxa"/>
          </w:tblCellMar>
        </w:tblPrEx>
        <w:trPr>
          <w:trHeight w:val="56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A0463C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194BD4D">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B5A2663">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30EF6A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目录管理</w:t>
            </w:r>
          </w:p>
        </w:tc>
        <w:tc>
          <w:tcPr>
            <w:tcW w:w="3449" w:type="pct"/>
            <w:tcBorders>
              <w:top w:val="nil"/>
              <w:left w:val="nil"/>
              <w:bottom w:val="single" w:color="auto" w:sz="4" w:space="0"/>
              <w:right w:val="single" w:color="auto" w:sz="4" w:space="0"/>
            </w:tcBorders>
            <w:shd w:val="clear" w:color="auto" w:fill="auto"/>
            <w:vAlign w:val="center"/>
          </w:tcPr>
          <w:p w14:paraId="120C37C6">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支持查看目录的名称信息，并支持修改选定目录的名称;</w:t>
            </w:r>
          </w:p>
          <w:p w14:paraId="60C68D67">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5FA84B13">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支持在选定目录下新建、删除、编辑次级国标区域或自定义区域；新建国标区域时默认创建其上级区域</w:t>
            </w:r>
          </w:p>
          <w:p w14:paraId="37607D3E">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支持根据模板批量导入基础目录及基层单位</w:t>
            </w:r>
          </w:p>
          <w:p w14:paraId="33CC7EE6">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支持基础目录数据导出</w:t>
            </w:r>
          </w:p>
          <w:p w14:paraId="703387D3">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5B2EE876">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支持自定义新建及修改目录的名称、关联资源类型、关联目录标识;</w:t>
            </w:r>
          </w:p>
          <w:p w14:paraId="4A45059F">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2BA174F9">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支持将创建的目录关联到特定应用中，使得该目录树可在所选关联应用中使用;</w:t>
            </w:r>
          </w:p>
          <w:p w14:paraId="6CCBC2E2">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支持查看目录的名称、关联资源类型及关联树标识等属性信息;</w:t>
            </w:r>
          </w:p>
          <w:p w14:paraId="00587361">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支持在选定目录下新建、删除、编辑次级区域;</w:t>
            </w:r>
          </w:p>
          <w:p w14:paraId="7DED0BF8">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自定义目录中区域编码长度要求20位</w:t>
            </w:r>
          </w:p>
          <w:p w14:paraId="48899080">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6708F7E1">
            <w:pPr>
              <w:pStyle w:val="119"/>
              <w:widowControl/>
              <w:numPr>
                <w:ilvl w:val="0"/>
                <w:numId w:val="16"/>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支持修改区域名称、区域编号及添加区域标签</w:t>
            </w:r>
          </w:p>
        </w:tc>
      </w:tr>
      <w:tr w14:paraId="39211D90">
        <w:tblPrEx>
          <w:tblCellMar>
            <w:top w:w="0" w:type="dxa"/>
            <w:left w:w="108" w:type="dxa"/>
            <w:bottom w:w="0" w:type="dxa"/>
            <w:right w:w="108" w:type="dxa"/>
          </w:tblCellMar>
        </w:tblPrEx>
        <w:trPr>
          <w:trHeight w:val="208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DB7DA74">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FD7D00F">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5CD0E94">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2A5F1C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门户管理</w:t>
            </w:r>
          </w:p>
        </w:tc>
        <w:tc>
          <w:tcPr>
            <w:tcW w:w="3449" w:type="pct"/>
            <w:tcBorders>
              <w:top w:val="nil"/>
              <w:left w:val="nil"/>
              <w:bottom w:val="single" w:color="auto" w:sz="4" w:space="0"/>
              <w:right w:val="single" w:color="auto" w:sz="4" w:space="0"/>
            </w:tcBorders>
            <w:shd w:val="clear" w:color="auto" w:fill="auto"/>
            <w:vAlign w:val="center"/>
          </w:tcPr>
          <w:p w14:paraId="6F7BD5DF">
            <w:pPr>
              <w:pStyle w:val="119"/>
              <w:widowControl/>
              <w:numPr>
                <w:ilvl w:val="0"/>
                <w:numId w:val="1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支持用户将个人常用的应用菜单加入到快捷入口栏中，方便用户快速打开相关常用应用；快捷入口支持拖动排序，支持鼠标悬停分类展示系统菜单，并支持快速打开对应应用。</w:t>
            </w:r>
          </w:p>
          <w:p w14:paraId="34DCA7AB">
            <w:pPr>
              <w:pStyle w:val="119"/>
              <w:widowControl/>
              <w:numPr>
                <w:ilvl w:val="0"/>
                <w:numId w:val="1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支持下载使用系统所需要的插件，包括平台播放器、上传工具、标注工具、报警助手、登录助手、下载器、截图工具等。</w:t>
            </w:r>
          </w:p>
          <w:p w14:paraId="10EBB6A8">
            <w:pPr>
              <w:pStyle w:val="119"/>
              <w:widowControl/>
              <w:numPr>
                <w:ilvl w:val="0"/>
                <w:numId w:val="1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显示系统名称、型号、版本、授权信息等信息</w:t>
            </w:r>
          </w:p>
          <w:p w14:paraId="28140F55">
            <w:pPr>
              <w:pStyle w:val="119"/>
              <w:widowControl/>
              <w:numPr>
                <w:ilvl w:val="0"/>
                <w:numId w:val="1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支持显示系统帮助文档</w:t>
            </w:r>
          </w:p>
          <w:p w14:paraId="25D42498">
            <w:pPr>
              <w:pStyle w:val="119"/>
              <w:widowControl/>
              <w:numPr>
                <w:ilvl w:val="0"/>
                <w:numId w:val="17"/>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支持首页的菜单按照分类或者平铺的方式展示</w:t>
            </w:r>
          </w:p>
        </w:tc>
      </w:tr>
      <w:tr w14:paraId="60534983">
        <w:tblPrEx>
          <w:tblCellMar>
            <w:top w:w="0" w:type="dxa"/>
            <w:left w:w="108" w:type="dxa"/>
            <w:bottom w:w="0" w:type="dxa"/>
            <w:right w:w="108" w:type="dxa"/>
          </w:tblCellMar>
        </w:tblPrEx>
        <w:trPr>
          <w:trHeight w:val="297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F553F09">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869D032">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5595A8C8">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AE94C0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通道管理</w:t>
            </w:r>
          </w:p>
        </w:tc>
        <w:tc>
          <w:tcPr>
            <w:tcW w:w="3449" w:type="pct"/>
            <w:tcBorders>
              <w:top w:val="nil"/>
              <w:left w:val="nil"/>
              <w:bottom w:val="single" w:color="auto" w:sz="4" w:space="0"/>
              <w:right w:val="single" w:color="auto" w:sz="4" w:space="0"/>
            </w:tcBorders>
            <w:shd w:val="clear" w:color="auto" w:fill="auto"/>
            <w:vAlign w:val="center"/>
          </w:tcPr>
          <w:p w14:paraId="210F669A">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支持批量添加选中区域及其上级区域的编码设备中的监控点</w:t>
            </w:r>
          </w:p>
          <w:p w14:paraId="0F232D4F">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支持通过导入导出经纬度功能，批量修改监控点经纬度信息</w:t>
            </w:r>
          </w:p>
          <w:p w14:paraId="6C9103BC">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支持批量更改监控点所属区域及批量删除监控点，支持修改监控点排序，支持根据名称或ip模糊搜索监控点</w:t>
            </w:r>
          </w:p>
          <w:p w14:paraId="0CB17E31">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支持列表展示选中区域下的监控点信息，包括监控点名称、传输协议、所属设备、IP地址、端口及通道号等</w:t>
            </w:r>
          </w:p>
          <w:p w14:paraId="003F3200">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支持查看、编辑监控点基本信息、能力集信息、音视频信息及类型信息，支持针对监控点添加标签</w:t>
            </w:r>
          </w:p>
          <w:p w14:paraId="32735D47">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支持手动输入经纬度信息或地图定位方式标注监控点位置</w:t>
            </w:r>
          </w:p>
          <w:p w14:paraId="2AB5EC7D">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支持级联点位标签设置</w:t>
            </w:r>
          </w:p>
          <w:p w14:paraId="3CA6DEA6">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支持osd信息叠加配置，支持osd全局配置，包括监控点名称、时间的显示隐藏，以及位置配置。</w:t>
            </w:r>
          </w:p>
          <w:p w14:paraId="2C14E723">
            <w:pPr>
              <w:pStyle w:val="119"/>
              <w:widowControl/>
              <w:numPr>
                <w:ilvl w:val="0"/>
                <w:numId w:val="18"/>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系统支持展示已添加点位的通道信息，支持按通道名称、所属设备、IP地址、电围编号等进行查询。</w:t>
            </w:r>
          </w:p>
        </w:tc>
      </w:tr>
      <w:tr w14:paraId="380CD173">
        <w:tblPrEx>
          <w:tblCellMar>
            <w:top w:w="0" w:type="dxa"/>
            <w:left w:w="108" w:type="dxa"/>
            <w:bottom w:w="0" w:type="dxa"/>
            <w:right w:w="108" w:type="dxa"/>
          </w:tblCellMar>
        </w:tblPrEx>
        <w:trPr>
          <w:trHeight w:val="38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EDA6DC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28DB5A7">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E1B11D7">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D626934">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卡口管理</w:t>
            </w:r>
          </w:p>
        </w:tc>
        <w:tc>
          <w:tcPr>
            <w:tcW w:w="3449" w:type="pct"/>
            <w:tcBorders>
              <w:top w:val="nil"/>
              <w:left w:val="nil"/>
              <w:bottom w:val="single" w:color="auto" w:sz="4" w:space="0"/>
              <w:right w:val="single" w:color="auto" w:sz="4" w:space="0"/>
            </w:tcBorders>
            <w:shd w:val="clear" w:color="auto" w:fill="auto"/>
            <w:vAlign w:val="center"/>
          </w:tcPr>
          <w:p w14:paraId="048B5E4B">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支持列表展示所选区域下的卡口信息，包括所属区域、卡口编号、使用类型、前端类型、出入城类型、级联状态、经纬度、治理状态及车道数等信息</w:t>
            </w:r>
          </w:p>
          <w:p w14:paraId="6E95B4B1">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支持添加卡口，并支持编辑卡口基本信息，支持针对卡口添加标签</w:t>
            </w:r>
          </w:p>
          <w:p w14:paraId="6FCE6246">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支持从所选择区域及其上级区域监控点中添加抓拍通道信息</w:t>
            </w:r>
          </w:p>
          <w:p w14:paraId="6ADCD4B9">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支持手动输入卡口经纬度信息或通过地图定位方式标注卡口位置</w:t>
            </w:r>
          </w:p>
          <w:p w14:paraId="429A76A9">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支持配置卡口车道信息，包括车道方向、名称以及城际卡口出入城方向标识</w:t>
            </w:r>
          </w:p>
          <w:p w14:paraId="7C220279">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支持卡口数据导入导出及城际卡口信息下发</w:t>
            </w:r>
          </w:p>
          <w:p w14:paraId="1400A594">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支持批量删除卡口</w:t>
            </w:r>
          </w:p>
          <w:p w14:paraId="08C28CD2">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城际卡口下发支持出入城下发</w:t>
            </w:r>
          </w:p>
          <w:p w14:paraId="48D662C4">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支持卡口自定义扩展卡口属性、方向属性、车道属性、卡口前端类型、车道关联的资源类型</w:t>
            </w:r>
          </w:p>
          <w:p w14:paraId="1BCE6B91">
            <w:pPr>
              <w:pStyle w:val="119"/>
              <w:widowControl/>
              <w:numPr>
                <w:ilvl w:val="0"/>
                <w:numId w:val="19"/>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支持方向车道模板配置</w:t>
            </w:r>
          </w:p>
        </w:tc>
      </w:tr>
      <w:tr w14:paraId="74B3B32A">
        <w:tblPrEx>
          <w:tblCellMar>
            <w:top w:w="0" w:type="dxa"/>
            <w:left w:w="108" w:type="dxa"/>
            <w:bottom w:w="0" w:type="dxa"/>
            <w:right w:w="108" w:type="dxa"/>
          </w:tblCellMar>
        </w:tblPrEx>
        <w:trPr>
          <w:trHeight w:val="3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0C0E817">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770A3D5">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060FB864">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1DD205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设备管理</w:t>
            </w:r>
          </w:p>
        </w:tc>
        <w:tc>
          <w:tcPr>
            <w:tcW w:w="3449" w:type="pct"/>
            <w:tcBorders>
              <w:top w:val="nil"/>
              <w:left w:val="nil"/>
              <w:bottom w:val="single" w:color="auto" w:sz="4" w:space="0"/>
              <w:right w:val="single" w:color="auto" w:sz="4" w:space="0"/>
            </w:tcBorders>
            <w:shd w:val="clear" w:color="auto" w:fill="auto"/>
            <w:vAlign w:val="center"/>
          </w:tcPr>
          <w:p w14:paraId="032EB15A">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支持依据模板批量导入编码设备，及编码设备数据导出</w:t>
            </w:r>
          </w:p>
          <w:p w14:paraId="2574C2EF">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支持编辑及同步编码设备信息</w:t>
            </w:r>
          </w:p>
          <w:p w14:paraId="36D5EEDC">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支持在选定区域下手动添加编码设备，支持单IP添加、IP段添加、单编号添加及编号段添加等多种方式</w:t>
            </w:r>
          </w:p>
          <w:p w14:paraId="19769D23">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支持针对编码设备添加标签</w:t>
            </w:r>
          </w:p>
          <w:p w14:paraId="307E498B">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支持列表展示选中区域下的编码设备信息，包括所属区域、设备接入协议、设备编号、设备型号、IP地址及端口号、密码强度、视频通道数、报警通道数、能力集状态、数据接入协议、数据接入协议状态</w:t>
            </w:r>
          </w:p>
          <w:p w14:paraId="430FEE8A">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提供编码设备的增、删、改接口，支持批量操作  </w:t>
            </w:r>
          </w:p>
          <w:p w14:paraId="07F5ECE7">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支持厂商和设备接入协议联动</w:t>
            </w:r>
          </w:p>
          <w:p w14:paraId="6F115C73">
            <w:pPr>
              <w:pStyle w:val="119"/>
              <w:widowControl/>
              <w:numPr>
                <w:ilvl w:val="0"/>
                <w:numId w:val="20"/>
              </w:numPr>
              <w:spacing w:line="360" w:lineRule="auto"/>
              <w:ind w:firstLineChars="0"/>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支持数据接入协议配置</w:t>
            </w:r>
          </w:p>
        </w:tc>
      </w:tr>
      <w:tr w14:paraId="7E48ADFD">
        <w:tblPrEx>
          <w:tblCellMar>
            <w:top w:w="0" w:type="dxa"/>
            <w:left w:w="108" w:type="dxa"/>
            <w:bottom w:w="0" w:type="dxa"/>
            <w:right w:w="108" w:type="dxa"/>
          </w:tblCellMar>
        </w:tblPrEx>
        <w:trPr>
          <w:trHeight w:val="22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2AFAD4E">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AA55A7C">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70287DD0">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50FA4C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76578CCD">
            <w:pPr>
              <w:widowControl/>
              <w:spacing w:line="360" w:lineRule="auto"/>
              <w:jc w:val="lef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1.支持新增、启用、停用用户；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2.支持充重置密码支持；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3.支持查看用户列表以及其列表下用户信息；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4.支持单个或批量启用或禁用用户；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5.支持导入、导出用户信息；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6.支持编辑用户身份、权限以及登录认证信息；</w:t>
            </w:r>
          </w:p>
        </w:tc>
      </w:tr>
      <w:tr w14:paraId="158BB5E3">
        <w:tblPrEx>
          <w:tblCellMar>
            <w:top w:w="0" w:type="dxa"/>
            <w:left w:w="108" w:type="dxa"/>
            <w:bottom w:w="0" w:type="dxa"/>
            <w:right w:w="108" w:type="dxa"/>
          </w:tblCellMar>
        </w:tblPrEx>
        <w:trPr>
          <w:trHeight w:val="977"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79224D4">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E59412A">
            <w:pPr>
              <w:widowControl/>
              <w:spacing w:line="360" w:lineRule="auto"/>
              <w:jc w:val="left"/>
              <w:rPr>
                <w:rFonts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1FCB51B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89" w:type="pct"/>
            <w:tcBorders>
              <w:top w:val="nil"/>
              <w:left w:val="nil"/>
              <w:bottom w:val="single" w:color="auto" w:sz="4" w:space="0"/>
              <w:right w:val="single" w:color="auto" w:sz="4" w:space="0"/>
            </w:tcBorders>
            <w:shd w:val="clear" w:color="auto" w:fill="auto"/>
            <w:vAlign w:val="center"/>
          </w:tcPr>
          <w:p w14:paraId="6DA58DFC">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449" w:type="pct"/>
            <w:tcBorders>
              <w:top w:val="nil"/>
              <w:left w:val="nil"/>
              <w:bottom w:val="single" w:color="auto" w:sz="4" w:space="0"/>
              <w:right w:val="single" w:color="auto" w:sz="4" w:space="0"/>
            </w:tcBorders>
            <w:shd w:val="clear" w:color="auto" w:fill="auto"/>
            <w:vAlign w:val="center"/>
          </w:tcPr>
          <w:p w14:paraId="3E8903F1">
            <w:pPr>
              <w:pStyle w:val="119"/>
              <w:widowControl/>
              <w:numPr>
                <w:ilvl w:val="0"/>
                <w:numId w:val="2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为视频监控业务提供级联服务，在平台间进行视频联网，基于视频通用标准协议（GB/T28181-2011,GB/T28181-2016,GB/T28181-2022）与外域平台互联互通，实现上级平台对下级平台视频资源点位的操作控制。</w:t>
            </w:r>
          </w:p>
          <w:p w14:paraId="68EB326B">
            <w:pPr>
              <w:pStyle w:val="119"/>
              <w:widowControl/>
              <w:numPr>
                <w:ilvl w:val="0"/>
                <w:numId w:val="2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支持视频级联预览；</w:t>
            </w:r>
          </w:p>
          <w:p w14:paraId="2AED2AFE">
            <w:pPr>
              <w:pStyle w:val="119"/>
              <w:widowControl/>
              <w:numPr>
                <w:ilvl w:val="0"/>
                <w:numId w:val="2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支持视频录像级联回放；</w:t>
            </w:r>
          </w:p>
          <w:p w14:paraId="7803E9E6">
            <w:pPr>
              <w:pStyle w:val="119"/>
              <w:widowControl/>
              <w:numPr>
                <w:ilvl w:val="0"/>
                <w:numId w:val="2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支持对级联点位进行录像检查；</w:t>
            </w:r>
          </w:p>
          <w:p w14:paraId="65836888">
            <w:pPr>
              <w:pStyle w:val="119"/>
              <w:widowControl/>
              <w:numPr>
                <w:ilvl w:val="0"/>
                <w:numId w:val="2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支持诊断图片查看、本级及级联点位图像重巡；</w:t>
            </w:r>
          </w:p>
          <w:p w14:paraId="3E3DAEA2">
            <w:pPr>
              <w:pStyle w:val="119"/>
              <w:widowControl/>
              <w:numPr>
                <w:ilvl w:val="0"/>
                <w:numId w:val="21"/>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支持级联点位巡检配置VQD图片存储配置。</w:t>
            </w:r>
          </w:p>
        </w:tc>
      </w:tr>
      <w:tr w14:paraId="66F71D25">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E767869">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CB0ACCE">
            <w:pPr>
              <w:widowControl/>
              <w:spacing w:line="360" w:lineRule="auto"/>
              <w:jc w:val="left"/>
              <w:rPr>
                <w:rFonts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52BF0E1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89" w:type="pct"/>
            <w:tcBorders>
              <w:top w:val="nil"/>
              <w:left w:val="nil"/>
              <w:bottom w:val="single" w:color="auto" w:sz="4" w:space="0"/>
              <w:right w:val="single" w:color="auto" w:sz="4" w:space="0"/>
            </w:tcBorders>
            <w:shd w:val="clear" w:color="auto" w:fill="auto"/>
            <w:vAlign w:val="center"/>
          </w:tcPr>
          <w:p w14:paraId="67067E32">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云台控制</w:t>
            </w:r>
          </w:p>
        </w:tc>
        <w:tc>
          <w:tcPr>
            <w:tcW w:w="3449" w:type="pct"/>
            <w:tcBorders>
              <w:top w:val="nil"/>
              <w:left w:val="nil"/>
              <w:bottom w:val="single" w:color="auto" w:sz="4" w:space="0"/>
              <w:right w:val="single" w:color="auto" w:sz="4" w:space="0"/>
            </w:tcBorders>
            <w:shd w:val="clear" w:color="auto" w:fill="auto"/>
            <w:vAlign w:val="center"/>
          </w:tcPr>
          <w:p w14:paraId="0AB7F29E">
            <w:pPr>
              <w:pStyle w:val="119"/>
              <w:widowControl/>
              <w:numPr>
                <w:ilvl w:val="0"/>
                <w:numId w:val="2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支持实时视频云台控制及水平扫描，可以在视频上直接控制。支持八方向转动：上、下、左、右、左上、左下、右上、右下</w:t>
            </w:r>
          </w:p>
          <w:p w14:paraId="514264F3">
            <w:pPr>
              <w:pStyle w:val="119"/>
              <w:widowControl/>
              <w:numPr>
                <w:ilvl w:val="0"/>
                <w:numId w:val="2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支持设置云台转动速度；支持焦距放大缩小；支持聚焦控制；支持光圈扩大缩小；支持一键对焦；支持打开灯光；支持打开雨刮器；支持云台重置</w:t>
            </w:r>
          </w:p>
          <w:p w14:paraId="355BDCA6">
            <w:pPr>
              <w:pStyle w:val="119"/>
              <w:widowControl/>
              <w:numPr>
                <w:ilvl w:val="0"/>
                <w:numId w:val="2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支持高权限用户抢占云台控制权限，并支持云台锁定，可设置云台锁定时长</w:t>
            </w:r>
          </w:p>
          <w:p w14:paraId="1197EC2D">
            <w:pPr>
              <w:pStyle w:val="119"/>
              <w:widowControl/>
              <w:numPr>
                <w:ilvl w:val="0"/>
                <w:numId w:val="2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支持设置、修改及快速选择预置点</w:t>
            </w:r>
          </w:p>
          <w:p w14:paraId="4B8FCA2F">
            <w:pPr>
              <w:pStyle w:val="119"/>
              <w:widowControl/>
              <w:numPr>
                <w:ilvl w:val="0"/>
                <w:numId w:val="2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支持设置、修改及快速选择云台巡航</w:t>
            </w:r>
          </w:p>
          <w:p w14:paraId="758A674D">
            <w:pPr>
              <w:pStyle w:val="119"/>
              <w:widowControl/>
              <w:numPr>
                <w:ilvl w:val="0"/>
                <w:numId w:val="2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支持云台控制叠加osd配置</w:t>
            </w:r>
          </w:p>
          <w:p w14:paraId="09D06CE5">
            <w:pPr>
              <w:pStyle w:val="119"/>
              <w:widowControl/>
              <w:numPr>
                <w:ilvl w:val="0"/>
                <w:numId w:val="22"/>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支持录制及调用云台轨迹</w:t>
            </w:r>
          </w:p>
        </w:tc>
      </w:tr>
      <w:tr w14:paraId="0F12C0CA">
        <w:tblPrEx>
          <w:tblCellMar>
            <w:top w:w="0" w:type="dxa"/>
            <w:left w:w="108" w:type="dxa"/>
            <w:bottom w:w="0" w:type="dxa"/>
            <w:right w:w="108" w:type="dxa"/>
          </w:tblCellMar>
        </w:tblPrEx>
        <w:trPr>
          <w:trHeight w:val="1837"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1AEBFBA">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4577CE21">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7923BBD5">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08C3222">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视频预览</w:t>
            </w:r>
          </w:p>
        </w:tc>
        <w:tc>
          <w:tcPr>
            <w:tcW w:w="3449" w:type="pct"/>
            <w:tcBorders>
              <w:top w:val="nil"/>
              <w:left w:val="nil"/>
              <w:bottom w:val="single" w:color="auto" w:sz="4" w:space="0"/>
              <w:right w:val="single" w:color="auto" w:sz="4" w:space="0"/>
            </w:tcBorders>
            <w:shd w:val="clear" w:color="auto" w:fill="auto"/>
            <w:vAlign w:val="center"/>
          </w:tcPr>
          <w:p w14:paraId="4797DD20">
            <w:pPr>
              <w:pStyle w:val="119"/>
              <w:widowControl/>
              <w:numPr>
                <w:ilvl w:val="0"/>
                <w:numId w:val="2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支持即时回放功能，即时回放过程中支持控制回放时间及画面，支持针对即时回放画面进行抓图、回放、视频增强、打开声音、对讲、录像保存、播放暂停、单帧倒退及单帧前进</w:t>
            </w:r>
          </w:p>
          <w:p w14:paraId="7E4D9C57">
            <w:pPr>
              <w:pStyle w:val="119"/>
              <w:widowControl/>
              <w:numPr>
                <w:ilvl w:val="0"/>
                <w:numId w:val="2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支持开启多屏，开启后新增一个多屏预览窗口，可进行一机双屏操作</w:t>
            </w:r>
          </w:p>
          <w:p w14:paraId="303FFE6E">
            <w:pPr>
              <w:pStyle w:val="119"/>
              <w:widowControl/>
              <w:numPr>
                <w:ilvl w:val="0"/>
                <w:numId w:val="2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支持切换画面为1、4、9、16、25、1+5、3+4、1+7、1+9、2+8、1+12、4+9、1+1+12、1+16及自定义屏幕分屏，支持画面以4:3或16:9展示，支持全屏播放</w:t>
            </w:r>
          </w:p>
          <w:p w14:paraId="635D5A89">
            <w:pPr>
              <w:pStyle w:val="119"/>
              <w:widowControl/>
              <w:numPr>
                <w:ilvl w:val="0"/>
                <w:numId w:val="2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支持组播预览</w:t>
            </w:r>
          </w:p>
          <w:p w14:paraId="686F48D1">
            <w:pPr>
              <w:pStyle w:val="119"/>
              <w:widowControl/>
              <w:numPr>
                <w:ilvl w:val="0"/>
                <w:numId w:val="23"/>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支持按权限控制播放声音，有权限的才能有声音</w:t>
            </w:r>
          </w:p>
        </w:tc>
      </w:tr>
      <w:tr w14:paraId="1F7A4979">
        <w:tblPrEx>
          <w:tblCellMar>
            <w:top w:w="0" w:type="dxa"/>
            <w:left w:w="108" w:type="dxa"/>
            <w:bottom w:w="0" w:type="dxa"/>
            <w:right w:w="108" w:type="dxa"/>
          </w:tblCellMar>
        </w:tblPrEx>
        <w:trPr>
          <w:trHeight w:val="843"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1445023">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4C5CCE7">
            <w:pPr>
              <w:widowControl/>
              <w:spacing w:line="360" w:lineRule="auto"/>
              <w:jc w:val="left"/>
              <w:rPr>
                <w:rFonts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1CF5985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89" w:type="pct"/>
            <w:tcBorders>
              <w:top w:val="nil"/>
              <w:left w:val="nil"/>
              <w:bottom w:val="single" w:color="auto" w:sz="4" w:space="0"/>
              <w:right w:val="single" w:color="auto" w:sz="4" w:space="0"/>
            </w:tcBorders>
            <w:shd w:val="clear" w:color="auto" w:fill="auto"/>
            <w:vAlign w:val="center"/>
          </w:tcPr>
          <w:p w14:paraId="11F59073">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449" w:type="pct"/>
            <w:tcBorders>
              <w:top w:val="nil"/>
              <w:left w:val="nil"/>
              <w:bottom w:val="single" w:color="auto" w:sz="4" w:space="0"/>
              <w:right w:val="single" w:color="auto" w:sz="4" w:space="0"/>
            </w:tcBorders>
            <w:shd w:val="clear" w:color="auto" w:fill="auto"/>
            <w:vAlign w:val="center"/>
          </w:tcPr>
          <w:p w14:paraId="19991133">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支持多机部署，即不同服务器上分别安装一个电视墙服务，在电视墙客户端上支持用户选择要操作的电视墙服务并且支持选择不同解码器添加到不同服务上</w:t>
            </w:r>
          </w:p>
          <w:p w14:paraId="6AE680FC">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支持电视墙预览轮巡，并支持进行轮巡播放控制（暂停/启用所有轮巡，执行轮巡上/下一页等）</w:t>
            </w:r>
          </w:p>
          <w:p w14:paraId="4515A112">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支持桌面上墙功能，即客户端所在 PC 机的系统桌面上墙至窗口上显示</w:t>
            </w:r>
          </w:p>
          <w:p w14:paraId="61F1596F">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支持配置模拟通道监控点实时监控画面上墙</w:t>
            </w:r>
          </w:p>
          <w:p w14:paraId="7827FE4F">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支持模糊搜索监控点位</w:t>
            </w:r>
          </w:p>
          <w:p w14:paraId="31A36CAD">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支持根据电视墙名称、电视墙类型添加LCD电视墙，支持框选电视墙规格</w:t>
            </w:r>
          </w:p>
          <w:p w14:paraId="56082745">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支持根据电视墙名称、电视墙类型及屏幕宽高，添加LED电视墙，支持框选电视墙规格</w:t>
            </w:r>
          </w:p>
          <w:p w14:paraId="189C5F6F">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支持修改、删除、刷新电视墙</w:t>
            </w:r>
          </w:p>
          <w:p w14:paraId="5C08A7F5">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支持根据启用向导来指引用户添加解码设备、添加电视墙及资源关联</w:t>
            </w:r>
          </w:p>
          <w:p w14:paraId="780AC120">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支持新建、取消电视墙与解码器通道的关联关系，支持全部取消关联</w:t>
            </w:r>
          </w:p>
          <w:p w14:paraId="3639450B">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支持根据输入的关键字模糊搜索监控点名字、标签名字和报警名字包含该关键字的录像</w:t>
            </w:r>
          </w:p>
          <w:p w14:paraId="4FA4D9D4">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支持根据报警名称、报警类型、优先级及报警时间进行报警查询</w:t>
            </w:r>
          </w:p>
          <w:p w14:paraId="72B6DEF8">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支持针对窗口的分割、拼接等布局，及窗口上的监控点、预览轮巡、告警窗口、是否自动启停及启停时间等进行配置形成电视墙场景</w:t>
            </w:r>
          </w:p>
          <w:p w14:paraId="08BFDF82">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支持针对某电视墙的场景进行增加、修改及删除，支持查看电视墙场景详情，支持配置电视墙场景切换计划</w:t>
            </w:r>
          </w:p>
          <w:p w14:paraId="406FA724">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支持针对某电视墙场景进行增加、修改、删除轮巡计划，支持设置关联的监控点及其轮巡间隔</w:t>
            </w:r>
          </w:p>
          <w:p w14:paraId="052A3C23">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支持针对某电视墙场景进行监控点与窗口的关联，让该监控点保持持续在该窗口上墙；支持从资源树及历史操作点位中选择关联的监控点</w:t>
            </w:r>
          </w:p>
          <w:p w14:paraId="38B92655">
            <w:pPr>
              <w:pStyle w:val="119"/>
              <w:widowControl/>
              <w:numPr>
                <w:ilvl w:val="0"/>
                <w:numId w:val="24"/>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支持在场景中按高、中、低等设为报警窗口，当有相应等级的报警产生时可在该窗口自动上墙</w:t>
            </w:r>
          </w:p>
        </w:tc>
      </w:tr>
      <w:tr w14:paraId="43F55AC5">
        <w:tblPrEx>
          <w:tblCellMar>
            <w:top w:w="0" w:type="dxa"/>
            <w:left w:w="108" w:type="dxa"/>
            <w:bottom w:w="0" w:type="dxa"/>
            <w:right w:w="108" w:type="dxa"/>
          </w:tblCellMar>
        </w:tblPrEx>
        <w:trPr>
          <w:trHeight w:val="12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27831F1">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96D68DA">
            <w:pPr>
              <w:widowControl/>
              <w:spacing w:line="360" w:lineRule="auto"/>
              <w:jc w:val="left"/>
              <w:rPr>
                <w:rFonts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3CAEA07D">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89" w:type="pct"/>
            <w:tcBorders>
              <w:top w:val="nil"/>
              <w:left w:val="nil"/>
              <w:bottom w:val="single" w:color="auto" w:sz="4" w:space="0"/>
              <w:right w:val="single" w:color="auto" w:sz="4" w:space="0"/>
            </w:tcBorders>
            <w:shd w:val="clear" w:color="auto" w:fill="auto"/>
            <w:vAlign w:val="center"/>
          </w:tcPr>
          <w:p w14:paraId="656C0256">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449" w:type="pct"/>
            <w:tcBorders>
              <w:top w:val="nil"/>
              <w:left w:val="nil"/>
              <w:bottom w:val="single" w:color="auto" w:sz="4" w:space="0"/>
              <w:right w:val="single" w:color="auto" w:sz="4" w:space="0"/>
            </w:tcBorders>
            <w:shd w:val="clear" w:color="auto" w:fill="auto"/>
            <w:vAlign w:val="center"/>
          </w:tcPr>
          <w:p w14:paraId="7032A170">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1.以人脸属性搜索相似抓拍数据，支持根据时段、监控点范围、年龄段、性别、戴眼镜、是否微笑、是否戴口罩等属性查询匹配的人脸信息；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2.支持按照人脸特征搜图，上传人脸照片作为查询条件，支持查看结果图片、目标图片相似度以及抓拍信息等。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3.支持查询结果数据导出；</w:t>
            </w:r>
          </w:p>
        </w:tc>
      </w:tr>
      <w:tr w14:paraId="0313B7A5">
        <w:tblPrEx>
          <w:tblCellMar>
            <w:top w:w="0" w:type="dxa"/>
            <w:left w:w="108" w:type="dxa"/>
            <w:bottom w:w="0" w:type="dxa"/>
            <w:right w:w="108" w:type="dxa"/>
          </w:tblCellMar>
        </w:tblPrEx>
        <w:trPr>
          <w:trHeight w:val="3358"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95D2706">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462C215">
            <w:pPr>
              <w:widowControl/>
              <w:spacing w:line="360" w:lineRule="auto"/>
              <w:jc w:val="left"/>
              <w:rPr>
                <w:rFonts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4380A360">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车辆应用</w:t>
            </w:r>
          </w:p>
        </w:tc>
        <w:tc>
          <w:tcPr>
            <w:tcW w:w="389" w:type="pct"/>
            <w:tcBorders>
              <w:top w:val="nil"/>
              <w:left w:val="nil"/>
              <w:bottom w:val="single" w:color="auto" w:sz="4" w:space="0"/>
              <w:right w:val="single" w:color="auto" w:sz="4" w:space="0"/>
            </w:tcBorders>
            <w:shd w:val="clear" w:color="auto" w:fill="auto"/>
            <w:vAlign w:val="center"/>
          </w:tcPr>
          <w:p w14:paraId="36BCBC6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w:t>
            </w:r>
          </w:p>
        </w:tc>
        <w:tc>
          <w:tcPr>
            <w:tcW w:w="3449" w:type="pct"/>
            <w:tcBorders>
              <w:top w:val="nil"/>
              <w:left w:val="nil"/>
              <w:bottom w:val="single" w:color="auto" w:sz="4" w:space="0"/>
              <w:right w:val="single" w:color="auto" w:sz="4" w:space="0"/>
            </w:tcBorders>
            <w:shd w:val="clear" w:color="auto" w:fill="auto"/>
            <w:vAlign w:val="center"/>
          </w:tcPr>
          <w:p w14:paraId="35060B83">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正常过车查询支持在用户选择的时段、点位范围、方向及车道，根据车牌号码 、人脸关联、车辆颜色、车辆品牌、车辆类型、车牌类型、车牌颜色进行过车记录检索；</w:t>
            </w:r>
          </w:p>
          <w:p w14:paraId="7A73D862">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、车辆特征、前车窗特征、主副驾人员特征、是否渣土车、速度区间）车辆特征信息进行过车记录检索；</w:t>
            </w:r>
          </w:p>
          <w:p w14:paraId="71A1F56F">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查询结果支持显示车辆与人脸的关联关系，当结果图片左上角出现关联人脸标志时表示搜索结果可关联人脸；</w:t>
            </w:r>
          </w:p>
          <w:p w14:paraId="16D1051F">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支持不分组、按照车牌或卡口分组展示；</w:t>
            </w:r>
          </w:p>
          <w:p w14:paraId="2EF120BC">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07A7F79F">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2B10BF0B">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4979BB7F">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20038AF3">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支持过车详情基本信息中显示过车信息、详情图片、属性特征等；</w:t>
            </w:r>
          </w:p>
          <w:p w14:paraId="520E1332">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支持查询结果快捷操作，链接到查看详情、地图定位、视频回放、暂存架、车辆轨迹查询、同行车辆、停留点、以车搜车、车辆布控等功能；</w:t>
            </w:r>
          </w:p>
          <w:p w14:paraId="23333BEF">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61590446">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支持点击“右侧信息”开关，展示基本信息、地图位置、关联人脸、车管库，可关闭右侧详情页面；</w:t>
            </w:r>
          </w:p>
          <w:p w14:paraId="7782D747">
            <w:pPr>
              <w:pStyle w:val="119"/>
              <w:widowControl/>
              <w:numPr>
                <w:ilvl w:val="0"/>
                <w:numId w:val="25"/>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6F4D323A">
        <w:tblPrEx>
          <w:tblCellMar>
            <w:top w:w="0" w:type="dxa"/>
            <w:left w:w="108" w:type="dxa"/>
            <w:bottom w:w="0" w:type="dxa"/>
            <w:right w:w="108" w:type="dxa"/>
          </w:tblCellMar>
        </w:tblPrEx>
        <w:trPr>
          <w:trHeight w:val="41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4253B1E">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47F73707">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7AB3A4B1">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D4A3C63">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w:t>
            </w:r>
          </w:p>
        </w:tc>
        <w:tc>
          <w:tcPr>
            <w:tcW w:w="3449" w:type="pct"/>
            <w:tcBorders>
              <w:top w:val="nil"/>
              <w:left w:val="nil"/>
              <w:bottom w:val="single" w:color="auto" w:sz="4" w:space="0"/>
              <w:right w:val="single" w:color="auto" w:sz="4" w:space="0"/>
            </w:tcBorders>
            <w:shd w:val="clear" w:color="auto" w:fill="auto"/>
            <w:vAlign w:val="center"/>
          </w:tcPr>
          <w:p w14:paraId="05B03B3B">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红名单过车查询支持在用户选择的时段、点位范围、方向及车道，根据车牌号码 、关联人脸、车辆颜色、车辆品牌、车辆类型、车牌类型、车牌颜色进行红名单过车记录检索；</w:t>
            </w:r>
          </w:p>
          <w:p w14:paraId="7C3CFB3E">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、车辆特征、前车窗特征、主副驾人员特征、是否渣土车、速度区间）车辆特征信息进行红名单过车记录检索；</w:t>
            </w:r>
          </w:p>
          <w:p w14:paraId="5F9D3F0C">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支持按照车牌或卡口分组展示；</w:t>
            </w:r>
          </w:p>
          <w:p w14:paraId="015ADF64">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40371251">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38D80461">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4A88F13D">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56DEC82B">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支持过车详情显示当前车辆车牌信息、抓拍卡口信息以及抓拍时间；</w:t>
            </w:r>
          </w:p>
          <w:p w14:paraId="4801A5D1">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支持查询结果快捷操作，链接到查看详情、地图定位、视频回放、车辆轨迹查询等功能；</w:t>
            </w:r>
          </w:p>
          <w:p w14:paraId="102793A6">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72304374">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支持点击“右侧信息”开关，可关闭右侧详情页面；</w:t>
            </w:r>
          </w:p>
          <w:p w14:paraId="4880EC16">
            <w:pPr>
              <w:pStyle w:val="119"/>
              <w:widowControl/>
              <w:numPr>
                <w:ilvl w:val="0"/>
                <w:numId w:val="26"/>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77030178">
        <w:tblPrEx>
          <w:tblCellMar>
            <w:top w:w="0" w:type="dxa"/>
            <w:left w:w="108" w:type="dxa"/>
            <w:bottom w:w="0" w:type="dxa"/>
            <w:right w:w="108" w:type="dxa"/>
          </w:tblCellMar>
        </w:tblPrEx>
        <w:trPr>
          <w:trHeight w:val="15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7603F84">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FB41A19">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7A173E7">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4DA2BCB">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车辆轨迹查询</w:t>
            </w:r>
          </w:p>
        </w:tc>
        <w:tc>
          <w:tcPr>
            <w:tcW w:w="3449" w:type="pct"/>
            <w:tcBorders>
              <w:top w:val="nil"/>
              <w:left w:val="nil"/>
              <w:bottom w:val="single" w:color="auto" w:sz="4" w:space="0"/>
              <w:right w:val="single" w:color="auto" w:sz="4" w:space="0"/>
            </w:tcBorders>
            <w:shd w:val="clear" w:color="auto" w:fill="auto"/>
            <w:vAlign w:val="center"/>
          </w:tcPr>
          <w:p w14:paraId="668AFA6E">
            <w:pPr>
              <w:pStyle w:val="119"/>
              <w:widowControl/>
              <w:numPr>
                <w:ilvl w:val="0"/>
                <w:numId w:val="27"/>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支持按照车牌号码、车牌颜色、过车时间和选择范围查询，结果在地图上展示，并可进行轨迹回放；</w:t>
            </w:r>
          </w:p>
          <w:p w14:paraId="37369809">
            <w:pPr>
              <w:pStyle w:val="119"/>
              <w:widowControl/>
              <w:numPr>
                <w:ilvl w:val="0"/>
                <w:numId w:val="27"/>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支持对某条过车数据进行视频回放；</w:t>
            </w:r>
          </w:p>
          <w:p w14:paraId="66040AA3">
            <w:pPr>
              <w:pStyle w:val="119"/>
              <w:widowControl/>
              <w:numPr>
                <w:ilvl w:val="0"/>
                <w:numId w:val="27"/>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支持车辆轨迹信息的顺序、倒序排列。</w:t>
            </w:r>
          </w:p>
        </w:tc>
      </w:tr>
      <w:tr w14:paraId="1CD6F4BB">
        <w:tblPrEx>
          <w:tblCellMar>
            <w:top w:w="0" w:type="dxa"/>
            <w:left w:w="108" w:type="dxa"/>
            <w:bottom w:w="0" w:type="dxa"/>
            <w:right w:w="108" w:type="dxa"/>
          </w:tblCellMar>
        </w:tblPrEx>
        <w:trPr>
          <w:trHeight w:val="190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9FCE3E7">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6A3298A">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59ED63F6">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A3C05B1">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车辆布控</w:t>
            </w:r>
          </w:p>
        </w:tc>
        <w:tc>
          <w:tcPr>
            <w:tcW w:w="3449" w:type="pct"/>
            <w:tcBorders>
              <w:top w:val="nil"/>
              <w:left w:val="nil"/>
              <w:bottom w:val="single" w:color="auto" w:sz="4" w:space="0"/>
              <w:right w:val="single" w:color="auto" w:sz="4" w:space="0"/>
            </w:tcBorders>
            <w:shd w:val="clear" w:color="auto" w:fill="auto"/>
            <w:vAlign w:val="center"/>
          </w:tcPr>
          <w:p w14:paraId="13BEA382">
            <w:pPr>
              <w:pStyle w:val="119"/>
              <w:numPr>
                <w:ilvl w:val="0"/>
                <w:numId w:val="28"/>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支持查看车辆布控列表、撤控列表、待审核列表；</w:t>
            </w:r>
          </w:p>
          <w:p w14:paraId="41327A19">
            <w:pPr>
              <w:pStyle w:val="119"/>
              <w:numPr>
                <w:ilvl w:val="0"/>
                <w:numId w:val="28"/>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支持车辆按照模糊车牌以及精准车牌布控；</w:t>
            </w:r>
          </w:p>
          <w:p w14:paraId="1106DDAD">
            <w:pPr>
              <w:pStyle w:val="119"/>
              <w:numPr>
                <w:ilvl w:val="0"/>
                <w:numId w:val="28"/>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支持批量撤控；</w:t>
            </w:r>
          </w:p>
          <w:p w14:paraId="1EFDCF94">
            <w:pPr>
              <w:pStyle w:val="119"/>
              <w:numPr>
                <w:ilvl w:val="0"/>
                <w:numId w:val="28"/>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支持布控列表数据全部导出和部分导出；</w:t>
            </w:r>
          </w:p>
          <w:p w14:paraId="4E1EEBB5">
            <w:pPr>
              <w:pStyle w:val="119"/>
              <w:numPr>
                <w:ilvl w:val="0"/>
                <w:numId w:val="28"/>
              </w:numPr>
              <w:spacing w:line="360" w:lineRule="auto"/>
              <w:ind w:firstLineChars="0"/>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支持布控报警消息推送、联动</w:t>
            </w:r>
          </w:p>
        </w:tc>
      </w:tr>
      <w:tr w14:paraId="277ADC10">
        <w:tblPrEx>
          <w:tblCellMar>
            <w:top w:w="0" w:type="dxa"/>
            <w:left w:w="108" w:type="dxa"/>
            <w:bottom w:w="0" w:type="dxa"/>
            <w:right w:w="108" w:type="dxa"/>
          </w:tblCellMar>
        </w:tblPrEx>
        <w:trPr>
          <w:trHeight w:val="18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C190BBF">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B9E04C0">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32F1F6CA">
            <w:pPr>
              <w:widowControl/>
              <w:spacing w:line="360" w:lineRule="auto"/>
              <w:jc w:val="left"/>
              <w:rPr>
                <w:rFonts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2D36B6A">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车流量统计</w:t>
            </w:r>
          </w:p>
        </w:tc>
        <w:tc>
          <w:tcPr>
            <w:tcW w:w="3449" w:type="pct"/>
            <w:tcBorders>
              <w:top w:val="nil"/>
              <w:left w:val="nil"/>
              <w:bottom w:val="single" w:color="auto" w:sz="4" w:space="0"/>
              <w:right w:val="single" w:color="auto" w:sz="4" w:space="0"/>
            </w:tcBorders>
            <w:shd w:val="clear" w:color="auto" w:fill="auto"/>
            <w:vAlign w:val="center"/>
          </w:tcPr>
          <w:p w14:paraId="66851374">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1、车流量统计支持按卡口、按时间、按归属地、按车型、按品牌、按区域、按车道等多个统计维度；</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2、支持以时段表、日报表、周报表、月报表、年报表的方式，统计选定时间和卡口范围内车流量信息；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3、支持以柱状图数据列表等多种图表展示；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4、支持按卡口、按区域、按车道分页查询车流量统计信息；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5、支持车流量数据导出。</w:t>
            </w:r>
          </w:p>
        </w:tc>
      </w:tr>
      <w:tr w14:paraId="7B83DF40">
        <w:tblPrEx>
          <w:tblCellMar>
            <w:top w:w="0" w:type="dxa"/>
            <w:left w:w="108" w:type="dxa"/>
            <w:bottom w:w="0" w:type="dxa"/>
            <w:right w:w="108" w:type="dxa"/>
          </w:tblCellMar>
        </w:tblPrEx>
        <w:trPr>
          <w:trHeight w:val="22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CB80AE3">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9446E01">
            <w:pPr>
              <w:widowControl/>
              <w:spacing w:line="360" w:lineRule="auto"/>
              <w:jc w:val="left"/>
              <w:rPr>
                <w:rFonts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121408B5">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地图应用</w:t>
            </w:r>
          </w:p>
        </w:tc>
        <w:tc>
          <w:tcPr>
            <w:tcW w:w="389" w:type="pct"/>
            <w:tcBorders>
              <w:top w:val="nil"/>
              <w:left w:val="nil"/>
              <w:bottom w:val="single" w:color="auto" w:sz="4" w:space="0"/>
              <w:right w:val="single" w:color="auto" w:sz="4" w:space="0"/>
            </w:tcBorders>
            <w:shd w:val="clear" w:color="auto" w:fill="auto"/>
            <w:vAlign w:val="center"/>
          </w:tcPr>
          <w:p w14:paraId="3A6B96A2">
            <w:pPr>
              <w:widowControl/>
              <w:spacing w:line="360" w:lineRule="auto"/>
              <w:jc w:val="center"/>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地图功能</w:t>
            </w:r>
          </w:p>
        </w:tc>
        <w:tc>
          <w:tcPr>
            <w:tcW w:w="3449" w:type="pct"/>
            <w:tcBorders>
              <w:top w:val="nil"/>
              <w:left w:val="nil"/>
              <w:bottom w:val="single" w:color="auto" w:sz="4" w:space="0"/>
              <w:right w:val="single" w:color="auto" w:sz="4" w:space="0"/>
            </w:tcBorders>
            <w:shd w:val="clear" w:color="auto" w:fill="auto"/>
            <w:vAlign w:val="center"/>
          </w:tcPr>
          <w:p w14:paraId="036FC114">
            <w:pPr>
              <w:pStyle w:val="119"/>
              <w:widowControl/>
              <w:numPr>
                <w:ilvl w:val="0"/>
                <w:numId w:val="29"/>
              </w:numPr>
              <w:spacing w:line="360" w:lineRule="auto"/>
              <w:ind w:firstLineChars="0"/>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地图支持拖动、滚轮放大缩小、重置恢复至地图初始化时的原始中心位置和地图层级；</w:t>
            </w:r>
          </w:p>
          <w:p w14:paraId="660A5B1C">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2、提供地址反查功能，通过在地图上点击来获取地图上该点的位置信息（该功能需地理资源数据支持）；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3、支持通过绘制图形进行空间资源的查询，可在地图上绘制矩形、圆形、多边形、线状缓冲区等作为空间查询范围；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4、支持通过关键字查询和常用标签对这些资源进行查询；</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5、对当前地图及其上的要素进行截图，支持保存为本地图片；</w:t>
            </w:r>
          </w:p>
        </w:tc>
      </w:tr>
      <w:tr w14:paraId="13D8F775">
        <w:tblPrEx>
          <w:tblCellMar>
            <w:top w:w="0" w:type="dxa"/>
            <w:left w:w="108" w:type="dxa"/>
            <w:bottom w:w="0" w:type="dxa"/>
            <w:right w:w="108" w:type="dxa"/>
          </w:tblCellMar>
        </w:tblPrEx>
        <w:trPr>
          <w:trHeight w:val="7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4143E55">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2EDCE6B2">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66616CD5">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79C7917">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资源查询</w:t>
            </w:r>
          </w:p>
        </w:tc>
        <w:tc>
          <w:tcPr>
            <w:tcW w:w="3449" w:type="pct"/>
            <w:tcBorders>
              <w:top w:val="nil"/>
              <w:left w:val="nil"/>
              <w:bottom w:val="single" w:color="auto" w:sz="4" w:space="0"/>
              <w:right w:val="single" w:color="auto" w:sz="4" w:space="0"/>
            </w:tcBorders>
            <w:shd w:val="clear" w:color="auto" w:fill="auto"/>
            <w:vAlign w:val="center"/>
          </w:tcPr>
          <w:p w14:paraId="59B4E555">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1、支持查看基础目录以及自定义的业务目录树下监控点、卡口、车载、单兵、无人机等类型资源；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2、支持在地图上，根据地图聚合级别以不同样式图标展示各类型资源；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3、支持资源定位至地图所在位置；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4、支持点位经纬度修改，并支持仅展示未标注经纬度的点位资源；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5、支持分资源类型进行关键字模糊匹配检索，同时支持对资源进行全局搜索；</w:t>
            </w:r>
          </w:p>
        </w:tc>
      </w:tr>
      <w:tr w14:paraId="069AE113">
        <w:tblPrEx>
          <w:tblCellMar>
            <w:top w:w="0" w:type="dxa"/>
            <w:left w:w="108" w:type="dxa"/>
            <w:bottom w:w="0" w:type="dxa"/>
            <w:right w:w="108" w:type="dxa"/>
          </w:tblCellMar>
        </w:tblPrEx>
        <w:trPr>
          <w:trHeight w:val="5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CF56EA0">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F8E4F5C">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73695139">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995411F">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GPS轨迹</w:t>
            </w:r>
          </w:p>
        </w:tc>
        <w:tc>
          <w:tcPr>
            <w:tcW w:w="3449" w:type="pct"/>
            <w:tcBorders>
              <w:top w:val="nil"/>
              <w:left w:val="nil"/>
              <w:bottom w:val="single" w:color="auto" w:sz="4" w:space="0"/>
              <w:right w:val="single" w:color="auto" w:sz="4" w:space="0"/>
            </w:tcBorders>
            <w:shd w:val="clear" w:color="auto" w:fill="auto"/>
            <w:vAlign w:val="center"/>
          </w:tcPr>
          <w:p w14:paraId="1CB4D0D9">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1、按时间查询单兵、车载等在地图上的经过的GPS位置，列表显示目标路径记录，同时将轨迹在地图上展示。可通过播放器控制播放的速度、进度等。</w:t>
            </w:r>
          </w:p>
        </w:tc>
      </w:tr>
      <w:tr w14:paraId="7385E8FB">
        <w:tblPrEx>
          <w:tblCellMar>
            <w:top w:w="0" w:type="dxa"/>
            <w:left w:w="108" w:type="dxa"/>
            <w:bottom w:w="0" w:type="dxa"/>
            <w:right w:w="108" w:type="dxa"/>
          </w:tblCellMar>
        </w:tblPrEx>
        <w:trPr>
          <w:trHeight w:val="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7C7A39B3">
            <w:pPr>
              <w:widowControl/>
              <w:spacing w:line="360" w:lineRule="auto"/>
              <w:jc w:val="center"/>
              <w:rPr>
                <w:rFonts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E53A858">
            <w:pPr>
              <w:widowControl/>
              <w:spacing w:line="360" w:lineRule="auto"/>
              <w:jc w:val="left"/>
              <w:rPr>
                <w:rFonts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49C0FA0C">
            <w:pPr>
              <w:widowControl/>
              <w:spacing w:line="360" w:lineRule="auto"/>
              <w:jc w:val="left"/>
              <w:rPr>
                <w:rFonts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F2E02D9">
            <w:pPr>
              <w:widowControl/>
              <w:spacing w:line="360" w:lineRule="auto"/>
              <w:jc w:val="center"/>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449" w:type="pct"/>
            <w:tcBorders>
              <w:top w:val="nil"/>
              <w:left w:val="nil"/>
              <w:bottom w:val="single" w:color="auto" w:sz="4" w:space="0"/>
              <w:right w:val="single" w:color="auto" w:sz="4" w:space="0"/>
            </w:tcBorders>
            <w:shd w:val="clear" w:color="auto" w:fill="auto"/>
            <w:vAlign w:val="center"/>
          </w:tcPr>
          <w:p w14:paraId="0F091B9B">
            <w:pPr>
              <w:widowControl/>
              <w:spacing w:line="360" w:lineRule="auto"/>
              <w:jc w:val="left"/>
              <w:rPr>
                <w:rFonts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1、支持视频的实时预览以及录像回放；</w:t>
            </w:r>
          </w:p>
        </w:tc>
      </w:tr>
    </w:tbl>
    <w:p w14:paraId="6F571305">
      <w:pPr>
        <w:widowControl/>
        <w:rPr>
          <w:rFonts w:ascii="宋体" w:hAnsi="宋体"/>
          <w:b/>
          <w:bCs/>
          <w:color w:val="000000"/>
          <w:kern w:val="0"/>
          <w:sz w:val="22"/>
          <w:szCs w:val="22"/>
        </w:rPr>
      </w:pPr>
    </w:p>
    <w:p w14:paraId="3A1C303C">
      <w:pPr>
        <w:widowControl/>
        <w:rPr>
          <w:rFonts w:ascii="宋体" w:hAnsi="宋体"/>
          <w:b/>
          <w:bCs/>
          <w:color w:val="000000"/>
          <w:kern w:val="0"/>
          <w:sz w:val="22"/>
          <w:szCs w:val="22"/>
        </w:rPr>
      </w:pPr>
    </w:p>
    <w:p w14:paraId="752F0649">
      <w:pPr>
        <w:widowControl/>
        <w:rPr>
          <w:rFonts w:ascii="宋体" w:hAnsi="宋体"/>
          <w:b/>
          <w:bCs/>
          <w:color w:val="000000"/>
          <w:kern w:val="0"/>
          <w:sz w:val="22"/>
          <w:szCs w:val="22"/>
        </w:rPr>
      </w:pPr>
    </w:p>
    <w:p w14:paraId="622F93E3">
      <w:pPr>
        <w:widowControl/>
        <w:rPr>
          <w:rFonts w:ascii="宋体" w:hAnsi="宋体"/>
          <w:b/>
          <w:bCs/>
          <w:color w:val="000000"/>
          <w:kern w:val="0"/>
          <w:sz w:val="22"/>
          <w:szCs w:val="22"/>
        </w:rPr>
      </w:pPr>
    </w:p>
    <w:p w14:paraId="3A72B64D">
      <w:pPr>
        <w:widowControl/>
        <w:rPr>
          <w:rFonts w:ascii="宋体" w:hAnsi="宋体"/>
          <w:b/>
          <w:bCs/>
          <w:color w:val="000000"/>
          <w:kern w:val="0"/>
          <w:sz w:val="22"/>
          <w:szCs w:val="22"/>
        </w:rPr>
      </w:pPr>
    </w:p>
    <w:p w14:paraId="4B3B85F2">
      <w:pPr>
        <w:widowControl/>
        <w:rPr>
          <w:rFonts w:ascii="宋体" w:hAnsi="宋体"/>
          <w:b/>
          <w:bCs/>
          <w:color w:val="000000"/>
          <w:kern w:val="0"/>
          <w:sz w:val="24"/>
          <w:szCs w:val="24"/>
        </w:rPr>
      </w:pPr>
      <w:r>
        <w:rPr>
          <w:rFonts w:hint="eastAsia" w:ascii="宋体" w:hAnsi="宋体"/>
          <w:b/>
          <w:bCs/>
          <w:color w:val="000000"/>
          <w:kern w:val="0"/>
          <w:sz w:val="24"/>
          <w:szCs w:val="24"/>
        </w:rPr>
        <w:t>硬件设备采购分项表</w:t>
      </w:r>
    </w:p>
    <w:p w14:paraId="09844C1B">
      <w:pPr>
        <w:widowControl/>
        <w:rPr>
          <w:rFonts w:ascii="宋体" w:hAnsi="宋体"/>
          <w:b/>
          <w:bCs/>
          <w:color w:val="000000"/>
          <w:kern w:val="0"/>
          <w:sz w:val="24"/>
          <w:szCs w:val="24"/>
        </w:rPr>
      </w:pPr>
    </w:p>
    <w:tbl>
      <w:tblPr>
        <w:tblStyle w:val="35"/>
        <w:tblW w:w="0" w:type="auto"/>
        <w:tblInd w:w="0" w:type="dxa"/>
        <w:tblLayout w:type="autofit"/>
        <w:tblCellMar>
          <w:top w:w="0" w:type="dxa"/>
          <w:left w:w="108" w:type="dxa"/>
          <w:bottom w:w="0" w:type="dxa"/>
          <w:right w:w="108" w:type="dxa"/>
        </w:tblCellMar>
      </w:tblPr>
      <w:tblGrid>
        <w:gridCol w:w="656"/>
        <w:gridCol w:w="989"/>
        <w:gridCol w:w="5581"/>
        <w:gridCol w:w="926"/>
        <w:gridCol w:w="558"/>
      </w:tblGrid>
      <w:tr w14:paraId="7E623878">
        <w:tblPrEx>
          <w:tblCellMar>
            <w:top w:w="0" w:type="dxa"/>
            <w:left w:w="108" w:type="dxa"/>
            <w:bottom w:w="0" w:type="dxa"/>
            <w:right w:w="108" w:type="dxa"/>
          </w:tblCellMar>
        </w:tblPrEx>
        <w:trPr>
          <w:trHeight w:val="46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177A2591">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序号</w:t>
            </w:r>
          </w:p>
        </w:tc>
        <w:tc>
          <w:tcPr>
            <w:tcW w:w="989" w:type="dxa"/>
            <w:tcBorders>
              <w:top w:val="single" w:color="auto" w:sz="4" w:space="0"/>
              <w:left w:val="nil"/>
              <w:bottom w:val="single" w:color="auto" w:sz="4" w:space="0"/>
              <w:right w:val="single" w:color="auto" w:sz="4" w:space="0"/>
            </w:tcBorders>
            <w:shd w:val="clear" w:color="auto" w:fill="auto"/>
            <w:vAlign w:val="center"/>
          </w:tcPr>
          <w:p w14:paraId="7B9B5B73">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设备名称</w:t>
            </w:r>
          </w:p>
        </w:tc>
        <w:tc>
          <w:tcPr>
            <w:tcW w:w="5581" w:type="dxa"/>
            <w:tcBorders>
              <w:top w:val="single" w:color="auto" w:sz="4" w:space="0"/>
              <w:left w:val="nil"/>
              <w:bottom w:val="single" w:color="auto" w:sz="4" w:space="0"/>
              <w:right w:val="single" w:color="auto" w:sz="4" w:space="0"/>
            </w:tcBorders>
            <w:shd w:val="clear" w:color="auto" w:fill="auto"/>
            <w:vAlign w:val="center"/>
          </w:tcPr>
          <w:p w14:paraId="43BAF523">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主要技术指标</w:t>
            </w:r>
          </w:p>
        </w:tc>
        <w:tc>
          <w:tcPr>
            <w:tcW w:w="926" w:type="dxa"/>
            <w:tcBorders>
              <w:top w:val="single" w:color="auto" w:sz="4" w:space="0"/>
              <w:left w:val="nil"/>
              <w:bottom w:val="single" w:color="auto" w:sz="4" w:space="0"/>
              <w:right w:val="single" w:color="auto" w:sz="4" w:space="0"/>
            </w:tcBorders>
            <w:shd w:val="clear" w:color="auto" w:fill="auto"/>
            <w:vAlign w:val="center"/>
          </w:tcPr>
          <w:p w14:paraId="7AC90C14">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数量</w:t>
            </w:r>
          </w:p>
        </w:tc>
        <w:tc>
          <w:tcPr>
            <w:tcW w:w="558" w:type="dxa"/>
            <w:tcBorders>
              <w:top w:val="single" w:color="auto" w:sz="4" w:space="0"/>
              <w:left w:val="nil"/>
              <w:bottom w:val="single" w:color="auto" w:sz="4" w:space="0"/>
              <w:right w:val="single" w:color="auto" w:sz="4" w:space="0"/>
            </w:tcBorders>
            <w:shd w:val="clear" w:color="auto" w:fill="auto"/>
            <w:vAlign w:val="center"/>
          </w:tcPr>
          <w:p w14:paraId="07CE6D57">
            <w:pPr>
              <w:widowControl/>
              <w:spacing w:line="360" w:lineRule="auto"/>
              <w:jc w:val="center"/>
              <w:rPr>
                <w:rFonts w:asciiTheme="minorEastAsia" w:hAnsiTheme="minorEastAsia" w:eastAsiaTheme="minorEastAsia" w:cstheme="minorEastAsia"/>
                <w:b/>
                <w:bCs/>
                <w:color w:val="000000"/>
                <w:kern w:val="0"/>
                <w:sz w:val="22"/>
                <w:szCs w:val="22"/>
                <w:highlight w:val="none"/>
              </w:rPr>
            </w:pPr>
            <w:r>
              <w:rPr>
                <w:rFonts w:hint="eastAsia" w:asciiTheme="minorEastAsia" w:hAnsiTheme="minorEastAsia" w:eastAsiaTheme="minorEastAsia" w:cstheme="minorEastAsia"/>
                <w:b/>
                <w:bCs/>
                <w:color w:val="000000"/>
                <w:kern w:val="0"/>
                <w:sz w:val="22"/>
                <w:szCs w:val="22"/>
                <w:highlight w:val="none"/>
              </w:rPr>
              <w:t>单位</w:t>
            </w:r>
          </w:p>
        </w:tc>
      </w:tr>
      <w:tr w14:paraId="4B420295">
        <w:tblPrEx>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E346ECA">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989" w:type="dxa"/>
            <w:tcBorders>
              <w:top w:val="nil"/>
              <w:left w:val="nil"/>
              <w:bottom w:val="single" w:color="auto" w:sz="4" w:space="0"/>
              <w:right w:val="single" w:color="auto" w:sz="4" w:space="0"/>
            </w:tcBorders>
            <w:shd w:val="clear" w:color="auto" w:fill="auto"/>
            <w:vAlign w:val="center"/>
          </w:tcPr>
          <w:p w14:paraId="1B9A72F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出入口人脸车牌抓拍单元</w:t>
            </w:r>
          </w:p>
        </w:tc>
        <w:tc>
          <w:tcPr>
            <w:tcW w:w="5581" w:type="dxa"/>
            <w:tcBorders>
              <w:top w:val="nil"/>
              <w:left w:val="nil"/>
              <w:bottom w:val="single" w:color="auto" w:sz="4" w:space="0"/>
              <w:right w:val="single" w:color="auto" w:sz="4" w:space="0"/>
            </w:tcBorders>
            <w:shd w:val="clear" w:color="auto" w:fill="auto"/>
            <w:vAlign w:val="center"/>
          </w:tcPr>
          <w:p w14:paraId="703F1D9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详见参数1.1-1.6</w:t>
            </w:r>
          </w:p>
        </w:tc>
        <w:tc>
          <w:tcPr>
            <w:tcW w:w="926" w:type="dxa"/>
            <w:tcBorders>
              <w:top w:val="nil"/>
              <w:left w:val="nil"/>
              <w:bottom w:val="single" w:color="auto" w:sz="4" w:space="0"/>
              <w:right w:val="single" w:color="auto" w:sz="4" w:space="0"/>
            </w:tcBorders>
            <w:shd w:val="clear" w:color="auto" w:fill="auto"/>
            <w:vAlign w:val="center"/>
          </w:tcPr>
          <w:p w14:paraId="73B4D756">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57</w:t>
            </w:r>
          </w:p>
        </w:tc>
        <w:tc>
          <w:tcPr>
            <w:tcW w:w="558" w:type="dxa"/>
            <w:tcBorders>
              <w:top w:val="nil"/>
              <w:left w:val="nil"/>
              <w:bottom w:val="single" w:color="auto" w:sz="4" w:space="0"/>
              <w:right w:val="single" w:color="auto" w:sz="4" w:space="0"/>
            </w:tcBorders>
            <w:shd w:val="clear" w:color="auto" w:fill="auto"/>
            <w:vAlign w:val="center"/>
          </w:tcPr>
          <w:p w14:paraId="41D4B4F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26C98DD3">
        <w:tblPrEx>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62CB5E3">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b/>
                <w:bCs/>
                <w:kern w:val="0"/>
                <w:sz w:val="22"/>
                <w:szCs w:val="22"/>
                <w:highlight w:val="none"/>
              </w:rPr>
              <w:t>1.1</w:t>
            </w:r>
          </w:p>
        </w:tc>
        <w:tc>
          <w:tcPr>
            <w:tcW w:w="989" w:type="dxa"/>
            <w:tcBorders>
              <w:top w:val="nil"/>
              <w:left w:val="nil"/>
              <w:bottom w:val="single" w:color="auto" w:sz="4" w:space="0"/>
              <w:right w:val="single" w:color="auto" w:sz="4" w:space="0"/>
            </w:tcBorders>
            <w:shd w:val="clear" w:color="auto" w:fill="auto"/>
            <w:vAlign w:val="center"/>
          </w:tcPr>
          <w:p w14:paraId="1D02BA7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人脸车牌卡口抓拍机</w:t>
            </w:r>
          </w:p>
        </w:tc>
        <w:tc>
          <w:tcPr>
            <w:tcW w:w="5581" w:type="dxa"/>
            <w:tcBorders>
              <w:top w:val="nil"/>
              <w:left w:val="nil"/>
              <w:bottom w:val="single" w:color="auto" w:sz="4" w:space="0"/>
              <w:right w:val="single" w:color="auto" w:sz="4" w:space="0"/>
            </w:tcBorders>
            <w:shd w:val="clear" w:color="auto" w:fill="auto"/>
            <w:vAlign w:val="center"/>
          </w:tcPr>
          <w:p w14:paraId="12CC4E7B">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w:t>
            </w:r>
            <w:r>
              <w:rPr>
                <w:rFonts w:hint="eastAsia" w:asciiTheme="minorEastAsia" w:hAnsiTheme="minorEastAsia" w:eastAsiaTheme="minorEastAsia" w:cstheme="minorEastAsia"/>
                <w:color w:val="000000"/>
                <w:kern w:val="0"/>
                <w:sz w:val="22"/>
                <w:szCs w:val="22"/>
                <w:highlight w:val="none"/>
              </w:rPr>
              <w:t>内置摄像机采用2/3英寸高帧率全局曝光CMOS传感器，分辨率可达2448 × 2048，帧率高达25帧，具有清晰度高、照度低、帧率高、色彩还原度好等特点；</w:t>
            </w:r>
          </w:p>
          <w:p w14:paraId="41B02A57">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2、</w:t>
            </w:r>
            <w:r>
              <w:rPr>
                <w:rFonts w:hint="eastAsia" w:asciiTheme="minorEastAsia" w:hAnsiTheme="minorEastAsia" w:eastAsiaTheme="minorEastAsia" w:cstheme="minorEastAsia"/>
                <w:color w:val="000000"/>
                <w:kern w:val="0"/>
                <w:sz w:val="22"/>
                <w:szCs w:val="22"/>
                <w:highlight w:val="none"/>
              </w:rPr>
              <w:t>帧率不低于25 fps；</w:t>
            </w:r>
          </w:p>
          <w:p w14:paraId="5B6AB6B9">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3、</w:t>
            </w:r>
            <w:r>
              <w:rPr>
                <w:rFonts w:hint="eastAsia" w:asciiTheme="minorEastAsia" w:hAnsiTheme="minorEastAsia" w:eastAsiaTheme="minorEastAsia" w:cstheme="minorEastAsia"/>
                <w:color w:val="000000"/>
                <w:kern w:val="0"/>
                <w:sz w:val="22"/>
                <w:szCs w:val="22"/>
                <w:highlight w:val="none"/>
              </w:rPr>
              <w:t>▲支持对25×10 像素～1100×3000 像素的机动车车牌进行抓拍并识别号码； 支持抓拍并识别垂直倾斜角度≤45°、水平倾斜角度≤35°、俯仰角度≤40°的机动车车牌号码；</w:t>
            </w:r>
          </w:p>
          <w:p w14:paraId="659313FA">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4、</w:t>
            </w:r>
            <w:r>
              <w:rPr>
                <w:rFonts w:hint="eastAsia" w:asciiTheme="minorEastAsia" w:hAnsiTheme="minorEastAsia" w:eastAsiaTheme="minorEastAsia" w:cstheme="minorEastAsia"/>
                <w:color w:val="000000"/>
                <w:kern w:val="0"/>
                <w:sz w:val="22"/>
                <w:szCs w:val="22"/>
                <w:highlight w:val="none"/>
              </w:rPr>
              <w:t>车牌识别准确率不低于99%；</w:t>
            </w:r>
          </w:p>
          <w:p w14:paraId="242ACB31">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5、</w:t>
            </w:r>
            <w:r>
              <w:rPr>
                <w:rFonts w:hint="eastAsia" w:asciiTheme="minorEastAsia" w:hAnsiTheme="minorEastAsia" w:eastAsiaTheme="minorEastAsia" w:cstheme="minorEastAsia"/>
                <w:color w:val="000000"/>
                <w:kern w:val="0"/>
                <w:sz w:val="22"/>
                <w:szCs w:val="22"/>
                <w:highlight w:val="none"/>
              </w:rPr>
              <w:t>▲在满足GA/T 1202-2022一级补光标准，补光≤20lx 的前提下，抓拍图片满足 GA/T 832-2014标准中3.6.1要求。 配套符合GA/T 1202-2022标准的一级补光灯，设备抓拍车牌、车身颜色、车内前排人脸及衣着均清晰可见抓拍图片可看清司乘人员人脸，并能够用于后端人脸比对；</w:t>
            </w:r>
          </w:p>
          <w:p w14:paraId="1AE4A7E5">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6、</w:t>
            </w:r>
            <w:r>
              <w:rPr>
                <w:rFonts w:hint="eastAsia" w:asciiTheme="minorEastAsia" w:hAnsiTheme="minorEastAsia" w:eastAsiaTheme="minorEastAsia" w:cstheme="minorEastAsia"/>
                <w:color w:val="000000"/>
                <w:kern w:val="0"/>
                <w:sz w:val="22"/>
                <w:szCs w:val="22"/>
                <w:highlight w:val="none"/>
              </w:rPr>
              <w:t>▲支持检测并跟踪指定区域内不少于 245 个目标，目标包括机动车、非机动车以及行人；</w:t>
            </w:r>
          </w:p>
          <w:p w14:paraId="68E2F85C">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7、</w:t>
            </w:r>
            <w:r>
              <w:rPr>
                <w:rFonts w:hint="eastAsia" w:asciiTheme="minorEastAsia" w:hAnsiTheme="minorEastAsia" w:eastAsiaTheme="minorEastAsia" w:cstheme="minorEastAsia"/>
                <w:color w:val="000000"/>
                <w:kern w:val="0"/>
                <w:sz w:val="22"/>
                <w:szCs w:val="22"/>
                <w:highlight w:val="none"/>
              </w:rPr>
              <w:t>至少3个RS-485接口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1个RS-232接口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2个RJ45 10M/100M/1000M自适应以太网口；</w:t>
            </w:r>
          </w:p>
          <w:p w14:paraId="0B7EEF5B">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8、</w:t>
            </w:r>
            <w:r>
              <w:rPr>
                <w:rFonts w:hint="eastAsia" w:asciiTheme="minorEastAsia" w:hAnsiTheme="minorEastAsia" w:eastAsiaTheme="minorEastAsia" w:cstheme="minorEastAsia"/>
                <w:color w:val="000000"/>
                <w:kern w:val="0"/>
                <w:sz w:val="22"/>
                <w:szCs w:val="22"/>
                <w:highlight w:val="none"/>
              </w:rPr>
              <w:t>支持远程数据上传，GB/T 28181-2016视频联网标准、GA/T 1400视图库标准、FTP协议，可将抓拍的图片上传给终端服务器、FTP服务器或者后端平台；</w:t>
            </w:r>
          </w:p>
          <w:p w14:paraId="71399314">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9、</w:t>
            </w:r>
            <w:r>
              <w:rPr>
                <w:rFonts w:hint="eastAsia" w:asciiTheme="minorEastAsia" w:hAnsiTheme="minorEastAsia" w:eastAsiaTheme="minorEastAsia" w:cstheme="minorEastAsia"/>
                <w:color w:val="000000"/>
                <w:kern w:val="0"/>
                <w:sz w:val="22"/>
                <w:szCs w:val="22"/>
                <w:highlight w:val="none"/>
              </w:rPr>
              <w:t>支持TF插卡本地存储，可支持</w:t>
            </w:r>
            <w:r>
              <w:rPr>
                <w:rFonts w:hint="eastAsia" w:asciiTheme="minorEastAsia" w:hAnsiTheme="minorEastAsia" w:eastAsiaTheme="minorEastAsia" w:cstheme="minorEastAsia"/>
                <w:color w:val="auto"/>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256G，抓拍图片可断网续传；</w:t>
            </w:r>
          </w:p>
          <w:p w14:paraId="4A674792">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10、</w:t>
            </w:r>
            <w:r>
              <w:rPr>
                <w:rFonts w:hint="eastAsia" w:asciiTheme="minorEastAsia" w:hAnsiTheme="minorEastAsia" w:eastAsiaTheme="minorEastAsia" w:cstheme="minorEastAsia"/>
                <w:color w:val="000000"/>
                <w:kern w:val="0"/>
                <w:sz w:val="22"/>
                <w:szCs w:val="22"/>
                <w:highlight w:val="none"/>
              </w:rPr>
              <w:t>▲支持车辆子品牌识别，对车头图片进行分析抓拍，可分析输出OSD叠加</w:t>
            </w:r>
            <w:r>
              <w:rPr>
                <w:rFonts w:hint="eastAsia" w:asciiTheme="minorEastAsia" w:hAnsiTheme="minorEastAsia" w:eastAsiaTheme="minorEastAsia" w:cstheme="minorEastAsia"/>
                <w:color w:val="auto"/>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7200种车辆子品牌并显示相应的年款，对车尾图片进行分析抓拍，可分析输出 OSD 叠加</w:t>
            </w:r>
            <w:r>
              <w:rPr>
                <w:rFonts w:hint="eastAsia" w:asciiTheme="minorEastAsia" w:hAnsiTheme="minorEastAsia" w:eastAsiaTheme="minorEastAsia" w:cstheme="minorEastAsia"/>
                <w:color w:val="auto"/>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3900 种车辆子品牌并显示相应的年款；</w:t>
            </w:r>
          </w:p>
          <w:p w14:paraId="682123E6">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11、</w:t>
            </w:r>
            <w:r>
              <w:rPr>
                <w:rFonts w:hint="eastAsia" w:asciiTheme="minorEastAsia" w:hAnsiTheme="minorEastAsia" w:eastAsiaTheme="minorEastAsia" w:cstheme="minorEastAsia"/>
                <w:color w:val="000000"/>
                <w:kern w:val="0"/>
                <w:sz w:val="22"/>
                <w:szCs w:val="22"/>
                <w:highlight w:val="none"/>
              </w:rPr>
              <w:t>▲环境温度为25°C时，在正常工作条件、异常工作条件和单一故障条件下，设备可触及的外表面和零部件的接触温度应符合GB16796-2022中表6规定</w:t>
            </w:r>
          </w:p>
          <w:p w14:paraId="5177E301">
            <w:pPr>
              <w:pStyle w:val="119"/>
              <w:widowControl/>
              <w:spacing w:line="360" w:lineRule="auto"/>
              <w:ind w:left="360" w:firstLine="0"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的要求。</w:t>
            </w:r>
          </w:p>
          <w:p w14:paraId="3DD74E6C">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12、</w:t>
            </w:r>
            <w:r>
              <w:rPr>
                <w:rFonts w:hint="eastAsia" w:asciiTheme="minorEastAsia" w:hAnsiTheme="minorEastAsia" w:eastAsiaTheme="minorEastAsia" w:cstheme="minorEastAsia"/>
                <w:color w:val="000000"/>
                <w:kern w:val="0"/>
                <w:sz w:val="22"/>
                <w:szCs w:val="22"/>
                <w:highlight w:val="none"/>
              </w:rPr>
              <w:t>▲设备在正常工作条件、异常工作条件和单一故障条件下，设备可触及部分稳态电压或稳态接触电流的限值之一应符合GB16796-2022中表1的要求。对非正弦的电压和电流应使用表1中的峰值，对正弦的电压和电流应使用表1中的有效值。工作于室外的设备，其电压限值应减半。</w:t>
            </w:r>
          </w:p>
          <w:p w14:paraId="563B7B8F">
            <w:pPr>
              <w:pStyle w:val="119"/>
              <w:widowControl/>
              <w:spacing w:line="360" w:lineRule="auto"/>
              <w:ind w:left="360" w:hanging="360" w:firstLineChars="0"/>
              <w:jc w:val="left"/>
              <w:outlineLvl w:val="0"/>
              <w:rPr>
                <w:rFonts w:asciiTheme="minorEastAsia" w:hAnsiTheme="minorEastAsia" w:eastAsiaTheme="minorEastAsia" w:cstheme="minorEastAsia"/>
                <w:color w:val="000000"/>
                <w:kern w:val="0"/>
                <w:sz w:val="22"/>
                <w:szCs w:val="22"/>
                <w:highlight w:val="none"/>
              </w:rPr>
            </w:pPr>
            <w:r>
              <w:rPr>
                <w:rFonts w:asciiTheme="minorEastAsia" w:hAnsiTheme="minorEastAsia" w:eastAsiaTheme="minorEastAsia" w:cstheme="minorEastAsia"/>
                <w:color w:val="000000"/>
                <w:kern w:val="0"/>
                <w:sz w:val="22"/>
                <w:szCs w:val="22"/>
                <w:highlight w:val="none"/>
              </w:rPr>
              <w:t>13、</w:t>
            </w:r>
            <w:r>
              <w:rPr>
                <w:rFonts w:hint="eastAsia" w:asciiTheme="minorEastAsia" w:hAnsiTheme="minorEastAsia" w:eastAsiaTheme="minorEastAsia" w:cstheme="minorEastAsia"/>
                <w:color w:val="000000"/>
                <w:kern w:val="0"/>
                <w:sz w:val="22"/>
                <w:szCs w:val="22"/>
                <w:highlight w:val="none"/>
              </w:rPr>
              <w:t>▲标志不易被擦除，符合G</w:t>
            </w:r>
            <w:r>
              <w:rPr>
                <w:rFonts w:asciiTheme="minorEastAsia" w:hAnsiTheme="minorEastAsia" w:eastAsiaTheme="minorEastAsia" w:cstheme="minorEastAsia"/>
                <w:color w:val="000000"/>
                <w:kern w:val="0"/>
                <w:sz w:val="22"/>
                <w:szCs w:val="22"/>
                <w:highlight w:val="none"/>
              </w:rPr>
              <w:t>B16796-2022</w:t>
            </w:r>
            <w:r>
              <w:rPr>
                <w:rFonts w:hint="eastAsia" w:asciiTheme="minorEastAsia" w:hAnsiTheme="minorEastAsia" w:eastAsiaTheme="minorEastAsia" w:cstheme="minorEastAsia"/>
                <w:color w:val="000000"/>
                <w:kern w:val="0"/>
                <w:sz w:val="22"/>
                <w:szCs w:val="22"/>
                <w:highlight w:val="none"/>
              </w:rPr>
              <w:t>《安全防范报警设备 安全要求和实验方法》第1</w:t>
            </w:r>
            <w:r>
              <w:rPr>
                <w:rFonts w:asciiTheme="minorEastAsia" w:hAnsiTheme="minorEastAsia" w:eastAsiaTheme="minorEastAsia" w:cstheme="minorEastAsia"/>
                <w:color w:val="000000"/>
                <w:kern w:val="0"/>
                <w:sz w:val="22"/>
                <w:szCs w:val="22"/>
                <w:highlight w:val="none"/>
              </w:rPr>
              <w:t>1.1.3</w:t>
            </w:r>
            <w:r>
              <w:rPr>
                <w:rFonts w:hint="eastAsia" w:asciiTheme="minorEastAsia" w:hAnsiTheme="minorEastAsia" w:eastAsiaTheme="minorEastAsia" w:cstheme="minorEastAsia"/>
                <w:color w:val="000000"/>
                <w:kern w:val="0"/>
                <w:sz w:val="22"/>
                <w:szCs w:val="22"/>
                <w:highlight w:val="none"/>
              </w:rPr>
              <w:t>项</w:t>
            </w:r>
          </w:p>
        </w:tc>
        <w:tc>
          <w:tcPr>
            <w:tcW w:w="926" w:type="dxa"/>
            <w:tcBorders>
              <w:top w:val="nil"/>
              <w:left w:val="nil"/>
              <w:bottom w:val="single" w:color="auto" w:sz="4" w:space="0"/>
              <w:right w:val="single" w:color="auto" w:sz="4" w:space="0"/>
            </w:tcBorders>
            <w:shd w:val="clear" w:color="auto" w:fill="auto"/>
            <w:vAlign w:val="center"/>
          </w:tcPr>
          <w:p w14:paraId="2C0CC7A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3FF9CB0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2E4171F3">
        <w:tblPrEx>
          <w:tblCellMar>
            <w:top w:w="0" w:type="dxa"/>
            <w:left w:w="108" w:type="dxa"/>
            <w:bottom w:w="0" w:type="dxa"/>
            <w:right w:w="108" w:type="dxa"/>
          </w:tblCellMar>
        </w:tblPrEx>
        <w:trPr>
          <w:trHeight w:val="14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93F506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b/>
                <w:bCs/>
                <w:kern w:val="0"/>
                <w:sz w:val="22"/>
                <w:szCs w:val="22"/>
                <w:highlight w:val="none"/>
              </w:rPr>
              <w:t>1.2</w:t>
            </w:r>
          </w:p>
        </w:tc>
        <w:tc>
          <w:tcPr>
            <w:tcW w:w="989" w:type="dxa"/>
            <w:tcBorders>
              <w:top w:val="nil"/>
              <w:left w:val="nil"/>
              <w:bottom w:val="single" w:color="auto" w:sz="4" w:space="0"/>
              <w:right w:val="single" w:color="auto" w:sz="4" w:space="0"/>
            </w:tcBorders>
            <w:shd w:val="clear" w:color="auto" w:fill="auto"/>
            <w:vAlign w:val="center"/>
          </w:tcPr>
          <w:p w14:paraId="009283E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网络配电箱</w:t>
            </w:r>
          </w:p>
        </w:tc>
        <w:tc>
          <w:tcPr>
            <w:tcW w:w="5581" w:type="dxa"/>
            <w:tcBorders>
              <w:top w:val="nil"/>
              <w:left w:val="nil"/>
              <w:bottom w:val="single" w:color="auto" w:sz="4" w:space="0"/>
              <w:right w:val="single" w:color="auto" w:sz="4" w:space="0"/>
            </w:tcBorders>
            <w:shd w:val="clear" w:color="auto" w:fill="auto"/>
            <w:vAlign w:val="center"/>
          </w:tcPr>
          <w:p w14:paraId="4AF55DD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1、220V/2kW；进线：16A/2P漏电保护微断开关，防雷模块；出线：5*10A/1P微断开关，≥5口国标插排；</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2、12芯光缆终端模块（含LC尾纤）；</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3、预留网络交换机安装模块；</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4、防雷接地。</w:t>
            </w:r>
          </w:p>
        </w:tc>
        <w:tc>
          <w:tcPr>
            <w:tcW w:w="926" w:type="dxa"/>
            <w:tcBorders>
              <w:top w:val="nil"/>
              <w:left w:val="nil"/>
              <w:bottom w:val="single" w:color="auto" w:sz="4" w:space="0"/>
              <w:right w:val="single" w:color="auto" w:sz="4" w:space="0"/>
            </w:tcBorders>
            <w:shd w:val="clear" w:color="auto" w:fill="auto"/>
            <w:vAlign w:val="center"/>
          </w:tcPr>
          <w:p w14:paraId="3437ED8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10A0851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30994723">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26FAABA">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1.3</w:t>
            </w:r>
          </w:p>
        </w:tc>
        <w:tc>
          <w:tcPr>
            <w:tcW w:w="989" w:type="dxa"/>
            <w:tcBorders>
              <w:top w:val="nil"/>
              <w:left w:val="nil"/>
              <w:bottom w:val="single" w:color="auto" w:sz="4" w:space="0"/>
              <w:right w:val="single" w:color="auto" w:sz="4" w:space="0"/>
            </w:tcBorders>
            <w:shd w:val="clear" w:color="auto" w:fill="auto"/>
            <w:vAlign w:val="center"/>
          </w:tcPr>
          <w:p w14:paraId="10BD7FE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杆件</w:t>
            </w:r>
          </w:p>
        </w:tc>
        <w:tc>
          <w:tcPr>
            <w:tcW w:w="5581" w:type="dxa"/>
            <w:tcBorders>
              <w:top w:val="nil"/>
              <w:left w:val="nil"/>
              <w:bottom w:val="single" w:color="auto" w:sz="4" w:space="0"/>
              <w:right w:val="single" w:color="auto" w:sz="4" w:space="0"/>
            </w:tcBorders>
            <w:shd w:val="clear" w:color="auto" w:fill="auto"/>
            <w:vAlign w:val="center"/>
          </w:tcPr>
          <w:p w14:paraId="1FC0828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6*4米，立杆150*190*6含滑槽 横臂90*120*4 底法兰450*20 热镀锌喷塑</w:t>
            </w:r>
          </w:p>
        </w:tc>
        <w:tc>
          <w:tcPr>
            <w:tcW w:w="926" w:type="dxa"/>
            <w:tcBorders>
              <w:top w:val="nil"/>
              <w:left w:val="nil"/>
              <w:bottom w:val="single" w:color="auto" w:sz="4" w:space="0"/>
              <w:right w:val="single" w:color="auto" w:sz="4" w:space="0"/>
            </w:tcBorders>
            <w:shd w:val="clear" w:color="auto" w:fill="auto"/>
            <w:vAlign w:val="center"/>
          </w:tcPr>
          <w:p w14:paraId="50C4967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7F6C70E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根</w:t>
            </w:r>
          </w:p>
        </w:tc>
      </w:tr>
      <w:tr w14:paraId="101BA884">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73B5757">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1.4</w:t>
            </w:r>
          </w:p>
        </w:tc>
        <w:tc>
          <w:tcPr>
            <w:tcW w:w="989" w:type="dxa"/>
            <w:tcBorders>
              <w:top w:val="nil"/>
              <w:left w:val="nil"/>
              <w:bottom w:val="single" w:color="auto" w:sz="4" w:space="0"/>
              <w:right w:val="single" w:color="auto" w:sz="4" w:space="0"/>
            </w:tcBorders>
            <w:shd w:val="clear" w:color="auto" w:fill="auto"/>
            <w:vAlign w:val="center"/>
          </w:tcPr>
          <w:p w14:paraId="6AE9A039">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地笼</w:t>
            </w:r>
          </w:p>
        </w:tc>
        <w:tc>
          <w:tcPr>
            <w:tcW w:w="5581" w:type="dxa"/>
            <w:tcBorders>
              <w:top w:val="nil"/>
              <w:left w:val="nil"/>
              <w:bottom w:val="single" w:color="auto" w:sz="4" w:space="0"/>
              <w:right w:val="single" w:color="auto" w:sz="4" w:space="0"/>
            </w:tcBorders>
            <w:shd w:val="clear" w:color="auto" w:fill="auto"/>
            <w:vAlign w:val="center"/>
          </w:tcPr>
          <w:p w14:paraId="7766FC0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500*5，M24*1300-6</w:t>
            </w:r>
          </w:p>
        </w:tc>
        <w:tc>
          <w:tcPr>
            <w:tcW w:w="926" w:type="dxa"/>
            <w:tcBorders>
              <w:top w:val="nil"/>
              <w:left w:val="nil"/>
              <w:bottom w:val="single" w:color="auto" w:sz="4" w:space="0"/>
              <w:right w:val="single" w:color="auto" w:sz="4" w:space="0"/>
            </w:tcBorders>
            <w:shd w:val="clear" w:color="auto" w:fill="auto"/>
            <w:vAlign w:val="center"/>
          </w:tcPr>
          <w:p w14:paraId="20762DB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02EEC9F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287CAAB2">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D7DC54A">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1.5</w:t>
            </w:r>
          </w:p>
        </w:tc>
        <w:tc>
          <w:tcPr>
            <w:tcW w:w="989" w:type="dxa"/>
            <w:tcBorders>
              <w:top w:val="nil"/>
              <w:left w:val="nil"/>
              <w:bottom w:val="single" w:color="auto" w:sz="4" w:space="0"/>
              <w:right w:val="single" w:color="auto" w:sz="4" w:space="0"/>
            </w:tcBorders>
            <w:shd w:val="clear" w:color="auto" w:fill="auto"/>
            <w:vAlign w:val="center"/>
          </w:tcPr>
          <w:p w14:paraId="6EB8156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基础开挖</w:t>
            </w:r>
          </w:p>
        </w:tc>
        <w:tc>
          <w:tcPr>
            <w:tcW w:w="5581" w:type="dxa"/>
            <w:tcBorders>
              <w:top w:val="nil"/>
              <w:left w:val="nil"/>
              <w:bottom w:val="single" w:color="auto" w:sz="4" w:space="0"/>
              <w:right w:val="single" w:color="auto" w:sz="4" w:space="0"/>
            </w:tcBorders>
            <w:shd w:val="clear" w:color="auto" w:fill="auto"/>
            <w:vAlign w:val="center"/>
          </w:tcPr>
          <w:p w14:paraId="246BDB38">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1.2*1.2*1.4m</w:t>
            </w:r>
          </w:p>
        </w:tc>
        <w:tc>
          <w:tcPr>
            <w:tcW w:w="926" w:type="dxa"/>
            <w:tcBorders>
              <w:top w:val="nil"/>
              <w:left w:val="nil"/>
              <w:bottom w:val="single" w:color="auto" w:sz="4" w:space="0"/>
              <w:right w:val="single" w:color="auto" w:sz="4" w:space="0"/>
            </w:tcBorders>
            <w:shd w:val="clear" w:color="auto" w:fill="auto"/>
            <w:vAlign w:val="center"/>
          </w:tcPr>
          <w:p w14:paraId="253AAF9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2.016</w:t>
            </w:r>
          </w:p>
        </w:tc>
        <w:tc>
          <w:tcPr>
            <w:tcW w:w="558" w:type="dxa"/>
            <w:tcBorders>
              <w:top w:val="nil"/>
              <w:left w:val="nil"/>
              <w:bottom w:val="single" w:color="auto" w:sz="4" w:space="0"/>
              <w:right w:val="single" w:color="auto" w:sz="4" w:space="0"/>
            </w:tcBorders>
            <w:shd w:val="clear" w:color="auto" w:fill="auto"/>
            <w:vAlign w:val="center"/>
          </w:tcPr>
          <w:p w14:paraId="4E88ED2D">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3</w:t>
            </w:r>
          </w:p>
        </w:tc>
      </w:tr>
      <w:tr w14:paraId="225F7627">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D5B3A10">
            <w:pPr>
              <w:widowControl/>
              <w:spacing w:line="360" w:lineRule="auto"/>
              <w:jc w:val="center"/>
              <w:rPr>
                <w:rFonts w:asciiTheme="minorEastAsia" w:hAnsiTheme="minorEastAsia" w:eastAsiaTheme="minorEastAsia" w:cstheme="minorEastAsia"/>
                <w:b/>
                <w:bCs/>
                <w:kern w:val="0"/>
                <w:sz w:val="22"/>
                <w:szCs w:val="22"/>
                <w:highlight w:val="none"/>
              </w:rPr>
            </w:pPr>
            <w:r>
              <w:rPr>
                <w:rFonts w:hint="eastAsia" w:asciiTheme="minorEastAsia" w:hAnsiTheme="minorEastAsia" w:eastAsiaTheme="minorEastAsia" w:cstheme="minorEastAsia"/>
                <w:b/>
                <w:bCs/>
                <w:kern w:val="0"/>
                <w:sz w:val="22"/>
                <w:szCs w:val="22"/>
                <w:highlight w:val="none"/>
              </w:rPr>
              <w:t>1.6</w:t>
            </w:r>
          </w:p>
        </w:tc>
        <w:tc>
          <w:tcPr>
            <w:tcW w:w="989" w:type="dxa"/>
            <w:tcBorders>
              <w:top w:val="nil"/>
              <w:left w:val="nil"/>
              <w:bottom w:val="single" w:color="auto" w:sz="4" w:space="0"/>
              <w:right w:val="single" w:color="auto" w:sz="4" w:space="0"/>
            </w:tcBorders>
            <w:shd w:val="clear" w:color="auto" w:fill="auto"/>
            <w:vAlign w:val="center"/>
          </w:tcPr>
          <w:p w14:paraId="798A1AE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商混</w:t>
            </w:r>
          </w:p>
        </w:tc>
        <w:tc>
          <w:tcPr>
            <w:tcW w:w="5581" w:type="dxa"/>
            <w:tcBorders>
              <w:top w:val="nil"/>
              <w:left w:val="nil"/>
              <w:bottom w:val="single" w:color="auto" w:sz="4" w:space="0"/>
              <w:right w:val="single" w:color="auto" w:sz="4" w:space="0"/>
            </w:tcBorders>
            <w:shd w:val="clear" w:color="auto" w:fill="auto"/>
            <w:vAlign w:val="center"/>
          </w:tcPr>
          <w:p w14:paraId="4F80B56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商品混凝土C25</w:t>
            </w:r>
          </w:p>
        </w:tc>
        <w:tc>
          <w:tcPr>
            <w:tcW w:w="926" w:type="dxa"/>
            <w:tcBorders>
              <w:top w:val="nil"/>
              <w:left w:val="nil"/>
              <w:bottom w:val="single" w:color="auto" w:sz="4" w:space="0"/>
              <w:right w:val="single" w:color="auto" w:sz="4" w:space="0"/>
            </w:tcBorders>
            <w:shd w:val="clear" w:color="auto" w:fill="auto"/>
            <w:vAlign w:val="center"/>
          </w:tcPr>
          <w:p w14:paraId="297332E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2.016</w:t>
            </w:r>
          </w:p>
        </w:tc>
        <w:tc>
          <w:tcPr>
            <w:tcW w:w="558" w:type="dxa"/>
            <w:tcBorders>
              <w:top w:val="nil"/>
              <w:left w:val="nil"/>
              <w:bottom w:val="single" w:color="auto" w:sz="4" w:space="0"/>
              <w:right w:val="single" w:color="auto" w:sz="4" w:space="0"/>
            </w:tcBorders>
            <w:shd w:val="clear" w:color="auto" w:fill="auto"/>
            <w:vAlign w:val="center"/>
          </w:tcPr>
          <w:p w14:paraId="5B985D2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3</w:t>
            </w:r>
          </w:p>
        </w:tc>
      </w:tr>
      <w:tr w14:paraId="5407A317">
        <w:tblPrEx>
          <w:tblCellMar>
            <w:top w:w="0" w:type="dxa"/>
            <w:left w:w="108" w:type="dxa"/>
            <w:bottom w:w="0" w:type="dxa"/>
            <w:right w:w="108" w:type="dxa"/>
          </w:tblCellMar>
        </w:tblPrEx>
        <w:trPr>
          <w:trHeight w:val="177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E76B94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w:t>
            </w:r>
          </w:p>
        </w:tc>
        <w:tc>
          <w:tcPr>
            <w:tcW w:w="989" w:type="dxa"/>
            <w:tcBorders>
              <w:top w:val="nil"/>
              <w:left w:val="nil"/>
              <w:bottom w:val="single" w:color="auto" w:sz="4" w:space="0"/>
              <w:right w:val="single" w:color="auto" w:sz="4" w:space="0"/>
            </w:tcBorders>
            <w:shd w:val="clear" w:color="auto" w:fill="auto"/>
            <w:vAlign w:val="center"/>
          </w:tcPr>
          <w:p w14:paraId="1B2FDA42">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多合一补光灯</w:t>
            </w:r>
          </w:p>
        </w:tc>
        <w:tc>
          <w:tcPr>
            <w:tcW w:w="5581" w:type="dxa"/>
            <w:tcBorders>
              <w:top w:val="nil"/>
              <w:left w:val="nil"/>
              <w:bottom w:val="single" w:color="auto" w:sz="4" w:space="0"/>
              <w:right w:val="single" w:color="auto" w:sz="4" w:space="0"/>
            </w:tcBorders>
            <w:shd w:val="clear" w:color="auto" w:fill="auto"/>
            <w:vAlign w:val="center"/>
          </w:tcPr>
          <w:p w14:paraId="40D73C5A">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1、小功率气体补光灯，用于牌识系统及出入口系统中，白天可看清前排司乘人员面部特征；</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2、回电时间＜400ms，兼容开关量及低电平触发；</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3、有效补光距离4m～10m；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4、工作环境-25～+60℃；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5、闪光次数≥2000万次；</w:t>
            </w:r>
          </w:p>
        </w:tc>
        <w:tc>
          <w:tcPr>
            <w:tcW w:w="926" w:type="dxa"/>
            <w:tcBorders>
              <w:top w:val="nil"/>
              <w:left w:val="nil"/>
              <w:bottom w:val="single" w:color="auto" w:sz="4" w:space="0"/>
              <w:right w:val="single" w:color="auto" w:sz="4" w:space="0"/>
            </w:tcBorders>
            <w:shd w:val="clear" w:color="auto" w:fill="auto"/>
            <w:vAlign w:val="center"/>
          </w:tcPr>
          <w:p w14:paraId="2330DA0A">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57</w:t>
            </w:r>
          </w:p>
        </w:tc>
        <w:tc>
          <w:tcPr>
            <w:tcW w:w="558" w:type="dxa"/>
            <w:tcBorders>
              <w:top w:val="nil"/>
              <w:left w:val="nil"/>
              <w:bottom w:val="single" w:color="auto" w:sz="4" w:space="0"/>
              <w:right w:val="single" w:color="auto" w:sz="4" w:space="0"/>
            </w:tcBorders>
            <w:shd w:val="clear" w:color="auto" w:fill="auto"/>
            <w:vAlign w:val="center"/>
          </w:tcPr>
          <w:p w14:paraId="13823C73">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4B8D6147">
        <w:tblPrEx>
          <w:tblCellMar>
            <w:top w:w="0" w:type="dxa"/>
            <w:left w:w="108" w:type="dxa"/>
            <w:bottom w:w="0" w:type="dxa"/>
            <w:right w:w="108" w:type="dxa"/>
          </w:tblCellMar>
        </w:tblPrEx>
        <w:trPr>
          <w:trHeight w:val="4682"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6E77A2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w:t>
            </w:r>
          </w:p>
        </w:tc>
        <w:tc>
          <w:tcPr>
            <w:tcW w:w="989" w:type="dxa"/>
            <w:tcBorders>
              <w:top w:val="nil"/>
              <w:left w:val="nil"/>
              <w:bottom w:val="single" w:color="auto" w:sz="4" w:space="0"/>
              <w:right w:val="single" w:color="auto" w:sz="4" w:space="0"/>
            </w:tcBorders>
            <w:shd w:val="clear" w:color="auto" w:fill="auto"/>
            <w:vAlign w:val="center"/>
          </w:tcPr>
          <w:p w14:paraId="1447A18D">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智能分析服务器终端</w:t>
            </w:r>
          </w:p>
        </w:tc>
        <w:tc>
          <w:tcPr>
            <w:tcW w:w="5581" w:type="dxa"/>
            <w:tcBorders>
              <w:top w:val="nil"/>
              <w:left w:val="nil"/>
              <w:bottom w:val="single" w:color="auto" w:sz="4" w:space="0"/>
              <w:right w:val="single" w:color="auto" w:sz="4" w:space="0"/>
            </w:tcBorders>
            <w:shd w:val="clear" w:color="auto" w:fill="auto"/>
            <w:vAlign w:val="center"/>
          </w:tcPr>
          <w:p w14:paraId="7A3C21F4">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1、支持对接入的视频进行车辆捕获、车牌识别、车辆特征识别、人体捕获、目标抓拍和人体属性识别。</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2、支持≥4路</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1080P网络相机视频接入分析。</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3、支持RTSP、ONVIF和GB28181方式接入相机或者NVR视频资源。</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4、支持GB1400、FTP上传图片数据。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5、支持RTSP、ONVIF、GB28181上传视频数据。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6、支持抓拍图片独立配置字符叠加功能。</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7、支持GB35114协议。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8、支持车牌黑白名单比对功能，最大支持不小于10万条记录。</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9、内置不小于32G存储卡，支持图片录像本地存储与查询。</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10、至少3个RJ45 百兆千兆自适应以太网口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1个RS232接口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1个485接口</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 xml:space="preserve">1个USB </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3.0</w:t>
            </w:r>
            <w:r>
              <w:rPr>
                <w:rFonts w:hint="eastAsia" w:asciiTheme="minorEastAsia" w:hAnsiTheme="minorEastAsia" w:eastAsiaTheme="minorEastAsia" w:cstheme="minorEastAsia"/>
                <w:color w:val="000000"/>
                <w:kern w:val="0"/>
                <w:sz w:val="22"/>
                <w:szCs w:val="22"/>
                <w:highlight w:val="none"/>
                <w:lang w:val="en-US" w:eastAsia="zh-CN"/>
              </w:rPr>
              <w:t>及以上</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接口</w:t>
            </w:r>
          </w:p>
        </w:tc>
        <w:tc>
          <w:tcPr>
            <w:tcW w:w="926" w:type="dxa"/>
            <w:tcBorders>
              <w:top w:val="nil"/>
              <w:left w:val="nil"/>
              <w:bottom w:val="single" w:color="auto" w:sz="4" w:space="0"/>
              <w:right w:val="single" w:color="auto" w:sz="4" w:space="0"/>
            </w:tcBorders>
            <w:shd w:val="clear" w:color="auto" w:fill="auto"/>
            <w:vAlign w:val="center"/>
          </w:tcPr>
          <w:p w14:paraId="38B75A25">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32</w:t>
            </w:r>
          </w:p>
        </w:tc>
        <w:tc>
          <w:tcPr>
            <w:tcW w:w="558" w:type="dxa"/>
            <w:tcBorders>
              <w:top w:val="nil"/>
              <w:left w:val="nil"/>
              <w:bottom w:val="single" w:color="auto" w:sz="4" w:space="0"/>
              <w:right w:val="single" w:color="auto" w:sz="4" w:space="0"/>
            </w:tcBorders>
            <w:shd w:val="clear" w:color="auto" w:fill="auto"/>
            <w:vAlign w:val="center"/>
          </w:tcPr>
          <w:p w14:paraId="56B6E97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1027F926">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7450EAA">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w:t>
            </w:r>
          </w:p>
        </w:tc>
        <w:tc>
          <w:tcPr>
            <w:tcW w:w="989" w:type="dxa"/>
            <w:tcBorders>
              <w:top w:val="nil"/>
              <w:left w:val="nil"/>
              <w:bottom w:val="single" w:color="auto" w:sz="4" w:space="0"/>
              <w:right w:val="single" w:color="auto" w:sz="4" w:space="0"/>
            </w:tcBorders>
            <w:shd w:val="clear" w:color="auto" w:fill="auto"/>
            <w:vAlign w:val="center"/>
          </w:tcPr>
          <w:p w14:paraId="11D9588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接入交换机</w:t>
            </w:r>
          </w:p>
        </w:tc>
        <w:tc>
          <w:tcPr>
            <w:tcW w:w="5581" w:type="dxa"/>
            <w:tcBorders>
              <w:top w:val="nil"/>
              <w:left w:val="nil"/>
              <w:bottom w:val="single" w:color="auto" w:sz="4" w:space="0"/>
              <w:right w:val="single" w:color="auto" w:sz="4" w:space="0"/>
            </w:tcBorders>
            <w:shd w:val="clear" w:color="auto" w:fill="auto"/>
            <w:vAlign w:val="center"/>
          </w:tcPr>
          <w:p w14:paraId="59194B3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1、接口不少于8口千兆交换机；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2、交换容量不低于1.6Gbps；</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3、包转发率不小于1.2Mpps；</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4、坚固式高强度金属外壳。</w:t>
            </w:r>
          </w:p>
        </w:tc>
        <w:tc>
          <w:tcPr>
            <w:tcW w:w="926" w:type="dxa"/>
            <w:tcBorders>
              <w:top w:val="nil"/>
              <w:left w:val="nil"/>
              <w:bottom w:val="single" w:color="auto" w:sz="4" w:space="0"/>
              <w:right w:val="single" w:color="auto" w:sz="4" w:space="0"/>
            </w:tcBorders>
            <w:shd w:val="clear" w:color="auto" w:fill="auto"/>
            <w:vAlign w:val="center"/>
          </w:tcPr>
          <w:p w14:paraId="55D9A15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70</w:t>
            </w:r>
          </w:p>
        </w:tc>
        <w:tc>
          <w:tcPr>
            <w:tcW w:w="558" w:type="dxa"/>
            <w:tcBorders>
              <w:top w:val="nil"/>
              <w:left w:val="nil"/>
              <w:bottom w:val="single" w:color="auto" w:sz="4" w:space="0"/>
              <w:right w:val="single" w:color="auto" w:sz="4" w:space="0"/>
            </w:tcBorders>
            <w:shd w:val="clear" w:color="auto" w:fill="auto"/>
            <w:vAlign w:val="center"/>
          </w:tcPr>
          <w:p w14:paraId="3CE7BCE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3263C1AF">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2B95E23">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w:t>
            </w:r>
          </w:p>
        </w:tc>
        <w:tc>
          <w:tcPr>
            <w:tcW w:w="989" w:type="dxa"/>
            <w:tcBorders>
              <w:top w:val="nil"/>
              <w:left w:val="nil"/>
              <w:bottom w:val="single" w:color="auto" w:sz="4" w:space="0"/>
              <w:right w:val="single" w:color="auto" w:sz="4" w:space="0"/>
            </w:tcBorders>
            <w:shd w:val="clear" w:color="auto" w:fill="auto"/>
            <w:vAlign w:val="center"/>
          </w:tcPr>
          <w:p w14:paraId="365DDC32">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全点阵屏</w:t>
            </w:r>
          </w:p>
        </w:tc>
        <w:tc>
          <w:tcPr>
            <w:tcW w:w="5581" w:type="dxa"/>
            <w:tcBorders>
              <w:top w:val="nil"/>
              <w:left w:val="nil"/>
              <w:bottom w:val="single" w:color="auto" w:sz="4" w:space="0"/>
              <w:right w:val="single" w:color="auto" w:sz="4" w:space="0"/>
            </w:tcBorders>
            <w:shd w:val="clear" w:color="auto" w:fill="auto"/>
            <w:vAlign w:val="center"/>
          </w:tcPr>
          <w:p w14:paraId="201C38A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P10全彩交通诱导屏（2.88*2.72m），详见参数5.1-5.7</w:t>
            </w:r>
          </w:p>
        </w:tc>
        <w:tc>
          <w:tcPr>
            <w:tcW w:w="926" w:type="dxa"/>
            <w:tcBorders>
              <w:top w:val="nil"/>
              <w:left w:val="nil"/>
              <w:bottom w:val="single" w:color="auto" w:sz="4" w:space="0"/>
              <w:right w:val="single" w:color="auto" w:sz="4" w:space="0"/>
            </w:tcBorders>
            <w:shd w:val="clear" w:color="auto" w:fill="auto"/>
            <w:vAlign w:val="center"/>
          </w:tcPr>
          <w:p w14:paraId="37B1922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nil"/>
              <w:left w:val="nil"/>
              <w:bottom w:val="single" w:color="auto" w:sz="4" w:space="0"/>
              <w:right w:val="single" w:color="auto" w:sz="4" w:space="0"/>
            </w:tcBorders>
            <w:shd w:val="clear" w:color="auto" w:fill="auto"/>
            <w:vAlign w:val="center"/>
          </w:tcPr>
          <w:p w14:paraId="3A3FB600">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B4B1735">
        <w:tblPrEx>
          <w:tblCellMar>
            <w:top w:w="0" w:type="dxa"/>
            <w:left w:w="108" w:type="dxa"/>
            <w:bottom w:w="0" w:type="dxa"/>
            <w:right w:w="108" w:type="dxa"/>
          </w:tblCellMar>
        </w:tblPrEx>
        <w:trPr>
          <w:trHeight w:val="908"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EF6496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5.1</w:t>
            </w:r>
          </w:p>
        </w:tc>
        <w:tc>
          <w:tcPr>
            <w:tcW w:w="989" w:type="dxa"/>
            <w:tcBorders>
              <w:top w:val="nil"/>
              <w:left w:val="nil"/>
              <w:bottom w:val="single" w:color="auto" w:sz="4" w:space="0"/>
              <w:right w:val="single" w:color="auto" w:sz="4" w:space="0"/>
            </w:tcBorders>
            <w:shd w:val="clear" w:color="auto" w:fill="auto"/>
            <w:vAlign w:val="center"/>
          </w:tcPr>
          <w:p w14:paraId="299BF5C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LED显示屏</w:t>
            </w:r>
          </w:p>
        </w:tc>
        <w:tc>
          <w:tcPr>
            <w:tcW w:w="5581" w:type="dxa"/>
            <w:tcBorders>
              <w:top w:val="nil"/>
              <w:left w:val="nil"/>
              <w:bottom w:val="single" w:color="auto" w:sz="4" w:space="0"/>
              <w:right w:val="single" w:color="auto" w:sz="4" w:space="0"/>
            </w:tcBorders>
            <w:shd w:val="clear" w:color="auto" w:fill="auto"/>
            <w:vAlign w:val="center"/>
          </w:tcPr>
          <w:p w14:paraId="12E762D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 xml:space="preserve">全点阵屏 </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P10全彩诱导屏（2.88*2.72m）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 像素间距 10mm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 像素组成 1R1G1B 全彩</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 像素密度 10000 点 /㎡</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 模组尺寸 320mm × 160mm（标准模组）</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 白平衡亮度 ≥8000 cd/㎡（交通级高亮）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 亮度调节范围 50–8000 cd/㎡，支持自动 / 手动调节</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 对比度 ≥1000:1</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 水平视角 ≥100°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 垂直视角 ≥50°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10 刷新率 ≥1920Hz（防监控摄像头水波纹）</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11 灰度等级≥16bit，支持≥65536 级灰度</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12 色温 3000–9500K 可调</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13 显示颜色 ≥1677 万色</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14 工作环境温度 -30℃ ~ +60℃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15 相对湿度 10% ~ 95% RH（无凝露）</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16 供电方式 AC220V ±15%，50Hz</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17 平均无故障时间 ≥100000 小时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18 使用寿命 ≥100000 小时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19 系统控制方式 同步 / 异步双控，支持远程在线控制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20 通讯方式 支持光纤 / 以太网 / 4G/5G 可选</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21 显示内容 支持文字、图片、动画、视频、交通标志等</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22 防雷等级 电源及信号端口均满足二级防雷标准</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23 接地电阻 ≤4Ω</w:t>
            </w:r>
          </w:p>
        </w:tc>
        <w:tc>
          <w:tcPr>
            <w:tcW w:w="926" w:type="dxa"/>
            <w:tcBorders>
              <w:top w:val="nil"/>
              <w:left w:val="nil"/>
              <w:bottom w:val="single" w:color="auto" w:sz="4" w:space="0"/>
              <w:right w:val="single" w:color="auto" w:sz="4" w:space="0"/>
            </w:tcBorders>
            <w:shd w:val="clear" w:color="auto" w:fill="auto"/>
            <w:vAlign w:val="center"/>
          </w:tcPr>
          <w:p w14:paraId="3909708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1A29028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1872482D">
        <w:tblPrEx>
          <w:tblCellMar>
            <w:top w:w="0" w:type="dxa"/>
            <w:left w:w="108" w:type="dxa"/>
            <w:bottom w:w="0" w:type="dxa"/>
            <w:right w:w="108" w:type="dxa"/>
          </w:tblCellMar>
        </w:tblPrEx>
        <w:trPr>
          <w:trHeight w:val="262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82F629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5.2</w:t>
            </w:r>
          </w:p>
        </w:tc>
        <w:tc>
          <w:tcPr>
            <w:tcW w:w="989" w:type="dxa"/>
            <w:tcBorders>
              <w:top w:val="nil"/>
              <w:left w:val="nil"/>
              <w:bottom w:val="single" w:color="auto" w:sz="4" w:space="0"/>
              <w:right w:val="single" w:color="auto" w:sz="4" w:space="0"/>
            </w:tcBorders>
            <w:shd w:val="clear" w:color="auto" w:fill="auto"/>
            <w:vAlign w:val="center"/>
          </w:tcPr>
          <w:p w14:paraId="5F01D66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控制器</w:t>
            </w:r>
          </w:p>
        </w:tc>
        <w:tc>
          <w:tcPr>
            <w:tcW w:w="5581" w:type="dxa"/>
            <w:tcBorders>
              <w:top w:val="nil"/>
              <w:left w:val="nil"/>
              <w:bottom w:val="single" w:color="auto" w:sz="4" w:space="0"/>
              <w:right w:val="single" w:color="auto" w:sz="4" w:space="0"/>
            </w:tcBorders>
            <w:shd w:val="clear" w:color="auto" w:fill="auto"/>
            <w:vAlign w:val="center"/>
          </w:tcPr>
          <w:p w14:paraId="5AC83E4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1、适用于中小型全彩屏。最大带载</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65万点，最高</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2048点，不折行超长带载7968点；≥1个千兆网口输出；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2、硬件配置：≥1.2GHz双核处理器，≥4GByte存储容量，支持USB扩展至</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256GB。支持</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1080P高清硬解码播放，支持H.265超强视频解码；≥1路AUDIO音频输出；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3、支持各种LED驱动芯片和译码芯片，支持静态至1/128扫描之间的任意扫描类型。支持SM16188B模组；</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4、板载通讯接口：</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100M</w:t>
            </w:r>
            <w:r>
              <w:rPr>
                <w:rFonts w:hint="eastAsia" w:asciiTheme="minorEastAsia" w:hAnsiTheme="minorEastAsia" w:eastAsiaTheme="minorEastAsia" w:cstheme="minorEastAsia"/>
                <w:color w:val="000000"/>
                <w:kern w:val="0"/>
                <w:sz w:val="22"/>
                <w:szCs w:val="22"/>
                <w:highlight w:val="none"/>
                <w:lang w:val="en-US" w:eastAsia="zh-CN"/>
              </w:rPr>
              <w:t>的</w:t>
            </w:r>
            <w:r>
              <w:rPr>
                <w:rFonts w:hint="eastAsia" w:asciiTheme="minorEastAsia" w:hAnsiTheme="minorEastAsia" w:eastAsiaTheme="minorEastAsia" w:cstheme="minorEastAsia"/>
                <w:color w:val="000000"/>
                <w:kern w:val="0"/>
                <w:sz w:val="22"/>
                <w:szCs w:val="22"/>
                <w:highlight w:val="none"/>
              </w:rPr>
              <w:t>网口+USB接口+WiFi接口+4G接口+GPS接口</w:t>
            </w:r>
            <w:r>
              <w:rPr>
                <w:rFonts w:hint="eastAsia" w:asciiTheme="minorEastAsia" w:hAnsiTheme="minorEastAsia" w:eastAsiaTheme="minorEastAsia" w:cstheme="minorEastAsia"/>
                <w:color w:val="000000"/>
                <w:kern w:val="0"/>
                <w:sz w:val="22"/>
                <w:szCs w:val="22"/>
                <w:highlight w:val="none"/>
                <w:lang w:val="en-US" w:eastAsia="zh-CN"/>
              </w:rPr>
              <w:t>等</w:t>
            </w:r>
            <w:r>
              <w:rPr>
                <w:rFonts w:hint="eastAsia" w:asciiTheme="minorEastAsia" w:hAnsiTheme="minorEastAsia" w:eastAsiaTheme="minorEastAsia" w:cstheme="minorEastAsia"/>
                <w:color w:val="000000"/>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5、标配亮度、温度、温湿度传感器接口；独立GPS接口，支持校时、定位和测速；</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6、支持</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16级亮度调整，支持三种亮度调整模式：手动调亮、分时段自动调亮和环境自适应调亮；</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7、支持网口单机直连、局域网和互联网通讯。标配无线wifi，支持手机APP，满足无线局域网应用；选配4G，选配GPS；</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8、支持网络自检功能。支持IP在线配置和群组设置，MAC冲突和IP冲突自动检测；</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9、支持MQTT协议，无缝链接物联网平台；</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10、内置LINUX系统。更稳定，更安全；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11、适配国产操作系统，支持TiDB国产数据库；</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12、节目数量不限。支持节目任意位置开窗分区，支持32个区域，特殊需求可定制扩展。支持天气区、图文区、字幕区、视频区、农历区、时间区、模拟表盘、正负计时、传感器区、动态区、网络数据分区等；</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13、支持区域炫彩边框、炫彩字幕和炫动背景；移动速度任意调节。画面移动平滑流畅，左移速度可达≥600点/秒；支持≥32bit真彩OSD，实现视频区和图文区叠加播放，≥256级透明显示；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14、支持节目顺序播放、节目定时播放；支持紧急通知；支持≥32个动态区域，支持信息实时刷新； 支持NTP校时功能，精准同步时间；</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15、支持国内国外天气预报自动更新。国外超过21000个城市，国内支持到所有县区；</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16、支持多屏同步、背景音乐、日志记录、截屏监视等功能；</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17、支持网络数据分区功能，通过服务器端URL并指定字段，动态获取JSON文件数据和JSON字段值；</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18、支持对播放器设置通讯密码； 支持SSL/TLS加密协议，保障通讯信息安全。支持数字签名认证技术，保障素材传输正确和安全；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19、支持配置参数回读、工厂复位、固件升级功能，支持远程维护LED显示屏；极大方便系统维护和功能升级，为客户有效节约成本，降低项目风险；</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20、强大的二次开发配套能力。提供支持WINDOWS/LINUX/ANDROID/iOS 等主要操作系统的二次开发包，包括各种动态库、通讯协议、测试例程等 支持JAVA/C/C++/C#/Delphi等主流编程语言，支持用户在各种平台进行二次开发，最大程度满足用户的个性化定制。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21、专业级的云应用和信息安全管控。提供配套的专业级云平台发布软件和手机App，通过国家信息安全等级保护三级认证；具备用户实名认证、多级角色权限管理、节目编辑/审核/发布、显示屏自适应节目发布等功能；具备远程LED显示屏管理功能、显示屏状态监测功能；具备节目发布报表生成、屏幕信息在线监控、应急多级审核机制的信息安全保障功能。</w:t>
            </w:r>
          </w:p>
        </w:tc>
        <w:tc>
          <w:tcPr>
            <w:tcW w:w="926" w:type="dxa"/>
            <w:tcBorders>
              <w:top w:val="nil"/>
              <w:left w:val="nil"/>
              <w:bottom w:val="single" w:color="auto" w:sz="4" w:space="0"/>
              <w:right w:val="single" w:color="auto" w:sz="4" w:space="0"/>
            </w:tcBorders>
            <w:shd w:val="clear" w:color="auto" w:fill="auto"/>
            <w:vAlign w:val="center"/>
          </w:tcPr>
          <w:p w14:paraId="52F8DDD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513A83F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2F1585C4">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06C47B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5.3</w:t>
            </w:r>
          </w:p>
        </w:tc>
        <w:tc>
          <w:tcPr>
            <w:tcW w:w="989" w:type="dxa"/>
            <w:tcBorders>
              <w:top w:val="nil"/>
              <w:left w:val="nil"/>
              <w:bottom w:val="single" w:color="auto" w:sz="4" w:space="0"/>
              <w:right w:val="single" w:color="auto" w:sz="4" w:space="0"/>
            </w:tcBorders>
            <w:shd w:val="clear" w:color="auto" w:fill="auto"/>
            <w:vAlign w:val="center"/>
          </w:tcPr>
          <w:p w14:paraId="7BF50A1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接收卡</w:t>
            </w:r>
          </w:p>
        </w:tc>
        <w:tc>
          <w:tcPr>
            <w:tcW w:w="5581" w:type="dxa"/>
            <w:tcBorders>
              <w:top w:val="nil"/>
              <w:left w:val="nil"/>
              <w:bottom w:val="single" w:color="auto" w:sz="4" w:space="0"/>
              <w:right w:val="single" w:color="auto" w:sz="4" w:space="0"/>
            </w:tcBorders>
            <w:shd w:val="clear" w:color="auto" w:fill="auto"/>
            <w:vAlign w:val="center"/>
          </w:tcPr>
          <w:p w14:paraId="448F6E5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1、集成</w:t>
            </w:r>
            <w:r>
              <w:rPr>
                <w:rFonts w:hint="eastAsia" w:asciiTheme="minorEastAsia" w:hAnsiTheme="minorEastAsia" w:eastAsiaTheme="minorEastAsia" w:cstheme="minorEastAsia"/>
                <w:color w:val="000000"/>
                <w:kern w:val="0"/>
                <w:sz w:val="22"/>
                <w:szCs w:val="22"/>
                <w:highlight w:val="none"/>
                <w:lang w:val="en-US" w:eastAsia="zh-CN"/>
              </w:rPr>
              <w:t>不少于</w:t>
            </w:r>
            <w:r>
              <w:rPr>
                <w:rFonts w:hint="eastAsia" w:asciiTheme="minorEastAsia" w:hAnsiTheme="minorEastAsia" w:eastAsiaTheme="minorEastAsia" w:cstheme="minorEastAsia"/>
                <w:color w:val="000000"/>
                <w:kern w:val="0"/>
                <w:sz w:val="22"/>
                <w:szCs w:val="22"/>
                <w:highlight w:val="none"/>
              </w:rPr>
              <w:t>12组75接口，24组RGB信号输出，无需转接板；</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2、支持静态至1/128扫描之间的任意扫描类型，支持各种LED驱动芯片和译码芯片，支持各种LED显示模组，支持SM16188B特殊模组；</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3、支持低亮高灰、低灰补偿、色彩还原、逐点校正、快速修缝、RGB独立Gamma调节技术，大幅提升显示屏的画质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4、支持数据对开，有助于显著提升刷新率，；支持数据组任意交换，有助于合理布局接收卡，提升显示屏质量；</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5、支持数据偏移，支持从左到右、从右到左、从上到下、从下到上任意数据走线，支持异形箱体功能、复杂调屏功能，灵活实现各种不规则异形屏幕构造和创意显示控制；</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6、支持画面旋转功能和3D显示功能，满足特殊显示需求；</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7、支持快捷模组配置、智能扫描、智能向导设置、Mapping功能、接收卡定位、内置画布调试等功能模块，调试软件集成各品牌厂家模组配置文件，云端备份，极大方便显示屏快捷安装调试，保障显示屏后期维护；</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8、支持配置参数备份、环路备份功能、自动断电功能，最大程度地保障系统的稳定运行，保障显示屏安全；</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9、支持误码率检测、指示灯状态监控、电源监测、盐雾监测、温湿度监测，提供完备的显示屏运行状态监控功能；</w:t>
            </w:r>
          </w:p>
        </w:tc>
        <w:tc>
          <w:tcPr>
            <w:tcW w:w="926" w:type="dxa"/>
            <w:tcBorders>
              <w:top w:val="nil"/>
              <w:left w:val="nil"/>
              <w:bottom w:val="single" w:color="auto" w:sz="4" w:space="0"/>
              <w:right w:val="single" w:color="auto" w:sz="4" w:space="0"/>
            </w:tcBorders>
            <w:shd w:val="clear" w:color="auto" w:fill="auto"/>
            <w:vAlign w:val="center"/>
          </w:tcPr>
          <w:p w14:paraId="41F82AA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w:t>
            </w:r>
          </w:p>
        </w:tc>
        <w:tc>
          <w:tcPr>
            <w:tcW w:w="558" w:type="dxa"/>
            <w:tcBorders>
              <w:top w:val="nil"/>
              <w:left w:val="nil"/>
              <w:bottom w:val="single" w:color="auto" w:sz="4" w:space="0"/>
              <w:right w:val="single" w:color="auto" w:sz="4" w:space="0"/>
            </w:tcBorders>
            <w:shd w:val="clear" w:color="auto" w:fill="auto"/>
            <w:vAlign w:val="center"/>
          </w:tcPr>
          <w:p w14:paraId="1BFCBF6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块</w:t>
            </w:r>
          </w:p>
        </w:tc>
      </w:tr>
      <w:tr w14:paraId="0610B554">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C147BD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5.4</w:t>
            </w:r>
          </w:p>
        </w:tc>
        <w:tc>
          <w:tcPr>
            <w:tcW w:w="989" w:type="dxa"/>
            <w:tcBorders>
              <w:top w:val="nil"/>
              <w:left w:val="nil"/>
              <w:bottom w:val="single" w:color="auto" w:sz="4" w:space="0"/>
              <w:right w:val="single" w:color="auto" w:sz="4" w:space="0"/>
            </w:tcBorders>
            <w:shd w:val="clear" w:color="auto" w:fill="auto"/>
            <w:vAlign w:val="center"/>
          </w:tcPr>
          <w:p w14:paraId="6AE4A13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电源</w:t>
            </w:r>
          </w:p>
        </w:tc>
        <w:tc>
          <w:tcPr>
            <w:tcW w:w="5581" w:type="dxa"/>
            <w:tcBorders>
              <w:top w:val="nil"/>
              <w:left w:val="nil"/>
              <w:bottom w:val="single" w:color="auto" w:sz="4" w:space="0"/>
              <w:right w:val="single" w:color="auto" w:sz="4" w:space="0"/>
            </w:tcBorders>
            <w:shd w:val="clear" w:color="auto" w:fill="auto"/>
            <w:vAlign w:val="center"/>
          </w:tcPr>
          <w:p w14:paraId="7BA32D0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5V40A200W  输入电压范围：176-264VAC</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输入频率范围：47-63HZ</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额定输入(Vac):200V-240V</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负载调整率：±2%</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稳压精度：±3%</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工作温度：-40℃-70℃</w:t>
            </w:r>
          </w:p>
        </w:tc>
        <w:tc>
          <w:tcPr>
            <w:tcW w:w="926" w:type="dxa"/>
            <w:tcBorders>
              <w:top w:val="nil"/>
              <w:left w:val="nil"/>
              <w:bottom w:val="single" w:color="auto" w:sz="4" w:space="0"/>
              <w:right w:val="single" w:color="auto" w:sz="4" w:space="0"/>
            </w:tcBorders>
            <w:shd w:val="clear" w:color="auto" w:fill="auto"/>
            <w:vAlign w:val="center"/>
          </w:tcPr>
          <w:p w14:paraId="564C7BD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45</w:t>
            </w:r>
          </w:p>
        </w:tc>
        <w:tc>
          <w:tcPr>
            <w:tcW w:w="558" w:type="dxa"/>
            <w:tcBorders>
              <w:top w:val="nil"/>
              <w:left w:val="nil"/>
              <w:bottom w:val="single" w:color="auto" w:sz="4" w:space="0"/>
              <w:right w:val="single" w:color="auto" w:sz="4" w:space="0"/>
            </w:tcBorders>
            <w:shd w:val="clear" w:color="auto" w:fill="auto"/>
            <w:vAlign w:val="center"/>
          </w:tcPr>
          <w:p w14:paraId="68A7A72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个</w:t>
            </w:r>
          </w:p>
        </w:tc>
      </w:tr>
      <w:tr w14:paraId="1C0DF42D">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159D789">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5.5</w:t>
            </w:r>
          </w:p>
        </w:tc>
        <w:tc>
          <w:tcPr>
            <w:tcW w:w="989" w:type="dxa"/>
            <w:tcBorders>
              <w:top w:val="nil"/>
              <w:left w:val="nil"/>
              <w:bottom w:val="single" w:color="auto" w:sz="4" w:space="0"/>
              <w:right w:val="single" w:color="auto" w:sz="4" w:space="0"/>
            </w:tcBorders>
            <w:shd w:val="clear" w:color="auto" w:fill="auto"/>
            <w:vAlign w:val="center"/>
          </w:tcPr>
          <w:p w14:paraId="3310BF3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防水箱体</w:t>
            </w:r>
          </w:p>
        </w:tc>
        <w:tc>
          <w:tcPr>
            <w:tcW w:w="5581" w:type="dxa"/>
            <w:tcBorders>
              <w:top w:val="nil"/>
              <w:left w:val="nil"/>
              <w:bottom w:val="single" w:color="auto" w:sz="4" w:space="0"/>
              <w:right w:val="single" w:color="auto" w:sz="4" w:space="0"/>
            </w:tcBorders>
            <w:shd w:val="clear" w:color="auto" w:fill="auto"/>
            <w:vAlign w:val="center"/>
          </w:tcPr>
          <w:p w14:paraId="20B2C41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材质spcc镀锌钢板，材料厚度≥1.2mm，双层机箱，内置风扇，防风防水，表面静电喷塑，防水≥ip65</w:t>
            </w:r>
          </w:p>
        </w:tc>
        <w:tc>
          <w:tcPr>
            <w:tcW w:w="926" w:type="dxa"/>
            <w:tcBorders>
              <w:top w:val="nil"/>
              <w:left w:val="nil"/>
              <w:bottom w:val="single" w:color="auto" w:sz="4" w:space="0"/>
              <w:right w:val="single" w:color="auto" w:sz="4" w:space="0"/>
            </w:tcBorders>
            <w:shd w:val="clear" w:color="auto" w:fill="auto"/>
            <w:vAlign w:val="center"/>
          </w:tcPr>
          <w:p w14:paraId="297B22D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0B28B419">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0210B36B">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D77F45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5.6</w:t>
            </w:r>
          </w:p>
        </w:tc>
        <w:tc>
          <w:tcPr>
            <w:tcW w:w="989" w:type="dxa"/>
            <w:tcBorders>
              <w:top w:val="nil"/>
              <w:left w:val="nil"/>
              <w:bottom w:val="single" w:color="auto" w:sz="4" w:space="0"/>
              <w:right w:val="single" w:color="auto" w:sz="4" w:space="0"/>
            </w:tcBorders>
            <w:shd w:val="clear" w:color="auto" w:fill="auto"/>
            <w:vAlign w:val="center"/>
          </w:tcPr>
          <w:p w14:paraId="4D7743B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5581" w:type="dxa"/>
            <w:tcBorders>
              <w:top w:val="nil"/>
              <w:left w:val="nil"/>
              <w:bottom w:val="single" w:color="auto" w:sz="4" w:space="0"/>
              <w:right w:val="single" w:color="auto" w:sz="4" w:space="0"/>
            </w:tcBorders>
            <w:shd w:val="clear" w:color="auto" w:fill="auto"/>
            <w:vAlign w:val="center"/>
          </w:tcPr>
          <w:p w14:paraId="2F19B0A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926" w:type="dxa"/>
            <w:tcBorders>
              <w:top w:val="nil"/>
              <w:left w:val="nil"/>
              <w:bottom w:val="single" w:color="auto" w:sz="4" w:space="0"/>
              <w:right w:val="single" w:color="auto" w:sz="4" w:space="0"/>
            </w:tcBorders>
            <w:shd w:val="clear" w:color="auto" w:fill="auto"/>
            <w:vAlign w:val="center"/>
          </w:tcPr>
          <w:p w14:paraId="3ECD87C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0F879D6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418DDF4E">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E901D9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5.7</w:t>
            </w:r>
          </w:p>
        </w:tc>
        <w:tc>
          <w:tcPr>
            <w:tcW w:w="989" w:type="dxa"/>
            <w:tcBorders>
              <w:top w:val="nil"/>
              <w:left w:val="nil"/>
              <w:bottom w:val="single" w:color="auto" w:sz="4" w:space="0"/>
              <w:right w:val="single" w:color="auto" w:sz="4" w:space="0"/>
            </w:tcBorders>
            <w:shd w:val="clear" w:color="auto" w:fill="auto"/>
            <w:vAlign w:val="center"/>
          </w:tcPr>
          <w:p w14:paraId="434EE93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检修平台</w:t>
            </w:r>
          </w:p>
        </w:tc>
        <w:tc>
          <w:tcPr>
            <w:tcW w:w="5581" w:type="dxa"/>
            <w:tcBorders>
              <w:top w:val="nil"/>
              <w:left w:val="nil"/>
              <w:bottom w:val="single" w:color="auto" w:sz="4" w:space="0"/>
              <w:right w:val="single" w:color="auto" w:sz="4" w:space="0"/>
            </w:tcBorders>
            <w:shd w:val="clear" w:color="auto" w:fill="auto"/>
            <w:vAlign w:val="center"/>
          </w:tcPr>
          <w:p w14:paraId="5155436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检修平台材料:40*40-3.0，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平台尺寸:长宽2980mm*600mm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平台宽度：≥600mm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平台长度：≥屏宽 + 两侧各 300mm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平台离地：一般 6–8m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踏板：花纹钢板 / 格栅板，厚度≥4mm，防滑、排水</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踏步间距：300mm ±20mm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踏步：防滑花纹板 / 圆钢，厚度≥2.0mm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护笼：≥2m 以上必须护笼，笼直径 650–800mm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材质：Q235B，热镀锌</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平台宽：400mm</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护栏高：1100mm（上中下三道横杆）</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直梯：400mm 宽，300mm 步距，带护笼</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整体：热镀锌 + 喷塑，黄色警示条</w:t>
            </w:r>
          </w:p>
        </w:tc>
        <w:tc>
          <w:tcPr>
            <w:tcW w:w="926" w:type="dxa"/>
            <w:tcBorders>
              <w:top w:val="nil"/>
              <w:left w:val="nil"/>
              <w:bottom w:val="single" w:color="auto" w:sz="4" w:space="0"/>
              <w:right w:val="single" w:color="auto" w:sz="4" w:space="0"/>
            </w:tcBorders>
            <w:shd w:val="clear" w:color="auto" w:fill="auto"/>
            <w:vAlign w:val="center"/>
          </w:tcPr>
          <w:p w14:paraId="6EF82BB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7D450C9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C486685">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C6C62CD">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5.8</w:t>
            </w:r>
          </w:p>
        </w:tc>
        <w:tc>
          <w:tcPr>
            <w:tcW w:w="989" w:type="dxa"/>
            <w:tcBorders>
              <w:top w:val="nil"/>
              <w:left w:val="nil"/>
              <w:bottom w:val="single" w:color="auto" w:sz="4" w:space="0"/>
              <w:right w:val="single" w:color="auto" w:sz="4" w:space="0"/>
            </w:tcBorders>
            <w:shd w:val="clear" w:color="auto" w:fill="auto"/>
            <w:vAlign w:val="center"/>
          </w:tcPr>
          <w:p w14:paraId="29195E8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辅材</w:t>
            </w:r>
          </w:p>
        </w:tc>
        <w:tc>
          <w:tcPr>
            <w:tcW w:w="5581" w:type="dxa"/>
            <w:tcBorders>
              <w:top w:val="nil"/>
              <w:left w:val="nil"/>
              <w:bottom w:val="single" w:color="auto" w:sz="4" w:space="0"/>
              <w:right w:val="single" w:color="auto" w:sz="4" w:space="0"/>
            </w:tcBorders>
            <w:shd w:val="clear" w:color="auto" w:fill="auto"/>
            <w:vAlign w:val="center"/>
          </w:tcPr>
          <w:p w14:paraId="77A7061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3E941D5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7.83</w:t>
            </w:r>
          </w:p>
        </w:tc>
        <w:tc>
          <w:tcPr>
            <w:tcW w:w="558" w:type="dxa"/>
            <w:tcBorders>
              <w:top w:val="nil"/>
              <w:left w:val="nil"/>
              <w:bottom w:val="single" w:color="auto" w:sz="4" w:space="0"/>
              <w:right w:val="single" w:color="auto" w:sz="4" w:space="0"/>
            </w:tcBorders>
            <w:shd w:val="clear" w:color="auto" w:fill="auto"/>
            <w:vAlign w:val="center"/>
          </w:tcPr>
          <w:p w14:paraId="7FEDF64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2</w:t>
            </w:r>
          </w:p>
        </w:tc>
      </w:tr>
      <w:tr w14:paraId="2B277A09">
        <w:tblPrEx>
          <w:tblCellMar>
            <w:top w:w="0" w:type="dxa"/>
            <w:left w:w="108" w:type="dxa"/>
            <w:bottom w:w="0" w:type="dxa"/>
            <w:right w:w="108" w:type="dxa"/>
          </w:tblCellMar>
        </w:tblPrEx>
        <w:trPr>
          <w:trHeight w:val="11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9CC3C7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w:t>
            </w:r>
          </w:p>
        </w:tc>
        <w:tc>
          <w:tcPr>
            <w:tcW w:w="989" w:type="dxa"/>
            <w:tcBorders>
              <w:top w:val="nil"/>
              <w:left w:val="nil"/>
              <w:bottom w:val="single" w:color="auto" w:sz="4" w:space="0"/>
              <w:right w:val="single" w:color="auto" w:sz="4" w:space="0"/>
            </w:tcBorders>
            <w:shd w:val="clear" w:color="auto" w:fill="auto"/>
            <w:vAlign w:val="center"/>
          </w:tcPr>
          <w:p w14:paraId="14826416">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大屏监看相机</w:t>
            </w:r>
          </w:p>
        </w:tc>
        <w:tc>
          <w:tcPr>
            <w:tcW w:w="5581" w:type="dxa"/>
            <w:tcBorders>
              <w:top w:val="nil"/>
              <w:left w:val="nil"/>
              <w:bottom w:val="single" w:color="auto" w:sz="4" w:space="0"/>
              <w:right w:val="single" w:color="auto" w:sz="4" w:space="0"/>
            </w:tcBorders>
            <w:shd w:val="clear" w:color="auto" w:fill="auto"/>
            <w:vAlign w:val="center"/>
          </w:tcPr>
          <w:p w14:paraId="0BAE88F5">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1、支持输出图像分辨率不低于3840*2160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2、具有不小于1/1.8"靶面尺寸。</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3、最低照度彩色：0.006 lx，最大亮度鉴别等级不小于11级。</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4、支持H.264、H.265视频编码格式，且具有High Profile编码能力。</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5、同一静止场景相同图像质量下，设备在H.264或H.265编码方式时，开启智能编码功能和不开启智能编码相比，码率节约50%。</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6</w:t>
            </w:r>
            <w:r>
              <w:rPr>
                <w:rFonts w:hint="eastAsia" w:asciiTheme="minorEastAsia" w:hAnsiTheme="minorEastAsia" w:eastAsiaTheme="minorEastAsia" w:cstheme="minorEastAsia"/>
                <w:color w:val="000000"/>
                <w:kern w:val="0"/>
                <w:sz w:val="22"/>
                <w:szCs w:val="22"/>
                <w:highlight w:val="none"/>
              </w:rPr>
              <w:t>、具有RTSP和WEB认证模式，具有RTSP认证、WEB认证摘要信息加密设置，加密算法可设置为MD5、SHA256及MD5/SHA256。</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7</w:t>
            </w:r>
            <w:r>
              <w:rPr>
                <w:rFonts w:hint="eastAsia" w:asciiTheme="minorEastAsia" w:hAnsiTheme="minorEastAsia" w:eastAsiaTheme="minorEastAsia" w:cstheme="minorEastAsia"/>
                <w:color w:val="000000"/>
                <w:kern w:val="0"/>
                <w:sz w:val="22"/>
                <w:szCs w:val="22"/>
                <w:highlight w:val="none"/>
              </w:rPr>
              <w:t>、▲镜头前盖采用增强透光玻璃，透过率不小于97%。</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8</w:t>
            </w:r>
            <w:r>
              <w:rPr>
                <w:rFonts w:hint="eastAsia" w:asciiTheme="minorEastAsia" w:hAnsiTheme="minorEastAsia" w:eastAsiaTheme="minorEastAsia" w:cstheme="minorEastAsia"/>
                <w:color w:val="000000"/>
                <w:kern w:val="0"/>
                <w:sz w:val="22"/>
                <w:szCs w:val="22"/>
                <w:highlight w:val="none"/>
              </w:rPr>
              <w:t>、▲镜头前盖玻璃有利于玻璃表面的小水珠自动聚集并易于滑落。</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lang w:val="en-US" w:eastAsia="zh-CN"/>
              </w:rPr>
              <w:t>9</w:t>
            </w:r>
            <w:r>
              <w:rPr>
                <w:rFonts w:hint="eastAsia" w:asciiTheme="minorEastAsia" w:hAnsiTheme="minorEastAsia" w:eastAsiaTheme="minorEastAsia" w:cstheme="minorEastAsia"/>
                <w:color w:val="000000"/>
                <w:kern w:val="0"/>
                <w:sz w:val="22"/>
                <w:szCs w:val="22"/>
                <w:highlight w:val="none"/>
              </w:rPr>
              <w:t>、防护等级不小于IP67。</w:t>
            </w:r>
          </w:p>
        </w:tc>
        <w:tc>
          <w:tcPr>
            <w:tcW w:w="926" w:type="dxa"/>
            <w:tcBorders>
              <w:top w:val="nil"/>
              <w:left w:val="nil"/>
              <w:bottom w:val="single" w:color="auto" w:sz="4" w:space="0"/>
              <w:right w:val="single" w:color="auto" w:sz="4" w:space="0"/>
            </w:tcBorders>
            <w:shd w:val="clear" w:color="auto" w:fill="auto"/>
            <w:vAlign w:val="center"/>
          </w:tcPr>
          <w:p w14:paraId="2447B49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nil"/>
              <w:left w:val="nil"/>
              <w:bottom w:val="single" w:color="auto" w:sz="4" w:space="0"/>
              <w:right w:val="single" w:color="auto" w:sz="4" w:space="0"/>
            </w:tcBorders>
            <w:shd w:val="clear" w:color="auto" w:fill="auto"/>
            <w:vAlign w:val="center"/>
          </w:tcPr>
          <w:p w14:paraId="42A4A720">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386B20F1">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94F195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w:t>
            </w:r>
          </w:p>
        </w:tc>
        <w:tc>
          <w:tcPr>
            <w:tcW w:w="989" w:type="dxa"/>
            <w:tcBorders>
              <w:top w:val="nil"/>
              <w:left w:val="nil"/>
              <w:bottom w:val="single" w:color="auto" w:sz="4" w:space="0"/>
              <w:right w:val="single" w:color="auto" w:sz="4" w:space="0"/>
            </w:tcBorders>
            <w:shd w:val="clear" w:color="auto" w:fill="auto"/>
            <w:vAlign w:val="center"/>
          </w:tcPr>
          <w:p w14:paraId="1A9772FD">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内容管控</w:t>
            </w:r>
          </w:p>
        </w:tc>
        <w:tc>
          <w:tcPr>
            <w:tcW w:w="5581" w:type="dxa"/>
            <w:tcBorders>
              <w:top w:val="nil"/>
              <w:left w:val="nil"/>
              <w:bottom w:val="single" w:color="auto" w:sz="4" w:space="0"/>
              <w:right w:val="single" w:color="auto" w:sz="4" w:space="0"/>
            </w:tcBorders>
            <w:shd w:val="clear" w:color="auto" w:fill="auto"/>
            <w:vAlign w:val="center"/>
          </w:tcPr>
          <w:p w14:paraId="3C44A59C">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1、1U机箱；硬盘容量≥512G，内存≥32G，千兆电口≥2个，USB接口≥4个，扩展槽≥1个，</w:t>
            </w:r>
            <w:r>
              <w:rPr>
                <w:rFonts w:hint="eastAsia" w:asciiTheme="minorEastAsia" w:hAnsiTheme="minorEastAsia" w:eastAsiaTheme="minorEastAsia" w:cstheme="minorEastAsia"/>
                <w:b/>
                <w:bCs/>
                <w:color w:val="000000"/>
                <w:kern w:val="0"/>
                <w:sz w:val="22"/>
                <w:szCs w:val="22"/>
                <w:highlight w:val="none"/>
              </w:rPr>
              <w:t>≥</w:t>
            </w:r>
            <w:r>
              <w:rPr>
                <w:rFonts w:hint="eastAsia" w:asciiTheme="minorEastAsia" w:hAnsiTheme="minorEastAsia" w:eastAsiaTheme="minorEastAsia" w:cstheme="minorEastAsia"/>
                <w:color w:val="000000"/>
                <w:kern w:val="0"/>
                <w:sz w:val="22"/>
                <w:szCs w:val="22"/>
                <w:highlight w:val="none"/>
              </w:rPr>
              <w:t>1个HDMI接口</w:t>
            </w:r>
            <w:r>
              <w:rPr>
                <w:rFonts w:hint="eastAsia" w:asciiTheme="minorEastAsia" w:hAnsiTheme="minorEastAsia" w:eastAsiaTheme="minorEastAsia" w:cstheme="minorEastAsia"/>
                <w:b/>
                <w:bCs/>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1个DP接口</w:t>
            </w:r>
            <w:r>
              <w:rPr>
                <w:rFonts w:hint="eastAsia" w:asciiTheme="minorEastAsia" w:hAnsiTheme="minorEastAsia" w:eastAsiaTheme="minorEastAsia" w:cstheme="minorEastAsia"/>
                <w:b/>
                <w:bCs/>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1个MIC接口</w:t>
            </w:r>
            <w:r>
              <w:rPr>
                <w:rFonts w:hint="eastAsia" w:asciiTheme="minorEastAsia" w:hAnsiTheme="minorEastAsia" w:eastAsiaTheme="minorEastAsia" w:cstheme="minorEastAsia"/>
                <w:b/>
                <w:bCs/>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1个 L-OUT接口。</w:t>
            </w:r>
          </w:p>
          <w:p w14:paraId="140B4E15">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检测涉黄视频或图片10万次，识别准确率不低于99.9%；检测暴恐视频或图片10万次，识别准确率不低于99.9%；检测涉政视频或图片10万次，识别准确率不低于99.9%；检测涉赌视频或图片10万次，识别准确率不低于99.9%；检测涉毒视频或图片10万次，识别准确率不低于99.9%；检测正常视频或图片100万次，误识率不高于1%。</w:t>
            </w:r>
          </w:p>
          <w:p w14:paraId="175E9ED8">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3、检测到违规内容时执行底图遮盖阻断反应的时间≤0.5s；检测到违规内容时执行关机阻断反应的时间≤0.5s。</w:t>
            </w:r>
          </w:p>
          <w:p w14:paraId="39D21A01">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4、支持对所管控的电子屏、网关等资产状态进行展示；支持筛选遮盖、正常、息屏状态的资产；支持人工手动将被遮盖的资产恢复至正常状态；可显示资产在/离线状态，支持远程一键关机功能。</w:t>
            </w:r>
          </w:p>
          <w:p w14:paraId="4E4B5CA9">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5、支持本地上传素材进行检测，检测类型包括压缩包、视频、图片、文本等类型，检测格式包括zip、tar、7z、mp4、mov、m4a、3gp、avi、flv、mpg、asf、jpg、png、pdf、txt等格式。</w:t>
            </w:r>
          </w:p>
          <w:p w14:paraId="51B8CE5A">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支持对素材进行敏感内容与敏感词检测，并对敏感内容与敏感词进行告警，告警内容包括文件名称、敏感类型、敏感词、敏感词类型、任务状态、素材来源、启动时间、告警场景、关键信息、异常统计、更新时间、白名单状态；支持用户输入密码查看与下载敏感素材；支持导出素材检测报告。</w:t>
            </w:r>
          </w:p>
          <w:p w14:paraId="60A4E72C">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7、支持通过本地挂载、远程挂载的方式上传素材进行检测。支持FTP文件扫描，支持定时扫描和周期扫描</w:t>
            </w:r>
          </w:p>
          <w:p w14:paraId="0485CC07">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8、可输入自定义敏感词，输入字符需大于等于2个字符；默认开启底线敏感词模式，自定义的敏感词不允许再添加进敏感词白名单中。</w:t>
            </w:r>
          </w:p>
          <w:p w14:paraId="754AAD90">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支持对终端屏幕播放的敏感内容与敏感词进行告警，敏感内容告警包括告警时间、资产IP、敏感类型、告警场景、拦截策略、白名单状态；敏感词告警包括告警时间、资产IP、敏感词、敏感词类型、告警场景、拦截策略、白名单状态；用户可通过输入密码查看敏感内容与敏感词详情。</w:t>
            </w:r>
          </w:p>
          <w:p w14:paraId="75C4F4FF">
            <w:pPr>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10支持对终端屏幕设置内容检测开关、敏感词检测开关，并支持配置相似度阈值，当检测画面与敏感模型检测相似度高于阈值时可触发告警。</w:t>
            </w:r>
          </w:p>
          <w:p w14:paraId="3B8DD02E">
            <w:pPr>
              <w:pStyle w:val="114"/>
              <w:numPr>
                <w:ilvl w:val="0"/>
                <w:numId w:val="19"/>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支持配置告警时间间隔与拦截策略，拦截策略包含忽略、屏幕遮盖、关机，当检测到屏上内容出现敏感内容或敏感词时，屏幕可播放预置图片或者关机进行处理；预置图片可由用户上传，支持横屏与竖屏展示预览效果。</w:t>
            </w:r>
          </w:p>
          <w:p w14:paraId="5A9455ED">
            <w:pPr>
              <w:pStyle w:val="114"/>
              <w:numPr>
                <w:ilvl w:val="0"/>
                <w:numId w:val="19"/>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▲出场需要做漏洞覆盖测试，不能存在已知中、高风险漏洞</w:t>
            </w:r>
          </w:p>
        </w:tc>
        <w:tc>
          <w:tcPr>
            <w:tcW w:w="926" w:type="dxa"/>
            <w:tcBorders>
              <w:top w:val="nil"/>
              <w:left w:val="nil"/>
              <w:bottom w:val="single" w:color="auto" w:sz="4" w:space="0"/>
              <w:right w:val="single" w:color="auto" w:sz="4" w:space="0"/>
            </w:tcBorders>
            <w:shd w:val="clear" w:color="auto" w:fill="auto"/>
            <w:vAlign w:val="center"/>
          </w:tcPr>
          <w:p w14:paraId="01490B6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63B933A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台</w:t>
            </w:r>
          </w:p>
        </w:tc>
      </w:tr>
      <w:tr w14:paraId="218CBAC0">
        <w:tblPrEx>
          <w:tblCellMar>
            <w:top w:w="0" w:type="dxa"/>
            <w:left w:w="108" w:type="dxa"/>
            <w:bottom w:w="0" w:type="dxa"/>
            <w:right w:w="108" w:type="dxa"/>
          </w:tblCellMar>
        </w:tblPrEx>
        <w:trPr>
          <w:trHeight w:val="116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5428FEB8">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w:t>
            </w:r>
          </w:p>
        </w:tc>
        <w:tc>
          <w:tcPr>
            <w:tcW w:w="989" w:type="dxa"/>
            <w:tcBorders>
              <w:top w:val="single" w:color="auto" w:sz="4" w:space="0"/>
              <w:left w:val="single" w:color="auto" w:sz="4" w:space="0"/>
              <w:bottom w:val="single" w:color="auto" w:sz="4" w:space="0"/>
              <w:right w:val="single" w:color="auto" w:sz="4" w:space="0"/>
            </w:tcBorders>
            <w:shd w:val="clear" w:color="auto" w:fill="auto"/>
            <w:vAlign w:val="center"/>
          </w:tcPr>
          <w:p w14:paraId="41593C2A">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框架-交通诱导屏F型（定制）</w:t>
            </w:r>
          </w:p>
        </w:tc>
        <w:tc>
          <w:tcPr>
            <w:tcW w:w="5581" w:type="dxa"/>
            <w:tcBorders>
              <w:top w:val="single" w:color="auto" w:sz="4" w:space="0"/>
              <w:left w:val="single" w:color="auto" w:sz="4" w:space="0"/>
              <w:bottom w:val="single" w:color="auto" w:sz="4" w:space="0"/>
              <w:right w:val="single" w:color="auto" w:sz="4" w:space="0"/>
            </w:tcBorders>
            <w:shd w:val="clear" w:color="auto" w:fill="auto"/>
            <w:vAlign w:val="center"/>
          </w:tcPr>
          <w:p w14:paraId="2A1D9C9E">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交通诱导屏F型用框架，整体热浸锌，具备优秀的耐腐蚀性，结构稳定，牢固可靠；支持定制颜色，默认颜色银白色；</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国标Q235B，材料厚度T3.0-T10不等</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33459EF6">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single" w:color="auto" w:sz="4" w:space="0"/>
              <w:left w:val="single" w:color="auto" w:sz="4" w:space="0"/>
              <w:bottom w:val="single" w:color="auto" w:sz="4" w:space="0"/>
              <w:right w:val="single" w:color="auto" w:sz="4" w:space="0"/>
            </w:tcBorders>
            <w:shd w:val="clear" w:color="auto" w:fill="auto"/>
            <w:vAlign w:val="center"/>
          </w:tcPr>
          <w:p w14:paraId="2BC96878">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6B6A7C0A">
        <w:tblPrEx>
          <w:tblCellMar>
            <w:top w:w="0" w:type="dxa"/>
            <w:left w:w="108" w:type="dxa"/>
            <w:bottom w:w="0" w:type="dxa"/>
            <w:right w:w="108" w:type="dxa"/>
          </w:tblCellMar>
        </w:tblPrEx>
        <w:trPr>
          <w:trHeight w:val="144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3674151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w:t>
            </w:r>
          </w:p>
        </w:tc>
        <w:tc>
          <w:tcPr>
            <w:tcW w:w="989" w:type="dxa"/>
            <w:tcBorders>
              <w:top w:val="single" w:color="auto" w:sz="4" w:space="0"/>
              <w:left w:val="nil"/>
              <w:bottom w:val="single" w:color="auto" w:sz="4" w:space="0"/>
              <w:right w:val="single" w:color="auto" w:sz="4" w:space="0"/>
            </w:tcBorders>
            <w:shd w:val="clear" w:color="auto" w:fill="auto"/>
            <w:vAlign w:val="center"/>
          </w:tcPr>
          <w:p w14:paraId="3E625A2D">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F杆件</w:t>
            </w:r>
          </w:p>
        </w:tc>
        <w:tc>
          <w:tcPr>
            <w:tcW w:w="5581" w:type="dxa"/>
            <w:tcBorders>
              <w:top w:val="single" w:color="auto" w:sz="4" w:space="0"/>
              <w:left w:val="nil"/>
              <w:bottom w:val="single" w:color="auto" w:sz="4" w:space="0"/>
              <w:right w:val="single" w:color="auto" w:sz="4" w:space="0"/>
            </w:tcBorders>
            <w:shd w:val="clear" w:color="auto" w:fill="auto"/>
            <w:vAlign w:val="center"/>
          </w:tcPr>
          <w:p w14:paraId="566FAC08">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立柱DN425*12</w:t>
            </w:r>
          </w:p>
          <w:p w14:paraId="64285002">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对接钢板20mm</w:t>
            </w:r>
          </w:p>
          <w:p w14:paraId="55B24A0C">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导视屏框架材质200*100*8.0</w:t>
            </w:r>
          </w:p>
          <w:p w14:paraId="6E543832">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立柱高度8米</w:t>
            </w:r>
          </w:p>
          <w:p w14:paraId="6F6588E7">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杆体形式 单悬臂式（F 型），锥形 / 等径杆.适配 P10 诱导屏</w:t>
            </w:r>
          </w:p>
          <w:p w14:paraId="5CB962DB">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立柱规格: 主杆底部 Φ273~Φ325mm，壁厚≥8mm；顶部 Φ165~Φ219mm 材质 Q345B 低合金钢，抗弯强度更高</w:t>
            </w:r>
          </w:p>
          <w:p w14:paraId="77A89B1F">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悬臂规格 悬臂 Φ165~Φ219mm，壁厚≥6mm；长度 3~8m</w:t>
            </w:r>
          </w:p>
          <w:p w14:paraId="58DFA3B1">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超出最外侧车道≥1.5m，满足视距要求</w:t>
            </w:r>
          </w:p>
          <w:p w14:paraId="43CAB27A">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总高度 地面至悬臂最低点≥5.5m（高速）/≥5.0m（城市道路）;</w:t>
            </w:r>
          </w:p>
          <w:p w14:paraId="3B9FD36D">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满足车辆净空要求，无刮擦风险</w:t>
            </w:r>
          </w:p>
          <w:p w14:paraId="454D72CC">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安装方式;</w:t>
            </w:r>
          </w:p>
          <w:p w14:paraId="278FE3F9">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法兰盘连接 + 混凝土基础 法兰盘规格≥Φ450mm，螺栓采用</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 xml:space="preserve"> 8.8 级高强螺栓</w:t>
            </w:r>
          </w:p>
          <w:p w14:paraId="3BF5A679">
            <w:pPr>
              <w:pStyle w:val="119"/>
              <w:widowControl/>
              <w:numPr>
                <w:ilvl w:val="0"/>
                <w:numId w:val="30"/>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本项目 F 杆采用 Q345B 低合金高强度钢制造，采用热浸镀锌 + 静电喷塑双重防腐工艺，按</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 xml:space="preserve"> 50 年一遇基本风压设计，抗风等级≥12 级，悬臂端部挠度≤悬臂长度的 1/150，防腐年限≥15 年，满足 GB/T 23827-2021、JTG D81-2017 等国家及行业标准，可稳定适配 P10 高亮交通诱导屏的户外安装需求。</w:t>
            </w:r>
          </w:p>
        </w:tc>
        <w:tc>
          <w:tcPr>
            <w:tcW w:w="926" w:type="dxa"/>
            <w:tcBorders>
              <w:top w:val="single" w:color="auto" w:sz="4" w:space="0"/>
              <w:left w:val="nil"/>
              <w:bottom w:val="single" w:color="auto" w:sz="4" w:space="0"/>
              <w:right w:val="single" w:color="auto" w:sz="4" w:space="0"/>
            </w:tcBorders>
            <w:shd w:val="clear" w:color="auto" w:fill="auto"/>
            <w:vAlign w:val="center"/>
          </w:tcPr>
          <w:p w14:paraId="563E9A3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w:t>
            </w:r>
          </w:p>
        </w:tc>
        <w:tc>
          <w:tcPr>
            <w:tcW w:w="558" w:type="dxa"/>
            <w:tcBorders>
              <w:top w:val="single" w:color="auto" w:sz="4" w:space="0"/>
              <w:left w:val="nil"/>
              <w:bottom w:val="single" w:color="auto" w:sz="4" w:space="0"/>
              <w:right w:val="single" w:color="auto" w:sz="4" w:space="0"/>
            </w:tcBorders>
            <w:shd w:val="clear" w:color="auto" w:fill="auto"/>
            <w:vAlign w:val="center"/>
          </w:tcPr>
          <w:p w14:paraId="34FFB2F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534999C4">
        <w:tblPrEx>
          <w:tblCellMar>
            <w:top w:w="0" w:type="dxa"/>
            <w:left w:w="108" w:type="dxa"/>
            <w:bottom w:w="0" w:type="dxa"/>
            <w:right w:w="108" w:type="dxa"/>
          </w:tblCellMar>
        </w:tblPrEx>
        <w:trPr>
          <w:trHeight w:val="10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4C4B3E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w:t>
            </w:r>
          </w:p>
        </w:tc>
        <w:tc>
          <w:tcPr>
            <w:tcW w:w="989" w:type="dxa"/>
            <w:tcBorders>
              <w:top w:val="nil"/>
              <w:left w:val="nil"/>
              <w:bottom w:val="single" w:color="auto" w:sz="4" w:space="0"/>
              <w:right w:val="single" w:color="auto" w:sz="4" w:space="0"/>
            </w:tcBorders>
            <w:shd w:val="clear" w:color="auto" w:fill="auto"/>
            <w:vAlign w:val="center"/>
          </w:tcPr>
          <w:p w14:paraId="5ED70CEE">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地笼</w:t>
            </w:r>
          </w:p>
        </w:tc>
        <w:tc>
          <w:tcPr>
            <w:tcW w:w="5581" w:type="dxa"/>
            <w:tcBorders>
              <w:top w:val="nil"/>
              <w:left w:val="nil"/>
              <w:bottom w:val="single" w:color="auto" w:sz="4" w:space="0"/>
              <w:right w:val="single" w:color="auto" w:sz="4" w:space="0"/>
            </w:tcBorders>
            <w:shd w:val="clear" w:color="auto" w:fill="auto"/>
            <w:vAlign w:val="center"/>
          </w:tcPr>
          <w:p w14:paraId="0DC69D12">
            <w:pPr>
              <w:pStyle w:val="119"/>
              <w:widowControl/>
              <w:numPr>
                <w:ilvl w:val="0"/>
                <w:numId w:val="31"/>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基础规格 混凝土基础尺寸≥2m×2m×2m（根据杆体重量调整） 采用 C30 混凝土，含预埋螺栓笼</w:t>
            </w:r>
          </w:p>
          <w:p w14:paraId="2BED1FD5">
            <w:pPr>
              <w:pStyle w:val="119"/>
              <w:widowControl/>
              <w:numPr>
                <w:ilvl w:val="0"/>
                <w:numId w:val="31"/>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安装误差 杆体倾斜度≤1°，悬臂水平偏差≤2° 保证屏体视角与车道夹角≤15°，不反光、不刺眼</w:t>
            </w:r>
          </w:p>
          <w:p w14:paraId="1AD304E6">
            <w:pPr>
              <w:pStyle w:val="119"/>
              <w:widowControl/>
              <w:numPr>
                <w:ilvl w:val="0"/>
                <w:numId w:val="31"/>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配件材质 螺栓、螺母、垫片均采用不锈钢 / 镀锌高强件 防松动、防腐蚀，适配户外环境</w:t>
            </w:r>
          </w:p>
          <w:p w14:paraId="3C600214">
            <w:pPr>
              <w:pStyle w:val="119"/>
              <w:widowControl/>
              <w:numPr>
                <w:ilvl w:val="0"/>
                <w:numId w:val="31"/>
              </w:numPr>
              <w:spacing w:line="360" w:lineRule="auto"/>
              <w:ind w:firstLineChars="0"/>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屏体安装 预留屏体安装法兰，四周预留≥20mm 安装缝隙 便于后期维护，防止热胀冷缩变形地笼 钢筋</w:t>
            </w:r>
          </w:p>
        </w:tc>
        <w:tc>
          <w:tcPr>
            <w:tcW w:w="926" w:type="dxa"/>
            <w:tcBorders>
              <w:top w:val="nil"/>
              <w:left w:val="nil"/>
              <w:bottom w:val="single" w:color="auto" w:sz="4" w:space="0"/>
              <w:right w:val="single" w:color="auto" w:sz="4" w:space="0"/>
            </w:tcBorders>
            <w:shd w:val="clear" w:color="auto" w:fill="auto"/>
            <w:vAlign w:val="center"/>
          </w:tcPr>
          <w:p w14:paraId="09697457">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w:t>
            </w:r>
          </w:p>
        </w:tc>
        <w:tc>
          <w:tcPr>
            <w:tcW w:w="558" w:type="dxa"/>
            <w:tcBorders>
              <w:top w:val="nil"/>
              <w:left w:val="nil"/>
              <w:bottom w:val="single" w:color="auto" w:sz="4" w:space="0"/>
              <w:right w:val="single" w:color="auto" w:sz="4" w:space="0"/>
            </w:tcBorders>
            <w:shd w:val="clear" w:color="auto" w:fill="auto"/>
            <w:vAlign w:val="center"/>
          </w:tcPr>
          <w:p w14:paraId="2A60FDE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73F6C014">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5F2FF28">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11</w:t>
            </w:r>
          </w:p>
        </w:tc>
        <w:tc>
          <w:tcPr>
            <w:tcW w:w="989" w:type="dxa"/>
            <w:tcBorders>
              <w:top w:val="nil"/>
              <w:left w:val="nil"/>
              <w:bottom w:val="single" w:color="auto" w:sz="4" w:space="0"/>
              <w:right w:val="single" w:color="auto" w:sz="4" w:space="0"/>
            </w:tcBorders>
            <w:shd w:val="clear" w:color="auto" w:fill="auto"/>
            <w:vAlign w:val="center"/>
          </w:tcPr>
          <w:p w14:paraId="12FB5FCC">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商混</w:t>
            </w:r>
          </w:p>
        </w:tc>
        <w:tc>
          <w:tcPr>
            <w:tcW w:w="5581" w:type="dxa"/>
            <w:tcBorders>
              <w:top w:val="nil"/>
              <w:left w:val="nil"/>
              <w:bottom w:val="single" w:color="auto" w:sz="4" w:space="0"/>
              <w:right w:val="single" w:color="auto" w:sz="4" w:space="0"/>
            </w:tcBorders>
            <w:shd w:val="clear" w:color="auto" w:fill="auto"/>
            <w:vAlign w:val="center"/>
          </w:tcPr>
          <w:p w14:paraId="2B4E77BF">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商品混凝土C25</w:t>
            </w:r>
          </w:p>
        </w:tc>
        <w:tc>
          <w:tcPr>
            <w:tcW w:w="926" w:type="dxa"/>
            <w:tcBorders>
              <w:top w:val="nil"/>
              <w:left w:val="nil"/>
              <w:bottom w:val="single" w:color="auto" w:sz="4" w:space="0"/>
              <w:right w:val="single" w:color="auto" w:sz="4" w:space="0"/>
            </w:tcBorders>
            <w:shd w:val="clear" w:color="auto" w:fill="auto"/>
            <w:vAlign w:val="center"/>
          </w:tcPr>
          <w:p w14:paraId="45A442E4">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55</w:t>
            </w:r>
          </w:p>
        </w:tc>
        <w:tc>
          <w:tcPr>
            <w:tcW w:w="558" w:type="dxa"/>
            <w:tcBorders>
              <w:top w:val="nil"/>
              <w:left w:val="nil"/>
              <w:bottom w:val="single" w:color="auto" w:sz="4" w:space="0"/>
              <w:right w:val="single" w:color="auto" w:sz="4" w:space="0"/>
            </w:tcBorders>
            <w:shd w:val="clear" w:color="auto" w:fill="auto"/>
            <w:vAlign w:val="center"/>
          </w:tcPr>
          <w:p w14:paraId="4A4511E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m</w:t>
            </w:r>
            <w:r>
              <w:rPr>
                <w:rFonts w:hint="eastAsia" w:asciiTheme="minorEastAsia" w:hAnsiTheme="minorEastAsia" w:eastAsiaTheme="minorEastAsia" w:cstheme="minorEastAsia"/>
                <w:color w:val="000000"/>
                <w:kern w:val="0"/>
                <w:sz w:val="22"/>
                <w:szCs w:val="22"/>
                <w:highlight w:val="none"/>
                <w:vertAlign w:val="superscript"/>
              </w:rPr>
              <w:t>3</w:t>
            </w:r>
          </w:p>
        </w:tc>
      </w:tr>
      <w:tr w14:paraId="02C184FF">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8F6AE1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w:t>
            </w:r>
          </w:p>
        </w:tc>
        <w:tc>
          <w:tcPr>
            <w:tcW w:w="989" w:type="dxa"/>
            <w:tcBorders>
              <w:top w:val="nil"/>
              <w:left w:val="nil"/>
              <w:bottom w:val="single" w:color="auto" w:sz="4" w:space="0"/>
              <w:right w:val="single" w:color="auto" w:sz="4" w:space="0"/>
            </w:tcBorders>
            <w:shd w:val="clear" w:color="auto" w:fill="auto"/>
            <w:vAlign w:val="center"/>
          </w:tcPr>
          <w:p w14:paraId="016C31CC">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诱导屏配电柜</w:t>
            </w:r>
          </w:p>
        </w:tc>
        <w:tc>
          <w:tcPr>
            <w:tcW w:w="5581" w:type="dxa"/>
            <w:tcBorders>
              <w:top w:val="nil"/>
              <w:left w:val="nil"/>
              <w:bottom w:val="single" w:color="auto" w:sz="4" w:space="0"/>
              <w:right w:val="single" w:color="auto" w:sz="4" w:space="0"/>
            </w:tcBorders>
            <w:shd w:val="clear" w:color="auto" w:fill="auto"/>
            <w:vAlign w:val="center"/>
          </w:tcPr>
          <w:p w14:paraId="1AE6EF40">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挂杆式，镀锌钢板，含空开，模数化插座，接线端子等配件。</w:t>
            </w:r>
          </w:p>
        </w:tc>
        <w:tc>
          <w:tcPr>
            <w:tcW w:w="926" w:type="dxa"/>
            <w:tcBorders>
              <w:top w:val="nil"/>
              <w:left w:val="nil"/>
              <w:bottom w:val="single" w:color="auto" w:sz="4" w:space="0"/>
              <w:right w:val="single" w:color="auto" w:sz="4" w:space="0"/>
            </w:tcBorders>
            <w:shd w:val="clear" w:color="auto" w:fill="auto"/>
            <w:vAlign w:val="center"/>
          </w:tcPr>
          <w:p w14:paraId="27CC574C">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558" w:type="dxa"/>
            <w:tcBorders>
              <w:top w:val="nil"/>
              <w:left w:val="nil"/>
              <w:bottom w:val="single" w:color="auto" w:sz="4" w:space="0"/>
              <w:right w:val="single" w:color="auto" w:sz="4" w:space="0"/>
            </w:tcBorders>
            <w:shd w:val="clear" w:color="auto" w:fill="auto"/>
            <w:vAlign w:val="center"/>
          </w:tcPr>
          <w:p w14:paraId="7B0B96D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40D7CD86">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0F8424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w:t>
            </w:r>
          </w:p>
        </w:tc>
        <w:tc>
          <w:tcPr>
            <w:tcW w:w="989" w:type="dxa"/>
            <w:tcBorders>
              <w:top w:val="nil"/>
              <w:left w:val="nil"/>
              <w:bottom w:val="single" w:color="auto" w:sz="4" w:space="0"/>
              <w:right w:val="single" w:color="auto" w:sz="4" w:space="0"/>
            </w:tcBorders>
            <w:shd w:val="clear" w:color="auto" w:fill="auto"/>
            <w:vAlign w:val="center"/>
          </w:tcPr>
          <w:p w14:paraId="038195C4">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3A4970B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详见参数13.1-13.8</w:t>
            </w:r>
          </w:p>
        </w:tc>
        <w:tc>
          <w:tcPr>
            <w:tcW w:w="926" w:type="dxa"/>
            <w:tcBorders>
              <w:top w:val="nil"/>
              <w:left w:val="nil"/>
              <w:bottom w:val="single" w:color="auto" w:sz="4" w:space="0"/>
              <w:right w:val="single" w:color="auto" w:sz="4" w:space="0"/>
            </w:tcBorders>
            <w:shd w:val="clear" w:color="auto" w:fill="auto"/>
            <w:vAlign w:val="center"/>
          </w:tcPr>
          <w:p w14:paraId="6F237EE1">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23</w:t>
            </w:r>
          </w:p>
        </w:tc>
        <w:tc>
          <w:tcPr>
            <w:tcW w:w="558" w:type="dxa"/>
            <w:tcBorders>
              <w:top w:val="nil"/>
              <w:left w:val="nil"/>
              <w:bottom w:val="single" w:color="auto" w:sz="4" w:space="0"/>
              <w:right w:val="single" w:color="auto" w:sz="4" w:space="0"/>
            </w:tcBorders>
            <w:shd w:val="clear" w:color="auto" w:fill="auto"/>
            <w:vAlign w:val="center"/>
          </w:tcPr>
          <w:p w14:paraId="65705CC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DC6F3D6">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A0B356D">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13.1</w:t>
            </w:r>
          </w:p>
        </w:tc>
        <w:tc>
          <w:tcPr>
            <w:tcW w:w="989" w:type="dxa"/>
            <w:tcBorders>
              <w:top w:val="nil"/>
              <w:left w:val="nil"/>
              <w:bottom w:val="single" w:color="auto" w:sz="4" w:space="0"/>
              <w:right w:val="single" w:color="auto" w:sz="4" w:space="0"/>
            </w:tcBorders>
            <w:shd w:val="clear" w:color="auto" w:fill="auto"/>
            <w:vAlign w:val="center"/>
          </w:tcPr>
          <w:p w14:paraId="671F7AB6">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34B6D262">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像素间距 常规采用 P10 点间距；</w:t>
            </w:r>
          </w:p>
          <w:p w14:paraId="369B6206">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像素密度 P10：10000 点 /㎡；</w:t>
            </w:r>
          </w:p>
          <w:p w14:paraId="314C9D78">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显示内容剩余车位数；</w:t>
            </w:r>
          </w:p>
          <w:p w14:paraId="1CD6BC03">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显示位数 总车位数：4 位 / 5 位数字；剩余车位数：4 位数字；</w:t>
            </w:r>
          </w:p>
          <w:p w14:paraId="4B956E89">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数字字高 ≥160mm（确保 100 米外清晰可见）；</w:t>
            </w:r>
          </w:p>
          <w:p w14:paraId="305AFB58">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箱体尺寸 高度 1800~2200mm，宽度 600~800mm，厚度 100~150mm（可定制）；</w:t>
            </w:r>
          </w:p>
          <w:p w14:paraId="0734CDFF">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标准的通讯方式为RJ45，可单独或联网使用。显示内容可以是整个车库的空余车位余数，也可以是各区的空车位余数。通过管理系统获知空车位的占用情况，并反映在入口信息引导屏上。驾车者根据入口信息引导屏可以知道空余车位的数量以及前往具有空车位停车区的行进方向；</w:t>
            </w:r>
          </w:p>
          <w:p w14:paraId="7E549883">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箱体材质 镀锌钢板 / 铝合金型材，喷塑防腐处理；</w:t>
            </w:r>
          </w:p>
          <w:p w14:paraId="3C85B170">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防护等级≥IP65（正面）/≥IP54（背面），户外防水防尘；</w:t>
            </w:r>
          </w:p>
          <w:p w14:paraId="2F8622BD">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红色≥3000cd/㎡，绿色≥4000cd/㎡，支持自动亮度调节；</w:t>
            </w:r>
          </w:p>
          <w:p w14:paraId="510D628A">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工作环境 -20℃ ~ +60℃，湿度 10%~95% RH（无凝露）；</w:t>
            </w:r>
          </w:p>
          <w:p w14:paraId="05CA2757">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供电方式 AC220V±15%，50Hz，单台功率≤150W；</w:t>
            </w:r>
          </w:p>
          <w:p w14:paraId="6BC31139">
            <w:pPr>
              <w:pStyle w:val="119"/>
              <w:widowControl/>
              <w:numPr>
                <w:ilvl w:val="0"/>
                <w:numId w:val="32"/>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通讯协议支持与主流停车场管理系统对接（如韦根、RS485 协议）。</w:t>
            </w:r>
          </w:p>
        </w:tc>
        <w:tc>
          <w:tcPr>
            <w:tcW w:w="926" w:type="dxa"/>
            <w:tcBorders>
              <w:top w:val="nil"/>
              <w:left w:val="nil"/>
              <w:bottom w:val="single" w:color="auto" w:sz="4" w:space="0"/>
              <w:right w:val="single" w:color="auto" w:sz="4" w:space="0"/>
            </w:tcBorders>
            <w:shd w:val="clear" w:color="auto" w:fill="auto"/>
            <w:vAlign w:val="center"/>
          </w:tcPr>
          <w:p w14:paraId="010A56FE">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0FAE5FB5">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0F421255">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C199B8D">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13.2</w:t>
            </w:r>
          </w:p>
        </w:tc>
        <w:tc>
          <w:tcPr>
            <w:tcW w:w="989" w:type="dxa"/>
            <w:tcBorders>
              <w:top w:val="nil"/>
              <w:left w:val="nil"/>
              <w:bottom w:val="single" w:color="auto" w:sz="4" w:space="0"/>
              <w:right w:val="single" w:color="auto" w:sz="4" w:space="0"/>
            </w:tcBorders>
            <w:shd w:val="clear" w:color="auto" w:fill="auto"/>
            <w:vAlign w:val="center"/>
          </w:tcPr>
          <w:p w14:paraId="2F13AF7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控制器</w:t>
            </w:r>
          </w:p>
        </w:tc>
        <w:tc>
          <w:tcPr>
            <w:tcW w:w="5581" w:type="dxa"/>
            <w:tcBorders>
              <w:top w:val="nil"/>
              <w:left w:val="nil"/>
              <w:bottom w:val="single" w:color="auto" w:sz="4" w:space="0"/>
              <w:right w:val="single" w:color="auto" w:sz="4" w:space="0"/>
            </w:tcBorders>
            <w:shd w:val="clear" w:color="auto" w:fill="auto"/>
            <w:vAlign w:val="center"/>
          </w:tcPr>
          <w:p w14:paraId="79456B5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1.亮度控制：1-100可调（逐级白平衡）；</w:t>
            </w:r>
          </w:p>
          <w:p w14:paraId="66668EC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2.输入帧率：25Hz-60Hz；</w:t>
            </w:r>
          </w:p>
          <w:p w14:paraId="54183BF6">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3.显示颜色不低于1600w；</w:t>
            </w:r>
          </w:p>
          <w:p w14:paraId="2146B68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4.处理深度不低于8bit；</w:t>
            </w:r>
          </w:p>
          <w:p w14:paraId="4CF0FDE8">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5.支持图像缩放；</w:t>
            </w:r>
          </w:p>
          <w:p w14:paraId="09E34E6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6.平均功耗≤11W；</w:t>
            </w:r>
          </w:p>
          <w:p w14:paraId="77F3DD5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7.至少一个电源接口；</w:t>
            </w:r>
          </w:p>
          <w:p w14:paraId="16DC4BE9">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8.电源接口规格：12V，Φ2.1；</w:t>
            </w:r>
          </w:p>
          <w:p w14:paraId="3EF7718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9.工作湿度：10% ～ 90%，无冷凝；</w:t>
            </w:r>
          </w:p>
          <w:p w14:paraId="4E938FC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10.至少1路HDMI音频内嵌输入接口；</w:t>
            </w:r>
          </w:p>
          <w:p w14:paraId="1E903E0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11. 至少1路HDMI1.3或1路Android内置视频输入接口；</w:t>
            </w:r>
          </w:p>
          <w:p w14:paraId="1F77CB9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12.最大支持分辨率：1920*1080@60Hz；</w:t>
            </w:r>
          </w:p>
          <w:p w14:paraId="63AD04E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13.最小支持分辨率：320*180@60Hz；</w:t>
            </w:r>
          </w:p>
          <w:p w14:paraId="413EC40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14.可自定义分辨率，总分辨率不超过 207W@60；</w:t>
            </w:r>
          </w:p>
          <w:p w14:paraId="3D4831D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15.极限宽度：320~2048 对齐方式：4对齐；</w:t>
            </w:r>
          </w:p>
          <w:p w14:paraId="1A23D17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16.极限高度：180~2048 对齐方式：2对齐；</w:t>
            </w:r>
          </w:p>
          <w:p w14:paraId="7D1799C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17.视频输出LED带载能力：单网口带载65W；</w:t>
            </w:r>
          </w:p>
          <w:p w14:paraId="28E358D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18.宽度32~2048;对齐方式：2对齐；</w:t>
            </w:r>
          </w:p>
          <w:p w14:paraId="63D65B5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19.高度16~2048;对齐方式：1对齐；</w:t>
            </w:r>
          </w:p>
          <w:p w14:paraId="688A086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20.最大带载不超过65W；</w:t>
            </w:r>
          </w:p>
          <w:p w14:paraId="6228EBA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21.LED带载接口数不少于1；</w:t>
            </w:r>
          </w:p>
          <w:p w14:paraId="4391677A">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22.LED带载接口类型：RJ45；</w:t>
            </w:r>
          </w:p>
          <w:p w14:paraId="671FA1F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23.音频输出接口类型：3.5mm 音频输出；</w:t>
            </w:r>
          </w:p>
          <w:p w14:paraId="1E1855A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24.内存容量≥2GB；</w:t>
            </w:r>
          </w:p>
          <w:p w14:paraId="32DD63C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25.存储容量≥64GB；</w:t>
            </w:r>
          </w:p>
          <w:p w14:paraId="45B82116">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26.CPU：≥4核64位ARM cortex-A53 2.0GHz；</w:t>
            </w:r>
          </w:p>
          <w:p w14:paraId="6C6FB76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27.支持HDMI和Android源切换；</w:t>
            </w:r>
          </w:p>
          <w:p w14:paraId="12B1544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28.USB口：1路USB</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2.0</w:t>
            </w:r>
            <w:r>
              <w:rPr>
                <w:rFonts w:hint="eastAsia" w:asciiTheme="minorEastAsia" w:hAnsiTheme="minorEastAsia" w:eastAsiaTheme="minorEastAsia" w:cstheme="minorEastAsia"/>
                <w:color w:val="000000"/>
                <w:kern w:val="0"/>
                <w:sz w:val="22"/>
                <w:szCs w:val="22"/>
                <w:highlight w:val="none"/>
                <w:lang w:val="en-US" w:eastAsia="zh-CN"/>
              </w:rPr>
              <w:t>及以上</w:t>
            </w:r>
            <w:r>
              <w:rPr>
                <w:rFonts w:hint="eastAsia" w:asciiTheme="minorEastAsia" w:hAnsiTheme="minorEastAsia" w:eastAsiaTheme="minorEastAsia" w:cstheme="minorEastAsia"/>
                <w:color w:val="000000"/>
                <w:kern w:val="0"/>
                <w:sz w:val="22"/>
                <w:szCs w:val="22"/>
                <w:highlight w:val="none"/>
                <w:lang w:eastAsia="zh-CN"/>
              </w:rPr>
              <w:t>）</w:t>
            </w:r>
            <w:r>
              <w:rPr>
                <w:rFonts w:hint="eastAsia" w:asciiTheme="minorEastAsia" w:hAnsiTheme="minorEastAsia" w:eastAsiaTheme="minorEastAsia" w:cstheme="minorEastAsia"/>
                <w:color w:val="000000"/>
                <w:kern w:val="0"/>
                <w:sz w:val="22"/>
                <w:szCs w:val="22"/>
                <w:highlight w:val="none"/>
              </w:rPr>
              <w:t>；</w:t>
            </w:r>
          </w:p>
          <w:p w14:paraId="7E23FF4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29.控制网口：≥1个RJ45，10M/100M/1000M自适应以太网口</w:t>
            </w:r>
          </w:p>
        </w:tc>
        <w:tc>
          <w:tcPr>
            <w:tcW w:w="926" w:type="dxa"/>
            <w:tcBorders>
              <w:top w:val="nil"/>
              <w:left w:val="nil"/>
              <w:bottom w:val="single" w:color="auto" w:sz="4" w:space="0"/>
              <w:right w:val="single" w:color="auto" w:sz="4" w:space="0"/>
            </w:tcBorders>
            <w:shd w:val="clear" w:color="auto" w:fill="auto"/>
            <w:vAlign w:val="center"/>
          </w:tcPr>
          <w:p w14:paraId="03FA07DB">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295188F8">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1F07407C">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3C7173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13.3</w:t>
            </w:r>
          </w:p>
        </w:tc>
        <w:tc>
          <w:tcPr>
            <w:tcW w:w="989" w:type="dxa"/>
            <w:tcBorders>
              <w:top w:val="nil"/>
              <w:left w:val="nil"/>
              <w:bottom w:val="single" w:color="auto" w:sz="4" w:space="0"/>
              <w:right w:val="single" w:color="auto" w:sz="4" w:space="0"/>
            </w:tcBorders>
            <w:shd w:val="clear" w:color="auto" w:fill="auto"/>
            <w:vAlign w:val="center"/>
          </w:tcPr>
          <w:p w14:paraId="10A3963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接收卡</w:t>
            </w:r>
          </w:p>
        </w:tc>
        <w:tc>
          <w:tcPr>
            <w:tcW w:w="5581" w:type="dxa"/>
            <w:tcBorders>
              <w:top w:val="nil"/>
              <w:left w:val="nil"/>
              <w:bottom w:val="single" w:color="auto" w:sz="4" w:space="0"/>
              <w:right w:val="single" w:color="auto" w:sz="4" w:space="0"/>
            </w:tcBorders>
            <w:shd w:val="clear" w:color="auto" w:fill="auto"/>
            <w:vAlign w:val="center"/>
          </w:tcPr>
          <w:p w14:paraId="226D80F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1、单卡最大带载</w:t>
            </w:r>
            <w:r>
              <w:rPr>
                <w:rFonts w:hint="eastAsia" w:asciiTheme="minorEastAsia" w:hAnsiTheme="minorEastAsia" w:eastAsiaTheme="minorEastAsia" w:cstheme="minorEastAsia"/>
                <w:color w:val="000000"/>
                <w:kern w:val="0"/>
                <w:sz w:val="22"/>
                <w:szCs w:val="22"/>
                <w:highlight w:val="none"/>
                <w:lang w:val="en-US" w:eastAsia="zh-CN"/>
              </w:rPr>
              <w:t>不低于</w:t>
            </w:r>
            <w:r>
              <w:rPr>
                <w:rFonts w:hint="eastAsia" w:asciiTheme="minorEastAsia" w:hAnsiTheme="minorEastAsia" w:eastAsiaTheme="minorEastAsia" w:cstheme="minorEastAsia"/>
                <w:color w:val="000000"/>
                <w:kern w:val="0"/>
                <w:sz w:val="22"/>
                <w:szCs w:val="22"/>
                <w:highlight w:val="none"/>
              </w:rPr>
              <w:t>512*512@60HZ；</w:t>
            </w:r>
          </w:p>
          <w:p w14:paraId="096C7DAD">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2、支持配合3D功能控制器，输出3D画面实现主动式3D效果；</w:t>
            </w:r>
          </w:p>
          <w:p w14:paraId="6B89DC4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3、支持调价图像Gamma参数，有效控制显示屏低灰不均匀等问题，使画面更加真实；</w:t>
            </w:r>
          </w:p>
          <w:p w14:paraId="40E79E3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4、支持控制画面以90度的倍数旋转显示；</w:t>
            </w:r>
          </w:p>
          <w:p w14:paraId="347E730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5、支持在现实屏上标识颜色和编号，使用户清晰获取接收卡位置和走线方式，快速完成配屏操作；</w:t>
            </w:r>
          </w:p>
          <w:p w14:paraId="7D8C1F0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6、支持接收卡程序和配置一键复制到其他接收卡，快速完成配置；</w:t>
            </w:r>
          </w:p>
          <w:p w14:paraId="04D7D5A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7、支持系统环路备份链接，链路节点异常时自动切换数据方向，维持屏幕正常显示；</w:t>
            </w:r>
          </w:p>
          <w:p w14:paraId="02FA088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8、支持程序双备份，防止程序更新过程异常导致接收卡死锁问题；</w:t>
            </w:r>
          </w:p>
          <w:p w14:paraId="633EA2E5">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9、HUB接口：不少于12路HUB75E；</w:t>
            </w:r>
          </w:p>
          <w:p w14:paraId="7FD5BBC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10、支持千兆网直连功能，可在PC端客户端进行调试和显示。</w:t>
            </w:r>
          </w:p>
        </w:tc>
        <w:tc>
          <w:tcPr>
            <w:tcW w:w="926" w:type="dxa"/>
            <w:tcBorders>
              <w:top w:val="nil"/>
              <w:left w:val="nil"/>
              <w:bottom w:val="single" w:color="auto" w:sz="4" w:space="0"/>
              <w:right w:val="single" w:color="auto" w:sz="4" w:space="0"/>
            </w:tcBorders>
            <w:shd w:val="clear" w:color="auto" w:fill="auto"/>
            <w:vAlign w:val="center"/>
          </w:tcPr>
          <w:p w14:paraId="0CCECE2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18AE97B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块</w:t>
            </w:r>
          </w:p>
        </w:tc>
      </w:tr>
      <w:tr w14:paraId="6F616497">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15A931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13.4</w:t>
            </w:r>
          </w:p>
        </w:tc>
        <w:tc>
          <w:tcPr>
            <w:tcW w:w="989" w:type="dxa"/>
            <w:tcBorders>
              <w:top w:val="nil"/>
              <w:left w:val="nil"/>
              <w:bottom w:val="single" w:color="auto" w:sz="4" w:space="0"/>
              <w:right w:val="single" w:color="auto" w:sz="4" w:space="0"/>
            </w:tcBorders>
            <w:shd w:val="clear" w:color="auto" w:fill="auto"/>
            <w:vAlign w:val="center"/>
          </w:tcPr>
          <w:p w14:paraId="6595F49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电源</w:t>
            </w:r>
          </w:p>
        </w:tc>
        <w:tc>
          <w:tcPr>
            <w:tcW w:w="5581" w:type="dxa"/>
            <w:tcBorders>
              <w:top w:val="nil"/>
              <w:left w:val="nil"/>
              <w:bottom w:val="single" w:color="auto" w:sz="4" w:space="0"/>
              <w:right w:val="single" w:color="auto" w:sz="4" w:space="0"/>
            </w:tcBorders>
            <w:shd w:val="clear" w:color="auto" w:fill="auto"/>
            <w:vAlign w:val="center"/>
          </w:tcPr>
          <w:p w14:paraId="4AF6003E">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5V40A200W  输入电压范围：176-264VAC；</w:t>
            </w:r>
          </w:p>
          <w:p w14:paraId="4188AC33">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输入频率范围：47-63HZ；</w:t>
            </w:r>
          </w:p>
          <w:p w14:paraId="23C3C1AB">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额定输入(Vac):200V-240V；</w:t>
            </w:r>
          </w:p>
          <w:p w14:paraId="0F5F8361">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输出(vdc):5V/60A；</w:t>
            </w:r>
          </w:p>
          <w:p w14:paraId="4241BD65">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输出电压范围：4.85V-5.15V；</w:t>
            </w:r>
          </w:p>
          <w:p w14:paraId="20CCB01F">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负载调整率：±2%；</w:t>
            </w:r>
          </w:p>
          <w:p w14:paraId="7BCA746B">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稳压精度：±3%；</w:t>
            </w:r>
          </w:p>
          <w:p w14:paraId="373FCA1E">
            <w:pPr>
              <w:pStyle w:val="119"/>
              <w:widowControl/>
              <w:numPr>
                <w:ilvl w:val="0"/>
                <w:numId w:val="33"/>
              </w:numPr>
              <w:spacing w:line="360" w:lineRule="auto"/>
              <w:ind w:firstLineChars="0"/>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工作温度：-40℃-70℃；</w:t>
            </w:r>
          </w:p>
        </w:tc>
        <w:tc>
          <w:tcPr>
            <w:tcW w:w="926" w:type="dxa"/>
            <w:tcBorders>
              <w:top w:val="nil"/>
              <w:left w:val="nil"/>
              <w:bottom w:val="single" w:color="auto" w:sz="4" w:space="0"/>
              <w:right w:val="single" w:color="auto" w:sz="4" w:space="0"/>
            </w:tcBorders>
            <w:shd w:val="clear" w:color="auto" w:fill="auto"/>
            <w:vAlign w:val="center"/>
          </w:tcPr>
          <w:p w14:paraId="4DE62EB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w:t>
            </w:r>
          </w:p>
        </w:tc>
        <w:tc>
          <w:tcPr>
            <w:tcW w:w="558" w:type="dxa"/>
            <w:tcBorders>
              <w:top w:val="nil"/>
              <w:left w:val="nil"/>
              <w:bottom w:val="single" w:color="auto" w:sz="4" w:space="0"/>
              <w:right w:val="single" w:color="auto" w:sz="4" w:space="0"/>
            </w:tcBorders>
            <w:shd w:val="clear" w:color="auto" w:fill="auto"/>
            <w:vAlign w:val="center"/>
          </w:tcPr>
          <w:p w14:paraId="63342B55">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个</w:t>
            </w:r>
          </w:p>
        </w:tc>
      </w:tr>
      <w:tr w14:paraId="392A7009">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252E1E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13.5</w:t>
            </w:r>
          </w:p>
        </w:tc>
        <w:tc>
          <w:tcPr>
            <w:tcW w:w="989" w:type="dxa"/>
            <w:tcBorders>
              <w:top w:val="nil"/>
              <w:left w:val="nil"/>
              <w:bottom w:val="single" w:color="auto" w:sz="4" w:space="0"/>
              <w:right w:val="single" w:color="auto" w:sz="4" w:space="0"/>
            </w:tcBorders>
            <w:shd w:val="clear" w:color="auto" w:fill="auto"/>
            <w:vAlign w:val="center"/>
          </w:tcPr>
          <w:p w14:paraId="7AD885B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防水箱体（定制）</w:t>
            </w:r>
          </w:p>
        </w:tc>
        <w:tc>
          <w:tcPr>
            <w:tcW w:w="5581" w:type="dxa"/>
            <w:tcBorders>
              <w:top w:val="nil"/>
              <w:left w:val="nil"/>
              <w:bottom w:val="single" w:color="auto" w:sz="4" w:space="0"/>
              <w:right w:val="single" w:color="auto" w:sz="4" w:space="0"/>
            </w:tcBorders>
            <w:shd w:val="clear" w:color="auto" w:fill="auto"/>
            <w:vAlign w:val="center"/>
          </w:tcPr>
          <w:p w14:paraId="3127B542">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材质spcc镀锌钢板，材料厚度1.2mm，双色，内置灯带，表面静电喷塑，防水≥ip65，地面配≥8mm固定钢板</w:t>
            </w:r>
          </w:p>
        </w:tc>
        <w:tc>
          <w:tcPr>
            <w:tcW w:w="926" w:type="dxa"/>
            <w:tcBorders>
              <w:top w:val="nil"/>
              <w:left w:val="nil"/>
              <w:bottom w:val="single" w:color="auto" w:sz="4" w:space="0"/>
              <w:right w:val="single" w:color="auto" w:sz="4" w:space="0"/>
            </w:tcBorders>
            <w:shd w:val="clear" w:color="auto" w:fill="auto"/>
            <w:vAlign w:val="center"/>
          </w:tcPr>
          <w:p w14:paraId="787C5F7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1169FF4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608821E1">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B2376B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13.6</w:t>
            </w:r>
          </w:p>
        </w:tc>
        <w:tc>
          <w:tcPr>
            <w:tcW w:w="989" w:type="dxa"/>
            <w:tcBorders>
              <w:top w:val="nil"/>
              <w:left w:val="nil"/>
              <w:bottom w:val="single" w:color="auto" w:sz="4" w:space="0"/>
              <w:right w:val="single" w:color="auto" w:sz="4" w:space="0"/>
            </w:tcBorders>
            <w:shd w:val="clear" w:color="auto" w:fill="auto"/>
            <w:vAlign w:val="center"/>
          </w:tcPr>
          <w:p w14:paraId="154E344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5581" w:type="dxa"/>
            <w:tcBorders>
              <w:top w:val="nil"/>
              <w:left w:val="nil"/>
              <w:bottom w:val="single" w:color="auto" w:sz="4" w:space="0"/>
              <w:right w:val="single" w:color="auto" w:sz="4" w:space="0"/>
            </w:tcBorders>
            <w:shd w:val="clear" w:color="auto" w:fill="auto"/>
            <w:vAlign w:val="center"/>
          </w:tcPr>
          <w:p w14:paraId="7331BEC7">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箱体组装</w:t>
            </w:r>
          </w:p>
        </w:tc>
        <w:tc>
          <w:tcPr>
            <w:tcW w:w="926" w:type="dxa"/>
            <w:tcBorders>
              <w:top w:val="nil"/>
              <w:left w:val="nil"/>
              <w:bottom w:val="single" w:color="auto" w:sz="4" w:space="0"/>
              <w:right w:val="single" w:color="auto" w:sz="4" w:space="0"/>
            </w:tcBorders>
            <w:shd w:val="clear" w:color="auto" w:fill="auto"/>
            <w:vAlign w:val="center"/>
          </w:tcPr>
          <w:p w14:paraId="69FDE92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55D7228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48777323">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DD6273F">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13.7</w:t>
            </w:r>
          </w:p>
        </w:tc>
        <w:tc>
          <w:tcPr>
            <w:tcW w:w="989" w:type="dxa"/>
            <w:tcBorders>
              <w:top w:val="nil"/>
              <w:left w:val="nil"/>
              <w:bottom w:val="single" w:color="auto" w:sz="4" w:space="0"/>
              <w:right w:val="single" w:color="auto" w:sz="4" w:space="0"/>
            </w:tcBorders>
            <w:shd w:val="clear" w:color="auto" w:fill="auto"/>
            <w:vAlign w:val="center"/>
          </w:tcPr>
          <w:p w14:paraId="64F6C5A4">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混凝土基础</w:t>
            </w:r>
          </w:p>
        </w:tc>
        <w:tc>
          <w:tcPr>
            <w:tcW w:w="5581" w:type="dxa"/>
            <w:tcBorders>
              <w:top w:val="nil"/>
              <w:left w:val="nil"/>
              <w:bottom w:val="single" w:color="auto" w:sz="4" w:space="0"/>
              <w:right w:val="single" w:color="auto" w:sz="4" w:space="0"/>
            </w:tcBorders>
            <w:shd w:val="clear" w:color="auto" w:fill="auto"/>
            <w:vAlign w:val="center"/>
          </w:tcPr>
          <w:p w14:paraId="37F4E60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基础尺寸：1.0*0.8*0.8</w:t>
            </w:r>
            <w:r>
              <w:rPr>
                <w:rFonts w:hint="eastAsia" w:asciiTheme="minorEastAsia" w:hAnsiTheme="minorEastAsia" w:eastAsiaTheme="minorEastAsia" w:cstheme="minorEastAsia"/>
                <w:color w:val="000000"/>
                <w:kern w:val="0"/>
                <w:sz w:val="22"/>
                <w:szCs w:val="22"/>
                <w:highlight w:val="none"/>
              </w:rPr>
              <w:br w:type="textWrapping"/>
            </w:r>
            <w:r>
              <w:rPr>
                <w:rFonts w:hint="eastAsia" w:asciiTheme="minorEastAsia" w:hAnsiTheme="minorEastAsia" w:eastAsiaTheme="minorEastAsia" w:cstheme="minorEastAsia"/>
                <w:color w:val="000000"/>
                <w:kern w:val="0"/>
                <w:sz w:val="22"/>
                <w:szCs w:val="22"/>
                <w:highlight w:val="none"/>
              </w:rPr>
              <w:t>基础材质：C25混凝土</w:t>
            </w:r>
          </w:p>
        </w:tc>
        <w:tc>
          <w:tcPr>
            <w:tcW w:w="926" w:type="dxa"/>
            <w:tcBorders>
              <w:top w:val="nil"/>
              <w:left w:val="nil"/>
              <w:bottom w:val="single" w:color="auto" w:sz="4" w:space="0"/>
              <w:right w:val="single" w:color="auto" w:sz="4" w:space="0"/>
            </w:tcBorders>
            <w:shd w:val="clear" w:color="auto" w:fill="auto"/>
            <w:vAlign w:val="center"/>
          </w:tcPr>
          <w:p w14:paraId="3A7F05A3">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4DA382E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44B6ED18">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CCD0B3C">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13.8</w:t>
            </w:r>
          </w:p>
        </w:tc>
        <w:tc>
          <w:tcPr>
            <w:tcW w:w="989" w:type="dxa"/>
            <w:tcBorders>
              <w:top w:val="nil"/>
              <w:left w:val="nil"/>
              <w:bottom w:val="single" w:color="auto" w:sz="4" w:space="0"/>
              <w:right w:val="single" w:color="auto" w:sz="4" w:space="0"/>
            </w:tcBorders>
            <w:shd w:val="clear" w:color="auto" w:fill="auto"/>
            <w:vAlign w:val="center"/>
          </w:tcPr>
          <w:p w14:paraId="7C767B21">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辅材</w:t>
            </w:r>
          </w:p>
        </w:tc>
        <w:tc>
          <w:tcPr>
            <w:tcW w:w="5581" w:type="dxa"/>
            <w:tcBorders>
              <w:top w:val="nil"/>
              <w:left w:val="nil"/>
              <w:bottom w:val="single" w:color="auto" w:sz="4" w:space="0"/>
              <w:right w:val="single" w:color="auto" w:sz="4" w:space="0"/>
            </w:tcBorders>
            <w:shd w:val="clear" w:color="auto" w:fill="auto"/>
            <w:vAlign w:val="center"/>
          </w:tcPr>
          <w:p w14:paraId="5621157C">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34D145D6">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w:t>
            </w:r>
          </w:p>
        </w:tc>
        <w:tc>
          <w:tcPr>
            <w:tcW w:w="558" w:type="dxa"/>
            <w:tcBorders>
              <w:top w:val="nil"/>
              <w:left w:val="nil"/>
              <w:bottom w:val="single" w:color="auto" w:sz="4" w:space="0"/>
              <w:right w:val="single" w:color="auto" w:sz="4" w:space="0"/>
            </w:tcBorders>
            <w:shd w:val="clear" w:color="auto" w:fill="auto"/>
            <w:vAlign w:val="center"/>
          </w:tcPr>
          <w:p w14:paraId="6DB57BE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套</w:t>
            </w:r>
          </w:p>
        </w:tc>
      </w:tr>
      <w:tr w14:paraId="3A00DB69">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E7DD362">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w:t>
            </w:r>
          </w:p>
        </w:tc>
        <w:tc>
          <w:tcPr>
            <w:tcW w:w="989" w:type="dxa"/>
            <w:tcBorders>
              <w:top w:val="nil"/>
              <w:left w:val="nil"/>
              <w:bottom w:val="single" w:color="auto" w:sz="4" w:space="0"/>
              <w:right w:val="single" w:color="auto" w:sz="4" w:space="0"/>
            </w:tcBorders>
            <w:shd w:val="clear" w:color="auto" w:fill="auto"/>
            <w:vAlign w:val="center"/>
          </w:tcPr>
          <w:p w14:paraId="22BB7380">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配套线缆</w:t>
            </w:r>
          </w:p>
        </w:tc>
        <w:tc>
          <w:tcPr>
            <w:tcW w:w="5581" w:type="dxa"/>
            <w:tcBorders>
              <w:top w:val="nil"/>
              <w:left w:val="nil"/>
              <w:bottom w:val="single" w:color="auto" w:sz="4" w:space="0"/>
              <w:right w:val="single" w:color="auto" w:sz="4" w:space="0"/>
            </w:tcBorders>
            <w:shd w:val="clear" w:color="auto" w:fill="auto"/>
            <w:vAlign w:val="center"/>
          </w:tcPr>
          <w:p w14:paraId="21EFAFC7">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详见参数14.1-14.4</w:t>
            </w:r>
          </w:p>
        </w:tc>
        <w:tc>
          <w:tcPr>
            <w:tcW w:w="926" w:type="dxa"/>
            <w:tcBorders>
              <w:top w:val="nil"/>
              <w:left w:val="nil"/>
              <w:bottom w:val="single" w:color="auto" w:sz="4" w:space="0"/>
              <w:right w:val="single" w:color="auto" w:sz="4" w:space="0"/>
            </w:tcBorders>
            <w:shd w:val="clear" w:color="auto" w:fill="auto"/>
            <w:vAlign w:val="center"/>
          </w:tcPr>
          <w:p w14:paraId="2DA34530">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195</w:t>
            </w:r>
          </w:p>
        </w:tc>
        <w:tc>
          <w:tcPr>
            <w:tcW w:w="558" w:type="dxa"/>
            <w:tcBorders>
              <w:top w:val="nil"/>
              <w:left w:val="nil"/>
              <w:bottom w:val="single" w:color="auto" w:sz="4" w:space="0"/>
              <w:right w:val="single" w:color="auto" w:sz="4" w:space="0"/>
            </w:tcBorders>
            <w:shd w:val="clear" w:color="auto" w:fill="auto"/>
            <w:vAlign w:val="center"/>
          </w:tcPr>
          <w:p w14:paraId="7189E55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点位</w:t>
            </w:r>
          </w:p>
        </w:tc>
      </w:tr>
      <w:tr w14:paraId="7F2A21F8">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C9DC952">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14.1</w:t>
            </w:r>
          </w:p>
        </w:tc>
        <w:tc>
          <w:tcPr>
            <w:tcW w:w="989" w:type="dxa"/>
            <w:tcBorders>
              <w:top w:val="nil"/>
              <w:left w:val="nil"/>
              <w:bottom w:val="single" w:color="auto" w:sz="4" w:space="0"/>
              <w:right w:val="single" w:color="auto" w:sz="4" w:space="0"/>
            </w:tcBorders>
            <w:shd w:val="clear" w:color="auto" w:fill="auto"/>
            <w:vAlign w:val="center"/>
          </w:tcPr>
          <w:p w14:paraId="7B1FCAF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电力电缆</w:t>
            </w:r>
          </w:p>
        </w:tc>
        <w:tc>
          <w:tcPr>
            <w:tcW w:w="5581" w:type="dxa"/>
            <w:tcBorders>
              <w:top w:val="nil"/>
              <w:left w:val="nil"/>
              <w:bottom w:val="single" w:color="auto" w:sz="4" w:space="0"/>
              <w:right w:val="single" w:color="auto" w:sz="4" w:space="0"/>
            </w:tcBorders>
            <w:shd w:val="clear" w:color="auto" w:fill="auto"/>
            <w:vAlign w:val="center"/>
          </w:tcPr>
          <w:p w14:paraId="2CD4C93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ZR-YJV5*10mm</w:t>
            </w:r>
            <w:r>
              <w:rPr>
                <w:rFonts w:hint="eastAsia" w:asciiTheme="minorEastAsia" w:hAnsiTheme="minorEastAsia" w:eastAsiaTheme="minorEastAsia" w:cstheme="minorEastAsia"/>
                <w:color w:val="000000"/>
                <w:kern w:val="0"/>
                <w:sz w:val="22"/>
                <w:szCs w:val="22"/>
                <w:highlight w:val="none"/>
                <w:vertAlign w:val="superscript"/>
              </w:rPr>
              <w:t>2</w:t>
            </w:r>
          </w:p>
        </w:tc>
        <w:tc>
          <w:tcPr>
            <w:tcW w:w="926" w:type="dxa"/>
            <w:tcBorders>
              <w:top w:val="nil"/>
              <w:left w:val="nil"/>
              <w:bottom w:val="single" w:color="auto" w:sz="4" w:space="0"/>
              <w:right w:val="single" w:color="auto" w:sz="4" w:space="0"/>
            </w:tcBorders>
            <w:shd w:val="clear" w:color="auto" w:fill="auto"/>
            <w:vAlign w:val="center"/>
          </w:tcPr>
          <w:p w14:paraId="46C094D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2600</w:t>
            </w:r>
          </w:p>
        </w:tc>
        <w:tc>
          <w:tcPr>
            <w:tcW w:w="558" w:type="dxa"/>
            <w:tcBorders>
              <w:top w:val="nil"/>
              <w:left w:val="nil"/>
              <w:bottom w:val="single" w:color="auto" w:sz="4" w:space="0"/>
              <w:right w:val="single" w:color="auto" w:sz="4" w:space="0"/>
            </w:tcBorders>
            <w:shd w:val="clear" w:color="auto" w:fill="auto"/>
            <w:vAlign w:val="center"/>
          </w:tcPr>
          <w:p w14:paraId="5EF6B9B8">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米</w:t>
            </w:r>
          </w:p>
        </w:tc>
      </w:tr>
      <w:tr w14:paraId="2CFDF8DA">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3A83A6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14.2</w:t>
            </w:r>
          </w:p>
        </w:tc>
        <w:tc>
          <w:tcPr>
            <w:tcW w:w="989" w:type="dxa"/>
            <w:tcBorders>
              <w:top w:val="nil"/>
              <w:left w:val="nil"/>
              <w:bottom w:val="single" w:color="auto" w:sz="4" w:space="0"/>
              <w:right w:val="single" w:color="auto" w:sz="4" w:space="0"/>
            </w:tcBorders>
            <w:shd w:val="clear" w:color="auto" w:fill="auto"/>
            <w:vAlign w:val="center"/>
          </w:tcPr>
          <w:p w14:paraId="5430EB3B">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电力电缆</w:t>
            </w:r>
          </w:p>
        </w:tc>
        <w:tc>
          <w:tcPr>
            <w:tcW w:w="5581" w:type="dxa"/>
            <w:tcBorders>
              <w:top w:val="nil"/>
              <w:left w:val="nil"/>
              <w:bottom w:val="single" w:color="auto" w:sz="4" w:space="0"/>
              <w:right w:val="single" w:color="auto" w:sz="4" w:space="0"/>
            </w:tcBorders>
            <w:shd w:val="clear" w:color="auto" w:fill="auto"/>
            <w:vAlign w:val="center"/>
          </w:tcPr>
          <w:p w14:paraId="35CC6FA0">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ZR-YJ5*6mm</w:t>
            </w:r>
            <w:r>
              <w:rPr>
                <w:rFonts w:hint="eastAsia" w:asciiTheme="minorEastAsia" w:hAnsiTheme="minorEastAsia" w:eastAsiaTheme="minorEastAsia" w:cstheme="minorEastAsia"/>
                <w:color w:val="000000"/>
                <w:kern w:val="0"/>
                <w:sz w:val="22"/>
                <w:szCs w:val="22"/>
                <w:highlight w:val="none"/>
                <w:vertAlign w:val="superscript"/>
              </w:rPr>
              <w:t>2</w:t>
            </w:r>
            <w:r>
              <w:rPr>
                <w:rFonts w:hint="eastAsia" w:asciiTheme="minorEastAsia" w:hAnsiTheme="minorEastAsia" w:eastAsiaTheme="minorEastAsia" w:cstheme="minorEastAsia"/>
                <w:color w:val="000000"/>
                <w:kern w:val="0"/>
                <w:sz w:val="22"/>
                <w:szCs w:val="22"/>
                <w:highlight w:val="none"/>
              </w:rPr>
              <w:t xml:space="preserve"> </w:t>
            </w:r>
          </w:p>
        </w:tc>
        <w:tc>
          <w:tcPr>
            <w:tcW w:w="926" w:type="dxa"/>
            <w:tcBorders>
              <w:top w:val="nil"/>
              <w:left w:val="nil"/>
              <w:bottom w:val="single" w:color="auto" w:sz="4" w:space="0"/>
              <w:right w:val="single" w:color="auto" w:sz="4" w:space="0"/>
            </w:tcBorders>
            <w:shd w:val="clear" w:color="auto" w:fill="auto"/>
            <w:vAlign w:val="center"/>
          </w:tcPr>
          <w:p w14:paraId="10D3500A">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5440</w:t>
            </w:r>
          </w:p>
        </w:tc>
        <w:tc>
          <w:tcPr>
            <w:tcW w:w="558" w:type="dxa"/>
            <w:tcBorders>
              <w:top w:val="nil"/>
              <w:left w:val="nil"/>
              <w:bottom w:val="single" w:color="auto" w:sz="4" w:space="0"/>
              <w:right w:val="single" w:color="auto" w:sz="4" w:space="0"/>
            </w:tcBorders>
            <w:shd w:val="clear" w:color="auto" w:fill="auto"/>
            <w:vAlign w:val="center"/>
          </w:tcPr>
          <w:p w14:paraId="25A16037">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米</w:t>
            </w:r>
          </w:p>
        </w:tc>
      </w:tr>
      <w:tr w14:paraId="69E72659">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B999B21">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14.3</w:t>
            </w:r>
          </w:p>
        </w:tc>
        <w:tc>
          <w:tcPr>
            <w:tcW w:w="989" w:type="dxa"/>
            <w:tcBorders>
              <w:top w:val="nil"/>
              <w:left w:val="nil"/>
              <w:bottom w:val="single" w:color="auto" w:sz="4" w:space="0"/>
              <w:right w:val="single" w:color="auto" w:sz="4" w:space="0"/>
            </w:tcBorders>
            <w:shd w:val="clear" w:color="auto" w:fill="auto"/>
            <w:vAlign w:val="center"/>
          </w:tcPr>
          <w:p w14:paraId="69EE047E">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电力电缆</w:t>
            </w:r>
          </w:p>
        </w:tc>
        <w:tc>
          <w:tcPr>
            <w:tcW w:w="5581" w:type="dxa"/>
            <w:tcBorders>
              <w:top w:val="nil"/>
              <w:left w:val="nil"/>
              <w:bottom w:val="single" w:color="auto" w:sz="4" w:space="0"/>
              <w:right w:val="single" w:color="auto" w:sz="4" w:space="0"/>
            </w:tcBorders>
            <w:shd w:val="clear" w:color="auto" w:fill="auto"/>
            <w:vAlign w:val="center"/>
          </w:tcPr>
          <w:p w14:paraId="1F43EA6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ZR-YJV3*2.5mm</w:t>
            </w:r>
            <w:r>
              <w:rPr>
                <w:rFonts w:hint="eastAsia" w:asciiTheme="minorEastAsia" w:hAnsiTheme="minorEastAsia" w:eastAsiaTheme="minorEastAsia" w:cstheme="minorEastAsia"/>
                <w:color w:val="000000"/>
                <w:kern w:val="0"/>
                <w:sz w:val="22"/>
                <w:szCs w:val="22"/>
                <w:highlight w:val="none"/>
                <w:vertAlign w:val="superscript"/>
              </w:rPr>
              <w:t>2</w:t>
            </w:r>
          </w:p>
        </w:tc>
        <w:tc>
          <w:tcPr>
            <w:tcW w:w="926" w:type="dxa"/>
            <w:tcBorders>
              <w:top w:val="nil"/>
              <w:left w:val="nil"/>
              <w:bottom w:val="single" w:color="auto" w:sz="4" w:space="0"/>
              <w:right w:val="single" w:color="auto" w:sz="4" w:space="0"/>
            </w:tcBorders>
            <w:shd w:val="clear" w:color="auto" w:fill="auto"/>
            <w:vAlign w:val="center"/>
          </w:tcPr>
          <w:p w14:paraId="75E3363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6400</w:t>
            </w:r>
          </w:p>
        </w:tc>
        <w:tc>
          <w:tcPr>
            <w:tcW w:w="558" w:type="dxa"/>
            <w:tcBorders>
              <w:top w:val="nil"/>
              <w:left w:val="nil"/>
              <w:bottom w:val="single" w:color="auto" w:sz="4" w:space="0"/>
              <w:right w:val="single" w:color="auto" w:sz="4" w:space="0"/>
            </w:tcBorders>
            <w:shd w:val="clear" w:color="auto" w:fill="auto"/>
            <w:vAlign w:val="center"/>
          </w:tcPr>
          <w:p w14:paraId="1C926C9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米</w:t>
            </w:r>
          </w:p>
        </w:tc>
      </w:tr>
      <w:tr w14:paraId="735BEEF1">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1252BCE">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14.4</w:t>
            </w:r>
          </w:p>
        </w:tc>
        <w:tc>
          <w:tcPr>
            <w:tcW w:w="989" w:type="dxa"/>
            <w:tcBorders>
              <w:top w:val="nil"/>
              <w:left w:val="nil"/>
              <w:bottom w:val="single" w:color="auto" w:sz="4" w:space="0"/>
              <w:right w:val="single" w:color="auto" w:sz="4" w:space="0"/>
            </w:tcBorders>
            <w:shd w:val="clear" w:color="auto" w:fill="auto"/>
            <w:vAlign w:val="center"/>
          </w:tcPr>
          <w:p w14:paraId="49B37353">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室外六类线</w:t>
            </w:r>
          </w:p>
        </w:tc>
        <w:tc>
          <w:tcPr>
            <w:tcW w:w="5581" w:type="dxa"/>
            <w:tcBorders>
              <w:top w:val="nil"/>
              <w:left w:val="nil"/>
              <w:bottom w:val="single" w:color="auto" w:sz="4" w:space="0"/>
              <w:right w:val="single" w:color="auto" w:sz="4" w:space="0"/>
            </w:tcBorders>
            <w:shd w:val="clear" w:color="auto" w:fill="auto"/>
            <w:vAlign w:val="center"/>
          </w:tcPr>
          <w:p w14:paraId="3383FBAF">
            <w:pPr>
              <w:widowControl/>
              <w:spacing w:line="360" w:lineRule="auto"/>
              <w:jc w:val="left"/>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STP.6 室外型,≥305m/箱</w:t>
            </w:r>
          </w:p>
        </w:tc>
        <w:tc>
          <w:tcPr>
            <w:tcW w:w="926" w:type="dxa"/>
            <w:tcBorders>
              <w:top w:val="nil"/>
              <w:left w:val="nil"/>
              <w:bottom w:val="single" w:color="auto" w:sz="4" w:space="0"/>
              <w:right w:val="single" w:color="auto" w:sz="4" w:space="0"/>
            </w:tcBorders>
            <w:shd w:val="clear" w:color="auto" w:fill="auto"/>
            <w:vAlign w:val="center"/>
          </w:tcPr>
          <w:p w14:paraId="4FA3FF90">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195</w:t>
            </w:r>
          </w:p>
        </w:tc>
        <w:tc>
          <w:tcPr>
            <w:tcW w:w="558" w:type="dxa"/>
            <w:tcBorders>
              <w:top w:val="nil"/>
              <w:left w:val="nil"/>
              <w:bottom w:val="single" w:color="auto" w:sz="4" w:space="0"/>
              <w:right w:val="single" w:color="auto" w:sz="4" w:space="0"/>
            </w:tcBorders>
            <w:shd w:val="clear" w:color="auto" w:fill="auto"/>
            <w:vAlign w:val="center"/>
          </w:tcPr>
          <w:p w14:paraId="74C20A64">
            <w:pPr>
              <w:widowControl/>
              <w:spacing w:line="360" w:lineRule="auto"/>
              <w:jc w:val="center"/>
              <w:outlineLvl w:val="0"/>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箱</w:t>
            </w:r>
          </w:p>
        </w:tc>
      </w:tr>
      <w:tr w14:paraId="7024653D">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302A21B">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15</w:t>
            </w:r>
          </w:p>
        </w:tc>
        <w:tc>
          <w:tcPr>
            <w:tcW w:w="989" w:type="dxa"/>
            <w:tcBorders>
              <w:top w:val="nil"/>
              <w:left w:val="nil"/>
              <w:bottom w:val="single" w:color="auto" w:sz="4" w:space="0"/>
              <w:right w:val="single" w:color="auto" w:sz="4" w:space="0"/>
            </w:tcBorders>
            <w:shd w:val="clear" w:color="auto" w:fill="auto"/>
            <w:vAlign w:val="center"/>
          </w:tcPr>
          <w:p w14:paraId="25CD9708">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配套管材</w:t>
            </w:r>
          </w:p>
        </w:tc>
        <w:tc>
          <w:tcPr>
            <w:tcW w:w="5581" w:type="dxa"/>
            <w:tcBorders>
              <w:top w:val="nil"/>
              <w:left w:val="nil"/>
              <w:bottom w:val="single" w:color="auto" w:sz="4" w:space="0"/>
              <w:right w:val="single" w:color="auto" w:sz="4" w:space="0"/>
            </w:tcBorders>
            <w:shd w:val="clear" w:color="auto" w:fill="auto"/>
            <w:vAlign w:val="center"/>
          </w:tcPr>
          <w:p w14:paraId="6FA4C4D9">
            <w:pPr>
              <w:widowControl/>
              <w:spacing w:line="360" w:lineRule="auto"/>
              <w:jc w:val="left"/>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直埋PE管、引上钢管、JDG电线管</w:t>
            </w:r>
          </w:p>
        </w:tc>
        <w:tc>
          <w:tcPr>
            <w:tcW w:w="926" w:type="dxa"/>
            <w:tcBorders>
              <w:top w:val="nil"/>
              <w:left w:val="nil"/>
              <w:bottom w:val="single" w:color="auto" w:sz="4" w:space="0"/>
              <w:right w:val="single" w:color="auto" w:sz="4" w:space="0"/>
            </w:tcBorders>
            <w:shd w:val="clear" w:color="auto" w:fill="auto"/>
            <w:vAlign w:val="center"/>
          </w:tcPr>
          <w:p w14:paraId="571EF4BF">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195</w:t>
            </w:r>
          </w:p>
        </w:tc>
        <w:tc>
          <w:tcPr>
            <w:tcW w:w="558" w:type="dxa"/>
            <w:tcBorders>
              <w:top w:val="nil"/>
              <w:left w:val="nil"/>
              <w:bottom w:val="single" w:color="auto" w:sz="4" w:space="0"/>
              <w:right w:val="single" w:color="auto" w:sz="4" w:space="0"/>
            </w:tcBorders>
            <w:shd w:val="clear" w:color="auto" w:fill="auto"/>
            <w:vAlign w:val="center"/>
          </w:tcPr>
          <w:p w14:paraId="74D377EC">
            <w:pPr>
              <w:widowControl/>
              <w:spacing w:line="360" w:lineRule="auto"/>
              <w:jc w:val="center"/>
              <w:rPr>
                <w:rFonts w:asciiTheme="minorEastAsia" w:hAnsiTheme="minorEastAsia" w:eastAsiaTheme="minorEastAsia" w:cstheme="minorEastAsia"/>
                <w:color w:val="000000"/>
                <w:kern w:val="0"/>
                <w:sz w:val="22"/>
                <w:szCs w:val="22"/>
                <w:highlight w:val="none"/>
              </w:rPr>
            </w:pPr>
            <w:r>
              <w:rPr>
                <w:rFonts w:hint="eastAsia" w:asciiTheme="minorEastAsia" w:hAnsiTheme="minorEastAsia" w:eastAsiaTheme="minorEastAsia" w:cstheme="minorEastAsia"/>
                <w:color w:val="000000"/>
                <w:kern w:val="0"/>
                <w:sz w:val="22"/>
                <w:szCs w:val="22"/>
                <w:highlight w:val="none"/>
              </w:rPr>
              <w:t>点位</w:t>
            </w:r>
          </w:p>
        </w:tc>
      </w:tr>
    </w:tbl>
    <w:p w14:paraId="63159DE9">
      <w:pPr>
        <w:bidi w:val="0"/>
      </w:pPr>
      <w:r>
        <w:rPr>
          <w:rFonts w:hint="eastAsia"/>
        </w:rPr>
        <w:t xml:space="preserve"> </w:t>
      </w:r>
      <w:bookmarkEnd w:id="849"/>
      <w:bookmarkEnd w:id="850"/>
      <w:r>
        <w:rPr>
          <w:rFonts w:hint="eastAsia"/>
        </w:rPr>
        <w:t xml:space="preserve"> </w:t>
      </w:r>
    </w:p>
    <w:p w14:paraId="4438E759">
      <w:pPr>
        <w:bidi w:val="0"/>
        <w:rPr>
          <w:rFonts w:hint="eastAsia"/>
          <w:b/>
          <w:bCs/>
          <w:sz w:val="24"/>
          <w:szCs w:val="22"/>
        </w:rPr>
      </w:pPr>
    </w:p>
    <w:p w14:paraId="5BAC15FF">
      <w:pPr>
        <w:bidi w:val="0"/>
        <w:rPr>
          <w:rFonts w:hint="eastAsia"/>
        </w:rPr>
      </w:pPr>
    </w:p>
    <w:p w14:paraId="0FFD63A4">
      <w:pPr>
        <w:bidi w:val="0"/>
        <w:rPr>
          <w:rFonts w:hint="eastAsia"/>
        </w:rPr>
      </w:pPr>
    </w:p>
    <w:p w14:paraId="5AB2C4EF">
      <w:pPr>
        <w:bidi w:val="0"/>
        <w:rPr>
          <w:rFonts w:hint="eastAsia"/>
        </w:rPr>
      </w:pPr>
    </w:p>
    <w:p w14:paraId="06024159">
      <w:pPr>
        <w:bidi w:val="0"/>
        <w:rPr>
          <w:rFonts w:hint="eastAsia"/>
        </w:rPr>
      </w:pPr>
    </w:p>
    <w:p w14:paraId="3D47BCC8">
      <w:pPr>
        <w:bidi w:val="0"/>
        <w:rPr>
          <w:rFonts w:hint="eastAsia"/>
        </w:rPr>
      </w:pPr>
    </w:p>
    <w:p w14:paraId="1D3964FF">
      <w:pPr>
        <w:bidi w:val="0"/>
        <w:rPr>
          <w:rFonts w:hint="eastAsia"/>
        </w:rPr>
      </w:pPr>
    </w:p>
    <w:p w14:paraId="5643C4A1">
      <w:pPr>
        <w:bidi w:val="0"/>
        <w:rPr>
          <w:rFonts w:hint="eastAsia"/>
        </w:rPr>
      </w:pPr>
    </w:p>
    <w:p w14:paraId="11ACF770">
      <w:pPr>
        <w:bidi w:val="0"/>
        <w:rPr>
          <w:rFonts w:hint="eastAsia"/>
        </w:rPr>
      </w:pPr>
    </w:p>
    <w:p w14:paraId="67112FB4">
      <w:pPr>
        <w:bidi w:val="0"/>
        <w:rPr>
          <w:rFonts w:hint="eastAsia"/>
        </w:rPr>
      </w:pPr>
    </w:p>
    <w:p w14:paraId="3B38FD05">
      <w:pPr>
        <w:bidi w:val="0"/>
        <w:rPr>
          <w:rFonts w:hint="eastAsia"/>
        </w:rPr>
      </w:pPr>
    </w:p>
    <w:p w14:paraId="424FD5BD">
      <w:pPr>
        <w:bidi w:val="0"/>
        <w:rPr>
          <w:rFonts w:hint="eastAsia"/>
        </w:rPr>
      </w:pPr>
    </w:p>
    <w:p w14:paraId="47852DA5">
      <w:pPr>
        <w:bidi w:val="0"/>
        <w:rPr>
          <w:rFonts w:hint="eastAsia"/>
        </w:rPr>
      </w:pPr>
    </w:p>
    <w:p w14:paraId="5980BAA8">
      <w:pPr>
        <w:bidi w:val="0"/>
        <w:rPr>
          <w:rFonts w:hint="eastAsia"/>
        </w:rPr>
      </w:pPr>
    </w:p>
    <w:p w14:paraId="066F3C52">
      <w:pPr>
        <w:bidi w:val="0"/>
        <w:rPr>
          <w:rFonts w:hint="eastAsia"/>
        </w:rPr>
      </w:pPr>
    </w:p>
    <w:p w14:paraId="69A587EE">
      <w:pPr>
        <w:bidi w:val="0"/>
        <w:rPr>
          <w:rFonts w:hint="eastAsia"/>
        </w:rPr>
      </w:pPr>
    </w:p>
    <w:p w14:paraId="080465AF">
      <w:pPr>
        <w:bidi w:val="0"/>
        <w:rPr>
          <w:rFonts w:hint="eastAsia"/>
        </w:rPr>
      </w:pPr>
    </w:p>
    <w:p w14:paraId="6D9CC2B5">
      <w:pPr>
        <w:bidi w:val="0"/>
        <w:rPr>
          <w:rFonts w:hint="eastAsia"/>
        </w:rPr>
      </w:pPr>
    </w:p>
    <w:p w14:paraId="06512787">
      <w:pPr>
        <w:bidi w:val="0"/>
        <w:rPr>
          <w:rFonts w:hint="eastAsia"/>
        </w:rPr>
      </w:pPr>
    </w:p>
    <w:p w14:paraId="1815A2CD">
      <w:pPr>
        <w:bidi w:val="0"/>
        <w:rPr>
          <w:rFonts w:hint="eastAsia"/>
        </w:rPr>
      </w:pPr>
    </w:p>
    <w:p w14:paraId="46507556">
      <w:pPr>
        <w:bidi w:val="0"/>
        <w:rPr>
          <w:rFonts w:hint="eastAsia"/>
        </w:rPr>
      </w:pPr>
    </w:p>
    <w:p w14:paraId="24A78F3F">
      <w:pPr>
        <w:bidi w:val="0"/>
        <w:rPr>
          <w:rFonts w:hint="eastAsia"/>
        </w:rPr>
      </w:pPr>
    </w:p>
    <w:p w14:paraId="31746EF0">
      <w:pPr>
        <w:bidi w:val="0"/>
        <w:rPr>
          <w:rFonts w:hint="eastAsia"/>
        </w:rPr>
      </w:pPr>
    </w:p>
    <w:p w14:paraId="4E920C13">
      <w:pPr>
        <w:bidi w:val="0"/>
        <w:rPr>
          <w:rFonts w:hint="eastAsia"/>
        </w:rPr>
      </w:pPr>
    </w:p>
    <w:p w14:paraId="6F494B1E">
      <w:pPr>
        <w:bidi w:val="0"/>
        <w:rPr>
          <w:rFonts w:hint="eastAsia"/>
        </w:rPr>
      </w:pPr>
    </w:p>
    <w:p w14:paraId="1CDA8259">
      <w:pPr>
        <w:bidi w:val="0"/>
        <w:rPr>
          <w:rFonts w:hint="eastAsia"/>
        </w:rPr>
      </w:pPr>
    </w:p>
    <w:p w14:paraId="3F57117C">
      <w:pPr>
        <w:bidi w:val="0"/>
        <w:rPr>
          <w:rFonts w:hint="eastAsia"/>
        </w:rPr>
      </w:pPr>
    </w:p>
    <w:p w14:paraId="2A915295">
      <w:pPr>
        <w:bidi w:val="0"/>
        <w:rPr>
          <w:rFonts w:hint="eastAsia"/>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92B4BA5">
      <w:pPr>
        <w:pStyle w:val="2"/>
        <w:bidi w:val="0"/>
        <w:rPr>
          <w:rFonts w:hint="eastAsia"/>
        </w:rPr>
      </w:pPr>
      <w:r>
        <w:rPr>
          <w:rFonts w:hint="eastAsia"/>
        </w:rPr>
        <w:t>第七章 投标文件格式</w:t>
      </w:r>
      <w:bookmarkEnd w:id="839"/>
      <w:bookmarkEnd w:id="840"/>
      <w:bookmarkEnd w:id="841"/>
      <w:bookmarkEnd w:id="842"/>
      <w:bookmarkEnd w:id="843"/>
      <w:bookmarkEnd w:id="844"/>
      <w:bookmarkEnd w:id="845"/>
      <w:bookmarkEnd w:id="846"/>
      <w:bookmarkEnd w:id="847"/>
      <w:bookmarkEnd w:id="848"/>
      <w:bookmarkEnd w:id="851"/>
    </w:p>
    <w:p w14:paraId="5E5F885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1.投标文件格式由本章目录所列第1部分至第</w:t>
      </w:r>
      <w:r>
        <w:rPr>
          <w:rFonts w:hint="eastAsia" w:ascii="宋体" w:hAnsi="宋体" w:cs="宋体"/>
          <w:color w:val="000000" w:themeColor="text1"/>
          <w:sz w:val="28"/>
          <w:szCs w:val="28"/>
          <w:lang w:val="en-US" w:eastAsia="zh-CN"/>
          <w14:textFill>
            <w14:solidFill>
              <w14:schemeClr w14:val="tx1"/>
            </w14:solidFill>
          </w14:textFill>
        </w:rPr>
        <w:t>8</w:t>
      </w:r>
      <w:r>
        <w:rPr>
          <w:rFonts w:hint="eastAsia" w:ascii="宋体" w:hAnsi="宋体" w:cs="宋体"/>
          <w:color w:val="000000" w:themeColor="text1"/>
          <w:sz w:val="28"/>
          <w:szCs w:val="28"/>
          <w14:textFill>
            <w14:solidFill>
              <w14:schemeClr w14:val="tx1"/>
            </w14:solidFill>
          </w14:textFill>
        </w:rPr>
        <w:t>部分构成。</w:t>
      </w:r>
    </w:p>
    <w:p w14:paraId="2ABD2B4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2.供应商应认真审阅本章内容，并参照格式要求编制投标文件。凡未按格式要求编制投标文件而造成的不利后果，由供应商自行承担。</w:t>
      </w:r>
    </w:p>
    <w:p w14:paraId="7F96CF49">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1363CECA">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33F2502">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816347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50AF4F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F1D0C41">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F4A91E5">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FF8B0D4">
      <w:pPr>
        <w:jc w:val="right"/>
        <w:rPr>
          <w:rFonts w:hint="eastAsia" w:ascii="宋体" w:hAnsi="宋体" w:cs="宋体"/>
          <w:color w:val="000000" w:themeColor="text1"/>
          <w:sz w:val="32"/>
          <w:szCs w:val="32"/>
          <w14:textFill>
            <w14:solidFill>
              <w14:schemeClr w14:val="tx1"/>
            </w14:solidFill>
          </w14:textFill>
        </w:rPr>
      </w:pPr>
    </w:p>
    <w:p w14:paraId="07517129">
      <w:pPr>
        <w:jc w:val="right"/>
        <w:rPr>
          <w:rFonts w:hint="eastAsia" w:ascii="宋体" w:hAnsi="宋体" w:cs="宋体"/>
          <w:color w:val="000000" w:themeColor="text1"/>
          <w:sz w:val="32"/>
          <w:szCs w:val="32"/>
          <w14:textFill>
            <w14:solidFill>
              <w14:schemeClr w14:val="tx1"/>
            </w14:solidFill>
          </w14:textFill>
        </w:rPr>
      </w:pPr>
    </w:p>
    <w:p w14:paraId="6234C10A">
      <w:pPr>
        <w:jc w:val="right"/>
        <w:rPr>
          <w:rFonts w:hint="eastAsia" w:ascii="宋体" w:hAnsi="宋体" w:cs="宋体"/>
          <w:color w:val="000000" w:themeColor="text1"/>
          <w:sz w:val="32"/>
          <w:szCs w:val="32"/>
          <w14:textFill>
            <w14:solidFill>
              <w14:schemeClr w14:val="tx1"/>
            </w14:solidFill>
          </w14:textFill>
        </w:rPr>
      </w:pPr>
    </w:p>
    <w:p w14:paraId="5557BF71">
      <w:pPr>
        <w:jc w:val="right"/>
        <w:rPr>
          <w:rFonts w:hint="eastAsia" w:ascii="宋体" w:hAnsi="宋体" w:cs="宋体"/>
          <w:color w:val="000000" w:themeColor="text1"/>
          <w:sz w:val="32"/>
          <w:szCs w:val="32"/>
          <w14:textFill>
            <w14:solidFill>
              <w14:schemeClr w14:val="tx1"/>
            </w14:solidFill>
          </w14:textFill>
        </w:rPr>
      </w:pPr>
    </w:p>
    <w:p w14:paraId="6E6F0716">
      <w:pPr>
        <w:jc w:val="right"/>
        <w:rPr>
          <w:rFonts w:hint="eastAsia" w:ascii="宋体" w:hAnsi="宋体" w:cs="宋体"/>
          <w:color w:val="000000" w:themeColor="text1"/>
          <w:sz w:val="32"/>
          <w:szCs w:val="32"/>
          <w14:textFill>
            <w14:solidFill>
              <w14:schemeClr w14:val="tx1"/>
            </w14:solidFill>
          </w14:textFill>
        </w:rPr>
      </w:pPr>
    </w:p>
    <w:p w14:paraId="20105C9B">
      <w:pPr>
        <w:jc w:val="right"/>
        <w:rPr>
          <w:rFonts w:hint="eastAsia" w:ascii="宋体" w:hAnsi="宋体" w:cs="宋体"/>
          <w:color w:val="000000" w:themeColor="text1"/>
          <w:sz w:val="32"/>
          <w:szCs w:val="32"/>
          <w14:textFill>
            <w14:solidFill>
              <w14:schemeClr w14:val="tx1"/>
            </w14:solidFill>
          </w14:textFill>
        </w:rPr>
      </w:pPr>
    </w:p>
    <w:p w14:paraId="2968528F">
      <w:pPr>
        <w:jc w:val="right"/>
        <w:rPr>
          <w:rFonts w:hint="eastAsia" w:ascii="宋体" w:hAnsi="宋体" w:cs="宋体"/>
          <w:color w:val="000000" w:themeColor="text1"/>
          <w:sz w:val="32"/>
          <w:szCs w:val="32"/>
          <w14:textFill>
            <w14:solidFill>
              <w14:schemeClr w14:val="tx1"/>
            </w14:solidFill>
          </w14:textFill>
        </w:rPr>
      </w:pPr>
    </w:p>
    <w:p w14:paraId="36D2D7C9">
      <w:pPr>
        <w:jc w:val="right"/>
        <w:rPr>
          <w:rFonts w:hint="eastAsia" w:ascii="宋体" w:hAnsi="宋体" w:cs="宋体"/>
          <w:color w:val="000000" w:themeColor="text1"/>
          <w:sz w:val="32"/>
          <w:szCs w:val="32"/>
          <w14:textFill>
            <w14:solidFill>
              <w14:schemeClr w14:val="tx1"/>
            </w14:solidFill>
          </w14:textFill>
        </w:rPr>
      </w:pPr>
    </w:p>
    <w:p w14:paraId="6EA74D9D">
      <w:pPr>
        <w:jc w:val="right"/>
        <w:rPr>
          <w:rFonts w:hint="eastAsia" w:ascii="宋体" w:hAnsi="宋体" w:cs="宋体"/>
          <w:color w:val="000000" w:themeColor="text1"/>
          <w:sz w:val="32"/>
          <w:szCs w:val="32"/>
          <w14:textFill>
            <w14:solidFill>
              <w14:schemeClr w14:val="tx1"/>
            </w14:solidFill>
          </w14:textFill>
        </w:rPr>
      </w:pPr>
    </w:p>
    <w:p w14:paraId="37DC23DA">
      <w:pPr>
        <w:jc w:val="right"/>
        <w:rPr>
          <w:rFonts w:hint="eastAsia" w:ascii="宋体" w:hAnsi="宋体" w:cs="宋体"/>
          <w:color w:val="000000" w:themeColor="text1"/>
          <w:sz w:val="32"/>
          <w:szCs w:val="32"/>
          <w14:textFill>
            <w14:solidFill>
              <w14:schemeClr w14:val="tx1"/>
            </w14:solidFill>
          </w14:textFill>
        </w:rPr>
      </w:pPr>
    </w:p>
    <w:p w14:paraId="1308F7B0">
      <w:pPr>
        <w:jc w:val="right"/>
        <w:rPr>
          <w:rFonts w:hint="eastAsia" w:ascii="宋体" w:hAnsi="宋体" w:cs="宋体"/>
          <w:color w:val="000000" w:themeColor="text1"/>
          <w:sz w:val="32"/>
          <w:szCs w:val="32"/>
          <w14:textFill>
            <w14:solidFill>
              <w14:schemeClr w14:val="tx1"/>
            </w14:solidFill>
          </w14:textFill>
        </w:rPr>
      </w:pPr>
    </w:p>
    <w:p w14:paraId="1261E733">
      <w:pPr>
        <w:rPr>
          <w:rFonts w:hint="eastAsia" w:ascii="宋体" w:hAnsi="宋体" w:cs="宋体"/>
          <w:color w:val="000000" w:themeColor="text1"/>
          <w:sz w:val="32"/>
          <w:szCs w:val="32"/>
          <w14:textFill>
            <w14:solidFill>
              <w14:schemeClr w14:val="tx1"/>
            </w14:solidFill>
          </w14:textFill>
        </w:rPr>
      </w:pPr>
    </w:p>
    <w:p w14:paraId="498E2A16">
      <w:pPr>
        <w:jc w:val="right"/>
        <w:rPr>
          <w:rFonts w:hint="eastAsia" w:ascii="宋体" w:hAnsi="宋体" w:cs="宋体"/>
          <w:color w:val="000000" w:themeColor="text1"/>
          <w:sz w:val="32"/>
          <w:szCs w:val="32"/>
          <w14:textFill>
            <w14:solidFill>
              <w14:schemeClr w14:val="tx1"/>
            </w14:solidFill>
          </w14:textFill>
        </w:rPr>
      </w:pPr>
    </w:p>
    <w:p w14:paraId="4864D9B4">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7ECC0A70">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4403F0D1">
      <w:pPr>
        <w:jc w:val="center"/>
        <w:rPr>
          <w:rFonts w:hint="eastAsia" w:ascii="宋体" w:hAnsi="宋体" w:cs="宋体"/>
          <w:b/>
          <w:bCs/>
          <w:color w:val="000000" w:themeColor="text1"/>
          <w:spacing w:val="4"/>
          <w:sz w:val="28"/>
          <w:szCs w:val="28"/>
          <w14:textFill>
            <w14:solidFill>
              <w14:schemeClr w14:val="tx1"/>
            </w14:solidFill>
          </w14:textFill>
        </w:rPr>
      </w:pPr>
    </w:p>
    <w:p w14:paraId="1267AF26">
      <w:pPr>
        <w:jc w:val="both"/>
        <w:outlineLvl w:val="0"/>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13054BEC">
      <w:pPr>
        <w:ind w:firstLine="6938" w:firstLineChars="2400"/>
        <w:jc w:val="both"/>
        <w:outlineLvl w:val="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6CC2AA65">
      <w:pPr>
        <w:tabs>
          <w:tab w:val="center" w:pos="4698"/>
        </w:tabs>
        <w:spacing w:line="360" w:lineRule="auto"/>
        <w:outlineLvl w:val="0"/>
        <w:rPr>
          <w:rFonts w:ascii="宋体" w:hAnsi="宋体" w:cs="宋体"/>
          <w:b/>
          <w:bCs/>
          <w:color w:val="000000" w:themeColor="text1"/>
          <w:sz w:val="30"/>
          <w:szCs w:val="30"/>
          <w14:textFill>
            <w14:solidFill>
              <w14:schemeClr w14:val="tx1"/>
            </w14:solidFill>
          </w14:textFill>
        </w:rPr>
      </w:pPr>
      <w:bookmarkStart w:id="853" w:name="_Toc2518"/>
      <w:bookmarkStart w:id="854" w:name="_Toc8114"/>
      <w:bookmarkStart w:id="855" w:name="_Toc16098"/>
      <w:bookmarkStart w:id="856" w:name="_Toc19191"/>
      <w:bookmarkStart w:id="857" w:name="_Toc30729"/>
      <w:bookmarkStart w:id="858" w:name="_Toc11980"/>
      <w:bookmarkStart w:id="859" w:name="_Toc32216"/>
      <w:bookmarkStart w:id="860" w:name="_Toc11924"/>
      <w:r>
        <w:rPr>
          <w:rFonts w:hint="eastAsia" w:ascii="宋体" w:hAnsi="宋体" w:cs="宋体"/>
          <w:b/>
          <w:bCs/>
          <w:color w:val="000000" w:themeColor="text1"/>
          <w:sz w:val="30"/>
          <w:szCs w:val="30"/>
          <w:lang w:val="zh-CN"/>
          <w14:textFill>
            <w14:solidFill>
              <w14:schemeClr w14:val="tx1"/>
            </w14:solidFill>
          </w14:textFill>
        </w:rPr>
        <w:t>项目编号：</w:t>
      </w:r>
      <w:bookmarkEnd w:id="853"/>
      <w:bookmarkEnd w:id="854"/>
      <w:bookmarkEnd w:id="855"/>
      <w:bookmarkEnd w:id="856"/>
      <w:bookmarkEnd w:id="857"/>
      <w:bookmarkEnd w:id="858"/>
      <w:bookmarkEnd w:id="859"/>
      <w:bookmarkEnd w:id="860"/>
      <w:r>
        <w:rPr>
          <w:rFonts w:hint="eastAsia" w:ascii="宋体" w:hAnsi="宋体" w:cs="宋体"/>
          <w:b/>
          <w:bCs/>
          <w:color w:val="000000" w:themeColor="text1"/>
          <w:sz w:val="30"/>
          <w:szCs w:val="30"/>
          <w:lang w:val="zh-CN"/>
          <w14:textFill>
            <w14:solidFill>
              <w14:schemeClr w14:val="tx1"/>
            </w14:solidFill>
          </w14:textFill>
        </w:rPr>
        <w:t>SXCY2026-13.1B1</w:t>
      </w:r>
    </w:p>
    <w:p w14:paraId="6B3398B6">
      <w:pPr>
        <w:tabs>
          <w:tab w:val="center" w:pos="4698"/>
        </w:tabs>
        <w:spacing w:line="360" w:lineRule="auto"/>
        <w:rPr>
          <w:rFonts w:hint="eastAsia" w:ascii="宋体" w:hAnsi="宋体" w:cs="宋体"/>
          <w:b/>
          <w:bCs/>
          <w:color w:val="000000" w:themeColor="text1"/>
          <w:sz w:val="30"/>
          <w:szCs w:val="30"/>
          <w:lang w:val="zh-CN"/>
          <w14:textFill>
            <w14:solidFill>
              <w14:schemeClr w14:val="tx1"/>
            </w14:solidFill>
          </w14:textFill>
        </w:rPr>
      </w:pPr>
    </w:p>
    <w:p w14:paraId="11B096D9">
      <w:pPr>
        <w:pStyle w:val="11"/>
        <w:rPr>
          <w:rFonts w:hint="eastAsia"/>
          <w:color w:val="000000" w:themeColor="text1"/>
          <w:lang w:val="zh-CN"/>
          <w14:textFill>
            <w14:solidFill>
              <w14:schemeClr w14:val="tx1"/>
            </w14:solidFill>
          </w14:textFill>
        </w:rPr>
      </w:pPr>
    </w:p>
    <w:p w14:paraId="5DB9BD3A">
      <w:pPr>
        <w:pStyle w:val="11"/>
        <w:rPr>
          <w:rFonts w:hint="eastAsia"/>
          <w:color w:val="000000" w:themeColor="text1"/>
          <w:lang w:val="zh-CN"/>
          <w14:textFill>
            <w14:solidFill>
              <w14:schemeClr w14:val="tx1"/>
            </w14:solidFill>
          </w14:textFill>
        </w:rPr>
      </w:pPr>
    </w:p>
    <w:p w14:paraId="2EED3E9A">
      <w:pPr>
        <w:tabs>
          <w:tab w:val="center" w:pos="4698"/>
        </w:tabs>
        <w:spacing w:line="360" w:lineRule="auto"/>
        <w:rPr>
          <w:rFonts w:hint="eastAsia" w:ascii="宋体" w:hAnsi="宋体" w:cs="宋体"/>
          <w:color w:val="000000" w:themeColor="text1"/>
          <w:sz w:val="36"/>
          <w:szCs w:val="36"/>
          <w14:textFill>
            <w14:solidFill>
              <w14:schemeClr w14:val="tx1"/>
            </w14:solidFill>
          </w14:textFill>
        </w:rPr>
      </w:pPr>
    </w:p>
    <w:p w14:paraId="08455E63">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延安市公安局交通管理支队延安市中心城区停车引导系统建设项目（二次）</w:t>
      </w:r>
    </w:p>
    <w:p w14:paraId="1A12E73C">
      <w:pPr>
        <w:pStyle w:val="24"/>
        <w:rPr>
          <w:rFonts w:hint="eastAsia" w:cs="宋体"/>
          <w:b/>
          <w:bCs/>
          <w:color w:val="000000" w:themeColor="text1"/>
          <w:sz w:val="52"/>
          <w:szCs w:val="52"/>
          <w:lang w:eastAsia="zh-CN"/>
          <w14:textFill>
            <w14:solidFill>
              <w14:schemeClr w14:val="tx1"/>
            </w14:solidFill>
          </w14:textFill>
        </w:rPr>
      </w:pPr>
    </w:p>
    <w:p w14:paraId="526B03EF">
      <w:pPr>
        <w:rPr>
          <w:rFonts w:hint="eastAsia"/>
          <w:lang w:eastAsia="zh-CN"/>
        </w:rPr>
      </w:pPr>
    </w:p>
    <w:p w14:paraId="25C1E593">
      <w:pPr>
        <w:rPr>
          <w:rFonts w:hint="eastAsia" w:cs="宋体"/>
          <w:b/>
          <w:bCs/>
          <w:color w:val="000000" w:themeColor="text1"/>
          <w:sz w:val="52"/>
          <w:szCs w:val="52"/>
          <w:lang w:eastAsia="zh-CN"/>
          <w14:textFill>
            <w14:solidFill>
              <w14:schemeClr w14:val="tx1"/>
            </w14:solidFill>
          </w14:textFill>
        </w:rPr>
      </w:pPr>
    </w:p>
    <w:p w14:paraId="0814B761">
      <w:pPr>
        <w:pStyle w:val="11"/>
        <w:rPr>
          <w:rFonts w:hint="eastAsia"/>
          <w:color w:val="000000" w:themeColor="text1"/>
          <w:lang w:eastAsia="zh-CN"/>
          <w14:textFill>
            <w14:solidFill>
              <w14:schemeClr w14:val="tx1"/>
            </w14:solidFill>
          </w14:textFill>
        </w:rPr>
      </w:pPr>
    </w:p>
    <w:p w14:paraId="563CDC32">
      <w:pPr>
        <w:rPr>
          <w:rFonts w:hint="eastAsia"/>
          <w:color w:val="000000" w:themeColor="text1"/>
          <w:lang w:eastAsia="zh-CN"/>
          <w14:textFill>
            <w14:solidFill>
              <w14:schemeClr w14:val="tx1"/>
            </w14:solidFill>
          </w14:textFill>
        </w:rPr>
      </w:pPr>
    </w:p>
    <w:p w14:paraId="4956D668">
      <w:pPr>
        <w:rPr>
          <w:rFonts w:hint="eastAsia"/>
          <w:color w:val="000000" w:themeColor="text1"/>
          <w:lang w:val="zh-CN"/>
          <w14:textFill>
            <w14:solidFill>
              <w14:schemeClr w14:val="tx1"/>
            </w14:solidFill>
          </w14:textFill>
        </w:rPr>
      </w:pPr>
    </w:p>
    <w:p w14:paraId="7686D176">
      <w:pPr>
        <w:tabs>
          <w:tab w:val="left" w:pos="5670"/>
        </w:tabs>
        <w:autoSpaceDE w:val="0"/>
        <w:autoSpaceDN w:val="0"/>
        <w:adjustRightInd w:val="0"/>
        <w:snapToGrid w:val="0"/>
        <w:spacing w:line="360" w:lineRule="auto"/>
        <w:jc w:val="center"/>
        <w:rPr>
          <w:rFonts w:hint="eastAsia" w:ascii="宋体" w:hAnsi="宋体" w:cs="宋体"/>
          <w:b/>
          <w:bCs/>
          <w:color w:val="000000" w:themeColor="text1"/>
          <w:sz w:val="56"/>
          <w:szCs w:val="56"/>
          <w:lang w:val="zh-CN"/>
          <w14:textFill>
            <w14:solidFill>
              <w14:schemeClr w14:val="tx1"/>
            </w14:solidFill>
          </w14:textFill>
        </w:rPr>
      </w:pPr>
      <w:r>
        <w:rPr>
          <w:rFonts w:hint="eastAsia" w:ascii="宋体" w:hAnsi="宋体" w:cs="宋体"/>
          <w:b/>
          <w:bCs/>
          <w:color w:val="000000" w:themeColor="text1"/>
          <w:sz w:val="56"/>
          <w:szCs w:val="56"/>
          <w:lang w:val="zh-CN"/>
          <w14:textFill>
            <w14:solidFill>
              <w14:schemeClr w14:val="tx1"/>
            </w14:solidFill>
          </w14:textFill>
        </w:rPr>
        <w:t>投标文件</w:t>
      </w:r>
    </w:p>
    <w:p w14:paraId="61CDE928">
      <w:pPr>
        <w:tabs>
          <w:tab w:val="center" w:pos="4698"/>
        </w:tabs>
        <w:spacing w:line="360" w:lineRule="auto"/>
        <w:rPr>
          <w:rFonts w:hint="eastAsia" w:ascii="宋体" w:hAnsi="宋体" w:cs="宋体"/>
          <w:color w:val="000000" w:themeColor="text1"/>
          <w:sz w:val="30"/>
          <w:szCs w:val="30"/>
          <w14:textFill>
            <w14:solidFill>
              <w14:schemeClr w14:val="tx1"/>
            </w14:solidFill>
          </w14:textFill>
        </w:rPr>
      </w:pPr>
    </w:p>
    <w:p w14:paraId="3637D8D7">
      <w:pPr>
        <w:pStyle w:val="81"/>
        <w:rPr>
          <w:rFonts w:hint="eastAsia"/>
          <w:color w:val="000000" w:themeColor="text1"/>
          <w14:textFill>
            <w14:solidFill>
              <w14:schemeClr w14:val="tx1"/>
            </w14:solidFill>
          </w14:textFill>
        </w:rPr>
      </w:pPr>
    </w:p>
    <w:p w14:paraId="228B8531">
      <w:pPr>
        <w:pStyle w:val="81"/>
        <w:rPr>
          <w:rFonts w:hint="eastAsia"/>
          <w:color w:val="000000" w:themeColor="text1"/>
          <w14:textFill>
            <w14:solidFill>
              <w14:schemeClr w14:val="tx1"/>
            </w14:solidFill>
          </w14:textFill>
        </w:rPr>
      </w:pPr>
    </w:p>
    <w:p w14:paraId="5F4E1946">
      <w:pPr>
        <w:pStyle w:val="11"/>
        <w:rPr>
          <w:rFonts w:hint="eastAsia" w:ascii="宋体" w:hAnsi="宋体" w:cs="宋体"/>
          <w:color w:val="000000" w:themeColor="text1"/>
          <w14:textFill>
            <w14:solidFill>
              <w14:schemeClr w14:val="tx1"/>
            </w14:solidFill>
          </w14:textFill>
        </w:rPr>
      </w:pPr>
    </w:p>
    <w:p w14:paraId="28CDAABA">
      <w:pPr>
        <w:rPr>
          <w:rFonts w:hint="eastAsia" w:ascii="宋体" w:hAnsi="宋体" w:cs="宋体"/>
          <w:color w:val="000000" w:themeColor="text1"/>
          <w14:textFill>
            <w14:solidFill>
              <w14:schemeClr w14:val="tx1"/>
            </w14:solidFill>
          </w14:textFill>
        </w:rPr>
      </w:pPr>
    </w:p>
    <w:p w14:paraId="1D185B6E">
      <w:pPr>
        <w:rPr>
          <w:rFonts w:hint="eastAsia" w:ascii="宋体" w:hAnsi="宋体" w:cs="宋体"/>
          <w:color w:val="000000" w:themeColor="text1"/>
          <w14:textFill>
            <w14:solidFill>
              <w14:schemeClr w14:val="tx1"/>
            </w14:solidFill>
          </w14:textFill>
        </w:rPr>
      </w:pPr>
    </w:p>
    <w:p w14:paraId="34BFD8CC">
      <w:pPr>
        <w:rPr>
          <w:rFonts w:hint="eastAsia" w:ascii="宋体" w:hAnsi="宋体" w:cs="宋体"/>
          <w:color w:val="000000" w:themeColor="text1"/>
          <w14:textFill>
            <w14:solidFill>
              <w14:schemeClr w14:val="tx1"/>
            </w14:solidFill>
          </w14:textFill>
        </w:rPr>
      </w:pPr>
    </w:p>
    <w:p w14:paraId="0AFA396A">
      <w:pPr>
        <w:rPr>
          <w:rFonts w:hint="eastAsia" w:ascii="宋体" w:hAnsi="宋体" w:cs="宋体"/>
          <w:color w:val="000000" w:themeColor="text1"/>
          <w14:textFill>
            <w14:solidFill>
              <w14:schemeClr w14:val="tx1"/>
            </w14:solidFill>
          </w14:textFill>
        </w:rPr>
      </w:pPr>
    </w:p>
    <w:p w14:paraId="0141E1F2">
      <w:pPr>
        <w:rPr>
          <w:rFonts w:hint="eastAsia" w:ascii="宋体" w:hAnsi="宋体" w:cs="宋体"/>
          <w:color w:val="000000" w:themeColor="text1"/>
          <w14:textFill>
            <w14:solidFill>
              <w14:schemeClr w14:val="tx1"/>
            </w14:solidFill>
          </w14:textFill>
        </w:rPr>
      </w:pPr>
    </w:p>
    <w:p w14:paraId="71B464E5">
      <w:pPr>
        <w:rPr>
          <w:rFonts w:hint="eastAsia" w:ascii="宋体" w:hAnsi="宋体" w:cs="宋体"/>
          <w:color w:val="000000" w:themeColor="text1"/>
          <w14:textFill>
            <w14:solidFill>
              <w14:schemeClr w14:val="tx1"/>
            </w14:solidFill>
          </w14:textFill>
        </w:rPr>
      </w:pPr>
    </w:p>
    <w:p w14:paraId="44CD5A3B">
      <w:pPr>
        <w:rPr>
          <w:rFonts w:hint="eastAsia" w:ascii="宋体" w:hAnsi="宋体" w:cs="宋体"/>
          <w:color w:val="000000" w:themeColor="text1"/>
          <w14:textFill>
            <w14:solidFill>
              <w14:schemeClr w14:val="tx1"/>
            </w14:solidFill>
          </w14:textFill>
        </w:rPr>
      </w:pPr>
    </w:p>
    <w:p w14:paraId="4D421609">
      <w:pPr>
        <w:rPr>
          <w:rFonts w:hint="eastAsia" w:ascii="宋体" w:hAnsi="宋体" w:cs="宋体"/>
          <w:color w:val="000000" w:themeColor="text1"/>
          <w14:textFill>
            <w14:solidFill>
              <w14:schemeClr w14:val="tx1"/>
            </w14:solidFill>
          </w14:textFill>
        </w:rPr>
      </w:pPr>
    </w:p>
    <w:p w14:paraId="784D3206">
      <w:pPr>
        <w:rPr>
          <w:rFonts w:hint="eastAsia" w:ascii="宋体" w:hAnsi="宋体" w:cs="宋体"/>
          <w:color w:val="000000" w:themeColor="text1"/>
          <w:sz w:val="28"/>
          <w:szCs w:val="28"/>
          <w14:textFill>
            <w14:solidFill>
              <w14:schemeClr w14:val="tx1"/>
            </w14:solidFill>
          </w14:textFill>
        </w:rPr>
      </w:pPr>
    </w:p>
    <w:p w14:paraId="1CD3DBF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u w:val="single"/>
          <w14:textFill>
            <w14:solidFill>
              <w14:schemeClr w14:val="tx1"/>
            </w14:solidFill>
          </w14:textFill>
        </w:rPr>
      </w:pPr>
      <w:bookmarkStart w:id="861" w:name="_Toc31983"/>
      <w:bookmarkStart w:id="862" w:name="_Toc12328"/>
      <w:bookmarkStart w:id="863" w:name="_Toc12193"/>
      <w:bookmarkStart w:id="864" w:name="_Toc13959"/>
      <w:bookmarkStart w:id="865" w:name="_Toc25034"/>
      <w:bookmarkStart w:id="866" w:name="_Toc26575"/>
      <w:bookmarkStart w:id="867" w:name="_Toc6619"/>
      <w:bookmarkStart w:id="868" w:name="_Toc20039"/>
      <w:bookmarkStart w:id="869" w:name="_Hlk519177560"/>
      <w:r>
        <w:rPr>
          <w:rFonts w:hint="eastAsia" w:ascii="宋体" w:hAnsi="宋体" w:cs="宋体"/>
          <w:b/>
          <w:color w:val="000000" w:themeColor="text1"/>
          <w:sz w:val="28"/>
          <w:szCs w:val="28"/>
          <w14:textFill>
            <w14:solidFill>
              <w14:schemeClr w14:val="tx1"/>
            </w14:solidFill>
          </w14:textFill>
        </w:rPr>
        <w:t>投标人：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bCs w:val="0"/>
          <w:color w:val="000000" w:themeColor="text1"/>
          <w:sz w:val="28"/>
          <w:szCs w:val="28"/>
          <w:u w:val="single"/>
          <w14:textFill>
            <w14:solidFill>
              <w14:schemeClr w14:val="tx1"/>
            </w14:solidFill>
          </w14:textFill>
        </w:rPr>
        <w:t xml:space="preserve">（单位全称）  </w:t>
      </w:r>
      <w:r>
        <w:rPr>
          <w:rFonts w:hint="eastAsia" w:ascii="宋体" w:hAnsi="宋体" w:cs="宋体"/>
          <w:b/>
          <w:color w:val="000000" w:themeColor="text1"/>
          <w:sz w:val="28"/>
          <w:szCs w:val="28"/>
          <w14:textFill>
            <w14:solidFill>
              <w14:schemeClr w14:val="tx1"/>
            </w14:solidFill>
          </w14:textFill>
        </w:rPr>
        <w:t>（盖单位公章）</w:t>
      </w:r>
      <w:bookmarkEnd w:id="861"/>
      <w:bookmarkEnd w:id="862"/>
      <w:bookmarkEnd w:id="863"/>
      <w:bookmarkEnd w:id="864"/>
      <w:bookmarkEnd w:id="865"/>
      <w:bookmarkEnd w:id="866"/>
      <w:bookmarkEnd w:id="867"/>
      <w:bookmarkEnd w:id="868"/>
    </w:p>
    <w:p w14:paraId="2218EA3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70" w:name="_Toc2875"/>
      <w:bookmarkStart w:id="871" w:name="_Toc343512253"/>
      <w:bookmarkStart w:id="872" w:name="_Toc13879"/>
      <w:bookmarkStart w:id="873" w:name="_Toc12443"/>
      <w:bookmarkStart w:id="874" w:name="_Toc24127"/>
      <w:bookmarkStart w:id="875" w:name="_Toc1582"/>
      <w:bookmarkStart w:id="876" w:name="_Toc7290"/>
      <w:bookmarkStart w:id="877" w:name="_Toc23903"/>
      <w:bookmarkStart w:id="878" w:name="_Toc9955"/>
      <w:r>
        <w:rPr>
          <w:rFonts w:hint="eastAsia" w:ascii="宋体" w:hAnsi="宋体" w:cs="宋体"/>
          <w:b/>
          <w:color w:val="000000" w:themeColor="text1"/>
          <w:sz w:val="28"/>
          <w:szCs w:val="28"/>
          <w14:textFill>
            <w14:solidFill>
              <w14:schemeClr w14:val="tx1"/>
            </w14:solidFill>
          </w14:textFill>
        </w:rPr>
        <w:t>法定代表人</w:t>
      </w:r>
      <w:r>
        <w:rPr>
          <w:rFonts w:hint="eastAsia" w:ascii="宋体" w:hAnsi="宋体" w:cs="宋体"/>
          <w:b/>
          <w:color w:val="000000" w:themeColor="text1"/>
          <w:sz w:val="28"/>
          <w:szCs w:val="28"/>
          <w:lang w:eastAsia="zh-CN"/>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负责人</w:t>
      </w:r>
      <w:r>
        <w:rPr>
          <w:rFonts w:hint="eastAsia" w:ascii="宋体" w:hAnsi="宋体" w:cs="宋体"/>
          <w:b/>
          <w:color w:val="000000" w:themeColor="text1"/>
          <w:sz w:val="28"/>
          <w:szCs w:val="28"/>
          <w:lang w:eastAsia="zh-CN"/>
          <w14:textFill>
            <w14:solidFill>
              <w14:schemeClr w14:val="tx1"/>
            </w14:solidFill>
          </w14:textFill>
        </w:rPr>
        <w:t>）</w:t>
      </w:r>
      <w:r>
        <w:rPr>
          <w:rFonts w:hint="eastAsia" w:ascii="宋体" w:hAnsi="宋体" w:cs="宋体"/>
          <w:b/>
          <w:color w:val="000000" w:themeColor="text1"/>
          <w:sz w:val="28"/>
          <w:szCs w:val="28"/>
          <w14:textFill>
            <w14:solidFill>
              <w14:schemeClr w14:val="tx1"/>
            </w14:solidFill>
          </w14:textFill>
        </w:rPr>
        <w:t>：</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（签字或法人印鉴）</w:t>
      </w:r>
      <w:bookmarkEnd w:id="870"/>
      <w:bookmarkEnd w:id="871"/>
      <w:bookmarkEnd w:id="872"/>
      <w:bookmarkEnd w:id="873"/>
      <w:bookmarkEnd w:id="874"/>
      <w:bookmarkEnd w:id="875"/>
      <w:bookmarkEnd w:id="876"/>
      <w:bookmarkEnd w:id="877"/>
      <w:bookmarkEnd w:id="878"/>
    </w:p>
    <w:p w14:paraId="0CDD2298">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79" w:name="_Toc1301"/>
      <w:bookmarkStart w:id="880" w:name="_Toc28259"/>
      <w:bookmarkStart w:id="881" w:name="_Toc23630"/>
      <w:bookmarkStart w:id="882" w:name="_Toc18563"/>
      <w:bookmarkStart w:id="883" w:name="_Toc27789"/>
      <w:bookmarkStart w:id="884" w:name="_Toc9488"/>
      <w:bookmarkStart w:id="885" w:name="_Toc29467"/>
      <w:bookmarkStart w:id="886" w:name="_Toc11005"/>
      <w:r>
        <w:rPr>
          <w:rFonts w:hint="eastAsia" w:ascii="宋体" w:hAnsi="宋体" w:cs="宋体"/>
          <w:b/>
          <w:color w:val="000000" w:themeColor="text1"/>
          <w:sz w:val="28"/>
          <w:szCs w:val="28"/>
          <w14:textFill>
            <w14:solidFill>
              <w14:schemeClr w14:val="tx1"/>
            </w14:solidFill>
          </w14:textFill>
        </w:rPr>
        <w:t>委托代理人：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w:t>
      </w:r>
      <w:bookmarkEnd w:id="879"/>
      <w:bookmarkEnd w:id="880"/>
      <w:bookmarkEnd w:id="881"/>
      <w:bookmarkEnd w:id="882"/>
      <w:bookmarkEnd w:id="883"/>
      <w:bookmarkEnd w:id="884"/>
      <w:bookmarkEnd w:id="885"/>
      <w:bookmarkEnd w:id="886"/>
    </w:p>
    <w:p w14:paraId="7DBCE2E0">
      <w:pPr>
        <w:keepNext w:val="0"/>
        <w:keepLines w:val="0"/>
        <w:pageBreakBefore w:val="0"/>
        <w:widowControl w:val="0"/>
        <w:kinsoku/>
        <w:wordWrap/>
        <w:overflowPunct/>
        <w:topLinePunct w:val="0"/>
        <w:autoSpaceDE/>
        <w:autoSpaceDN/>
        <w:bidi w:val="0"/>
        <w:adjustRightInd/>
        <w:snapToGrid/>
        <w:spacing w:line="480" w:lineRule="auto"/>
        <w:ind w:firstLine="1405" w:firstLineChars="500"/>
        <w:jc w:val="both"/>
        <w:textAlignment w:val="auto"/>
        <w:rPr>
          <w:rFonts w:hint="eastAsia" w:ascii="宋体" w:hAnsi="宋体" w:cs="宋体"/>
          <w:b/>
          <w:color w:val="000000" w:themeColor="text1"/>
          <w:sz w:val="28"/>
          <w:szCs w:val="28"/>
          <w14:textFill>
            <w14:solidFill>
              <w14:schemeClr w14:val="tx1"/>
            </w14:solidFill>
          </w14:textFill>
        </w:rPr>
      </w:pPr>
      <w:bookmarkStart w:id="887" w:name="_Toc343512254"/>
      <w:r>
        <w:rPr>
          <w:rFonts w:hint="eastAsia" w:ascii="宋体" w:hAnsi="宋体" w:cs="宋体"/>
          <w:b/>
          <w:color w:val="000000" w:themeColor="text1"/>
          <w:sz w:val="28"/>
          <w:szCs w:val="28"/>
          <w14:textFill>
            <w14:solidFill>
              <w14:schemeClr w14:val="tx1"/>
            </w14:solidFill>
          </w14:textFill>
        </w:rPr>
        <w:t xml:space="preserve">  年    月    日</w:t>
      </w:r>
      <w:bookmarkEnd w:id="887"/>
    </w:p>
    <w:bookmarkEnd w:id="869"/>
    <w:p w14:paraId="25E8323C">
      <w:pPr>
        <w:spacing w:line="360" w:lineRule="auto"/>
        <w:ind w:firstLine="855"/>
        <w:rPr>
          <w:rFonts w:hint="eastAsia" w:ascii="宋体" w:hAnsi="宋体" w:cs="宋体"/>
          <w:color w:val="000000" w:themeColor="text1"/>
          <w:sz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FB97A9A">
      <w:pPr>
        <w:spacing w:line="360" w:lineRule="auto"/>
        <w:jc w:val="center"/>
        <w:rPr>
          <w:rFonts w:hint="eastAsia" w:ascii="宋体" w:hAnsi="宋体" w:cs="宋体"/>
          <w:b/>
          <w:color w:val="000000" w:themeColor="text1"/>
          <w:sz w:val="44"/>
          <w:szCs w:val="44"/>
          <w14:textFill>
            <w14:solidFill>
              <w14:schemeClr w14:val="tx1"/>
            </w14:solidFill>
          </w14:textFill>
        </w:rPr>
      </w:pPr>
      <w:bookmarkStart w:id="888" w:name="_Toc246997098"/>
      <w:bookmarkStart w:id="889" w:name="_Toc179632807"/>
      <w:bookmarkStart w:id="890" w:name="_Toc247085873"/>
      <w:bookmarkStart w:id="891" w:name="_Toc246996355"/>
      <w:bookmarkStart w:id="892" w:name="_Toc152045787"/>
      <w:bookmarkStart w:id="893" w:name="_Toc343512255"/>
      <w:bookmarkStart w:id="894" w:name="_Toc144974856"/>
      <w:bookmarkStart w:id="895" w:name="_Toc152042576"/>
      <w:bookmarkStart w:id="896" w:name="_Toc132684575"/>
      <w:bookmarkStart w:id="897" w:name="_Toc169940965"/>
      <w:bookmarkStart w:id="898" w:name="_Toc145989459"/>
      <w:r>
        <w:rPr>
          <w:rFonts w:hint="eastAsia" w:ascii="宋体" w:hAnsi="宋体" w:cs="宋体"/>
          <w:b/>
          <w:color w:val="000000" w:themeColor="text1"/>
          <w:sz w:val="44"/>
          <w:szCs w:val="44"/>
          <w14:textFill>
            <w14:solidFill>
              <w14:schemeClr w14:val="tx1"/>
            </w14:solidFill>
          </w14:textFill>
        </w:rPr>
        <w:t>目    录</w:t>
      </w:r>
      <w:bookmarkEnd w:id="888"/>
      <w:bookmarkEnd w:id="889"/>
      <w:bookmarkEnd w:id="890"/>
      <w:bookmarkEnd w:id="891"/>
      <w:bookmarkEnd w:id="892"/>
      <w:bookmarkEnd w:id="893"/>
      <w:bookmarkEnd w:id="894"/>
      <w:bookmarkEnd w:id="895"/>
    </w:p>
    <w:p w14:paraId="40109799">
      <w:pPr>
        <w:spacing w:line="360" w:lineRule="auto"/>
        <w:ind w:firstLine="643" w:firstLineChars="200"/>
        <w:rPr>
          <w:rFonts w:hint="eastAsia" w:ascii="宋体" w:hAnsi="宋体" w:cs="宋体"/>
          <w:b/>
          <w:color w:val="000000" w:themeColor="text1"/>
          <w:sz w:val="32"/>
          <w:szCs w:val="32"/>
          <w14:textFill>
            <w14:solidFill>
              <w14:schemeClr w14:val="tx1"/>
            </w14:solidFill>
          </w14:textFill>
        </w:rPr>
      </w:pPr>
    </w:p>
    <w:p w14:paraId="1C407E4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bookmarkStart w:id="899" w:name="_Toc343512258"/>
      <w:r>
        <w:rPr>
          <w:rFonts w:hint="eastAsia" w:ascii="宋体" w:hAnsi="宋体" w:cs="宋体"/>
          <w:b/>
          <w:color w:val="000000" w:themeColor="text1"/>
          <w:sz w:val="28"/>
          <w:szCs w:val="28"/>
          <w:lang w:val="en-US" w:eastAsia="zh-CN"/>
          <w14:textFill>
            <w14:solidFill>
              <w14:schemeClr w14:val="tx1"/>
            </w14:solidFill>
          </w14:textFill>
        </w:rPr>
        <w:t>一、</w:t>
      </w:r>
      <w:r>
        <w:rPr>
          <w:rFonts w:hint="eastAsia" w:ascii="宋体" w:hAnsi="宋体" w:cs="宋体"/>
          <w:b/>
          <w:color w:val="000000" w:themeColor="text1"/>
          <w:sz w:val="28"/>
          <w:szCs w:val="28"/>
          <w14:textFill>
            <w14:solidFill>
              <w14:schemeClr w14:val="tx1"/>
            </w14:solidFill>
          </w14:textFill>
        </w:rPr>
        <w:t>资格证明文件</w:t>
      </w:r>
    </w:p>
    <w:bookmarkEnd w:id="899"/>
    <w:p w14:paraId="65DB0C98">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p>
    <w:p w14:paraId="5F1EFF4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三、</w:t>
      </w:r>
      <w:r>
        <w:rPr>
          <w:rFonts w:hint="eastAsia" w:ascii="宋体" w:hAnsi="宋体" w:cs="宋体"/>
          <w:b/>
          <w:color w:val="000000" w:themeColor="text1"/>
          <w:sz w:val="28"/>
          <w:szCs w:val="28"/>
          <w:lang w:eastAsia="zh-CN"/>
          <w14:textFill>
            <w14:solidFill>
              <w14:schemeClr w14:val="tx1"/>
            </w14:solidFill>
          </w14:textFill>
        </w:rPr>
        <w:t>开标一览表</w:t>
      </w:r>
    </w:p>
    <w:p w14:paraId="4201EE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lang w:eastAsia="zh-CN"/>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lang w:eastAsia="zh-CN"/>
          <w14:textFill>
            <w14:solidFill>
              <w14:schemeClr w14:val="tx1"/>
            </w14:solidFill>
          </w14:textFill>
        </w:rPr>
        <w:t>分项报价表</w:t>
      </w:r>
    </w:p>
    <w:p w14:paraId="4A6F95C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五、</w:t>
      </w:r>
      <w:r>
        <w:rPr>
          <w:rFonts w:hint="eastAsia" w:ascii="宋体" w:hAnsi="宋体" w:eastAsia="宋体" w:cs="宋体"/>
          <w:b/>
          <w:color w:val="000000" w:themeColor="text1"/>
          <w:sz w:val="28"/>
          <w:szCs w:val="28"/>
          <w:lang w:eastAsia="zh-CN"/>
          <w14:textFill>
            <w14:solidFill>
              <w14:schemeClr w14:val="tx1"/>
            </w14:solidFill>
          </w14:textFill>
        </w:rPr>
        <w:t>偏离表</w:t>
      </w:r>
    </w:p>
    <w:p w14:paraId="49DE0B3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505739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w:t>
      </w:r>
      <w:r>
        <w:rPr>
          <w:rFonts w:hint="eastAsia" w:ascii="宋体" w:hAnsi="宋体" w:cs="宋体"/>
          <w:b/>
          <w:color w:val="000000" w:themeColor="text1"/>
          <w:sz w:val="28"/>
          <w:szCs w:val="28"/>
          <w:lang w:val="en-US" w:eastAsia="zh-CN"/>
          <w14:textFill>
            <w14:solidFill>
              <w14:schemeClr w14:val="tx1"/>
            </w14:solidFill>
          </w14:textFill>
        </w:rPr>
        <w:t>及商务</w:t>
      </w:r>
      <w:r>
        <w:rPr>
          <w:rFonts w:hint="eastAsia" w:ascii="宋体" w:hAnsi="宋体" w:cs="宋体"/>
          <w:b/>
          <w:color w:val="000000" w:themeColor="text1"/>
          <w:sz w:val="28"/>
          <w:szCs w:val="28"/>
          <w14:textFill>
            <w14:solidFill>
              <w14:schemeClr w14:val="tx1"/>
            </w14:solidFill>
          </w14:textFill>
        </w:rPr>
        <w:t>部分响应内容</w:t>
      </w:r>
    </w:p>
    <w:p w14:paraId="66DDA2D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、其他资料</w:t>
      </w:r>
    </w:p>
    <w:p w14:paraId="1D51A844">
      <w:pPr>
        <w:pStyle w:val="16"/>
        <w:spacing w:line="360" w:lineRule="auto"/>
        <w:rPr>
          <w:rFonts w:hint="eastAsia" w:hAnsi="宋体"/>
          <w:b/>
          <w:color w:val="000000" w:themeColor="text1"/>
          <w:sz w:val="28"/>
          <w:szCs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896"/>
    <w:bookmarkEnd w:id="897"/>
    <w:bookmarkEnd w:id="898"/>
    <w:p w14:paraId="3DFFC03D">
      <w:pPr>
        <w:numPr>
          <w:ilvl w:val="0"/>
          <w:numId w:val="0"/>
        </w:numPr>
        <w:spacing w:line="360" w:lineRule="auto"/>
        <w:jc w:val="center"/>
        <w:outlineLvl w:val="1"/>
        <w:rPr>
          <w:rFonts w:hint="eastAsia" w:ascii="宋体" w:hAnsi="宋体" w:cs="宋体"/>
          <w:b/>
          <w:color w:val="000000" w:themeColor="text1"/>
          <w:sz w:val="28"/>
          <w:szCs w:val="28"/>
          <w14:textFill>
            <w14:solidFill>
              <w14:schemeClr w14:val="tx1"/>
            </w14:solidFill>
          </w14:textFill>
        </w:rPr>
      </w:pPr>
      <w:bookmarkStart w:id="900" w:name="_Toc152042596"/>
      <w:bookmarkStart w:id="901" w:name="_Toc361406472"/>
      <w:bookmarkStart w:id="902" w:name="_Toc246997115"/>
      <w:bookmarkStart w:id="903" w:name="_Toc246996372"/>
      <w:bookmarkStart w:id="904" w:name="_Toc247085890"/>
      <w:bookmarkStart w:id="905" w:name="_Toc179632827"/>
      <w:bookmarkStart w:id="906" w:name="_Toc394320941"/>
      <w:bookmarkStart w:id="907" w:name="_Toc152045807"/>
      <w:bookmarkStart w:id="908" w:name="_Toc144974875"/>
      <w:bookmarkStart w:id="909" w:name="_Toc343512414"/>
      <w:bookmarkStart w:id="910" w:name="_Toc397585273"/>
      <w:bookmarkStart w:id="911" w:name="_Toc395711854"/>
      <w:bookmarkStart w:id="912" w:name="_Toc397410506"/>
      <w:bookmarkStart w:id="913" w:name="_Toc394320935"/>
      <w:bookmarkStart w:id="914" w:name="_Toc522893843"/>
      <w:bookmarkStart w:id="915" w:name="_Toc361406466"/>
      <w:bookmarkStart w:id="916" w:name="_Toc490171582"/>
      <w:bookmarkStart w:id="917" w:name="_Toc456197116"/>
      <w:bookmarkStart w:id="918" w:name="_Toc397410693"/>
      <w:r>
        <w:rPr>
          <w:rFonts w:hint="eastAsia" w:ascii="宋体" w:hAnsi="宋体" w:eastAsia="宋体" w:cs="宋体"/>
          <w:b/>
          <w:color w:val="000000" w:themeColor="text1"/>
          <w:kern w:val="2"/>
          <w:sz w:val="28"/>
          <w:szCs w:val="28"/>
          <w:lang w:val="en-US" w:eastAsia="zh-CN" w:bidi="ar-SA"/>
          <w14:textFill>
            <w14:solidFill>
              <w14:schemeClr w14:val="tx1"/>
            </w14:solidFill>
          </w14:textFill>
        </w:rPr>
        <w:t>一、</w:t>
      </w:r>
      <w:r>
        <w:rPr>
          <w:rFonts w:hint="eastAsia" w:ascii="宋体" w:hAnsi="宋体" w:cs="宋体"/>
          <w:b/>
          <w:color w:val="000000" w:themeColor="text1"/>
          <w:sz w:val="28"/>
          <w:szCs w:val="28"/>
          <w14:textFill>
            <w14:solidFill>
              <w14:schemeClr w14:val="tx1"/>
            </w14:solidFill>
          </w14:textFill>
        </w:rPr>
        <w:t>资格证明文件</w:t>
      </w:r>
    </w:p>
    <w:p w14:paraId="425CFC66">
      <w:pPr>
        <w:pStyle w:val="11"/>
        <w:numPr>
          <w:ilvl w:val="0"/>
          <w:numId w:val="0"/>
        </w:numPr>
        <w:rPr>
          <w:rFonts w:hint="eastAsia"/>
          <w:color w:val="000000" w:themeColor="text1"/>
          <w14:textFill>
            <w14:solidFill>
              <w14:schemeClr w14:val="tx1"/>
            </w14:solidFill>
          </w14:textFill>
        </w:rPr>
      </w:pPr>
    </w:p>
    <w:bookmarkEnd w:id="900"/>
    <w:bookmarkEnd w:id="901"/>
    <w:bookmarkEnd w:id="902"/>
    <w:bookmarkEnd w:id="903"/>
    <w:bookmarkEnd w:id="904"/>
    <w:bookmarkEnd w:id="905"/>
    <w:bookmarkEnd w:id="906"/>
    <w:bookmarkEnd w:id="907"/>
    <w:bookmarkEnd w:id="908"/>
    <w:bookmarkEnd w:id="909"/>
    <w:p w14:paraId="6956CB8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（1）基本资格条件：</w:t>
      </w:r>
    </w:p>
    <w:p w14:paraId="0B1B3A7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符合《中华人民共和国政府采购法》第二十二条的规定；</w:t>
      </w:r>
    </w:p>
    <w:p w14:paraId="559D650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（2）特定资格条件：</w:t>
      </w:r>
    </w:p>
    <w:p w14:paraId="2439F84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6AC8143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.法定代表人授权委托书及被授权人身份证（法定代表人直接参加时，只须出示法定代表人身份证)；</w:t>
      </w:r>
    </w:p>
    <w:p w14:paraId="78E20D4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3</w:t>
      </w:r>
      <w:r>
        <w:rPr>
          <w:rFonts w:hint="eastAsia" w:ascii="宋体" w:hAnsi="宋体" w:eastAsia="宋体" w:cs="宋体"/>
          <w:bCs/>
          <w:color w:val="000000" w:themeColor="text1"/>
          <w:sz w:val="24"/>
          <w:szCs w:val="24"/>
          <w:lang w:val="en-US" w:eastAsia="zh-CN"/>
          <w14:textFill>
            <w14:solidFill>
              <w14:schemeClr w14:val="tx1"/>
            </w14:solidFill>
          </w14:textFill>
        </w:rPr>
        <w:t>.提供参加政府采购活动前3年内经营活动中没有重大违法记录声明；</w:t>
      </w:r>
    </w:p>
    <w:p w14:paraId="3A7DFA5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.税收缴纳证明：自202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508E199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.社会保障资金缴纳证明：自202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2F418DF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.财务状况报告：提供202</w:t>
      </w: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或202</w:t>
      </w: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73F25ED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7</w:t>
      </w:r>
      <w:r>
        <w:rPr>
          <w:rFonts w:hint="eastAsia" w:ascii="宋体" w:hAnsi="宋体" w:eastAsia="宋体" w:cs="宋体"/>
          <w:bCs/>
          <w:color w:val="000000" w:themeColor="text1"/>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1A8BD0B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8</w:t>
      </w:r>
      <w:r>
        <w:rPr>
          <w:rFonts w:hint="eastAsia" w:ascii="宋体" w:hAnsi="宋体" w:eastAsia="宋体" w:cs="宋体"/>
          <w:bCs/>
          <w:color w:val="000000" w:themeColor="text1"/>
          <w:sz w:val="24"/>
          <w:szCs w:val="24"/>
          <w:lang w:val="en-US" w:eastAsia="zh-CN"/>
          <w14:textFill>
            <w14:solidFill>
              <w14:schemeClr w14:val="tx1"/>
            </w14:solidFill>
          </w14:textFill>
        </w:rPr>
        <w:t xml:space="preserve">.提供投标保证金的银行转账或电汇凭证并确保投标文件递交截止时间前到达采购文件指定账户； </w:t>
      </w:r>
    </w:p>
    <w:p w14:paraId="469F67F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cs="宋体"/>
          <w:bCs/>
          <w:color w:val="000000" w:themeColor="text1"/>
          <w:sz w:val="24"/>
          <w:szCs w:val="24"/>
          <w:lang w:val="en-US" w:eastAsia="zh-CN"/>
          <w14:textFill>
            <w14:solidFill>
              <w14:schemeClr w14:val="tx1"/>
            </w14:solidFill>
          </w14:textFill>
        </w:rPr>
        <w:t>9</w:t>
      </w:r>
      <w:r>
        <w:rPr>
          <w:rFonts w:hint="eastAsia" w:ascii="宋体" w:hAnsi="宋体" w:eastAsia="宋体" w:cs="宋体"/>
          <w:bCs/>
          <w:color w:val="000000" w:themeColor="text1"/>
          <w:sz w:val="24"/>
          <w:szCs w:val="24"/>
          <w:lang w:val="en-US" w:eastAsia="zh-CN"/>
          <w14:textFill>
            <w14:solidFill>
              <w14:schemeClr w14:val="tx1"/>
            </w14:solidFill>
          </w14:textFill>
        </w:rPr>
        <w:t>.本项目不接受联合体投标。</w:t>
      </w:r>
    </w:p>
    <w:p w14:paraId="1CD1D555">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1</w:t>
      </w:r>
    </w:p>
    <w:tbl>
      <w:tblPr>
        <w:tblStyle w:val="35"/>
        <w:tblpPr w:leftFromText="180" w:rightFromText="180" w:vertAnchor="text" w:horzAnchor="page" w:tblpX="1187" w:tblpY="10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4C9D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200" w:type="dxa"/>
            <w:gridSpan w:val="5"/>
            <w:noWrap w:val="0"/>
            <w:vAlign w:val="top"/>
          </w:tcPr>
          <w:p w14:paraId="3022977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致：陕西宸永项目管理有限公司</w:t>
            </w:r>
          </w:p>
        </w:tc>
      </w:tr>
      <w:tr w14:paraId="41E4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restart"/>
            <w:noWrap w:val="0"/>
            <w:vAlign w:val="center"/>
          </w:tcPr>
          <w:p w14:paraId="2E77A54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w:t>
            </w:r>
          </w:p>
          <w:p w14:paraId="000893F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业</w:t>
            </w:r>
          </w:p>
          <w:p w14:paraId="729FD87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w:t>
            </w:r>
          </w:p>
          <w:p w14:paraId="4846DD4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45172E2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企业名称</w:t>
            </w:r>
          </w:p>
        </w:tc>
        <w:tc>
          <w:tcPr>
            <w:tcW w:w="6140" w:type="dxa"/>
            <w:gridSpan w:val="3"/>
            <w:noWrap w:val="0"/>
            <w:vAlign w:val="top"/>
          </w:tcPr>
          <w:p w14:paraId="44A417A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F4D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20" w:type="dxa"/>
            <w:vMerge w:val="continue"/>
            <w:noWrap w:val="0"/>
            <w:vAlign w:val="top"/>
          </w:tcPr>
          <w:p w14:paraId="3A7F5F2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2EBE9CE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法定地址</w:t>
            </w:r>
          </w:p>
        </w:tc>
        <w:tc>
          <w:tcPr>
            <w:tcW w:w="6140" w:type="dxa"/>
            <w:gridSpan w:val="3"/>
            <w:noWrap w:val="0"/>
            <w:vAlign w:val="top"/>
          </w:tcPr>
          <w:p w14:paraId="5DA6396D">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6296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1B028951">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73ACC7F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邮政编码</w:t>
            </w:r>
          </w:p>
        </w:tc>
        <w:tc>
          <w:tcPr>
            <w:tcW w:w="6140" w:type="dxa"/>
            <w:gridSpan w:val="3"/>
            <w:noWrap w:val="0"/>
            <w:vAlign w:val="top"/>
          </w:tcPr>
          <w:p w14:paraId="763788F6">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41B0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641E6B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03B24026">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网    址</w:t>
            </w:r>
          </w:p>
        </w:tc>
        <w:tc>
          <w:tcPr>
            <w:tcW w:w="6140" w:type="dxa"/>
            <w:gridSpan w:val="3"/>
            <w:noWrap w:val="0"/>
            <w:vAlign w:val="top"/>
          </w:tcPr>
          <w:p w14:paraId="43689A79">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8B1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2CDCFA10">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2B3B1D3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工商登记机关</w:t>
            </w:r>
          </w:p>
        </w:tc>
        <w:tc>
          <w:tcPr>
            <w:tcW w:w="6140" w:type="dxa"/>
            <w:gridSpan w:val="3"/>
            <w:noWrap w:val="0"/>
            <w:vAlign w:val="top"/>
          </w:tcPr>
          <w:p w14:paraId="1140E3E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0F47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20" w:type="dxa"/>
            <w:vMerge w:val="continue"/>
            <w:noWrap w:val="0"/>
            <w:vAlign w:val="top"/>
          </w:tcPr>
          <w:p w14:paraId="377782CC">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16F647DF">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税务登记机关</w:t>
            </w:r>
          </w:p>
        </w:tc>
        <w:tc>
          <w:tcPr>
            <w:tcW w:w="6140" w:type="dxa"/>
            <w:gridSpan w:val="3"/>
            <w:noWrap w:val="0"/>
            <w:vAlign w:val="top"/>
          </w:tcPr>
          <w:p w14:paraId="7D48A2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0F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20" w:type="dxa"/>
            <w:vMerge w:val="continue"/>
            <w:noWrap w:val="0"/>
            <w:vAlign w:val="top"/>
          </w:tcPr>
          <w:p w14:paraId="700742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35CFE6AF">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机构代码证号（统一社会信用代码）</w:t>
            </w:r>
          </w:p>
        </w:tc>
        <w:tc>
          <w:tcPr>
            <w:tcW w:w="6140" w:type="dxa"/>
            <w:gridSpan w:val="3"/>
            <w:noWrap w:val="0"/>
            <w:vAlign w:val="top"/>
          </w:tcPr>
          <w:p w14:paraId="33D32907">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1863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20" w:type="dxa"/>
            <w:vMerge w:val="restart"/>
            <w:noWrap w:val="0"/>
            <w:vAlign w:val="center"/>
          </w:tcPr>
          <w:p w14:paraId="6D278963">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w:t>
            </w:r>
          </w:p>
          <w:p w14:paraId="6746651E">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代表</w:t>
            </w:r>
          </w:p>
          <w:p w14:paraId="332E7DCA">
            <w:pPr>
              <w:tabs>
                <w:tab w:val="left" w:pos="1260"/>
              </w:tabs>
              <w:spacing w:line="440" w:lineRule="exact"/>
              <w:jc w:val="center"/>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负责人</w:t>
            </w:r>
            <w:r>
              <w:rPr>
                <w:rFonts w:hint="eastAsia" w:ascii="宋体" w:hAnsi="宋体" w:cs="宋体"/>
                <w:color w:val="000000" w:themeColor="text1"/>
                <w:sz w:val="24"/>
                <w:lang w:eastAsia="zh-CN"/>
                <w14:textFill>
                  <w14:solidFill>
                    <w14:schemeClr w14:val="tx1"/>
                  </w14:solidFill>
                </w14:textFill>
              </w:rPr>
              <w:t>）</w:t>
            </w:r>
          </w:p>
        </w:tc>
        <w:tc>
          <w:tcPr>
            <w:tcW w:w="2240" w:type="dxa"/>
            <w:noWrap w:val="0"/>
            <w:vAlign w:val="center"/>
          </w:tcPr>
          <w:p w14:paraId="28E2412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    名</w:t>
            </w:r>
          </w:p>
        </w:tc>
        <w:tc>
          <w:tcPr>
            <w:tcW w:w="2950" w:type="dxa"/>
            <w:noWrap w:val="0"/>
            <w:vAlign w:val="center"/>
          </w:tcPr>
          <w:p w14:paraId="58650F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53044B17">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性  别</w:t>
            </w:r>
          </w:p>
        </w:tc>
        <w:tc>
          <w:tcPr>
            <w:tcW w:w="2151" w:type="dxa"/>
            <w:noWrap w:val="0"/>
            <w:vAlign w:val="top"/>
          </w:tcPr>
          <w:p w14:paraId="5DBC8508">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249D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0" w:type="dxa"/>
            <w:vMerge w:val="continue"/>
            <w:noWrap w:val="0"/>
            <w:vAlign w:val="top"/>
          </w:tcPr>
          <w:p w14:paraId="205FC1E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52A4AB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    务</w:t>
            </w:r>
          </w:p>
        </w:tc>
        <w:tc>
          <w:tcPr>
            <w:tcW w:w="2950" w:type="dxa"/>
            <w:noWrap w:val="0"/>
            <w:vAlign w:val="top"/>
          </w:tcPr>
          <w:p w14:paraId="61CC14DE">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3E8CDBD8">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w:t>
            </w:r>
          </w:p>
          <w:p w14:paraId="4DF2BB8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电话</w:t>
            </w:r>
          </w:p>
        </w:tc>
        <w:tc>
          <w:tcPr>
            <w:tcW w:w="2151" w:type="dxa"/>
            <w:noWrap w:val="0"/>
            <w:vAlign w:val="top"/>
          </w:tcPr>
          <w:p w14:paraId="0300AEA0">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741F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noWrap w:val="0"/>
            <w:vAlign w:val="top"/>
          </w:tcPr>
          <w:p w14:paraId="7A37C299">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1399804">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传    真</w:t>
            </w:r>
          </w:p>
        </w:tc>
        <w:tc>
          <w:tcPr>
            <w:tcW w:w="6140" w:type="dxa"/>
            <w:gridSpan w:val="3"/>
            <w:noWrap w:val="0"/>
            <w:vAlign w:val="top"/>
          </w:tcPr>
          <w:p w14:paraId="1FF69759">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23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820" w:type="dxa"/>
            <w:vMerge w:val="restart"/>
            <w:noWrap w:val="0"/>
            <w:vAlign w:val="center"/>
          </w:tcPr>
          <w:p w14:paraId="6A95BE3A">
            <w:pPr>
              <w:tabs>
                <w:tab w:val="left" w:pos="1260"/>
              </w:tabs>
              <w:spacing w:line="3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r>
              <w:rPr>
                <w:rFonts w:hint="eastAsia" w:ascii="宋体" w:hAnsi="宋体" w:cs="宋体"/>
                <w:color w:val="000000" w:themeColor="text1"/>
                <w:sz w:val="24"/>
                <w:szCs w:val="24"/>
                <w:lang w:val="en-US" w:eastAsia="zh-CN"/>
                <w14:textFill>
                  <w14:solidFill>
                    <w14:schemeClr w14:val="tx1"/>
                  </w14:solidFill>
                </w14:textFill>
              </w:rPr>
              <w:t>（负责人）</w:t>
            </w:r>
            <w:r>
              <w:rPr>
                <w:rFonts w:hint="eastAsia" w:ascii="宋体" w:hAnsi="宋体" w:eastAsia="宋体" w:cs="宋体"/>
                <w:color w:val="000000" w:themeColor="text1"/>
                <w:sz w:val="24"/>
                <w14:textFill>
                  <w14:solidFill>
                    <w14:schemeClr w14:val="tx1"/>
                  </w14:solidFill>
                </w14:textFill>
              </w:rPr>
              <w:t>身份证复印件</w:t>
            </w:r>
          </w:p>
        </w:tc>
        <w:tc>
          <w:tcPr>
            <w:tcW w:w="5190" w:type="dxa"/>
            <w:gridSpan w:val="2"/>
            <w:vMerge w:val="restart"/>
            <w:noWrap w:val="0"/>
            <w:vAlign w:val="center"/>
          </w:tcPr>
          <w:p w14:paraId="034298DD">
            <w:pPr>
              <w:tabs>
                <w:tab w:val="left" w:pos="1260"/>
              </w:tabs>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（正反面粘贴处）</w:t>
            </w:r>
          </w:p>
        </w:tc>
        <w:tc>
          <w:tcPr>
            <w:tcW w:w="3190" w:type="dxa"/>
            <w:gridSpan w:val="2"/>
            <w:noWrap w:val="0"/>
            <w:vAlign w:val="center"/>
          </w:tcPr>
          <w:p w14:paraId="6CFB129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r>
              <w:rPr>
                <w:rFonts w:hint="eastAsia" w:ascii="宋体" w:hAnsi="宋体" w:cs="宋体"/>
                <w:color w:val="000000" w:themeColor="text1"/>
                <w:sz w:val="24"/>
                <w:szCs w:val="24"/>
                <w:lang w:val="en-US" w:eastAsia="zh-CN"/>
                <w14:textFill>
                  <w14:solidFill>
                    <w14:schemeClr w14:val="tx1"/>
                  </w14:solidFill>
                </w14:textFill>
              </w:rPr>
              <w:t>（负责人）</w:t>
            </w:r>
            <w:r>
              <w:rPr>
                <w:rFonts w:hint="eastAsia" w:ascii="宋体" w:hAnsi="宋体" w:eastAsia="宋体" w:cs="宋体"/>
                <w:color w:val="000000" w:themeColor="text1"/>
                <w:sz w:val="24"/>
                <w14:textFill>
                  <w14:solidFill>
                    <w14:schemeClr w14:val="tx1"/>
                  </w14:solidFill>
                </w14:textFill>
              </w:rPr>
              <w:t>签字或盖章</w:t>
            </w:r>
          </w:p>
        </w:tc>
      </w:tr>
      <w:tr w14:paraId="1809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20" w:type="dxa"/>
            <w:vMerge w:val="continue"/>
            <w:noWrap w:val="0"/>
            <w:vAlign w:val="top"/>
          </w:tcPr>
          <w:p w14:paraId="6C0D5A92">
            <w:pPr>
              <w:rPr>
                <w:rFonts w:hint="eastAsia" w:ascii="宋体" w:hAnsi="宋体" w:eastAsia="宋体" w:cs="宋体"/>
                <w:color w:val="000000" w:themeColor="text1"/>
                <w:sz w:val="24"/>
                <w14:textFill>
                  <w14:solidFill>
                    <w14:schemeClr w14:val="tx1"/>
                  </w14:solidFill>
                </w14:textFill>
              </w:rPr>
            </w:pPr>
          </w:p>
        </w:tc>
        <w:tc>
          <w:tcPr>
            <w:tcW w:w="5190" w:type="dxa"/>
            <w:gridSpan w:val="2"/>
            <w:vMerge w:val="continue"/>
            <w:noWrap w:val="0"/>
            <w:vAlign w:val="top"/>
          </w:tcPr>
          <w:p w14:paraId="47D8DB77">
            <w:pPr>
              <w:rPr>
                <w:rFonts w:hint="eastAsia" w:ascii="宋体" w:hAnsi="宋体" w:eastAsia="宋体" w:cs="宋体"/>
                <w:color w:val="000000" w:themeColor="text1"/>
                <w:sz w:val="24"/>
                <w14:textFill>
                  <w14:solidFill>
                    <w14:schemeClr w14:val="tx1"/>
                  </w14:solidFill>
                </w14:textFill>
              </w:rPr>
            </w:pPr>
          </w:p>
        </w:tc>
        <w:tc>
          <w:tcPr>
            <w:tcW w:w="3190" w:type="dxa"/>
            <w:gridSpan w:val="2"/>
            <w:noWrap w:val="0"/>
            <w:vAlign w:val="center"/>
          </w:tcPr>
          <w:p w14:paraId="5798C78C">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6B60E79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（企业公章）</w:t>
            </w:r>
          </w:p>
          <w:p w14:paraId="77647AFF">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2358C5E6">
            <w:pPr>
              <w:tabs>
                <w:tab w:val="left" w:pos="1260"/>
              </w:tabs>
              <w:spacing w:line="440" w:lineRule="exact"/>
              <w:ind w:right="280" w:firstLine="45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   月   日</w:t>
            </w:r>
          </w:p>
        </w:tc>
      </w:tr>
    </w:tbl>
    <w:p w14:paraId="4B6E2C99">
      <w:pPr>
        <w:jc w:val="center"/>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法定代表人</w:t>
      </w:r>
      <w:r>
        <w:rPr>
          <w:rFonts w:hint="eastAsia" w:ascii="宋体" w:hAnsi="宋体" w:cs="宋体"/>
          <w:b/>
          <w:bCs/>
          <w:color w:val="000000" w:themeColor="text1"/>
          <w:sz w:val="28"/>
          <w:szCs w:val="36"/>
          <w:lang w:val="en-US" w:eastAsia="zh-CN"/>
          <w14:textFill>
            <w14:solidFill>
              <w14:schemeClr w14:val="tx1"/>
            </w14:solidFill>
          </w14:textFill>
        </w:rPr>
        <w:t>（负责人）</w:t>
      </w:r>
      <w:r>
        <w:rPr>
          <w:rFonts w:hint="eastAsia" w:ascii="宋体" w:hAnsi="宋体" w:cs="宋体"/>
          <w:b/>
          <w:bCs/>
          <w:color w:val="000000" w:themeColor="text1"/>
          <w:sz w:val="28"/>
          <w:szCs w:val="36"/>
          <w14:textFill>
            <w14:solidFill>
              <w14:schemeClr w14:val="tx1"/>
            </w14:solidFill>
          </w14:textFill>
        </w:rPr>
        <w:t>身份证明书</w:t>
      </w:r>
    </w:p>
    <w:p w14:paraId="7826B506">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1030868C">
      <w:pPr>
        <w:widowControl/>
        <w:spacing w:line="360" w:lineRule="auto"/>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t>法定代表人</w:t>
      </w:r>
      <w:r>
        <w:rPr>
          <w:rFonts w:hint="eastAsia" w:ascii="宋体" w:hAnsi="宋体" w:cs="宋体"/>
          <w:b/>
          <w:color w:val="000000" w:themeColor="text1"/>
          <w:sz w:val="28"/>
          <w:szCs w:val="28"/>
          <w:lang w:val="en-US" w:eastAsia="zh-CN"/>
          <w14:textFill>
            <w14:solidFill>
              <w14:schemeClr w14:val="tx1"/>
            </w14:solidFill>
          </w14:textFill>
        </w:rPr>
        <w:t>（负责人）</w:t>
      </w:r>
      <w:r>
        <w:rPr>
          <w:rFonts w:ascii="宋体" w:hAnsi="宋体" w:cs="宋体"/>
          <w:b/>
          <w:color w:val="000000" w:themeColor="text1"/>
          <w:sz w:val="28"/>
          <w:szCs w:val="28"/>
          <w14:textFill>
            <w14:solidFill>
              <w14:schemeClr w14:val="tx1"/>
            </w14:solidFill>
          </w14:textFill>
        </w:rPr>
        <w:t>授权委托书</w:t>
      </w:r>
    </w:p>
    <w:tbl>
      <w:tblPr>
        <w:tblStyle w:val="35"/>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4264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673F94FE">
            <w:pPr>
              <w:tabs>
                <w:tab w:val="left" w:pos="1260"/>
              </w:tabs>
              <w:spacing w:line="360" w:lineRule="auto"/>
              <w:ind w:firstLine="134" w:firstLineChars="56"/>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陕西宸永项目管理有限公司</w:t>
            </w:r>
          </w:p>
        </w:tc>
      </w:tr>
      <w:tr w14:paraId="6AA4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7191747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w:t>
            </w:r>
          </w:p>
        </w:tc>
        <w:tc>
          <w:tcPr>
            <w:tcW w:w="2155" w:type="dxa"/>
            <w:gridSpan w:val="2"/>
            <w:noWrap w:val="0"/>
            <w:vAlign w:val="center"/>
          </w:tcPr>
          <w:p w14:paraId="2A7DD5BE">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姓    名</w:t>
            </w:r>
          </w:p>
        </w:tc>
        <w:tc>
          <w:tcPr>
            <w:tcW w:w="1960" w:type="dxa"/>
            <w:gridSpan w:val="2"/>
            <w:noWrap w:val="0"/>
            <w:vAlign w:val="top"/>
          </w:tcPr>
          <w:p w14:paraId="34D21FD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3B08F79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性    别</w:t>
            </w:r>
          </w:p>
        </w:tc>
        <w:tc>
          <w:tcPr>
            <w:tcW w:w="2370" w:type="dxa"/>
            <w:noWrap w:val="0"/>
            <w:vAlign w:val="top"/>
          </w:tcPr>
          <w:p w14:paraId="4F3A9011">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559B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F4D26C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1C67A27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职    务</w:t>
            </w:r>
          </w:p>
        </w:tc>
        <w:tc>
          <w:tcPr>
            <w:tcW w:w="1960" w:type="dxa"/>
            <w:gridSpan w:val="2"/>
            <w:noWrap w:val="0"/>
            <w:vAlign w:val="top"/>
          </w:tcPr>
          <w:p w14:paraId="44C053F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82A0BAA">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手机号码</w:t>
            </w:r>
          </w:p>
        </w:tc>
        <w:tc>
          <w:tcPr>
            <w:tcW w:w="2370" w:type="dxa"/>
            <w:noWrap w:val="0"/>
            <w:vAlign w:val="top"/>
          </w:tcPr>
          <w:p w14:paraId="1FEF970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17D5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2F87E6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22D5EEE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联系电话</w:t>
            </w:r>
          </w:p>
        </w:tc>
        <w:tc>
          <w:tcPr>
            <w:tcW w:w="1960" w:type="dxa"/>
            <w:gridSpan w:val="2"/>
            <w:noWrap w:val="0"/>
            <w:vAlign w:val="top"/>
          </w:tcPr>
          <w:p w14:paraId="2BDE4CA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D39E216">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图文传真</w:t>
            </w:r>
          </w:p>
        </w:tc>
        <w:tc>
          <w:tcPr>
            <w:tcW w:w="2370" w:type="dxa"/>
            <w:noWrap w:val="0"/>
            <w:vAlign w:val="top"/>
          </w:tcPr>
          <w:p w14:paraId="1F0AB3C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19F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EFFBC9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3082BBC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通讯地址</w:t>
            </w:r>
          </w:p>
        </w:tc>
        <w:tc>
          <w:tcPr>
            <w:tcW w:w="6486" w:type="dxa"/>
            <w:gridSpan w:val="4"/>
            <w:noWrap w:val="0"/>
            <w:vAlign w:val="top"/>
          </w:tcPr>
          <w:p w14:paraId="65239A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018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7AC899A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4F223F4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网    址</w:t>
            </w:r>
          </w:p>
        </w:tc>
        <w:tc>
          <w:tcPr>
            <w:tcW w:w="6486" w:type="dxa"/>
            <w:gridSpan w:val="4"/>
            <w:noWrap w:val="0"/>
            <w:vAlign w:val="top"/>
          </w:tcPr>
          <w:p w14:paraId="1459DB1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B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309464F3">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被授权项目与内容</w:t>
            </w:r>
          </w:p>
        </w:tc>
        <w:tc>
          <w:tcPr>
            <w:tcW w:w="2145" w:type="dxa"/>
            <w:noWrap w:val="0"/>
            <w:vAlign w:val="center"/>
          </w:tcPr>
          <w:p w14:paraId="7CB94DA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项目名称</w:t>
            </w:r>
          </w:p>
        </w:tc>
        <w:tc>
          <w:tcPr>
            <w:tcW w:w="6496" w:type="dxa"/>
            <w:gridSpan w:val="5"/>
            <w:noWrap w:val="0"/>
            <w:vAlign w:val="top"/>
          </w:tcPr>
          <w:p w14:paraId="53C005D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0304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B04EE2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7D4038E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文件编号</w:t>
            </w:r>
          </w:p>
        </w:tc>
        <w:tc>
          <w:tcPr>
            <w:tcW w:w="6496" w:type="dxa"/>
            <w:gridSpan w:val="5"/>
            <w:noWrap w:val="0"/>
            <w:vAlign w:val="top"/>
          </w:tcPr>
          <w:p w14:paraId="6CD0BFF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A6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5C07F3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40A598D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授权范围</w:t>
            </w:r>
          </w:p>
        </w:tc>
        <w:tc>
          <w:tcPr>
            <w:tcW w:w="6496" w:type="dxa"/>
            <w:gridSpan w:val="5"/>
            <w:noWrap w:val="0"/>
            <w:vAlign w:val="center"/>
          </w:tcPr>
          <w:p w14:paraId="66899EA2">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全权办理本采购项目的</w:t>
            </w: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ascii="宋体" w:hAnsi="宋体" w:eastAsia="宋体" w:cs="宋体"/>
                <w:color w:val="000000" w:themeColor="text1"/>
                <w:sz w:val="24"/>
                <w:szCs w:val="24"/>
                <w14:textFill>
                  <w14:solidFill>
                    <w14:schemeClr w14:val="tx1"/>
                  </w14:solidFill>
                </w14:textFill>
              </w:rPr>
              <w:t>、联系、洽谈、签约、执行等具体事务，签署全部有关的文件、文书、协议及合同。</w:t>
            </w:r>
          </w:p>
        </w:tc>
      </w:tr>
      <w:tr w14:paraId="5097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74E0455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D9D26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法律责任</w:t>
            </w:r>
          </w:p>
        </w:tc>
        <w:tc>
          <w:tcPr>
            <w:tcW w:w="6496" w:type="dxa"/>
            <w:gridSpan w:val="5"/>
            <w:noWrap w:val="0"/>
            <w:vAlign w:val="center"/>
          </w:tcPr>
          <w:p w14:paraId="4A5E31B7">
            <w:pPr>
              <w:tabs>
                <w:tab w:val="left" w:pos="1260"/>
              </w:tabs>
              <w:spacing w:line="360" w:lineRule="auto"/>
              <w:rPr>
                <w:rFonts w:ascii="宋体" w:hAnsi="宋体" w:eastAsia="宋体" w:cs="宋体"/>
                <w:color w:val="000000" w:themeColor="text1"/>
                <w:spacing w:val="-10"/>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本公司对被授权人在本项目中的签名承担全部法律责任。</w:t>
            </w:r>
          </w:p>
        </w:tc>
      </w:tr>
      <w:tr w14:paraId="0053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346766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115E34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授权期限</w:t>
            </w:r>
          </w:p>
        </w:tc>
        <w:tc>
          <w:tcPr>
            <w:tcW w:w="6496" w:type="dxa"/>
            <w:gridSpan w:val="5"/>
            <w:noWrap w:val="0"/>
            <w:vAlign w:val="center"/>
          </w:tcPr>
          <w:p w14:paraId="15F38478">
            <w:pPr>
              <w:tabs>
                <w:tab w:val="left" w:pos="1260"/>
              </w:tabs>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自本委托书签署之日起至投标有效期期满</w:t>
            </w:r>
          </w:p>
        </w:tc>
      </w:tr>
      <w:tr w14:paraId="49E5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22AB5B92">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w:t>
            </w:r>
            <w:r>
              <w:rPr>
                <w:rFonts w:hint="eastAsia" w:ascii="宋体" w:hAnsi="宋体" w:cs="宋体"/>
                <w:color w:val="000000" w:themeColor="text1"/>
                <w:sz w:val="24"/>
                <w:szCs w:val="24"/>
                <w:lang w:val="en-US" w:eastAsia="zh-CN"/>
                <w14:textFill>
                  <w14:solidFill>
                    <w14:schemeClr w14:val="tx1"/>
                  </w14:solidFill>
                </w14:textFill>
              </w:rPr>
              <w:t>（负责人）</w:t>
            </w:r>
            <w:r>
              <w:rPr>
                <w:rFonts w:ascii="宋体" w:hAnsi="宋体" w:eastAsia="宋体" w:cs="宋体"/>
                <w:color w:val="000000" w:themeColor="text1"/>
                <w:sz w:val="24"/>
                <w:szCs w:val="24"/>
                <w14:textFill>
                  <w14:solidFill>
                    <w14:schemeClr w14:val="tx1"/>
                  </w14:solidFill>
                </w14:textFill>
              </w:rPr>
              <w:t>身份证复印件</w:t>
            </w:r>
          </w:p>
          <w:p w14:paraId="76F1CE67">
            <w:pPr>
              <w:tabs>
                <w:tab w:val="left" w:pos="1260"/>
              </w:tabs>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（正反面粘贴处）</w:t>
            </w:r>
          </w:p>
        </w:tc>
        <w:tc>
          <w:tcPr>
            <w:tcW w:w="4837" w:type="dxa"/>
            <w:gridSpan w:val="3"/>
            <w:noWrap w:val="0"/>
            <w:vAlign w:val="center"/>
          </w:tcPr>
          <w:p w14:paraId="766644A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被授权人身份证复印件</w:t>
            </w:r>
          </w:p>
          <w:p w14:paraId="3A2AA12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（正反面粘贴处）</w:t>
            </w:r>
          </w:p>
        </w:tc>
      </w:tr>
      <w:tr w14:paraId="13F6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jc w:val="center"/>
        </w:trPr>
        <w:tc>
          <w:tcPr>
            <w:tcW w:w="4623" w:type="dxa"/>
            <w:gridSpan w:val="4"/>
            <w:noWrap w:val="0"/>
            <w:vAlign w:val="center"/>
          </w:tcPr>
          <w:p w14:paraId="1508E837">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r>
              <w:rPr>
                <w:rFonts w:hint="eastAsia" w:ascii="宋体" w:hAnsi="宋体" w:eastAsia="宋体" w:cs="宋体"/>
                <w:color w:val="000000" w:themeColor="text1"/>
                <w:sz w:val="24"/>
                <w:lang w:val="en-US" w:eastAsia="zh-CN"/>
                <w14:textFill>
                  <w14:solidFill>
                    <w14:schemeClr w14:val="tx1"/>
                  </w14:solidFill>
                </w14:textFill>
              </w:rPr>
              <w:t>（负责人）</w:t>
            </w:r>
            <w:r>
              <w:rPr>
                <w:rFonts w:hint="eastAsia" w:ascii="宋体" w:hAnsi="宋体" w:eastAsia="宋体" w:cs="宋体"/>
                <w:color w:val="000000" w:themeColor="text1"/>
                <w:sz w:val="24"/>
                <w14:textFill>
                  <w14:solidFill>
                    <w14:schemeClr w14:val="tx1"/>
                  </w14:solidFill>
                </w14:textFill>
              </w:rPr>
              <w:t>签字或盖章</w:t>
            </w:r>
            <w:r>
              <w:rPr>
                <w:rFonts w:hint="eastAsia" w:ascii="宋体" w:hAnsi="宋体" w:eastAsia="宋体" w:cs="宋体"/>
                <w:color w:val="000000" w:themeColor="text1"/>
                <w:sz w:val="24"/>
                <w:lang w:eastAsia="zh-CN"/>
                <w14:textFill>
                  <w14:solidFill>
                    <w14:schemeClr w14:val="tx1"/>
                  </w14:solidFill>
                </w14:textFill>
              </w:rPr>
              <w:t>：</w:t>
            </w:r>
          </w:p>
        </w:tc>
        <w:tc>
          <w:tcPr>
            <w:tcW w:w="4837" w:type="dxa"/>
            <w:gridSpan w:val="3"/>
            <w:noWrap w:val="0"/>
            <w:vAlign w:val="center"/>
          </w:tcPr>
          <w:p w14:paraId="6A87ACBE">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被授权人签字或盖章</w:t>
            </w:r>
            <w:r>
              <w:rPr>
                <w:rFonts w:hint="eastAsia" w:ascii="宋体" w:hAnsi="宋体" w:eastAsia="宋体" w:cs="宋体"/>
                <w:color w:val="000000" w:themeColor="text1"/>
                <w:sz w:val="24"/>
                <w:lang w:eastAsia="zh-CN"/>
                <w14:textFill>
                  <w14:solidFill>
                    <w14:schemeClr w14:val="tx1"/>
                  </w14:solidFill>
                </w14:textFill>
              </w:rPr>
              <w:t>：</w:t>
            </w:r>
          </w:p>
        </w:tc>
      </w:tr>
      <w:tr w14:paraId="74A8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9460" w:type="dxa"/>
            <w:gridSpan w:val="7"/>
            <w:noWrap w:val="0"/>
            <w:vAlign w:val="center"/>
          </w:tcPr>
          <w:p w14:paraId="7D182D4A">
            <w:pPr>
              <w:spacing w:line="360" w:lineRule="auto"/>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投标人：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（盖章）</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日期：  年  月  日</w:t>
            </w:r>
          </w:p>
        </w:tc>
      </w:tr>
    </w:tbl>
    <w:p w14:paraId="210C5EC2">
      <w:pPr>
        <w:keepNext w:val="0"/>
        <w:keepLines w:val="0"/>
        <w:pageBreakBefore w:val="0"/>
        <w:widowControl/>
        <w:suppressLineNumbers w:val="0"/>
        <w:kinsoku/>
        <w:wordWrap/>
        <w:overflowPunct/>
        <w:topLinePunct w:val="0"/>
        <w:autoSpaceDE/>
        <w:autoSpaceDN/>
        <w:bidi w:val="0"/>
        <w:adjustRightInd/>
        <w:snapToGrid/>
        <w:spacing w:line="360" w:lineRule="auto"/>
        <w:ind w:firstLine="422" w:firstLineChars="200"/>
        <w:jc w:val="left"/>
        <w:textAlignment w:val="auto"/>
        <w:rPr>
          <w:b/>
          <w:bCs/>
          <w:sz w:val="21"/>
          <w:szCs w:val="21"/>
        </w:rPr>
      </w:pPr>
      <w:r>
        <w:rPr>
          <w:rFonts w:hint="eastAsia" w:ascii="宋体" w:hAnsi="宋体" w:eastAsia="宋体" w:cs="宋体"/>
          <w:b/>
          <w:bCs/>
          <w:color w:val="000000"/>
          <w:kern w:val="0"/>
          <w:sz w:val="21"/>
          <w:szCs w:val="21"/>
          <w:lang w:val="en-US" w:eastAsia="zh-CN" w:bidi="ar"/>
        </w:rPr>
        <w:t>注：法人的分支机构参与投标时，除提供《法定代表人</w:t>
      </w:r>
      <w:r>
        <w:rPr>
          <w:rFonts w:hint="eastAsia" w:ascii="宋体" w:hAnsi="宋体" w:cs="宋体"/>
          <w:b/>
          <w:bCs/>
          <w:color w:val="000000"/>
          <w:kern w:val="0"/>
          <w:sz w:val="21"/>
          <w:szCs w:val="21"/>
          <w:lang w:val="en-US" w:eastAsia="zh-CN" w:bidi="ar"/>
        </w:rPr>
        <w:t>（负责人）</w:t>
      </w:r>
      <w:r>
        <w:rPr>
          <w:rFonts w:hint="eastAsia" w:ascii="宋体" w:hAnsi="宋体" w:eastAsia="宋体" w:cs="宋体"/>
          <w:b/>
          <w:bCs/>
          <w:color w:val="000000"/>
          <w:kern w:val="0"/>
          <w:sz w:val="21"/>
          <w:szCs w:val="21"/>
          <w:lang w:val="en-US" w:eastAsia="zh-CN" w:bidi="ar"/>
        </w:rPr>
        <w:t>授权委托书》外，还须同时提供法人给分支机构出具的授权书。授权书附此处。</w:t>
      </w:r>
    </w:p>
    <w:p w14:paraId="3C3A8A13">
      <w:pPr>
        <w:spacing w:line="360" w:lineRule="auto"/>
        <w:jc w:val="left"/>
        <w:rPr>
          <w:rFonts w:hint="eastAsia" w:ascii="宋体" w:hAnsi="宋体" w:cs="宋体"/>
          <w:b/>
          <w:bCs/>
          <w:color w:val="000000" w:themeColor="text1"/>
          <w:sz w:val="21"/>
          <w:szCs w:val="21"/>
          <w14:textFill>
            <w14:solidFill>
              <w14:schemeClr w14:val="tx1"/>
            </w14:solidFill>
          </w14:textFill>
        </w:rPr>
      </w:pPr>
    </w:p>
    <w:p w14:paraId="3E39AAD0">
      <w:pPr>
        <w:spacing w:line="360" w:lineRule="auto"/>
        <w:jc w:val="left"/>
        <w:rPr>
          <w:rFonts w:hint="eastAsia" w:ascii="宋体" w:hAnsi="宋体" w:eastAsia="宋体" w:cs="宋体"/>
          <w:b/>
          <w:color w:val="000000" w:themeColor="text1"/>
          <w:sz w:val="24"/>
          <w:szCs w:val="22"/>
          <w:lang w:eastAsia="zh-CN"/>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附件</w:t>
      </w:r>
      <w:r>
        <w:rPr>
          <w:rFonts w:hint="eastAsia" w:ascii="宋体" w:hAnsi="宋体" w:cs="宋体"/>
          <w:b/>
          <w:color w:val="000000" w:themeColor="text1"/>
          <w:sz w:val="24"/>
          <w:szCs w:val="22"/>
          <w:lang w:val="en-US" w:eastAsia="zh-CN"/>
          <w14:textFill>
            <w14:solidFill>
              <w14:schemeClr w14:val="tx1"/>
            </w14:solidFill>
          </w14:textFill>
        </w:rPr>
        <w:t>3</w:t>
      </w:r>
    </w:p>
    <w:p w14:paraId="38C38674">
      <w:pPr>
        <w:pStyle w:val="33"/>
        <w:spacing w:line="360" w:lineRule="auto"/>
        <w:ind w:firstLine="440"/>
        <w:rPr>
          <w:rFonts w:hint="eastAsia" w:ascii="宋体" w:hAnsi="宋体" w:cs="宋体"/>
          <w:color w:val="000000" w:themeColor="text1"/>
          <w:sz w:val="44"/>
          <w:szCs w:val="44"/>
          <w14:textFill>
            <w14:solidFill>
              <w14:schemeClr w14:val="tx1"/>
            </w14:solidFill>
          </w14:textFill>
        </w:rPr>
      </w:pPr>
    </w:p>
    <w:p w14:paraId="60ECF7D2">
      <w:pPr>
        <w:pStyle w:val="33"/>
        <w:spacing w:line="360" w:lineRule="auto"/>
        <w:ind w:firstLine="442"/>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《中华人民共和国政府采购法》第二十二条的书面承诺函</w:t>
      </w:r>
    </w:p>
    <w:p w14:paraId="7E06FA1B">
      <w:pPr>
        <w:pStyle w:val="33"/>
        <w:spacing w:line="360" w:lineRule="auto"/>
        <w:ind w:firstLine="240"/>
        <w:rPr>
          <w:rFonts w:hint="eastAsia" w:ascii="仿宋" w:hAnsi="仿宋" w:eastAsia="仿宋" w:cs="仿宋"/>
          <w:color w:val="000000" w:themeColor="text1"/>
          <w:sz w:val="24"/>
          <w:szCs w:val="24"/>
          <w14:textFill>
            <w14:solidFill>
              <w14:schemeClr w14:val="tx1"/>
            </w14:solidFill>
          </w14:textFill>
        </w:rPr>
      </w:pPr>
    </w:p>
    <w:p w14:paraId="2EC3A10D">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1284DFFA">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我单位作为参加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采购项目的</w:t>
      </w:r>
      <w:r>
        <w:rPr>
          <w:rFonts w:hint="eastAsia" w:cs="宋体"/>
          <w:color w:val="000000" w:themeColor="text1"/>
          <w:sz w:val="24"/>
          <w:szCs w:val="24"/>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 xml:space="preserve">单位，现郑重承诺我单位具备《中华人民共和国政府采购法》第二十二条供应商参加政府采购活动的基本资格条件： </w:t>
      </w:r>
    </w:p>
    <w:p w14:paraId="37E5265B">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（一）我单位具有独立承担民事责任的能力； </w:t>
      </w:r>
    </w:p>
    <w:p w14:paraId="7A89CF0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（二）我单位具有良好的商业信誉和健全的财务会计制度；</w:t>
      </w:r>
    </w:p>
    <w:p w14:paraId="3349EF9C">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（三）我单位具有履行合同所必需的设备和专业技术能力； </w:t>
      </w:r>
    </w:p>
    <w:p w14:paraId="50AA7000">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（四）我单位有依法缴纳税收和社会保障资金的良好记录； </w:t>
      </w:r>
    </w:p>
    <w:p w14:paraId="61050FA8">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（五）我单位参加政府采购活动前三年内，在经营活动中没有重大违法记录； </w:t>
      </w:r>
    </w:p>
    <w:p w14:paraId="29BD53C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（六）我单位满足法律、行政法规规定的其他条件。</w:t>
      </w:r>
    </w:p>
    <w:p w14:paraId="3E9F8DD3">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p w14:paraId="10B5F824">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106FAF7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35DE8D8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62276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DB8E8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70E12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07BDDC08">
      <w:pPr>
        <w:spacing w:line="360" w:lineRule="auto"/>
        <w:ind w:firstLine="562" w:firstLineChars="200"/>
        <w:rPr>
          <w:rFonts w:hint="eastAsia" w:ascii="宋体" w:hAnsi="宋体" w:cs="宋体"/>
          <w:b/>
          <w:color w:val="000000" w:themeColor="text1"/>
          <w:sz w:val="28"/>
          <w:szCs w:val="28"/>
          <w14:textFill>
            <w14:solidFill>
              <w14:schemeClr w14:val="tx1"/>
            </w14:solidFill>
          </w14:textFill>
        </w:rPr>
      </w:pPr>
    </w:p>
    <w:p w14:paraId="0A97FC5D">
      <w:pPr>
        <w:spacing w:line="360" w:lineRule="auto"/>
        <w:jc w:val="left"/>
        <w:rPr>
          <w:rFonts w:hint="eastAsia" w:ascii="宋体" w:hAnsi="宋体" w:cs="宋体"/>
          <w:b/>
          <w:color w:val="000000" w:themeColor="text1"/>
          <w:sz w:val="24"/>
          <w14:textFill>
            <w14:solidFill>
              <w14:schemeClr w14:val="tx1"/>
            </w14:solidFill>
          </w14:textFill>
        </w:rPr>
      </w:pPr>
    </w:p>
    <w:p w14:paraId="678F4C30">
      <w:pPr>
        <w:spacing w:line="360" w:lineRule="auto"/>
        <w:jc w:val="left"/>
        <w:rPr>
          <w:rFonts w:hint="eastAsia" w:ascii="宋体" w:hAnsi="宋体" w:cs="宋体"/>
          <w:b/>
          <w:color w:val="000000" w:themeColor="text1"/>
          <w:sz w:val="24"/>
          <w14:textFill>
            <w14:solidFill>
              <w14:schemeClr w14:val="tx1"/>
            </w14:solidFill>
          </w14:textFill>
        </w:rPr>
      </w:pPr>
    </w:p>
    <w:p w14:paraId="0E3B4C30">
      <w:pPr>
        <w:spacing w:line="360" w:lineRule="auto"/>
        <w:jc w:val="left"/>
        <w:rPr>
          <w:rFonts w:hint="eastAsia" w:ascii="宋体" w:hAnsi="宋体" w:cs="宋体"/>
          <w:b/>
          <w:color w:val="000000" w:themeColor="text1"/>
          <w:sz w:val="24"/>
          <w14:textFill>
            <w14:solidFill>
              <w14:schemeClr w14:val="tx1"/>
            </w14:solidFill>
          </w14:textFill>
        </w:rPr>
      </w:pPr>
    </w:p>
    <w:p w14:paraId="0E575C10">
      <w:pPr>
        <w:spacing w:line="360" w:lineRule="auto"/>
        <w:jc w:val="left"/>
        <w:rPr>
          <w:rFonts w:hint="eastAsia" w:ascii="宋体" w:hAnsi="宋体" w:cs="宋体"/>
          <w:b/>
          <w:color w:val="000000" w:themeColor="text1"/>
          <w:sz w:val="24"/>
          <w14:textFill>
            <w14:solidFill>
              <w14:schemeClr w14:val="tx1"/>
            </w14:solidFill>
          </w14:textFill>
        </w:rPr>
      </w:pPr>
    </w:p>
    <w:p w14:paraId="2D00AAC1">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63E333AD">
      <w:pPr>
        <w:spacing w:line="360" w:lineRule="auto"/>
        <w:jc w:val="center"/>
        <w:rPr>
          <w:rFonts w:hint="eastAsia" w:ascii="宋体" w:hAnsi="宋体" w:cs="宋体"/>
          <w:b/>
          <w:color w:val="000000" w:themeColor="text1"/>
          <w:sz w:val="44"/>
          <w:szCs w:val="44"/>
          <w14:textFill>
            <w14:solidFill>
              <w14:schemeClr w14:val="tx1"/>
            </w14:solidFill>
          </w14:textFill>
        </w:rPr>
      </w:pPr>
    </w:p>
    <w:p w14:paraId="5582840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参加本项目活动前3年内在经营活动中</w:t>
      </w:r>
      <w:r>
        <w:rPr>
          <w:rFonts w:hint="eastAsia" w:ascii="宋体" w:hAnsi="宋体" w:cs="宋体"/>
          <w:b/>
          <w:color w:val="000000" w:themeColor="text1"/>
          <w:sz w:val="28"/>
          <w:szCs w:val="28"/>
          <w:lang w:eastAsia="zh-CN"/>
          <w14:textFill>
            <w14:solidFill>
              <w14:schemeClr w14:val="tx1"/>
            </w14:solidFill>
          </w14:textFill>
        </w:rPr>
        <w:t>没有</w:t>
      </w:r>
      <w:r>
        <w:rPr>
          <w:rFonts w:hint="eastAsia" w:ascii="宋体" w:hAnsi="宋体" w:cs="宋体"/>
          <w:b/>
          <w:color w:val="000000" w:themeColor="text1"/>
          <w:sz w:val="28"/>
          <w:szCs w:val="28"/>
          <w14:textFill>
            <w14:solidFill>
              <w14:schemeClr w14:val="tx1"/>
            </w14:solidFill>
          </w14:textFill>
        </w:rPr>
        <w:t>重大违法记录的书面声明</w:t>
      </w:r>
    </w:p>
    <w:p w14:paraId="7F47D704">
      <w:pPr>
        <w:spacing w:line="360" w:lineRule="auto"/>
        <w:jc w:val="center"/>
        <w:rPr>
          <w:rFonts w:hint="eastAsia" w:ascii="宋体" w:hAnsi="宋体" w:cs="宋体"/>
          <w:b/>
          <w:color w:val="000000" w:themeColor="text1"/>
          <w:sz w:val="44"/>
          <w:szCs w:val="44"/>
          <w14:textFill>
            <w14:solidFill>
              <w14:schemeClr w14:val="tx1"/>
            </w14:solidFill>
          </w14:textFill>
        </w:rPr>
      </w:pPr>
    </w:p>
    <w:p w14:paraId="4FE7E535">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0D38B0DA">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w:t>
      </w:r>
      <w:r>
        <w:rPr>
          <w:rFonts w:hint="eastAsia" w:ascii="宋体" w:hAnsi="宋体" w:cs="宋体"/>
          <w:color w:val="000000" w:themeColor="text1"/>
          <w:sz w:val="24"/>
          <w:szCs w:val="24"/>
          <w:u w:val="single"/>
          <w14:textFill>
            <w14:solidFill>
              <w14:schemeClr w14:val="tx1"/>
            </w14:solidFill>
          </w14:textFill>
        </w:rPr>
        <w:t>（投标人名称）</w:t>
      </w:r>
      <w:r>
        <w:rPr>
          <w:rFonts w:hint="eastAsia" w:ascii="宋体" w:hAnsi="宋体" w:cs="宋体"/>
          <w:color w:val="000000" w:themeColor="text1"/>
          <w:sz w:val="24"/>
          <w:szCs w:val="24"/>
          <w14:textFill>
            <w14:solidFill>
              <w14:schemeClr w14:val="tx1"/>
            </w14:solidFill>
          </w14:textFill>
        </w:rPr>
        <w:t>参加本项目活动前3年内，在经营活动中</w:t>
      </w:r>
      <w:r>
        <w:rPr>
          <w:rFonts w:hint="eastAsia" w:ascii="宋体" w:hAnsi="宋体" w:cs="宋体"/>
          <w:color w:val="000000" w:themeColor="text1"/>
          <w:sz w:val="24"/>
          <w:szCs w:val="24"/>
          <w:lang w:eastAsia="zh-CN"/>
          <w14:textFill>
            <w14:solidFill>
              <w14:schemeClr w14:val="tx1"/>
            </w14:solidFill>
          </w14:textFill>
        </w:rPr>
        <w:t>没有</w:t>
      </w:r>
      <w:r>
        <w:rPr>
          <w:rFonts w:hint="eastAsia" w:ascii="宋体" w:hAnsi="宋体" w:cs="宋体"/>
          <w:color w:val="000000" w:themeColor="text1"/>
          <w:sz w:val="24"/>
          <w:szCs w:val="24"/>
          <w14:textFill>
            <w14:solidFill>
              <w14:schemeClr w14:val="tx1"/>
            </w14:solidFill>
          </w14:textFill>
        </w:rPr>
        <w:t>重大违法记录，特此声明。</w:t>
      </w:r>
    </w:p>
    <w:p w14:paraId="5FAD288C">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若采购人在本项目招标采购过程中发现我单位参加本项目活动前3年内，在经营活动中存在重大违法记录，我单位将无条件地退出本项目的招标、投标活动，并承担因此引起的一切后果。</w:t>
      </w:r>
    </w:p>
    <w:p w14:paraId="3F9CD73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B222FA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1ECCD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76C68C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45CF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51A24D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D676C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6761024">
      <w:pPr>
        <w:spacing w:line="360" w:lineRule="auto"/>
        <w:jc w:val="left"/>
        <w:rPr>
          <w:rFonts w:hint="eastAsia" w:ascii="宋体" w:hAnsi="宋体" w:cs="宋体"/>
          <w:color w:val="000000" w:themeColor="text1"/>
          <w:sz w:val="24"/>
          <w14:textFill>
            <w14:solidFill>
              <w14:schemeClr w14:val="tx1"/>
            </w14:solidFill>
          </w14:textFill>
        </w:rPr>
      </w:pPr>
    </w:p>
    <w:p w14:paraId="60033434">
      <w:pPr>
        <w:spacing w:line="360" w:lineRule="auto"/>
        <w:jc w:val="left"/>
        <w:rPr>
          <w:rFonts w:hint="eastAsia" w:ascii="宋体" w:hAnsi="宋体" w:cs="宋体"/>
          <w:color w:val="000000" w:themeColor="text1"/>
          <w:sz w:val="24"/>
          <w14:textFill>
            <w14:solidFill>
              <w14:schemeClr w14:val="tx1"/>
            </w14:solidFill>
          </w14:textFill>
        </w:rPr>
      </w:pPr>
    </w:p>
    <w:p w14:paraId="530221D7">
      <w:pPr>
        <w:spacing w:line="360" w:lineRule="auto"/>
        <w:jc w:val="left"/>
        <w:rPr>
          <w:rFonts w:hint="eastAsia" w:ascii="宋体" w:hAnsi="宋体" w:cs="宋体"/>
          <w:color w:val="000000" w:themeColor="text1"/>
          <w:sz w:val="24"/>
          <w14:textFill>
            <w14:solidFill>
              <w14:schemeClr w14:val="tx1"/>
            </w14:solidFill>
          </w14:textFill>
        </w:rPr>
      </w:pPr>
    </w:p>
    <w:p w14:paraId="5F92DBC8">
      <w:pPr>
        <w:spacing w:line="360" w:lineRule="auto"/>
        <w:jc w:val="left"/>
        <w:rPr>
          <w:rFonts w:hint="eastAsia" w:ascii="宋体" w:hAnsi="宋体" w:cs="宋体"/>
          <w:color w:val="000000" w:themeColor="text1"/>
          <w:sz w:val="24"/>
          <w14:textFill>
            <w14:solidFill>
              <w14:schemeClr w14:val="tx1"/>
            </w14:solidFill>
          </w14:textFill>
        </w:rPr>
      </w:pPr>
    </w:p>
    <w:p w14:paraId="6C4E9A02">
      <w:pPr>
        <w:spacing w:line="360" w:lineRule="auto"/>
        <w:jc w:val="left"/>
        <w:rPr>
          <w:rFonts w:hint="eastAsia" w:ascii="宋体" w:hAnsi="宋体" w:cs="宋体"/>
          <w:color w:val="000000" w:themeColor="text1"/>
          <w:sz w:val="24"/>
          <w14:textFill>
            <w14:solidFill>
              <w14:schemeClr w14:val="tx1"/>
            </w14:solidFill>
          </w14:textFill>
        </w:rPr>
      </w:pPr>
    </w:p>
    <w:p w14:paraId="3E7F0F88">
      <w:pPr>
        <w:spacing w:line="360" w:lineRule="auto"/>
        <w:jc w:val="left"/>
        <w:rPr>
          <w:rFonts w:hint="eastAsia" w:ascii="宋体" w:hAnsi="宋体" w:cs="宋体"/>
          <w:color w:val="000000" w:themeColor="text1"/>
          <w:sz w:val="24"/>
          <w14:textFill>
            <w14:solidFill>
              <w14:schemeClr w14:val="tx1"/>
            </w14:solidFill>
          </w14:textFill>
        </w:rPr>
      </w:pPr>
    </w:p>
    <w:p w14:paraId="48EE823E">
      <w:pPr>
        <w:spacing w:line="360" w:lineRule="auto"/>
        <w:jc w:val="left"/>
        <w:rPr>
          <w:rFonts w:hint="eastAsia" w:ascii="宋体" w:hAnsi="宋体" w:cs="宋体"/>
          <w:color w:val="000000" w:themeColor="text1"/>
          <w:sz w:val="24"/>
          <w14:textFill>
            <w14:solidFill>
              <w14:schemeClr w14:val="tx1"/>
            </w14:solidFill>
          </w14:textFill>
        </w:rPr>
      </w:pPr>
    </w:p>
    <w:p w14:paraId="692934ED">
      <w:pPr>
        <w:spacing w:line="360" w:lineRule="auto"/>
        <w:jc w:val="left"/>
        <w:rPr>
          <w:rFonts w:hint="eastAsia" w:ascii="宋体" w:hAnsi="宋体" w:cs="宋体"/>
          <w:b/>
          <w:color w:val="000000" w:themeColor="text1"/>
          <w:sz w:val="24"/>
          <w14:textFill>
            <w14:solidFill>
              <w14:schemeClr w14:val="tx1"/>
            </w14:solidFill>
          </w14:textFill>
        </w:rPr>
      </w:pPr>
    </w:p>
    <w:p w14:paraId="5952591C">
      <w:pPr>
        <w:spacing w:line="360" w:lineRule="auto"/>
        <w:jc w:val="lef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5</w:t>
      </w:r>
    </w:p>
    <w:p w14:paraId="574781C2">
      <w:pPr>
        <w:spacing w:line="360" w:lineRule="auto"/>
        <w:jc w:val="center"/>
        <w:rPr>
          <w:rFonts w:hint="eastAsia" w:ascii="宋体" w:hAnsi="宋体" w:cs="宋体"/>
          <w:b/>
          <w:color w:val="000000" w:themeColor="text1"/>
          <w:sz w:val="44"/>
          <w:szCs w:val="44"/>
          <w14:textFill>
            <w14:solidFill>
              <w14:schemeClr w14:val="tx1"/>
            </w14:solidFill>
          </w14:textFill>
        </w:rPr>
      </w:pPr>
    </w:p>
    <w:p w14:paraId="3B3802E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非联合体投标声明</w:t>
      </w:r>
    </w:p>
    <w:p w14:paraId="51E42792">
      <w:pPr>
        <w:spacing w:line="360" w:lineRule="auto"/>
        <w:jc w:val="center"/>
        <w:rPr>
          <w:rFonts w:hint="eastAsia" w:ascii="宋体" w:hAnsi="宋体" w:cs="宋体"/>
          <w:b/>
          <w:color w:val="000000" w:themeColor="text1"/>
          <w:sz w:val="44"/>
          <w:szCs w:val="44"/>
          <w14:textFill>
            <w14:solidFill>
              <w14:schemeClr w14:val="tx1"/>
            </w14:solidFill>
          </w14:textFill>
        </w:rPr>
      </w:pPr>
    </w:p>
    <w:p w14:paraId="48A188CC">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404ABBAF">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我公司收到贵单位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采购项目公开招标（项目编号：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）的招标文件，经详细研究，我们决定参加该项目的投标活动。为此，我方郑重声明以下内容，并负法律责任。</w:t>
      </w:r>
    </w:p>
    <w:p w14:paraId="2919956D">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1.本项目我公司以自己的名义参加投标，不存在联合体投标的情况。</w:t>
      </w:r>
    </w:p>
    <w:p w14:paraId="6F3AB7F7">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2.我公司愿按《中华人民共和国</w:t>
      </w:r>
      <w:r>
        <w:rPr>
          <w:rFonts w:hint="eastAsia"/>
          <w:color w:val="000000" w:themeColor="text1"/>
          <w:sz w:val="24"/>
          <w:szCs w:val="24"/>
          <w:lang w:val="en-US" w:eastAsia="zh-CN"/>
          <w14:textFill>
            <w14:solidFill>
              <w14:schemeClr w14:val="tx1"/>
            </w14:solidFill>
          </w14:textFill>
        </w:rPr>
        <w:t>民法典</w:t>
      </w:r>
      <w:r>
        <w:rPr>
          <w:rFonts w:hint="eastAsia"/>
          <w:color w:val="000000" w:themeColor="text1"/>
          <w:sz w:val="24"/>
          <w:szCs w:val="24"/>
          <w14:textFill>
            <w14:solidFill>
              <w14:schemeClr w14:val="tx1"/>
            </w14:solidFill>
          </w14:textFill>
        </w:rPr>
        <w:t>》履行自己的全部责任。</w:t>
      </w:r>
    </w:p>
    <w:p w14:paraId="7C5FC9D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特此声明。</w:t>
      </w:r>
    </w:p>
    <w:p w14:paraId="7EA03E9C">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0C521E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A3D8E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3C711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696F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68ACBC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FD23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2CF444C">
      <w:pPr>
        <w:keepNext w:val="0"/>
        <w:keepLines w:val="0"/>
        <w:pageBreakBefore w:val="0"/>
        <w:kinsoku/>
        <w:wordWrap/>
        <w:overflowPunct/>
        <w:topLinePunct w:val="0"/>
        <w:autoSpaceDE/>
        <w:autoSpaceDN/>
        <w:bidi w:val="0"/>
        <w:adjustRightInd/>
        <w:snapToGrid/>
        <w:spacing w:line="480" w:lineRule="auto"/>
        <w:ind w:right="540" w:rightChars="257"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BEA2466">
      <w:pPr>
        <w:spacing w:line="360" w:lineRule="auto"/>
        <w:rPr>
          <w:rFonts w:hint="eastAsia" w:ascii="宋体" w:hAnsi="宋体" w:cs="宋体"/>
          <w:color w:val="000000" w:themeColor="text1"/>
          <w:sz w:val="24"/>
          <w14:textFill>
            <w14:solidFill>
              <w14:schemeClr w14:val="tx1"/>
            </w14:solidFill>
          </w14:textFill>
        </w:rPr>
      </w:pPr>
    </w:p>
    <w:p w14:paraId="14E66024">
      <w:pPr>
        <w:widowControl/>
        <w:spacing w:line="360" w:lineRule="auto"/>
        <w:jc w:val="left"/>
        <w:rPr>
          <w:rFonts w:hint="eastAsia" w:ascii="宋体" w:hAnsi="宋体" w:cs="宋体"/>
          <w:b/>
          <w:color w:val="000000" w:themeColor="text1"/>
          <w:sz w:val="36"/>
          <w:szCs w:val="36"/>
          <w14:textFill>
            <w14:solidFill>
              <w14:schemeClr w14:val="tx1"/>
            </w14:solidFill>
          </w14:textFill>
        </w:rPr>
      </w:pPr>
    </w:p>
    <w:p w14:paraId="57ED3246">
      <w:pPr>
        <w:pStyle w:val="11"/>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附件6</w:t>
      </w:r>
    </w:p>
    <w:p w14:paraId="4600C789">
      <w:pPr>
        <w:rPr>
          <w:rFonts w:ascii="宋体" w:hAnsi="宋体" w:cs="宋体"/>
          <w:b/>
          <w:color w:val="000000" w:themeColor="text1"/>
          <w:sz w:val="24"/>
          <w14:textFill>
            <w14:solidFill>
              <w14:schemeClr w14:val="tx1"/>
            </w14:solidFill>
          </w14:textFill>
        </w:rPr>
      </w:pPr>
    </w:p>
    <w:p w14:paraId="0064527F">
      <w:pPr>
        <w:jc w:val="center"/>
        <w:rPr>
          <w:b/>
          <w:bCs/>
          <w:color w:val="000000" w:themeColor="text1"/>
          <w:sz w:val="28"/>
          <w:szCs w:val="22"/>
          <w14:textFill>
            <w14:solidFill>
              <w14:schemeClr w14:val="tx1"/>
            </w14:solidFill>
          </w14:textFill>
        </w:rPr>
      </w:pPr>
      <w:r>
        <w:rPr>
          <w:b/>
          <w:bCs/>
          <w:color w:val="000000" w:themeColor="text1"/>
          <w:sz w:val="28"/>
          <w:szCs w:val="22"/>
          <w14:textFill>
            <w14:solidFill>
              <w14:schemeClr w14:val="tx1"/>
            </w14:solidFill>
          </w14:textFill>
        </w:rPr>
        <w:t>控股管理关系承诺书</w:t>
      </w:r>
    </w:p>
    <w:p w14:paraId="67EEAC01">
      <w:pPr>
        <w:jc w:val="center"/>
        <w:rPr>
          <w:color w:val="000000" w:themeColor="text1"/>
          <w14:textFill>
            <w14:solidFill>
              <w14:schemeClr w14:val="tx1"/>
            </w14:solidFill>
          </w14:textFill>
        </w:rPr>
      </w:pPr>
    </w:p>
    <w:p w14:paraId="6790A248">
      <w:pPr>
        <w:spacing w:line="700" w:lineRule="exact"/>
        <w:jc w:val="left"/>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14:textFill>
            <w14:solidFill>
              <w14:schemeClr w14:val="tx1"/>
            </w14:solidFill>
          </w14:textFill>
        </w:rPr>
        <w:t>致：</w:t>
      </w:r>
      <w:r>
        <w:rPr>
          <w:rFonts w:ascii="宋体" w:hAnsi="宋体" w:cs="宋体"/>
          <w:color w:val="000000" w:themeColor="text1"/>
          <w:sz w:val="24"/>
          <w:szCs w:val="24"/>
          <w:u w:val="single"/>
          <w14:textFill>
            <w14:solidFill>
              <w14:schemeClr w14:val="tx1"/>
            </w14:solidFill>
          </w14:textFill>
        </w:rPr>
        <w:t xml:space="preserve">  （采购人名称）</w:t>
      </w:r>
    </w:p>
    <w:p w14:paraId="0AF0EEE0">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我公司参加贵单位组织的</w:t>
      </w:r>
      <w:r>
        <w:rPr>
          <w:rFonts w:ascii="宋体" w:hAnsi="宋体" w:cs="宋体"/>
          <w:color w:val="000000" w:themeColor="text1"/>
          <w:sz w:val="24"/>
          <w:szCs w:val="24"/>
          <w:u w:val="single"/>
          <w14:textFill>
            <w14:solidFill>
              <w14:schemeClr w14:val="tx1"/>
            </w14:solidFill>
          </w14:textFill>
        </w:rPr>
        <w:t xml:space="preserve">   （项目名称） </w:t>
      </w:r>
      <w:r>
        <w:rPr>
          <w:rFonts w:ascii="宋体" w:hAnsi="宋体" w:cs="宋体"/>
          <w:color w:val="000000" w:themeColor="text1"/>
          <w:sz w:val="24"/>
          <w:szCs w:val="24"/>
          <w14:textFill>
            <w14:solidFill>
              <w14:schemeClr w14:val="tx1"/>
            </w14:solidFill>
          </w14:textFill>
        </w:rPr>
        <w:t>（项目编号：</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）的投标，现我公司向贵单位承诺：</w:t>
      </w:r>
    </w:p>
    <w:p w14:paraId="114B15CD">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我公司郑重承诺，我公司参加此次项目的投标，不存在单位负责人为同一人或直接控股、管理关系。如有虚假或隐瞒，我公司愿承担一切后果。</w:t>
      </w:r>
    </w:p>
    <w:p w14:paraId="278E8CB8">
      <w:pPr>
        <w:spacing w:line="700" w:lineRule="exact"/>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特此声明！</w:t>
      </w:r>
    </w:p>
    <w:p w14:paraId="42E723DC">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3DDC2947">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AB2D67D">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C16B2D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8ADBA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704FF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0D886A6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50A15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37B20C1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b/>
          <w:color w:val="000000" w:themeColor="text1"/>
          <w:sz w:val="28"/>
          <w:szCs w:val="28"/>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7F24E64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bookmarkEnd w:id="910"/>
      <w:bookmarkEnd w:id="911"/>
      <w:bookmarkEnd w:id="912"/>
      <w:bookmarkEnd w:id="913"/>
      <w:bookmarkEnd w:id="914"/>
      <w:bookmarkEnd w:id="915"/>
      <w:bookmarkEnd w:id="916"/>
      <w:bookmarkEnd w:id="917"/>
      <w:bookmarkEnd w:id="918"/>
    </w:p>
    <w:p w14:paraId="136F9A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（采购人）</w:t>
      </w:r>
    </w:p>
    <w:p w14:paraId="49780F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根据已收到的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招标文件，遵照《中华人民共和国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》等有关规定，经仔细研究本项目招标文件、答疑纪要、合同条款及其他有关文件后，我方愿提供</w:t>
      </w:r>
      <w:r>
        <w:rPr>
          <w:rFonts w:hint="eastAsia" w:ascii="宋体" w:hAnsi="宋体" w:cs="宋体"/>
          <w:color w:val="000000" w:themeColor="text1"/>
          <w:sz w:val="24"/>
          <w:szCs w:val="24"/>
          <w:lang w:eastAsia="zh-CN"/>
          <w14:textFill>
            <w14:solidFill>
              <w14:schemeClr w14:val="tx1"/>
            </w14:solidFill>
          </w14:textFill>
        </w:rPr>
        <w:t>延安市公安局交通管理支队延安市中心城区停车引导系统建设项目（二次）</w:t>
      </w:r>
      <w:r>
        <w:rPr>
          <w:rFonts w:hint="eastAsia" w:ascii="宋体" w:hAnsi="宋体" w:eastAsia="宋体" w:cs="宋体"/>
          <w:color w:val="000000" w:themeColor="text1"/>
          <w:sz w:val="24"/>
          <w:szCs w:val="24"/>
          <w14:textFill>
            <w14:solidFill>
              <w14:schemeClr w14:val="tx1"/>
            </w14:solidFill>
          </w14:textFill>
        </w:rPr>
        <w:t>的投标报价为：</w:t>
      </w:r>
    </w:p>
    <w:p w14:paraId="541C56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大写：人民币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4A722E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5856B7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2、我方已详细审核全部招标文件及有关附件、招标答疑纪要、补遗书等文件。</w:t>
      </w:r>
    </w:p>
    <w:p w14:paraId="7E3674F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3、该报价是完成本招标文件规定的、所需的一切费用，投标报价不低于社会平均水平（成本价）。</w:t>
      </w:r>
    </w:p>
    <w:p w14:paraId="435EC88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4、一旦我方中标，我方保证</w:t>
      </w:r>
      <w:r>
        <w:rPr>
          <w:rFonts w:hint="eastAsia" w:ascii="宋体" w:hAnsi="宋体" w:cs="宋体"/>
          <w:color w:val="000000" w:themeColor="text1"/>
          <w:sz w:val="24"/>
          <w:szCs w:val="24"/>
          <w:lang w:val="en-US"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质保期：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F8953E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5、我单位保证按国家法律、法规规定提供服务。</w:t>
      </w:r>
    </w:p>
    <w:p w14:paraId="5E6191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6、除非另外达成协议并生效，你方的中标通知书和本投标文件将构成约束我们双方的合同。</w:t>
      </w:r>
    </w:p>
    <w:p w14:paraId="358E0F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7、我方的投标文件在</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年 月 日--  年  月   日</w:t>
      </w:r>
      <w:r>
        <w:rPr>
          <w:rFonts w:hint="eastAsia" w:ascii="宋体" w:hAnsi="宋体" w:eastAsia="宋体" w:cs="宋体"/>
          <w:color w:val="000000" w:themeColor="text1"/>
          <w:sz w:val="24"/>
          <w:szCs w:val="24"/>
          <w14:textFill>
            <w14:solidFill>
              <w14:schemeClr w14:val="tx1"/>
            </w14:solidFill>
          </w14:textFill>
        </w:rPr>
        <w:t>内有效，在投标有效期内不修改或撤回投标文件。</w:t>
      </w:r>
    </w:p>
    <w:p w14:paraId="64F2FD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8、我方理解你方及采购代理机构，我方不要求你方及采购代理机构对未中标原因做任何解释，也不退回投标文件。</w:t>
      </w:r>
    </w:p>
    <w:p w14:paraId="5CD092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919" w:name="_Toc132684577"/>
      <w:bookmarkStart w:id="920" w:name="_Toc145989461"/>
      <w:bookmarkStart w:id="921" w:name="_Toc169940967"/>
      <w:bookmarkStart w:id="922" w:name="_Toc102490217"/>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、如果因我方原因放弃中标，我方承诺，除采购人有权没收投标保证金外，还承担因下个中标候选</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中标给采购人带来的经济损失。</w:t>
      </w:r>
    </w:p>
    <w:p w14:paraId="61A81E6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B1BA6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9EA881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1AA8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7E9C7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1D5C7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1CC6930">
      <w:pPr>
        <w:spacing w:line="360" w:lineRule="auto"/>
        <w:rPr>
          <w:rFonts w:hint="eastAsia" w:ascii="宋体" w:hAnsi="宋体" w:cs="宋体"/>
          <w:b/>
          <w:color w:val="000000" w:themeColor="text1"/>
          <w:sz w:val="28"/>
          <w:szCs w:val="28"/>
          <w:u w:val="single"/>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29A8CCB">
      <w:pPr>
        <w:numPr>
          <w:ilvl w:val="0"/>
          <w:numId w:val="0"/>
        </w:numPr>
        <w:adjustRightInd w:val="0"/>
        <w:snapToGrid w:val="0"/>
        <w:spacing w:line="360" w:lineRule="auto"/>
        <w:jc w:val="center"/>
        <w:outlineLvl w:val="1"/>
        <w:rPr>
          <w:rFonts w:hint="eastAsia" w:ascii="宋体" w:hAnsi="宋体" w:cs="宋体"/>
          <w:b/>
          <w:color w:val="000000"/>
          <w:sz w:val="28"/>
          <w:szCs w:val="28"/>
          <w:lang w:val="en-US" w:eastAsia="zh-CN"/>
        </w:rPr>
      </w:pPr>
      <w:bookmarkStart w:id="923" w:name="_Toc397410507"/>
      <w:bookmarkStart w:id="924" w:name="_Toc361406467"/>
      <w:bookmarkStart w:id="925" w:name="_Toc490171583"/>
      <w:bookmarkStart w:id="926" w:name="_Toc361237718"/>
      <w:bookmarkStart w:id="927" w:name="_Toc522893844"/>
      <w:bookmarkStart w:id="928" w:name="_Toc456197117"/>
      <w:bookmarkStart w:id="929" w:name="_Toc394320936"/>
      <w:bookmarkStart w:id="930" w:name="_Toc397585274"/>
      <w:bookmarkStart w:id="931" w:name="_Toc395711855"/>
      <w:bookmarkStart w:id="932" w:name="_Toc397410694"/>
      <w:r>
        <w:rPr>
          <w:rFonts w:hint="eastAsia" w:ascii="宋体" w:hAnsi="宋体" w:cs="宋体"/>
          <w:b/>
          <w:color w:val="000000" w:themeColor="text1"/>
          <w:sz w:val="28"/>
          <w:szCs w:val="28"/>
          <w:lang w:val="en-US" w:eastAsia="zh-CN"/>
          <w14:textFill>
            <w14:solidFill>
              <w14:schemeClr w14:val="tx1"/>
            </w14:solidFill>
          </w14:textFill>
        </w:rPr>
        <w:t>三、</w:t>
      </w:r>
      <w:bookmarkEnd w:id="923"/>
      <w:bookmarkEnd w:id="924"/>
      <w:bookmarkEnd w:id="925"/>
      <w:bookmarkEnd w:id="926"/>
      <w:bookmarkEnd w:id="927"/>
      <w:bookmarkEnd w:id="928"/>
      <w:bookmarkEnd w:id="929"/>
      <w:bookmarkEnd w:id="930"/>
      <w:bookmarkEnd w:id="931"/>
      <w:bookmarkEnd w:id="932"/>
      <w:r>
        <w:rPr>
          <w:rFonts w:hint="eastAsia" w:ascii="宋体" w:hAnsi="宋体" w:cs="宋体"/>
          <w:b/>
          <w:color w:val="000000"/>
          <w:sz w:val="28"/>
          <w:szCs w:val="28"/>
          <w:lang w:val="en-US" w:eastAsia="zh-CN"/>
        </w:rPr>
        <w:t>开标一览表</w:t>
      </w:r>
    </w:p>
    <w:p w14:paraId="7169E907">
      <w:pPr>
        <w:numPr>
          <w:ilvl w:val="0"/>
          <w:numId w:val="0"/>
        </w:numPr>
        <w:adjustRightInd w:val="0"/>
        <w:snapToGrid w:val="0"/>
        <w:spacing w:line="360" w:lineRule="auto"/>
        <w:jc w:val="center"/>
        <w:outlineLvl w:val="1"/>
        <w:rPr>
          <w:rFonts w:hint="default" w:ascii="宋体" w:hAnsi="宋体" w:cs="宋体"/>
          <w:b/>
          <w:color w:val="000000"/>
          <w:sz w:val="28"/>
          <w:szCs w:val="28"/>
          <w:lang w:val="en-US" w:eastAsia="zh-CN"/>
        </w:rPr>
      </w:pPr>
    </w:p>
    <w:p w14:paraId="34BF7CC7">
      <w:pPr>
        <w:autoSpaceDE w:val="0"/>
        <w:autoSpaceDN w:val="0"/>
        <w:adjustRightInd w:val="0"/>
        <w:spacing w:line="360" w:lineRule="auto"/>
        <w:ind w:right="420"/>
        <w:jc w:val="left"/>
        <w:rPr>
          <w:rFonts w:hint="eastAsia"/>
          <w:b/>
          <w:bCs/>
          <w:color w:val="000000"/>
          <w:sz w:val="24"/>
          <w:szCs w:val="24"/>
          <w:lang w:val="en-US" w:eastAsia="zh-CN"/>
        </w:rPr>
      </w:pPr>
      <w:r>
        <w:rPr>
          <w:rFonts w:hint="eastAsia"/>
          <w:b/>
          <w:bCs/>
          <w:color w:val="000000"/>
          <w:sz w:val="24"/>
          <w:szCs w:val="24"/>
          <w:lang w:val="en-US" w:eastAsia="zh-CN"/>
        </w:rPr>
        <w:t>项目编号：</w:t>
      </w:r>
    </w:p>
    <w:p w14:paraId="7F644EDB">
      <w:pPr>
        <w:autoSpaceDE w:val="0"/>
        <w:autoSpaceDN w:val="0"/>
        <w:adjustRightInd w:val="0"/>
        <w:spacing w:line="360" w:lineRule="auto"/>
        <w:ind w:right="420"/>
        <w:jc w:val="left"/>
        <w:rPr>
          <w:rFonts w:hint="default"/>
          <w:b/>
          <w:bCs/>
          <w:color w:val="000000"/>
          <w:sz w:val="24"/>
          <w:szCs w:val="24"/>
          <w:lang w:val="en-US" w:eastAsia="zh-CN"/>
        </w:rPr>
      </w:pPr>
      <w:r>
        <w:rPr>
          <w:rFonts w:hint="eastAsia"/>
          <w:b/>
          <w:bCs/>
          <w:color w:val="000000"/>
          <w:sz w:val="24"/>
          <w:szCs w:val="24"/>
          <w:lang w:val="en-US" w:eastAsia="zh-CN"/>
        </w:rPr>
        <w:t>项目名称：</w:t>
      </w:r>
    </w:p>
    <w:tbl>
      <w:tblPr>
        <w:tblStyle w:val="36"/>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19B1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4660" w:type="dxa"/>
            <w:noWrap w:val="0"/>
            <w:vAlign w:val="center"/>
          </w:tcPr>
          <w:p w14:paraId="64A579E2">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标题</w:t>
            </w:r>
          </w:p>
        </w:tc>
        <w:tc>
          <w:tcPr>
            <w:tcW w:w="4660" w:type="dxa"/>
            <w:noWrap w:val="0"/>
            <w:vAlign w:val="center"/>
          </w:tcPr>
          <w:p w14:paraId="64466DDF">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内容</w:t>
            </w:r>
          </w:p>
        </w:tc>
      </w:tr>
      <w:tr w14:paraId="6A91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4660" w:type="dxa"/>
            <w:noWrap w:val="0"/>
            <w:vAlign w:val="center"/>
          </w:tcPr>
          <w:p w14:paraId="6E4BFEB5">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rPr>
              <w:t>投标报价</w:t>
            </w:r>
          </w:p>
        </w:tc>
        <w:tc>
          <w:tcPr>
            <w:tcW w:w="4660" w:type="dxa"/>
            <w:noWrap w:val="0"/>
            <w:vAlign w:val="center"/>
          </w:tcPr>
          <w:p w14:paraId="741D5C36">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3420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2110D395">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cs="宋体"/>
                <w:color w:val="000000"/>
                <w:sz w:val="24"/>
                <w:szCs w:val="24"/>
                <w:vertAlign w:val="baseline"/>
                <w:lang w:val="en-US" w:eastAsia="zh-CN"/>
              </w:rPr>
              <w:t>工期</w:t>
            </w:r>
          </w:p>
        </w:tc>
        <w:tc>
          <w:tcPr>
            <w:tcW w:w="4660" w:type="dxa"/>
            <w:noWrap w:val="0"/>
            <w:vAlign w:val="center"/>
          </w:tcPr>
          <w:p w14:paraId="1ABFCD09">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0FBD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164A5238">
            <w:pPr>
              <w:pStyle w:val="32"/>
              <w:spacing w:before="0" w:beforeAutospacing="0" w:after="0" w:afterAutospacing="0" w:line="360" w:lineRule="auto"/>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质保期</w:t>
            </w:r>
          </w:p>
        </w:tc>
        <w:tc>
          <w:tcPr>
            <w:tcW w:w="4660" w:type="dxa"/>
            <w:noWrap w:val="0"/>
            <w:vAlign w:val="center"/>
          </w:tcPr>
          <w:p w14:paraId="312DAF58">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bl>
    <w:p w14:paraId="25E7E3EF">
      <w:pPr>
        <w:pStyle w:val="32"/>
        <w:spacing w:before="0" w:beforeAutospacing="0" w:after="0" w:afterAutospacing="0" w:line="360" w:lineRule="auto"/>
        <w:jc w:val="both"/>
        <w:rPr>
          <w:rFonts w:hint="eastAsia"/>
          <w:color w:val="000000"/>
          <w:szCs w:val="24"/>
        </w:rPr>
      </w:pPr>
    </w:p>
    <w:p w14:paraId="4DEFC1ED">
      <w:pPr>
        <w:keepNext w:val="0"/>
        <w:keepLines w:val="0"/>
        <w:pageBreakBefore w:val="0"/>
        <w:kinsoku/>
        <w:wordWrap/>
        <w:overflowPunct/>
        <w:topLinePunct w:val="0"/>
        <w:autoSpaceDE/>
        <w:autoSpaceDN/>
        <w:bidi w:val="0"/>
        <w:adjustRightInd/>
        <w:spacing w:line="480" w:lineRule="auto"/>
        <w:textAlignment w:val="auto"/>
        <w:outlineLvl w:val="0"/>
        <w:rPr>
          <w:rFonts w:hint="eastAsia" w:ascii="宋体" w:hAnsi="宋体" w:cs="宋体"/>
          <w:color w:val="000000"/>
          <w:sz w:val="24"/>
          <w:szCs w:val="24"/>
        </w:rPr>
      </w:pPr>
      <w:r>
        <w:rPr>
          <w:rFonts w:hint="eastAsia" w:ascii="宋体" w:hAnsi="宋体" w:cs="宋体"/>
          <w:color w:val="000000"/>
          <w:sz w:val="24"/>
          <w:szCs w:val="24"/>
        </w:rPr>
        <w:t>注：以上表内报价内容以元为单位，保留小数点后两位。</w:t>
      </w:r>
    </w:p>
    <w:p w14:paraId="35B77BCE">
      <w:pPr>
        <w:pStyle w:val="32"/>
        <w:keepNext w:val="0"/>
        <w:keepLines w:val="0"/>
        <w:pageBreakBefore w:val="0"/>
        <w:kinsoku/>
        <w:wordWrap/>
        <w:overflowPunct/>
        <w:topLinePunct w:val="0"/>
        <w:autoSpaceDE/>
        <w:autoSpaceDN/>
        <w:bidi w:val="0"/>
        <w:adjustRightInd/>
        <w:spacing w:before="0" w:beforeAutospacing="0" w:after="0" w:afterAutospacing="0" w:line="480" w:lineRule="auto"/>
        <w:jc w:val="both"/>
        <w:textAlignment w:val="auto"/>
        <w:rPr>
          <w:rFonts w:hint="eastAsia"/>
          <w:color w:val="000000"/>
          <w:sz w:val="24"/>
          <w:szCs w:val="24"/>
        </w:rPr>
      </w:pPr>
    </w:p>
    <w:p w14:paraId="65A8B2EA">
      <w:pPr>
        <w:pStyle w:val="21"/>
        <w:keepNext w:val="0"/>
        <w:keepLines w:val="0"/>
        <w:pageBreakBefore w:val="0"/>
        <w:kinsoku/>
        <w:wordWrap/>
        <w:overflowPunct/>
        <w:topLinePunct w:val="0"/>
        <w:autoSpaceDE/>
        <w:autoSpaceDN/>
        <w:bidi w:val="0"/>
        <w:adjustRightInd/>
        <w:spacing w:line="480" w:lineRule="auto"/>
        <w:textAlignment w:val="auto"/>
        <w:rPr>
          <w:rFonts w:hint="eastAsia"/>
          <w:color w:val="000000"/>
          <w:sz w:val="24"/>
          <w:szCs w:val="24"/>
        </w:rPr>
      </w:pPr>
    </w:p>
    <w:p w14:paraId="1E524E6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投标人：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  </w:t>
      </w:r>
    </w:p>
    <w:p w14:paraId="1EADCD3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312F36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法定代表人</w:t>
      </w:r>
      <w:r>
        <w:rPr>
          <w:rFonts w:hint="eastAsia" w:ascii="宋体" w:hAnsi="宋体" w:cs="宋体"/>
          <w:b/>
          <w:color w:val="000000"/>
          <w:sz w:val="24"/>
          <w:szCs w:val="24"/>
          <w:lang w:eastAsia="zh-CN"/>
        </w:rPr>
        <w:t>（</w:t>
      </w:r>
      <w:r>
        <w:rPr>
          <w:rFonts w:hint="eastAsia" w:ascii="宋体" w:hAnsi="宋体" w:cs="宋体"/>
          <w:b/>
          <w:color w:val="000000"/>
          <w:sz w:val="24"/>
          <w:szCs w:val="24"/>
          <w:lang w:val="en-US" w:eastAsia="zh-CN"/>
        </w:rPr>
        <w:t>负责人</w:t>
      </w:r>
      <w:r>
        <w:rPr>
          <w:rFonts w:hint="eastAsia" w:ascii="宋体" w:hAnsi="宋体" w:cs="宋体"/>
          <w:b/>
          <w:color w:val="000000"/>
          <w:sz w:val="24"/>
          <w:szCs w:val="24"/>
          <w:lang w:eastAsia="zh-CN"/>
        </w:rPr>
        <w:t>）</w:t>
      </w:r>
      <w:r>
        <w:rPr>
          <w:rFonts w:hint="eastAsia" w:ascii="宋体" w:hAnsi="宋体" w:cs="宋体"/>
          <w:b/>
          <w:color w:val="000000"/>
          <w:sz w:val="24"/>
          <w:szCs w:val="24"/>
          <w:lang w:val="en-US" w:eastAsia="zh-CN"/>
        </w:rPr>
        <w:t>或</w:t>
      </w:r>
      <w:r>
        <w:rPr>
          <w:rFonts w:hint="eastAsia" w:ascii="宋体" w:hAnsi="宋体" w:cs="宋体"/>
          <w:b/>
          <w:color w:val="000000"/>
          <w:sz w:val="24"/>
          <w:szCs w:val="24"/>
        </w:rPr>
        <w:t>委托代理人：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 （签字或</w:t>
      </w:r>
      <w:r>
        <w:rPr>
          <w:rFonts w:hint="eastAsia" w:ascii="宋体" w:hAnsi="宋体" w:cs="宋体"/>
          <w:b/>
          <w:color w:val="000000"/>
          <w:sz w:val="24"/>
          <w:szCs w:val="24"/>
          <w:lang w:val="en-US" w:eastAsia="zh-CN"/>
        </w:rPr>
        <w:t>盖章</w:t>
      </w:r>
      <w:r>
        <w:rPr>
          <w:rFonts w:hint="eastAsia" w:ascii="宋体" w:hAnsi="宋体" w:cs="宋体"/>
          <w:b/>
          <w:color w:val="000000"/>
          <w:sz w:val="24"/>
          <w:szCs w:val="24"/>
        </w:rPr>
        <w:t>）</w:t>
      </w:r>
    </w:p>
    <w:p w14:paraId="7DACC67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29DA044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sz w:val="24"/>
          <w:szCs w:val="24"/>
        </w:rPr>
        <w:t>日    期：  年  月  日</w:t>
      </w:r>
    </w:p>
    <w:p w14:paraId="090FB458">
      <w:pPr>
        <w:spacing w:line="360" w:lineRule="auto"/>
        <w:rPr>
          <w:rFonts w:hint="eastAsia" w:ascii="宋体" w:hAnsi="宋体" w:cs="宋体"/>
          <w:b/>
          <w:color w:val="000000" w:themeColor="text1"/>
          <w:sz w:val="28"/>
          <w:szCs w:val="28"/>
          <w14:textFill>
            <w14:solidFill>
              <w14:schemeClr w14:val="tx1"/>
            </w14:solidFill>
          </w14:textFill>
        </w:rPr>
      </w:pPr>
    </w:p>
    <w:p w14:paraId="311B6F9E">
      <w:pPr>
        <w:pStyle w:val="13"/>
        <w:ind w:left="1470" w:right="1470"/>
        <w:rPr>
          <w:rFonts w:hint="eastAsia"/>
          <w:color w:val="000000" w:themeColor="text1"/>
          <w14:textFill>
            <w14:solidFill>
              <w14:schemeClr w14:val="tx1"/>
            </w14:solidFill>
          </w14:textFill>
        </w:rPr>
      </w:pPr>
    </w:p>
    <w:p w14:paraId="5BC14BB6">
      <w:pPr>
        <w:pStyle w:val="13"/>
        <w:ind w:left="0" w:leftChars="0" w:right="1470" w:firstLine="0" w:firstLineChars="0"/>
        <w:rPr>
          <w:rFonts w:hint="eastAsia"/>
          <w:color w:val="000000" w:themeColor="text1"/>
          <w14:textFill>
            <w14:solidFill>
              <w14:schemeClr w14:val="tx1"/>
            </w14:solidFill>
          </w14:textFill>
        </w:rPr>
      </w:pPr>
    </w:p>
    <w:p w14:paraId="1EE65D1F">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54D19AF5">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156FCCCE">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3C191C18">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23639405">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79DD75EC">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479DF98E">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14:textFill>
            <w14:solidFill>
              <w14:schemeClr w14:val="tx1"/>
            </w14:solidFill>
          </w14:textFill>
        </w:rPr>
        <w:t>分项报价表</w:t>
      </w:r>
    </w:p>
    <w:tbl>
      <w:tblPr>
        <w:tblStyle w:val="35"/>
        <w:tblpPr w:leftFromText="180" w:rightFromText="180" w:vertAnchor="text" w:horzAnchor="page" w:tblpXSpec="center" w:tblpY="535"/>
        <w:tblOverlap w:val="never"/>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143"/>
        <w:gridCol w:w="861"/>
        <w:gridCol w:w="1198"/>
        <w:gridCol w:w="891"/>
        <w:gridCol w:w="1008"/>
        <w:gridCol w:w="1138"/>
        <w:gridCol w:w="1138"/>
        <w:gridCol w:w="1138"/>
      </w:tblGrid>
      <w:tr w14:paraId="3B52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exact"/>
          <w:jc w:val="center"/>
        </w:trPr>
        <w:tc>
          <w:tcPr>
            <w:tcW w:w="721" w:type="dxa"/>
            <w:tcBorders>
              <w:top w:val="single" w:color="000000" w:sz="2" w:space="0"/>
              <w:left w:val="single" w:color="000000" w:sz="2" w:space="0"/>
              <w:bottom w:val="single" w:color="000000" w:sz="2" w:space="0"/>
              <w:right w:val="single" w:color="000000" w:sz="2" w:space="0"/>
            </w:tcBorders>
            <w:noWrap w:val="0"/>
            <w:vAlign w:val="top"/>
          </w:tcPr>
          <w:p w14:paraId="2B911053">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143" w:type="dxa"/>
            <w:tcBorders>
              <w:top w:val="single" w:color="000000" w:sz="2" w:space="0"/>
              <w:left w:val="single" w:color="auto" w:sz="4" w:space="0"/>
              <w:bottom w:val="single" w:color="000000" w:sz="2" w:space="0"/>
              <w:right w:val="single" w:color="000000" w:sz="2" w:space="0"/>
            </w:tcBorders>
            <w:noWrap w:val="0"/>
            <w:vAlign w:val="top"/>
          </w:tcPr>
          <w:p w14:paraId="71E6EDBD">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标的</w:t>
            </w:r>
            <w:r>
              <w:rPr>
                <w:rFonts w:hint="eastAsia" w:ascii="宋体" w:hAnsi="宋体" w:eastAsia="宋体" w:cs="宋体"/>
                <w:color w:val="000000" w:themeColor="text1"/>
                <w:sz w:val="24"/>
                <w:szCs w:val="24"/>
                <w14:textFill>
                  <w14:solidFill>
                    <w14:schemeClr w14:val="tx1"/>
                  </w14:solidFill>
                </w14:textFill>
              </w:rPr>
              <w:t>名称</w:t>
            </w:r>
          </w:p>
        </w:tc>
        <w:tc>
          <w:tcPr>
            <w:tcW w:w="861" w:type="dxa"/>
            <w:tcBorders>
              <w:top w:val="single" w:color="000000" w:sz="2" w:space="0"/>
              <w:left w:val="single" w:color="auto" w:sz="4" w:space="0"/>
              <w:bottom w:val="single" w:color="000000" w:sz="2" w:space="0"/>
              <w:right w:val="single" w:color="auto" w:sz="4" w:space="0"/>
            </w:tcBorders>
            <w:noWrap w:val="0"/>
            <w:vAlign w:val="top"/>
          </w:tcPr>
          <w:p w14:paraId="3B6011BA">
            <w:pPr>
              <w:pageBreakBefore w:val="0"/>
              <w:wordWrap/>
              <w:topLinePunct w:val="0"/>
              <w:bidi w:val="0"/>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品牌</w:t>
            </w:r>
          </w:p>
        </w:tc>
        <w:tc>
          <w:tcPr>
            <w:tcW w:w="1198" w:type="dxa"/>
            <w:tcBorders>
              <w:top w:val="single" w:color="000000" w:sz="2" w:space="0"/>
              <w:left w:val="single" w:color="auto" w:sz="4" w:space="0"/>
              <w:bottom w:val="single" w:color="000000" w:sz="2" w:space="0"/>
              <w:right w:val="single" w:color="000000" w:sz="2" w:space="0"/>
            </w:tcBorders>
            <w:noWrap w:val="0"/>
            <w:vAlign w:val="top"/>
          </w:tcPr>
          <w:p w14:paraId="1DCE5A9D">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制造商</w:t>
            </w:r>
          </w:p>
        </w:tc>
        <w:tc>
          <w:tcPr>
            <w:tcW w:w="891" w:type="dxa"/>
            <w:tcBorders>
              <w:top w:val="single" w:color="000000" w:sz="2" w:space="0"/>
              <w:left w:val="single" w:color="auto" w:sz="4" w:space="0"/>
              <w:bottom w:val="single" w:color="000000" w:sz="2" w:space="0"/>
              <w:right w:val="single" w:color="000000" w:sz="2" w:space="0"/>
            </w:tcBorders>
            <w:noWrap w:val="0"/>
            <w:vAlign w:val="top"/>
          </w:tcPr>
          <w:p w14:paraId="3E80E96F">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型号</w:t>
            </w:r>
          </w:p>
        </w:tc>
        <w:tc>
          <w:tcPr>
            <w:tcW w:w="1008" w:type="dxa"/>
            <w:tcBorders>
              <w:top w:val="single" w:color="000000" w:sz="2" w:space="0"/>
              <w:left w:val="single" w:color="auto" w:sz="4" w:space="0"/>
              <w:bottom w:val="single" w:color="000000" w:sz="2" w:space="0"/>
              <w:right w:val="single" w:color="000000" w:sz="2" w:space="0"/>
            </w:tcBorders>
            <w:noWrap w:val="0"/>
            <w:vAlign w:val="top"/>
          </w:tcPr>
          <w:p w14:paraId="1F0A974F">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F51A1E2">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单位</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4270C47">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单价</w:t>
            </w:r>
            <w:r>
              <w:rPr>
                <w:rFonts w:hint="eastAsia" w:ascii="宋体" w:hAnsi="宋体" w:eastAsia="宋体" w:cs="宋体"/>
                <w:color w:val="000000" w:themeColor="text1"/>
                <w:sz w:val="24"/>
                <w:szCs w:val="24"/>
                <w:lang w:eastAsia="zh-CN"/>
                <w14:textFill>
                  <w14:solidFill>
                    <w14:schemeClr w14:val="tx1"/>
                  </w14:solidFill>
                </w14:textFill>
              </w:rPr>
              <w:t>（元）</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7D8E21C6">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总价</w:t>
            </w:r>
            <w:r>
              <w:rPr>
                <w:rFonts w:hint="eastAsia" w:ascii="宋体" w:hAnsi="宋体" w:eastAsia="宋体" w:cs="宋体"/>
                <w:color w:val="000000" w:themeColor="text1"/>
                <w:sz w:val="24"/>
                <w:szCs w:val="24"/>
                <w:lang w:eastAsia="zh-CN"/>
                <w14:textFill>
                  <w14:solidFill>
                    <w14:schemeClr w14:val="tx1"/>
                  </w14:solidFill>
                </w14:textFill>
              </w:rPr>
              <w:t>（元）</w:t>
            </w:r>
          </w:p>
        </w:tc>
      </w:tr>
      <w:tr w14:paraId="691E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624DE3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8CA229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61A07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AFA5A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5F0906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685699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FEB9FB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8F29B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9A8622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FF6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26A98A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641706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AB5365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1ACAE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618D3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7CC211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6C1E1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A40862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609500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3FF8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799B54E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EB88A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78D7B2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324230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2840CD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FD3B8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86138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E7570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D9D492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0441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65B43D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086197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C7B395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731D69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1F6FFC2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2B799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0A989C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59A8D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43761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C3F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E02DC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709CE64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CCB40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EAB1DD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D3B5A2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00B31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974A3B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F8917C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BF4380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124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A182D9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53EBDD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062327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257BF8A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A86394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1D519E7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EFF5B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90F56A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4FB5EC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8CC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8BF6C4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F38E57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EC084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5F36255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CB0ADA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314B3D8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D6D93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F3E1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4FB334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5F2B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74FC02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7B2080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877D8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E9B7CE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FA112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2BAD7A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1F22B2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7C1229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224BB6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36F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00C1E1A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EDA9B3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0D45B07">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378338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7212A9B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3305BEA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A79EDB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6CF64D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EBE8A3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FB8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7B1D21F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2496C3C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3A90BE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C90061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21E78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76B4C5B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D5D70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39C0CA9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14B40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1CD7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5E56EAD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B7D14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F58525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C3ABA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16EFF2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7B68759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EE215F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CF0943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C396F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bl>
    <w:p w14:paraId="74C7A333">
      <w:pPr>
        <w:adjustRightInd w:val="0"/>
        <w:snapToGrid w:val="0"/>
        <w:spacing w:line="360" w:lineRule="auto"/>
        <w:rPr>
          <w:rFonts w:hint="eastAsia" w:ascii="宋体" w:hAnsi="宋体" w:eastAsia="宋体" w:cs="宋体"/>
          <w:bCs/>
          <w:color w:val="000000" w:themeColor="text1"/>
          <w:sz w:val="24"/>
          <w:szCs w:val="24"/>
          <w14:textFill>
            <w14:solidFill>
              <w14:schemeClr w14:val="tx1"/>
            </w14:solidFill>
          </w14:textFill>
        </w:rPr>
      </w:pPr>
    </w:p>
    <w:p w14:paraId="3B8CF3C3">
      <w:pPr>
        <w:pStyle w:val="20"/>
        <w:rPr>
          <w:rFonts w:hint="eastAsia" w:ascii="宋体" w:hAnsi="宋体" w:eastAsia="宋体" w:cs="宋体"/>
          <w:bCs/>
          <w:color w:val="000000" w:themeColor="text1"/>
          <w:sz w:val="24"/>
          <w:szCs w:val="24"/>
          <w14:textFill>
            <w14:solidFill>
              <w14:schemeClr w14:val="tx1"/>
            </w14:solidFill>
          </w14:textFill>
        </w:rPr>
      </w:pPr>
    </w:p>
    <w:p w14:paraId="40CE2D39">
      <w:pPr>
        <w:pStyle w:val="20"/>
        <w:rPr>
          <w:rFonts w:hint="eastAsia" w:ascii="宋体" w:hAnsi="宋体" w:eastAsia="宋体" w:cs="宋体"/>
          <w:bCs/>
          <w:color w:val="000000" w:themeColor="text1"/>
          <w:sz w:val="24"/>
          <w:szCs w:val="24"/>
          <w14:textFill>
            <w14:solidFill>
              <w14:schemeClr w14:val="tx1"/>
            </w14:solidFill>
          </w14:textFill>
        </w:rPr>
      </w:pPr>
    </w:p>
    <w:p w14:paraId="6F7A36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57AEF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D3494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17355D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E7604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7C84F80D">
      <w:pPr>
        <w:pStyle w:val="11"/>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000000" w:themeColor="text1"/>
          <w:sz w:val="24"/>
          <w:szCs w:val="24"/>
          <w14:textFill>
            <w14:solidFill>
              <w14:schemeClr w14:val="tx1"/>
            </w14:solidFill>
          </w14:textFill>
        </w:rPr>
      </w:pPr>
    </w:p>
    <w:p w14:paraId="5D68DFD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bCs/>
          <w:color w:val="000000" w:themeColor="text1"/>
          <w:sz w:val="24"/>
          <w:szCs w:val="24"/>
          <w14:textFill>
            <w14:solidFill>
              <w14:schemeClr w14:val="tx1"/>
            </w14:solidFill>
          </w14:textFill>
        </w:rPr>
        <w:t>注：表格中的“总价”与“</w:t>
      </w:r>
      <w:r>
        <w:rPr>
          <w:rFonts w:hint="eastAsia" w:ascii="宋体" w:hAnsi="宋体" w:cs="宋体"/>
          <w:b/>
          <w:bCs/>
          <w:color w:val="000000" w:themeColor="text1"/>
          <w:sz w:val="24"/>
          <w:szCs w:val="24"/>
          <w:lang w:eastAsia="zh-CN"/>
          <w14:textFill>
            <w14:solidFill>
              <w14:schemeClr w14:val="tx1"/>
            </w14:solidFill>
          </w14:textFill>
        </w:rPr>
        <w:t>开标一览表</w:t>
      </w:r>
      <w:r>
        <w:rPr>
          <w:rFonts w:hint="eastAsia" w:ascii="宋体" w:hAnsi="宋体" w:eastAsia="宋体" w:cs="宋体"/>
          <w:b/>
          <w:bCs/>
          <w:color w:val="000000" w:themeColor="text1"/>
          <w:sz w:val="24"/>
          <w:szCs w:val="24"/>
          <w14:textFill>
            <w14:solidFill>
              <w14:schemeClr w14:val="tx1"/>
            </w14:solidFill>
          </w14:textFill>
        </w:rPr>
        <w:t>”中的“</w:t>
      </w:r>
      <w:r>
        <w:rPr>
          <w:rFonts w:hint="eastAsia" w:ascii="宋体" w:hAnsi="宋体" w:eastAsia="宋体" w:cs="宋体"/>
          <w:b/>
          <w:bCs/>
          <w:color w:val="000000" w:themeColor="text1"/>
          <w:sz w:val="24"/>
          <w:szCs w:val="24"/>
          <w:lang w:val="en-US" w:eastAsia="zh-CN"/>
          <w14:textFill>
            <w14:solidFill>
              <w14:schemeClr w14:val="tx1"/>
            </w14:solidFill>
          </w14:textFill>
        </w:rPr>
        <w:t>投标</w:t>
      </w:r>
      <w:r>
        <w:rPr>
          <w:rFonts w:hint="eastAsia" w:ascii="宋体" w:hAnsi="宋体" w:eastAsia="宋体" w:cs="宋体"/>
          <w:b/>
          <w:bCs/>
          <w:color w:val="000000" w:themeColor="text1"/>
          <w:sz w:val="24"/>
          <w:szCs w:val="24"/>
          <w14:textFill>
            <w14:solidFill>
              <w14:schemeClr w14:val="tx1"/>
            </w14:solidFill>
          </w14:textFill>
        </w:rPr>
        <w:t>报价”一致</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p w14:paraId="1FD7CD00">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000000" w:themeColor="text1"/>
          <w:sz w:val="28"/>
          <w:szCs w:val="28"/>
          <w:u w:val="none"/>
          <w14:textFill>
            <w14:solidFill>
              <w14:schemeClr w14:val="tx1"/>
            </w14:solidFill>
          </w14:textFill>
        </w:rPr>
      </w:pPr>
      <w:r>
        <w:rPr>
          <w:rFonts w:hint="eastAsia" w:ascii="宋体" w:hAnsi="宋体" w:eastAsia="宋体" w:cs="宋体"/>
          <w:b/>
          <w:bCs/>
          <w:color w:val="000000" w:themeColor="text1"/>
          <w:sz w:val="28"/>
          <w:szCs w:val="28"/>
          <w:u w:val="none"/>
          <w:lang w:val="en-US" w:eastAsia="zh-CN"/>
          <w14:textFill>
            <w14:solidFill>
              <w14:schemeClr w14:val="tx1"/>
            </w14:solidFill>
          </w14:textFill>
        </w:rPr>
        <w:t>五、</w:t>
      </w:r>
      <w:r>
        <w:rPr>
          <w:rFonts w:hint="eastAsia" w:ascii="宋体" w:hAnsi="宋体" w:eastAsia="宋体" w:cs="宋体"/>
          <w:b/>
          <w:bCs/>
          <w:color w:val="000000" w:themeColor="text1"/>
          <w:sz w:val="28"/>
          <w:szCs w:val="28"/>
          <w:u w:val="none"/>
          <w14:textFill>
            <w14:solidFill>
              <w14:schemeClr w14:val="tx1"/>
            </w14:solidFill>
          </w14:textFill>
        </w:rPr>
        <w:t>偏离表</w:t>
      </w:r>
    </w:p>
    <w:p w14:paraId="0EB51DA6">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p>
    <w:p w14:paraId="670E3774">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1.技术规范偏离表</w:t>
      </w:r>
    </w:p>
    <w:tbl>
      <w:tblPr>
        <w:tblStyle w:val="35"/>
        <w:tblW w:w="8845" w:type="dxa"/>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556"/>
        <w:gridCol w:w="993"/>
        <w:gridCol w:w="2488"/>
        <w:gridCol w:w="2650"/>
        <w:gridCol w:w="933"/>
        <w:gridCol w:w="1225"/>
      </w:tblGrid>
      <w:tr w14:paraId="6F0DABA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77" w:hRule="atLeast"/>
          <w:jc w:val="center"/>
        </w:trPr>
        <w:tc>
          <w:tcPr>
            <w:tcW w:w="556" w:type="dxa"/>
            <w:vMerge w:val="restart"/>
            <w:tcBorders>
              <w:top w:val="double" w:color="auto" w:sz="6" w:space="0"/>
              <w:left w:val="double" w:color="auto" w:sz="6" w:space="0"/>
              <w:right w:val="single" w:color="000000" w:sz="6" w:space="0"/>
            </w:tcBorders>
            <w:noWrap w:val="0"/>
            <w:vAlign w:val="center"/>
          </w:tcPr>
          <w:p w14:paraId="2603F063">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序号</w:t>
            </w:r>
          </w:p>
        </w:tc>
        <w:tc>
          <w:tcPr>
            <w:tcW w:w="993" w:type="dxa"/>
            <w:vMerge w:val="restart"/>
            <w:tcBorders>
              <w:top w:val="double" w:color="auto" w:sz="6" w:space="0"/>
              <w:left w:val="single" w:color="000000" w:sz="6" w:space="0"/>
              <w:right w:val="single" w:color="000000" w:sz="6" w:space="0"/>
            </w:tcBorders>
            <w:noWrap w:val="0"/>
            <w:vAlign w:val="center"/>
          </w:tcPr>
          <w:p w14:paraId="64AC4CE1">
            <w:pPr>
              <w:adjustRightInd w:val="0"/>
              <w:spacing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名称</w:t>
            </w:r>
          </w:p>
        </w:tc>
        <w:tc>
          <w:tcPr>
            <w:tcW w:w="2488" w:type="dxa"/>
            <w:tcBorders>
              <w:top w:val="double" w:color="auto" w:sz="6" w:space="0"/>
              <w:left w:val="single" w:color="000000" w:sz="6" w:space="0"/>
              <w:bottom w:val="single" w:color="auto" w:sz="4" w:space="0"/>
              <w:right w:val="single" w:color="000000" w:sz="6" w:space="0"/>
            </w:tcBorders>
            <w:noWrap w:val="0"/>
            <w:vAlign w:val="center"/>
          </w:tcPr>
          <w:p w14:paraId="530DF99E">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招标</w:t>
            </w:r>
            <w:r>
              <w:rPr>
                <w:rFonts w:hint="eastAsia" w:ascii="宋体" w:hAnsi="宋体" w:eastAsia="宋体" w:cs="宋体"/>
                <w:color w:val="000000" w:themeColor="text1"/>
                <w:sz w:val="28"/>
                <w:szCs w:val="28"/>
                <w14:textFill>
                  <w14:solidFill>
                    <w14:schemeClr w14:val="tx1"/>
                  </w14:solidFill>
                </w14:textFill>
              </w:rPr>
              <w:t>文件</w:t>
            </w:r>
          </w:p>
        </w:tc>
        <w:tc>
          <w:tcPr>
            <w:tcW w:w="2650" w:type="dxa"/>
            <w:tcBorders>
              <w:top w:val="double" w:color="auto" w:sz="6" w:space="0"/>
              <w:left w:val="single" w:color="000000" w:sz="6" w:space="0"/>
              <w:bottom w:val="single" w:color="auto" w:sz="4" w:space="0"/>
              <w:right w:val="single" w:color="000000" w:sz="6" w:space="0"/>
            </w:tcBorders>
            <w:noWrap w:val="0"/>
            <w:vAlign w:val="center"/>
          </w:tcPr>
          <w:p w14:paraId="1E10294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投标</w:t>
            </w:r>
            <w:r>
              <w:rPr>
                <w:rFonts w:hint="eastAsia" w:ascii="宋体" w:hAnsi="宋体" w:eastAsia="宋体" w:cs="宋体"/>
                <w:color w:val="000000" w:themeColor="text1"/>
                <w:sz w:val="28"/>
                <w:szCs w:val="28"/>
                <w14:textFill>
                  <w14:solidFill>
                    <w14:schemeClr w14:val="tx1"/>
                  </w14:solidFill>
                </w14:textFill>
              </w:rPr>
              <w:t>文件</w:t>
            </w:r>
          </w:p>
        </w:tc>
        <w:tc>
          <w:tcPr>
            <w:tcW w:w="933" w:type="dxa"/>
            <w:vMerge w:val="restart"/>
            <w:tcBorders>
              <w:top w:val="double" w:color="auto" w:sz="6" w:space="0"/>
              <w:left w:val="single" w:color="000000" w:sz="6" w:space="0"/>
              <w:right w:val="single" w:color="000000" w:sz="6" w:space="0"/>
            </w:tcBorders>
            <w:noWrap w:val="0"/>
            <w:vAlign w:val="center"/>
          </w:tcPr>
          <w:p w14:paraId="0400CEE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偏离</w:t>
            </w:r>
          </w:p>
        </w:tc>
        <w:tc>
          <w:tcPr>
            <w:tcW w:w="1225" w:type="dxa"/>
            <w:vMerge w:val="restart"/>
            <w:tcBorders>
              <w:top w:val="double" w:color="auto" w:sz="6" w:space="0"/>
              <w:left w:val="single" w:color="000000" w:sz="6" w:space="0"/>
              <w:right w:val="double" w:color="auto" w:sz="6" w:space="0"/>
            </w:tcBorders>
            <w:noWrap w:val="0"/>
            <w:vAlign w:val="center"/>
          </w:tcPr>
          <w:p w14:paraId="66A0821A">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说明</w:t>
            </w:r>
          </w:p>
        </w:tc>
      </w:tr>
      <w:tr w14:paraId="1A17D3A7">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39" w:hRule="atLeast"/>
          <w:jc w:val="center"/>
        </w:trPr>
        <w:tc>
          <w:tcPr>
            <w:tcW w:w="556" w:type="dxa"/>
            <w:vMerge w:val="continue"/>
            <w:tcBorders>
              <w:left w:val="double" w:color="auto" w:sz="6" w:space="0"/>
              <w:bottom w:val="single" w:color="000000" w:sz="6" w:space="0"/>
              <w:right w:val="single" w:color="000000" w:sz="6" w:space="0"/>
            </w:tcBorders>
            <w:noWrap w:val="0"/>
            <w:vAlign w:val="center"/>
          </w:tcPr>
          <w:p w14:paraId="6C6B829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993" w:type="dxa"/>
            <w:vMerge w:val="continue"/>
            <w:tcBorders>
              <w:left w:val="single" w:color="000000" w:sz="6" w:space="0"/>
              <w:bottom w:val="single" w:color="auto" w:sz="4" w:space="0"/>
              <w:right w:val="single" w:color="000000" w:sz="6" w:space="0"/>
            </w:tcBorders>
            <w:noWrap w:val="0"/>
            <w:vAlign w:val="center"/>
          </w:tcPr>
          <w:p w14:paraId="4F1A4D27">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488" w:type="dxa"/>
            <w:tcBorders>
              <w:top w:val="single" w:color="auto" w:sz="4" w:space="0"/>
              <w:left w:val="single" w:color="000000" w:sz="6" w:space="0"/>
              <w:bottom w:val="single" w:color="auto" w:sz="4" w:space="0"/>
              <w:right w:val="single" w:color="000000" w:sz="6" w:space="0"/>
            </w:tcBorders>
            <w:noWrap w:val="0"/>
            <w:vAlign w:val="center"/>
          </w:tcPr>
          <w:p w14:paraId="7F9D7D60">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简要内容</w:t>
            </w:r>
          </w:p>
        </w:tc>
        <w:tc>
          <w:tcPr>
            <w:tcW w:w="2650" w:type="dxa"/>
            <w:tcBorders>
              <w:top w:val="single" w:color="auto" w:sz="4" w:space="0"/>
              <w:left w:val="single" w:color="000000" w:sz="6" w:space="0"/>
              <w:bottom w:val="single" w:color="auto" w:sz="4" w:space="0"/>
              <w:right w:val="single" w:color="000000" w:sz="6" w:space="0"/>
            </w:tcBorders>
            <w:noWrap w:val="0"/>
            <w:vAlign w:val="center"/>
          </w:tcPr>
          <w:p w14:paraId="4949EB6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内容</w:t>
            </w:r>
          </w:p>
        </w:tc>
        <w:tc>
          <w:tcPr>
            <w:tcW w:w="933" w:type="dxa"/>
            <w:vMerge w:val="continue"/>
            <w:tcBorders>
              <w:left w:val="single" w:color="000000" w:sz="6" w:space="0"/>
              <w:bottom w:val="single" w:color="000000" w:sz="6" w:space="0"/>
              <w:right w:val="single" w:color="000000" w:sz="6" w:space="0"/>
            </w:tcBorders>
            <w:noWrap w:val="0"/>
            <w:vAlign w:val="center"/>
          </w:tcPr>
          <w:p w14:paraId="2377698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1225" w:type="dxa"/>
            <w:vMerge w:val="continue"/>
            <w:tcBorders>
              <w:left w:val="single" w:color="000000" w:sz="6" w:space="0"/>
              <w:bottom w:val="single" w:color="000000" w:sz="6" w:space="0"/>
              <w:right w:val="double" w:color="auto" w:sz="6" w:space="0"/>
            </w:tcBorders>
            <w:noWrap w:val="0"/>
            <w:vAlign w:val="center"/>
          </w:tcPr>
          <w:p w14:paraId="4724B45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r>
      <w:tr w14:paraId="1DC11C95">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556" w:type="dxa"/>
            <w:tcBorders>
              <w:top w:val="single" w:color="000000" w:sz="6" w:space="0"/>
              <w:left w:val="double" w:color="auto" w:sz="6" w:space="0"/>
              <w:bottom w:val="single" w:color="000000" w:sz="6" w:space="0"/>
              <w:right w:val="single" w:color="000000" w:sz="6" w:space="0"/>
            </w:tcBorders>
            <w:noWrap w:val="0"/>
            <w:vAlign w:val="center"/>
          </w:tcPr>
          <w:p w14:paraId="3A7C868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93" w:type="dxa"/>
            <w:tcBorders>
              <w:top w:val="single" w:color="000000" w:sz="6" w:space="0"/>
              <w:left w:val="single" w:color="000000" w:sz="6" w:space="0"/>
              <w:bottom w:val="single" w:color="000000" w:sz="6" w:space="0"/>
              <w:right w:val="single" w:color="000000" w:sz="6" w:space="0"/>
            </w:tcBorders>
            <w:noWrap w:val="0"/>
            <w:vAlign w:val="center"/>
          </w:tcPr>
          <w:p w14:paraId="2F1DB5F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488" w:type="dxa"/>
            <w:tcBorders>
              <w:top w:val="single" w:color="000000" w:sz="6" w:space="0"/>
              <w:left w:val="single" w:color="000000" w:sz="6" w:space="0"/>
              <w:bottom w:val="single" w:color="000000" w:sz="6" w:space="0"/>
              <w:right w:val="single" w:color="000000" w:sz="6" w:space="0"/>
            </w:tcBorders>
            <w:noWrap w:val="0"/>
            <w:vAlign w:val="center"/>
          </w:tcPr>
          <w:p w14:paraId="6E333494">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650" w:type="dxa"/>
            <w:tcBorders>
              <w:top w:val="single" w:color="000000" w:sz="6" w:space="0"/>
              <w:left w:val="single" w:color="000000" w:sz="6" w:space="0"/>
              <w:bottom w:val="single" w:color="000000" w:sz="6" w:space="0"/>
              <w:right w:val="single" w:color="000000" w:sz="6" w:space="0"/>
            </w:tcBorders>
            <w:noWrap w:val="0"/>
            <w:vAlign w:val="center"/>
          </w:tcPr>
          <w:p w14:paraId="0A20D7A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33" w:type="dxa"/>
            <w:tcBorders>
              <w:top w:val="single" w:color="000000" w:sz="6" w:space="0"/>
              <w:left w:val="single" w:color="000000" w:sz="6" w:space="0"/>
              <w:bottom w:val="single" w:color="000000" w:sz="6" w:space="0"/>
              <w:right w:val="single" w:color="000000" w:sz="6" w:space="0"/>
            </w:tcBorders>
            <w:noWrap w:val="0"/>
            <w:vAlign w:val="center"/>
          </w:tcPr>
          <w:p w14:paraId="236D501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1225" w:type="dxa"/>
            <w:tcBorders>
              <w:top w:val="single" w:color="000000" w:sz="6" w:space="0"/>
              <w:left w:val="single" w:color="000000" w:sz="6" w:space="0"/>
              <w:bottom w:val="single" w:color="000000" w:sz="6" w:space="0"/>
              <w:right w:val="double" w:color="auto" w:sz="6" w:space="0"/>
            </w:tcBorders>
            <w:noWrap w:val="0"/>
            <w:vAlign w:val="center"/>
          </w:tcPr>
          <w:p w14:paraId="47C850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253657A4">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556" w:type="dxa"/>
            <w:tcBorders>
              <w:top w:val="single" w:color="000000" w:sz="6" w:space="0"/>
              <w:left w:val="double" w:color="auto" w:sz="6" w:space="0"/>
              <w:bottom w:val="single" w:color="000000" w:sz="6" w:space="0"/>
              <w:right w:val="single" w:color="000000" w:sz="6" w:space="0"/>
            </w:tcBorders>
            <w:noWrap w:val="0"/>
            <w:vAlign w:val="center"/>
          </w:tcPr>
          <w:p w14:paraId="31E184A6">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93" w:type="dxa"/>
            <w:tcBorders>
              <w:top w:val="single" w:color="000000" w:sz="6" w:space="0"/>
              <w:left w:val="single" w:color="000000" w:sz="6" w:space="0"/>
              <w:bottom w:val="single" w:color="000000" w:sz="6" w:space="0"/>
              <w:right w:val="single" w:color="000000" w:sz="6" w:space="0"/>
            </w:tcBorders>
            <w:noWrap w:val="0"/>
            <w:vAlign w:val="center"/>
          </w:tcPr>
          <w:p w14:paraId="49D40074">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488" w:type="dxa"/>
            <w:tcBorders>
              <w:top w:val="single" w:color="000000" w:sz="6" w:space="0"/>
              <w:left w:val="single" w:color="000000" w:sz="6" w:space="0"/>
              <w:bottom w:val="single" w:color="000000" w:sz="6" w:space="0"/>
              <w:right w:val="single" w:color="000000" w:sz="6" w:space="0"/>
            </w:tcBorders>
            <w:noWrap w:val="0"/>
            <w:vAlign w:val="center"/>
          </w:tcPr>
          <w:p w14:paraId="5455C4A2">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650" w:type="dxa"/>
            <w:tcBorders>
              <w:top w:val="single" w:color="000000" w:sz="6" w:space="0"/>
              <w:left w:val="single" w:color="000000" w:sz="6" w:space="0"/>
              <w:bottom w:val="single" w:color="000000" w:sz="6" w:space="0"/>
              <w:right w:val="single" w:color="000000" w:sz="6" w:space="0"/>
            </w:tcBorders>
            <w:noWrap w:val="0"/>
            <w:vAlign w:val="center"/>
          </w:tcPr>
          <w:p w14:paraId="17B95C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33" w:type="dxa"/>
            <w:tcBorders>
              <w:top w:val="single" w:color="000000" w:sz="6" w:space="0"/>
              <w:left w:val="single" w:color="000000" w:sz="6" w:space="0"/>
              <w:bottom w:val="single" w:color="000000" w:sz="6" w:space="0"/>
              <w:right w:val="single" w:color="000000" w:sz="6" w:space="0"/>
            </w:tcBorders>
            <w:noWrap w:val="0"/>
            <w:vAlign w:val="center"/>
          </w:tcPr>
          <w:p w14:paraId="60FE5D0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1225" w:type="dxa"/>
            <w:tcBorders>
              <w:top w:val="single" w:color="000000" w:sz="6" w:space="0"/>
              <w:left w:val="single" w:color="000000" w:sz="6" w:space="0"/>
              <w:bottom w:val="single" w:color="000000" w:sz="6" w:space="0"/>
              <w:right w:val="double" w:color="auto" w:sz="6" w:space="0"/>
            </w:tcBorders>
            <w:noWrap w:val="0"/>
            <w:vAlign w:val="center"/>
          </w:tcPr>
          <w:p w14:paraId="5BCC4B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6F9D67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556" w:type="dxa"/>
            <w:tcBorders>
              <w:top w:val="single" w:color="000000" w:sz="6" w:space="0"/>
              <w:left w:val="double" w:color="auto" w:sz="6" w:space="0"/>
              <w:bottom w:val="single" w:color="000000" w:sz="6" w:space="0"/>
              <w:right w:val="single" w:color="000000" w:sz="6" w:space="0"/>
            </w:tcBorders>
            <w:noWrap w:val="0"/>
            <w:vAlign w:val="center"/>
          </w:tcPr>
          <w:p w14:paraId="06E27C4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93" w:type="dxa"/>
            <w:tcBorders>
              <w:top w:val="single" w:color="000000" w:sz="6" w:space="0"/>
              <w:left w:val="single" w:color="000000" w:sz="6" w:space="0"/>
              <w:bottom w:val="single" w:color="000000" w:sz="6" w:space="0"/>
              <w:right w:val="single" w:color="000000" w:sz="6" w:space="0"/>
            </w:tcBorders>
            <w:noWrap w:val="0"/>
            <w:vAlign w:val="center"/>
          </w:tcPr>
          <w:p w14:paraId="2E5CC65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488" w:type="dxa"/>
            <w:tcBorders>
              <w:top w:val="single" w:color="000000" w:sz="6" w:space="0"/>
              <w:left w:val="single" w:color="000000" w:sz="6" w:space="0"/>
              <w:bottom w:val="single" w:color="000000" w:sz="6" w:space="0"/>
              <w:right w:val="single" w:color="000000" w:sz="6" w:space="0"/>
            </w:tcBorders>
            <w:noWrap w:val="0"/>
            <w:vAlign w:val="center"/>
          </w:tcPr>
          <w:p w14:paraId="688DC381">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650" w:type="dxa"/>
            <w:tcBorders>
              <w:top w:val="single" w:color="000000" w:sz="6" w:space="0"/>
              <w:left w:val="single" w:color="000000" w:sz="6" w:space="0"/>
              <w:bottom w:val="single" w:color="000000" w:sz="6" w:space="0"/>
              <w:right w:val="single" w:color="000000" w:sz="6" w:space="0"/>
            </w:tcBorders>
            <w:noWrap w:val="0"/>
            <w:vAlign w:val="center"/>
          </w:tcPr>
          <w:p w14:paraId="418CB2C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33" w:type="dxa"/>
            <w:tcBorders>
              <w:top w:val="single" w:color="000000" w:sz="6" w:space="0"/>
              <w:left w:val="single" w:color="000000" w:sz="6" w:space="0"/>
              <w:bottom w:val="single" w:color="000000" w:sz="6" w:space="0"/>
              <w:right w:val="single" w:color="000000" w:sz="6" w:space="0"/>
            </w:tcBorders>
            <w:noWrap w:val="0"/>
            <w:vAlign w:val="center"/>
          </w:tcPr>
          <w:p w14:paraId="362F53E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1225" w:type="dxa"/>
            <w:tcBorders>
              <w:top w:val="single" w:color="000000" w:sz="6" w:space="0"/>
              <w:left w:val="single" w:color="000000" w:sz="6" w:space="0"/>
              <w:bottom w:val="single" w:color="000000" w:sz="6" w:space="0"/>
              <w:right w:val="double" w:color="auto" w:sz="6" w:space="0"/>
            </w:tcBorders>
            <w:noWrap w:val="0"/>
            <w:vAlign w:val="center"/>
          </w:tcPr>
          <w:p w14:paraId="23D14AF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34C6D14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556" w:type="dxa"/>
            <w:tcBorders>
              <w:top w:val="single" w:color="000000" w:sz="6" w:space="0"/>
              <w:left w:val="double" w:color="auto" w:sz="6" w:space="0"/>
              <w:bottom w:val="single" w:color="000000" w:sz="6" w:space="0"/>
              <w:right w:val="single" w:color="000000" w:sz="6" w:space="0"/>
            </w:tcBorders>
            <w:noWrap w:val="0"/>
            <w:vAlign w:val="center"/>
          </w:tcPr>
          <w:p w14:paraId="5E253C04">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93" w:type="dxa"/>
            <w:tcBorders>
              <w:top w:val="single" w:color="000000" w:sz="6" w:space="0"/>
              <w:left w:val="single" w:color="000000" w:sz="6" w:space="0"/>
              <w:bottom w:val="single" w:color="000000" w:sz="6" w:space="0"/>
              <w:right w:val="single" w:color="000000" w:sz="6" w:space="0"/>
            </w:tcBorders>
            <w:noWrap w:val="0"/>
            <w:vAlign w:val="center"/>
          </w:tcPr>
          <w:p w14:paraId="7BD4375D">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488" w:type="dxa"/>
            <w:tcBorders>
              <w:top w:val="single" w:color="000000" w:sz="6" w:space="0"/>
              <w:left w:val="single" w:color="000000" w:sz="6" w:space="0"/>
              <w:bottom w:val="single" w:color="000000" w:sz="6" w:space="0"/>
              <w:right w:val="single" w:color="000000" w:sz="6" w:space="0"/>
            </w:tcBorders>
            <w:noWrap w:val="0"/>
            <w:vAlign w:val="center"/>
          </w:tcPr>
          <w:p w14:paraId="65195F76">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650" w:type="dxa"/>
            <w:tcBorders>
              <w:top w:val="single" w:color="000000" w:sz="6" w:space="0"/>
              <w:left w:val="single" w:color="000000" w:sz="6" w:space="0"/>
              <w:bottom w:val="single" w:color="000000" w:sz="6" w:space="0"/>
              <w:right w:val="single" w:color="000000" w:sz="6" w:space="0"/>
            </w:tcBorders>
            <w:noWrap w:val="0"/>
            <w:vAlign w:val="center"/>
          </w:tcPr>
          <w:p w14:paraId="5F392B0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33" w:type="dxa"/>
            <w:tcBorders>
              <w:top w:val="single" w:color="000000" w:sz="6" w:space="0"/>
              <w:left w:val="single" w:color="000000" w:sz="6" w:space="0"/>
              <w:bottom w:val="single" w:color="000000" w:sz="6" w:space="0"/>
              <w:right w:val="single" w:color="000000" w:sz="6" w:space="0"/>
            </w:tcBorders>
            <w:noWrap w:val="0"/>
            <w:vAlign w:val="center"/>
          </w:tcPr>
          <w:p w14:paraId="7D5C6AF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1225" w:type="dxa"/>
            <w:tcBorders>
              <w:top w:val="single" w:color="000000" w:sz="6" w:space="0"/>
              <w:left w:val="single" w:color="000000" w:sz="6" w:space="0"/>
              <w:bottom w:val="single" w:color="000000" w:sz="6" w:space="0"/>
              <w:right w:val="double" w:color="auto" w:sz="6" w:space="0"/>
            </w:tcBorders>
            <w:noWrap w:val="0"/>
            <w:vAlign w:val="center"/>
          </w:tcPr>
          <w:p w14:paraId="595E9D5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1CEF8A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556" w:type="dxa"/>
            <w:tcBorders>
              <w:top w:val="single" w:color="000000" w:sz="6" w:space="0"/>
              <w:left w:val="double" w:color="auto" w:sz="6" w:space="0"/>
              <w:bottom w:val="single" w:color="000000" w:sz="6" w:space="0"/>
              <w:right w:val="single" w:color="000000" w:sz="6" w:space="0"/>
            </w:tcBorders>
            <w:noWrap w:val="0"/>
            <w:vAlign w:val="center"/>
          </w:tcPr>
          <w:p w14:paraId="6521583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93" w:type="dxa"/>
            <w:tcBorders>
              <w:top w:val="single" w:color="000000" w:sz="6" w:space="0"/>
              <w:left w:val="single" w:color="000000" w:sz="6" w:space="0"/>
              <w:bottom w:val="single" w:color="000000" w:sz="6" w:space="0"/>
              <w:right w:val="single" w:color="000000" w:sz="6" w:space="0"/>
            </w:tcBorders>
            <w:noWrap w:val="0"/>
            <w:vAlign w:val="center"/>
          </w:tcPr>
          <w:p w14:paraId="4BE4132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488" w:type="dxa"/>
            <w:tcBorders>
              <w:top w:val="single" w:color="000000" w:sz="6" w:space="0"/>
              <w:left w:val="single" w:color="000000" w:sz="6" w:space="0"/>
              <w:bottom w:val="single" w:color="000000" w:sz="6" w:space="0"/>
              <w:right w:val="single" w:color="000000" w:sz="6" w:space="0"/>
            </w:tcBorders>
            <w:noWrap w:val="0"/>
            <w:vAlign w:val="center"/>
          </w:tcPr>
          <w:p w14:paraId="210B6AD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650" w:type="dxa"/>
            <w:tcBorders>
              <w:top w:val="single" w:color="000000" w:sz="6" w:space="0"/>
              <w:left w:val="single" w:color="000000" w:sz="6" w:space="0"/>
              <w:bottom w:val="single" w:color="000000" w:sz="6" w:space="0"/>
              <w:right w:val="single" w:color="000000" w:sz="6" w:space="0"/>
            </w:tcBorders>
            <w:noWrap w:val="0"/>
            <w:vAlign w:val="center"/>
          </w:tcPr>
          <w:p w14:paraId="0FC5294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33" w:type="dxa"/>
            <w:tcBorders>
              <w:top w:val="single" w:color="000000" w:sz="6" w:space="0"/>
              <w:left w:val="single" w:color="000000" w:sz="6" w:space="0"/>
              <w:bottom w:val="single" w:color="000000" w:sz="6" w:space="0"/>
              <w:right w:val="single" w:color="000000" w:sz="6" w:space="0"/>
            </w:tcBorders>
            <w:noWrap w:val="0"/>
            <w:vAlign w:val="center"/>
          </w:tcPr>
          <w:p w14:paraId="53B84292">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1225" w:type="dxa"/>
            <w:tcBorders>
              <w:top w:val="single" w:color="000000" w:sz="6" w:space="0"/>
              <w:left w:val="single" w:color="000000" w:sz="6" w:space="0"/>
              <w:bottom w:val="single" w:color="000000" w:sz="6" w:space="0"/>
              <w:right w:val="double" w:color="auto" w:sz="6" w:space="0"/>
            </w:tcBorders>
            <w:noWrap w:val="0"/>
            <w:vAlign w:val="center"/>
          </w:tcPr>
          <w:p w14:paraId="5FFD81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2CE30A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556" w:type="dxa"/>
            <w:tcBorders>
              <w:top w:val="single" w:color="000000" w:sz="6" w:space="0"/>
              <w:left w:val="double" w:color="auto" w:sz="6" w:space="0"/>
              <w:bottom w:val="single" w:color="000000" w:sz="6" w:space="0"/>
              <w:right w:val="single" w:color="000000" w:sz="6" w:space="0"/>
            </w:tcBorders>
            <w:noWrap w:val="0"/>
            <w:vAlign w:val="center"/>
          </w:tcPr>
          <w:p w14:paraId="116EE0F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93" w:type="dxa"/>
            <w:tcBorders>
              <w:top w:val="single" w:color="000000" w:sz="6" w:space="0"/>
              <w:left w:val="single" w:color="000000" w:sz="6" w:space="0"/>
              <w:bottom w:val="single" w:color="000000" w:sz="6" w:space="0"/>
              <w:right w:val="single" w:color="000000" w:sz="6" w:space="0"/>
            </w:tcBorders>
            <w:noWrap w:val="0"/>
            <w:vAlign w:val="center"/>
          </w:tcPr>
          <w:p w14:paraId="5C47C72A">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488" w:type="dxa"/>
            <w:tcBorders>
              <w:top w:val="single" w:color="000000" w:sz="6" w:space="0"/>
              <w:left w:val="single" w:color="000000" w:sz="6" w:space="0"/>
              <w:bottom w:val="single" w:color="000000" w:sz="6" w:space="0"/>
              <w:right w:val="single" w:color="000000" w:sz="6" w:space="0"/>
            </w:tcBorders>
            <w:noWrap w:val="0"/>
            <w:vAlign w:val="center"/>
          </w:tcPr>
          <w:p w14:paraId="51F3096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2650" w:type="dxa"/>
            <w:tcBorders>
              <w:top w:val="single" w:color="000000" w:sz="6" w:space="0"/>
              <w:left w:val="single" w:color="000000" w:sz="6" w:space="0"/>
              <w:bottom w:val="single" w:color="000000" w:sz="6" w:space="0"/>
              <w:right w:val="single" w:color="000000" w:sz="6" w:space="0"/>
            </w:tcBorders>
            <w:noWrap w:val="0"/>
            <w:vAlign w:val="center"/>
          </w:tcPr>
          <w:p w14:paraId="668FB2A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933" w:type="dxa"/>
            <w:tcBorders>
              <w:top w:val="single" w:color="000000" w:sz="6" w:space="0"/>
              <w:left w:val="single" w:color="000000" w:sz="6" w:space="0"/>
              <w:bottom w:val="single" w:color="000000" w:sz="6" w:space="0"/>
              <w:right w:val="single" w:color="000000" w:sz="6" w:space="0"/>
            </w:tcBorders>
            <w:noWrap w:val="0"/>
            <w:vAlign w:val="center"/>
          </w:tcPr>
          <w:p w14:paraId="13131B9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1225" w:type="dxa"/>
            <w:tcBorders>
              <w:top w:val="single" w:color="000000" w:sz="6" w:space="0"/>
              <w:left w:val="single" w:color="000000" w:sz="6" w:space="0"/>
              <w:bottom w:val="single" w:color="000000" w:sz="6" w:space="0"/>
              <w:right w:val="double" w:color="auto" w:sz="6" w:space="0"/>
            </w:tcBorders>
            <w:noWrap w:val="0"/>
            <w:vAlign w:val="center"/>
          </w:tcPr>
          <w:p w14:paraId="6470AA8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bl>
    <w:p w14:paraId="7396D523">
      <w:pPr>
        <w:pStyle w:val="32"/>
        <w:spacing w:before="0" w:beforeAutospacing="0" w:after="0" w:afterAutospacing="0" w:line="360" w:lineRule="auto"/>
        <w:ind w:firstLine="562" w:firstLineChars="200"/>
        <w:jc w:val="both"/>
        <w:rPr>
          <w:rFonts w:hint="eastAsia" w:ascii="宋体" w:hAnsi="宋体" w:eastAsia="宋体" w:cs="宋体"/>
          <w:b/>
          <w:color w:val="000000" w:themeColor="text1"/>
          <w:sz w:val="28"/>
          <w:szCs w:val="28"/>
          <w:lang w:val="en-US" w:eastAsia="zh-CN"/>
          <w14:textFill>
            <w14:solidFill>
              <w14:schemeClr w14:val="tx1"/>
            </w14:solidFill>
          </w14:textFill>
        </w:rPr>
      </w:pPr>
    </w:p>
    <w:p w14:paraId="20A75146">
      <w:pPr>
        <w:pStyle w:val="32"/>
        <w:keepNext w:val="0"/>
        <w:keepLines w:val="0"/>
        <w:pageBreakBefore w:val="0"/>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注：1、投标文件技术参数指标响应内容必须按照投标产品实际参数指标填写，与相关证明材料一致，不得直接将采购文件的技术参数指标要求完全复制作为投标文件响应内容，否则将会影响评审结果。</w:t>
      </w:r>
    </w:p>
    <w:p w14:paraId="7F500514">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2、务必完整填写所有指标响应参数；必须进行明确说明偏离情况。且偏离情况与实际相符，否则将会影响评审结果。</w:t>
      </w:r>
    </w:p>
    <w:p w14:paraId="4786D410">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3、采购文件中约定的每项采购内容的技术偏离情况都必须体现在此技术偏离表中，否则将会影响评审结果。</w:t>
      </w:r>
    </w:p>
    <w:p w14:paraId="61103FC1">
      <w:pPr>
        <w:pStyle w:val="32"/>
        <w:spacing w:before="0" w:beforeAutospacing="0" w:after="0" w:afterAutospacing="0" w:line="360" w:lineRule="auto"/>
        <w:ind w:firstLine="482" w:firstLineChars="200"/>
        <w:jc w:val="both"/>
        <w:rPr>
          <w:rFonts w:hint="eastAsia" w:eastAsia="宋体" w:cs="宋体"/>
          <w:b/>
          <w:color w:val="000000" w:themeColor="text1"/>
          <w:sz w:val="24"/>
          <w:szCs w:val="24"/>
          <w:lang w:val="en-US" w:eastAsia="zh-CN"/>
          <w14:textFill>
            <w14:solidFill>
              <w14:schemeClr w14:val="tx1"/>
            </w14:solidFill>
          </w14:textFill>
        </w:rPr>
      </w:pPr>
    </w:p>
    <w:p w14:paraId="2627D1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673BE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75346A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6A3F4F13">
      <w:pPr>
        <w:keepLines/>
        <w:pageBreakBefore/>
        <w:spacing w:line="360" w:lineRule="auto"/>
        <w:jc w:val="center"/>
        <w:outlineLvl w:val="1"/>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24319D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000000" w:themeColor="text1"/>
          <w:kern w:val="0"/>
          <w:sz w:val="28"/>
          <w:szCs w:val="28"/>
          <w14:textFill>
            <w14:solidFill>
              <w14:schemeClr w14:val="tx1"/>
            </w14:solidFill>
          </w14:textFill>
        </w:rPr>
      </w:pPr>
    </w:p>
    <w:p w14:paraId="4D84B614">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为响应党中央、国务院关于治理政府采购领域商业贿赂行为的号召，我公司在此庄严承诺：</w:t>
      </w:r>
    </w:p>
    <w:p w14:paraId="799EA8D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1.在参与政府采购活动中遵纪守法、诚信经营、公平竞标。</w:t>
      </w:r>
    </w:p>
    <w:p w14:paraId="2E8080F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432A11E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3.不向政府采购代理机构和采购人提供虚假资质文件或采用虚假应标方式参与政府采购市场竞争并谋取中标、成交。</w:t>
      </w:r>
    </w:p>
    <w:p w14:paraId="48284C2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4.不采取“围标、陪标”等商业欺诈手段获得政府采购定单。</w:t>
      </w:r>
    </w:p>
    <w:p w14:paraId="5F97E0E9">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5.不采取不正当手段诋毁、排挤其他供应商。</w:t>
      </w:r>
    </w:p>
    <w:p w14:paraId="047D77AC">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6.不在提供商品和服务时“偷梁换柱、以次充好”损害采购人的合法权益。</w:t>
      </w:r>
    </w:p>
    <w:p w14:paraId="1F063B08">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7.不与采购人、采购代理机构政府采购评审专家或其它供应商恶意串通，进行质疑和投诉，维护政府采购市场秩序。</w:t>
      </w:r>
    </w:p>
    <w:p w14:paraId="5575A96E">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8.尊重和接受政府采购监督管理部门的监督和政府采购招标采购要求，承担因违约行为给采购人造成的损失。</w:t>
      </w:r>
    </w:p>
    <w:p w14:paraId="4B241016">
      <w:pPr>
        <w:keepNext w:val="0"/>
        <w:keepLines w:val="0"/>
        <w:pageBreakBefore w:val="0"/>
        <w:widowControl/>
        <w:kinsoku/>
        <w:wordWrap/>
        <w:overflowPunct/>
        <w:topLinePunct w:val="0"/>
        <w:autoSpaceDE/>
        <w:autoSpaceDN/>
        <w:bidi w:val="0"/>
        <w:adjustRightInd/>
        <w:snapToGrid/>
        <w:spacing w:line="560" w:lineRule="exact"/>
        <w:ind w:left="479" w:leftChars="228" w:firstLine="0" w:firstLineChars="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9.不发生其他有悖于政府采购公开、公平、公正和诚信原则的行为。    地  址：                        </w:t>
      </w:r>
    </w:p>
    <w:p w14:paraId="3261BF2D">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邮  编：</w:t>
      </w:r>
    </w:p>
    <w:p w14:paraId="7BE8365A">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电  话：                        </w:t>
      </w:r>
    </w:p>
    <w:bookmarkEnd w:id="919"/>
    <w:bookmarkEnd w:id="920"/>
    <w:bookmarkEnd w:id="921"/>
    <w:bookmarkEnd w:id="922"/>
    <w:p w14:paraId="1F46D6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bookmarkStart w:id="933" w:name="_Toc522893849"/>
      <w:bookmarkStart w:id="934" w:name="_Hlk518637502"/>
      <w:bookmarkStart w:id="935" w:name="_Toc490171588"/>
      <w:bookmarkStart w:id="936" w:name="_Toc395711860"/>
      <w:bookmarkStart w:id="937" w:name="_Toc361406474"/>
      <w:bookmarkStart w:id="938" w:name="_Toc397410512"/>
      <w:bookmarkStart w:id="939" w:name="_Toc456197123"/>
      <w:bookmarkStart w:id="940" w:name="_Toc397585279"/>
      <w:bookmarkStart w:id="941" w:name="_Toc456197124"/>
      <w:bookmarkStart w:id="942" w:name="_Toc246997117"/>
      <w:bookmarkStart w:id="943" w:name="_Toc246996374"/>
      <w:bookmarkStart w:id="944" w:name="_Toc343512479"/>
      <w:bookmarkStart w:id="945" w:name="_Toc247085892"/>
      <w:bookmarkStart w:id="946" w:name="_Toc397410699"/>
      <w:bookmarkStart w:id="947" w:name="_Toc394320943"/>
    </w:p>
    <w:p w14:paraId="3E6343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CA05E0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34DE9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负责人</w:t>
      </w: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EE730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9B5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C428B95">
      <w:pPr>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w:t>
      </w:r>
      <w:r>
        <w:rPr>
          <w:rFonts w:hint="eastAsia" w:ascii="宋体" w:hAnsi="宋体" w:cs="宋体"/>
          <w:b/>
          <w:color w:val="000000" w:themeColor="text1"/>
          <w:sz w:val="28"/>
          <w:szCs w:val="28"/>
          <w:lang w:val="en-US" w:eastAsia="zh-CN"/>
          <w14:textFill>
            <w14:solidFill>
              <w14:schemeClr w14:val="tx1"/>
            </w14:solidFill>
          </w14:textFill>
        </w:rPr>
        <w:t>及商务</w:t>
      </w:r>
      <w:r>
        <w:rPr>
          <w:rFonts w:hint="eastAsia" w:ascii="宋体" w:hAnsi="宋体" w:cs="宋体"/>
          <w:b/>
          <w:color w:val="000000" w:themeColor="text1"/>
          <w:sz w:val="28"/>
          <w:szCs w:val="28"/>
          <w14:textFill>
            <w14:solidFill>
              <w14:schemeClr w14:val="tx1"/>
            </w14:solidFill>
          </w14:textFill>
        </w:rPr>
        <w:t>部分响应内容</w:t>
      </w:r>
      <w:bookmarkEnd w:id="933"/>
    </w:p>
    <w:p w14:paraId="7E5F9650">
      <w:pPr>
        <w:spacing w:line="360" w:lineRule="auto"/>
        <w:rPr>
          <w:rFonts w:hint="eastAsia" w:ascii="宋体" w:hAnsi="宋体" w:cs="宋体"/>
          <w:color w:val="000000" w:themeColor="text1"/>
          <w:sz w:val="24"/>
          <w14:textFill>
            <w14:solidFill>
              <w14:schemeClr w14:val="tx1"/>
            </w14:solidFill>
          </w14:textFill>
        </w:rPr>
      </w:pPr>
    </w:p>
    <w:p w14:paraId="46497D9F">
      <w:pPr>
        <w:pStyle w:val="20"/>
        <w:rPr>
          <w:rFonts w:hint="eastAsia"/>
          <w:color w:val="000000" w:themeColor="text1"/>
          <w14:textFill>
            <w14:solidFill>
              <w14:schemeClr w14:val="tx1"/>
            </w14:solidFill>
          </w14:textFill>
        </w:rPr>
      </w:pPr>
    </w:p>
    <w:p w14:paraId="18191E9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w:t>
      </w:r>
    </w:p>
    <w:p w14:paraId="76EAC399">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1.实施方案；</w:t>
      </w:r>
    </w:p>
    <w:p w14:paraId="3186F9DA">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2.技术要求；</w:t>
      </w:r>
    </w:p>
    <w:p w14:paraId="6C95CEC7">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3.集成及定制开发方案；</w:t>
      </w:r>
    </w:p>
    <w:p w14:paraId="22E6274F">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4.涉密能力；</w:t>
      </w:r>
    </w:p>
    <w:p w14:paraId="3BB038A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5.自主知识产品；</w:t>
      </w:r>
    </w:p>
    <w:p w14:paraId="5E31AC7F">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6.质量保证方案；</w:t>
      </w:r>
    </w:p>
    <w:p w14:paraId="20199386">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.运行维护方案</w:t>
      </w:r>
      <w:r>
        <w:rPr>
          <w:rFonts w:hint="eastAsia" w:ascii="宋体" w:hAnsi="宋体" w:cs="宋体"/>
          <w:color w:val="000000" w:themeColor="text1"/>
          <w:sz w:val="24"/>
          <w:szCs w:val="24"/>
          <w:lang w:val="en-US" w:eastAsia="zh-CN"/>
          <w14:textFill>
            <w14:solidFill>
              <w14:schemeClr w14:val="tx1"/>
            </w14:solidFill>
          </w14:textFill>
        </w:rPr>
        <w:t>；</w:t>
      </w:r>
    </w:p>
    <w:p w14:paraId="4074A80A">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eastAsia="zh-CN"/>
          <w14:textFill>
            <w14:solidFill>
              <w14:schemeClr w14:val="tx1"/>
            </w14:solidFill>
          </w14:textFill>
        </w:rPr>
        <w:t>.业绩；</w:t>
      </w:r>
    </w:p>
    <w:p w14:paraId="5352CFD0">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9.政策分及网络安全产品认证；</w:t>
      </w:r>
    </w:p>
    <w:p w14:paraId="042965F2">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10.服务团队；</w:t>
      </w:r>
    </w:p>
    <w:p w14:paraId="6BB0399E">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供应商认为有必要说明的问题。</w:t>
      </w:r>
    </w:p>
    <w:p w14:paraId="0A2CA34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按招标文件评标办法相应要求，无固定格式，投标人自拟。</w:t>
      </w:r>
    </w:p>
    <w:p w14:paraId="0C8BAC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4C31B2AB">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A3B7F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D8F83A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6C50AAB9">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、其他资料</w:t>
      </w:r>
    </w:p>
    <w:p w14:paraId="7E7CA934">
      <w:pPr>
        <w:spacing w:line="360" w:lineRule="auto"/>
        <w:jc w:val="left"/>
        <w:rPr>
          <w:rFonts w:hint="eastAsia" w:ascii="宋体" w:hAnsi="宋体" w:cs="宋体"/>
          <w:b/>
          <w:color w:val="000000" w:themeColor="text1"/>
          <w:sz w:val="24"/>
          <w:szCs w:val="22"/>
          <w14:textFill>
            <w14:solidFill>
              <w14:schemeClr w14:val="tx1"/>
            </w14:solidFill>
          </w14:textFill>
        </w:rPr>
      </w:pPr>
    </w:p>
    <w:p w14:paraId="44193040">
      <w:pPr>
        <w:spacing w:line="360" w:lineRule="auto"/>
        <w:jc w:val="left"/>
        <w:rPr>
          <w:rFonts w:hint="eastAsia" w:ascii="宋体" w:hAnsi="宋体" w:cs="宋体"/>
          <w:b/>
          <w:color w:val="000000" w:themeColor="text1"/>
          <w:sz w:val="24"/>
          <w:szCs w:val="22"/>
          <w14:textFill>
            <w14:solidFill>
              <w14:schemeClr w14:val="tx1"/>
            </w14:solidFill>
          </w14:textFill>
        </w:rPr>
      </w:pPr>
    </w:p>
    <w:p w14:paraId="73B85873">
      <w:pPr>
        <w:pStyle w:val="11"/>
        <w:rPr>
          <w:rFonts w:hint="eastAsia" w:cs="宋体"/>
          <w:b/>
          <w:color w:val="000000" w:themeColor="text1"/>
          <w:sz w:val="24"/>
          <w:szCs w:val="22"/>
          <w14:textFill>
            <w14:solidFill>
              <w14:schemeClr w14:val="tx1"/>
            </w14:solidFill>
          </w14:textFill>
        </w:rPr>
      </w:pPr>
    </w:p>
    <w:p w14:paraId="33FC064D">
      <w:pPr>
        <w:rPr>
          <w:rFonts w:hint="eastAsia" w:ascii="宋体" w:hAnsi="宋体" w:cs="宋体"/>
          <w:b/>
          <w:color w:val="000000" w:themeColor="text1"/>
          <w:sz w:val="24"/>
          <w:szCs w:val="22"/>
          <w14:textFill>
            <w14:solidFill>
              <w14:schemeClr w14:val="tx1"/>
            </w14:solidFill>
          </w14:textFill>
        </w:rPr>
      </w:pPr>
    </w:p>
    <w:p w14:paraId="05248DCE">
      <w:pPr>
        <w:pStyle w:val="11"/>
        <w:rPr>
          <w:rFonts w:hint="eastAsia"/>
          <w:color w:val="000000" w:themeColor="text1"/>
          <w14:textFill>
            <w14:solidFill>
              <w14:schemeClr w14:val="tx1"/>
            </w14:solidFill>
          </w14:textFill>
        </w:rPr>
      </w:pPr>
    </w:p>
    <w:p w14:paraId="19096C99">
      <w:pPr>
        <w:spacing w:line="360" w:lineRule="auto"/>
        <w:jc w:val="left"/>
        <w:rPr>
          <w:rFonts w:hint="eastAsia" w:ascii="宋体" w:hAnsi="宋体" w:cs="宋体"/>
          <w:b/>
          <w:color w:val="000000" w:themeColor="text1"/>
          <w:sz w:val="24"/>
          <w:szCs w:val="22"/>
          <w14:textFill>
            <w14:solidFill>
              <w14:schemeClr w14:val="tx1"/>
            </w14:solidFill>
          </w14:textFill>
        </w:rPr>
      </w:pPr>
    </w:p>
    <w:p w14:paraId="25BC8B87">
      <w:pPr>
        <w:spacing w:line="360" w:lineRule="auto"/>
        <w:jc w:val="left"/>
        <w:rPr>
          <w:rFonts w:hint="eastAsia" w:ascii="宋体" w:hAnsi="宋体" w:cs="宋体"/>
          <w:b/>
          <w:color w:val="000000" w:themeColor="text1"/>
          <w:sz w:val="24"/>
          <w:szCs w:val="22"/>
          <w14:textFill>
            <w14:solidFill>
              <w14:schemeClr w14:val="tx1"/>
            </w14:solidFill>
          </w14:textFill>
        </w:rPr>
      </w:pPr>
    </w:p>
    <w:p w14:paraId="68770C4B">
      <w:pPr>
        <w:pStyle w:val="11"/>
        <w:rPr>
          <w:rFonts w:hint="eastAsia" w:ascii="宋体" w:hAnsi="宋体" w:cs="宋体"/>
          <w:b/>
          <w:color w:val="000000" w:themeColor="text1"/>
          <w:sz w:val="24"/>
          <w:szCs w:val="22"/>
          <w14:textFill>
            <w14:solidFill>
              <w14:schemeClr w14:val="tx1"/>
            </w14:solidFill>
          </w14:textFill>
        </w:rPr>
      </w:pPr>
    </w:p>
    <w:p w14:paraId="68BD7984">
      <w:pPr>
        <w:rPr>
          <w:rFonts w:hint="eastAsia" w:ascii="宋体" w:hAnsi="宋体" w:cs="宋体"/>
          <w:b/>
          <w:color w:val="000000" w:themeColor="text1"/>
          <w:sz w:val="24"/>
          <w:szCs w:val="22"/>
          <w14:textFill>
            <w14:solidFill>
              <w14:schemeClr w14:val="tx1"/>
            </w14:solidFill>
          </w14:textFill>
        </w:rPr>
      </w:pPr>
    </w:p>
    <w:p w14:paraId="039C0411">
      <w:pPr>
        <w:pStyle w:val="11"/>
        <w:rPr>
          <w:rFonts w:hint="eastAsia" w:ascii="宋体" w:hAnsi="宋体" w:cs="宋体"/>
          <w:b/>
          <w:color w:val="000000" w:themeColor="text1"/>
          <w:sz w:val="24"/>
          <w:szCs w:val="22"/>
          <w14:textFill>
            <w14:solidFill>
              <w14:schemeClr w14:val="tx1"/>
            </w14:solidFill>
          </w14:textFill>
        </w:rPr>
      </w:pPr>
    </w:p>
    <w:p w14:paraId="0573A85F">
      <w:pPr>
        <w:rPr>
          <w:rFonts w:hint="eastAsia" w:ascii="宋体" w:hAnsi="宋体" w:cs="宋体"/>
          <w:b/>
          <w:color w:val="000000" w:themeColor="text1"/>
          <w:sz w:val="24"/>
          <w:szCs w:val="22"/>
          <w14:textFill>
            <w14:solidFill>
              <w14:schemeClr w14:val="tx1"/>
            </w14:solidFill>
          </w14:textFill>
        </w:rPr>
      </w:pPr>
    </w:p>
    <w:p w14:paraId="31B72472">
      <w:pPr>
        <w:pStyle w:val="11"/>
        <w:rPr>
          <w:rFonts w:hint="eastAsia" w:ascii="宋体" w:hAnsi="宋体" w:cs="宋体"/>
          <w:b/>
          <w:color w:val="000000" w:themeColor="text1"/>
          <w:sz w:val="24"/>
          <w:szCs w:val="22"/>
          <w14:textFill>
            <w14:solidFill>
              <w14:schemeClr w14:val="tx1"/>
            </w14:solidFill>
          </w14:textFill>
        </w:rPr>
      </w:pPr>
    </w:p>
    <w:p w14:paraId="273B87C0">
      <w:pPr>
        <w:rPr>
          <w:rFonts w:hint="eastAsia" w:ascii="宋体" w:hAnsi="宋体" w:cs="宋体"/>
          <w:b/>
          <w:color w:val="000000" w:themeColor="text1"/>
          <w:sz w:val="24"/>
          <w:szCs w:val="22"/>
          <w14:textFill>
            <w14:solidFill>
              <w14:schemeClr w14:val="tx1"/>
            </w14:solidFill>
          </w14:textFill>
        </w:rPr>
      </w:pPr>
    </w:p>
    <w:p w14:paraId="58FFF583">
      <w:pPr>
        <w:pStyle w:val="11"/>
        <w:rPr>
          <w:rFonts w:hint="eastAsia" w:ascii="宋体" w:hAnsi="宋体" w:cs="宋体"/>
          <w:b/>
          <w:color w:val="000000" w:themeColor="text1"/>
          <w:sz w:val="24"/>
          <w:szCs w:val="22"/>
          <w14:textFill>
            <w14:solidFill>
              <w14:schemeClr w14:val="tx1"/>
            </w14:solidFill>
          </w14:textFill>
        </w:rPr>
      </w:pPr>
    </w:p>
    <w:p w14:paraId="5DFB517E">
      <w:pPr>
        <w:rPr>
          <w:rFonts w:hint="eastAsia" w:ascii="宋体" w:hAnsi="宋体" w:cs="宋体"/>
          <w:b/>
          <w:color w:val="000000" w:themeColor="text1"/>
          <w:sz w:val="24"/>
          <w:szCs w:val="22"/>
          <w14:textFill>
            <w14:solidFill>
              <w14:schemeClr w14:val="tx1"/>
            </w14:solidFill>
          </w14:textFill>
        </w:rPr>
      </w:pPr>
    </w:p>
    <w:p w14:paraId="35605BC6">
      <w:pPr>
        <w:pStyle w:val="11"/>
        <w:rPr>
          <w:rFonts w:hint="eastAsia" w:ascii="宋体" w:hAnsi="宋体" w:cs="宋体"/>
          <w:b/>
          <w:color w:val="000000" w:themeColor="text1"/>
          <w:sz w:val="24"/>
          <w:szCs w:val="22"/>
          <w14:textFill>
            <w14:solidFill>
              <w14:schemeClr w14:val="tx1"/>
            </w14:solidFill>
          </w14:textFill>
        </w:rPr>
      </w:pPr>
    </w:p>
    <w:p w14:paraId="4A80BAD9">
      <w:pPr>
        <w:rPr>
          <w:rFonts w:hint="eastAsia" w:ascii="宋体" w:hAnsi="宋体" w:cs="宋体"/>
          <w:b/>
          <w:color w:val="000000" w:themeColor="text1"/>
          <w:sz w:val="24"/>
          <w:szCs w:val="22"/>
          <w14:textFill>
            <w14:solidFill>
              <w14:schemeClr w14:val="tx1"/>
            </w14:solidFill>
          </w14:textFill>
        </w:rPr>
      </w:pPr>
    </w:p>
    <w:p w14:paraId="2C34F4BF">
      <w:pPr>
        <w:pStyle w:val="11"/>
        <w:rPr>
          <w:rFonts w:hint="eastAsia" w:ascii="宋体" w:hAnsi="宋体" w:cs="宋体"/>
          <w:b/>
          <w:color w:val="000000" w:themeColor="text1"/>
          <w:sz w:val="24"/>
          <w:szCs w:val="22"/>
          <w14:textFill>
            <w14:solidFill>
              <w14:schemeClr w14:val="tx1"/>
            </w14:solidFill>
          </w14:textFill>
        </w:rPr>
      </w:pPr>
    </w:p>
    <w:p w14:paraId="089CD1A8">
      <w:pPr>
        <w:rPr>
          <w:rFonts w:hint="eastAsia" w:ascii="宋体" w:hAnsi="宋体" w:cs="宋体"/>
          <w:b/>
          <w:color w:val="000000" w:themeColor="text1"/>
          <w:sz w:val="24"/>
          <w:szCs w:val="22"/>
          <w14:textFill>
            <w14:solidFill>
              <w14:schemeClr w14:val="tx1"/>
            </w14:solidFill>
          </w14:textFill>
        </w:rPr>
      </w:pPr>
    </w:p>
    <w:p w14:paraId="42B5FC63">
      <w:pPr>
        <w:pStyle w:val="11"/>
        <w:rPr>
          <w:rFonts w:hint="eastAsia" w:ascii="宋体" w:hAnsi="宋体" w:cs="宋体"/>
          <w:b/>
          <w:color w:val="000000" w:themeColor="text1"/>
          <w:sz w:val="24"/>
          <w:szCs w:val="22"/>
          <w14:textFill>
            <w14:solidFill>
              <w14:schemeClr w14:val="tx1"/>
            </w14:solidFill>
          </w14:textFill>
        </w:rPr>
      </w:pPr>
    </w:p>
    <w:p w14:paraId="72014096">
      <w:pPr>
        <w:rPr>
          <w:rFonts w:hint="eastAsia" w:ascii="宋体" w:hAnsi="宋体" w:cs="宋体"/>
          <w:b/>
          <w:color w:val="000000" w:themeColor="text1"/>
          <w:sz w:val="24"/>
          <w:szCs w:val="22"/>
          <w14:textFill>
            <w14:solidFill>
              <w14:schemeClr w14:val="tx1"/>
            </w14:solidFill>
          </w14:textFill>
        </w:rPr>
      </w:pPr>
    </w:p>
    <w:p w14:paraId="5C919FE1">
      <w:pPr>
        <w:pStyle w:val="11"/>
        <w:rPr>
          <w:rFonts w:hint="eastAsia" w:ascii="宋体" w:hAnsi="宋体" w:cs="宋体"/>
          <w:b/>
          <w:color w:val="000000" w:themeColor="text1"/>
          <w:sz w:val="24"/>
          <w:szCs w:val="22"/>
          <w14:textFill>
            <w14:solidFill>
              <w14:schemeClr w14:val="tx1"/>
            </w14:solidFill>
          </w14:textFill>
        </w:rPr>
      </w:pPr>
    </w:p>
    <w:p w14:paraId="0DFC0D7C">
      <w:pPr>
        <w:rPr>
          <w:rFonts w:hint="eastAsia" w:ascii="宋体" w:hAnsi="宋体" w:cs="宋体"/>
          <w:b/>
          <w:color w:val="000000" w:themeColor="text1"/>
          <w:sz w:val="24"/>
          <w:szCs w:val="22"/>
          <w14:textFill>
            <w14:solidFill>
              <w14:schemeClr w14:val="tx1"/>
            </w14:solidFill>
          </w14:textFill>
        </w:rPr>
      </w:pPr>
    </w:p>
    <w:p w14:paraId="5FD9D8D6">
      <w:pPr>
        <w:pStyle w:val="11"/>
        <w:rPr>
          <w:rFonts w:hint="eastAsia" w:ascii="宋体" w:hAnsi="宋体" w:cs="宋体"/>
          <w:b/>
          <w:color w:val="000000" w:themeColor="text1"/>
          <w:sz w:val="24"/>
          <w:szCs w:val="22"/>
          <w14:textFill>
            <w14:solidFill>
              <w14:schemeClr w14:val="tx1"/>
            </w14:solidFill>
          </w14:textFill>
        </w:rPr>
      </w:pPr>
    </w:p>
    <w:p w14:paraId="55365EB9">
      <w:pPr>
        <w:rPr>
          <w:rFonts w:hint="eastAsia" w:ascii="宋体" w:hAnsi="宋体" w:cs="宋体"/>
          <w:b/>
          <w:color w:val="000000" w:themeColor="text1"/>
          <w:sz w:val="24"/>
          <w:szCs w:val="22"/>
          <w14:textFill>
            <w14:solidFill>
              <w14:schemeClr w14:val="tx1"/>
            </w14:solidFill>
          </w14:textFill>
        </w:rPr>
      </w:pPr>
    </w:p>
    <w:p w14:paraId="78CB7C6D">
      <w:pPr>
        <w:pStyle w:val="11"/>
        <w:rPr>
          <w:rFonts w:hint="eastAsia" w:ascii="宋体" w:hAnsi="宋体" w:cs="宋体"/>
          <w:b/>
          <w:color w:val="000000" w:themeColor="text1"/>
          <w:sz w:val="24"/>
          <w:szCs w:val="22"/>
          <w14:textFill>
            <w14:solidFill>
              <w14:schemeClr w14:val="tx1"/>
            </w14:solidFill>
          </w14:textFill>
        </w:rPr>
      </w:pPr>
    </w:p>
    <w:p w14:paraId="2DF71EE6">
      <w:pPr>
        <w:rPr>
          <w:rFonts w:hint="eastAsia" w:ascii="宋体" w:hAnsi="宋体" w:cs="宋体"/>
          <w:b/>
          <w:color w:val="000000" w:themeColor="text1"/>
          <w:sz w:val="24"/>
          <w:szCs w:val="22"/>
          <w14:textFill>
            <w14:solidFill>
              <w14:schemeClr w14:val="tx1"/>
            </w14:solidFill>
          </w14:textFill>
        </w:rPr>
      </w:pPr>
    </w:p>
    <w:p w14:paraId="32769F3C">
      <w:pPr>
        <w:pStyle w:val="11"/>
        <w:rPr>
          <w:rFonts w:hint="eastAsia" w:ascii="宋体" w:hAnsi="宋体" w:cs="宋体"/>
          <w:b/>
          <w:color w:val="000000" w:themeColor="text1"/>
          <w:sz w:val="24"/>
          <w:szCs w:val="22"/>
          <w14:textFill>
            <w14:solidFill>
              <w14:schemeClr w14:val="tx1"/>
            </w14:solidFill>
          </w14:textFill>
        </w:rPr>
      </w:pPr>
    </w:p>
    <w:p w14:paraId="06D35984">
      <w:pPr>
        <w:rPr>
          <w:rFonts w:hint="eastAsia" w:ascii="宋体" w:hAnsi="宋体" w:cs="宋体"/>
          <w:b/>
          <w:color w:val="000000" w:themeColor="text1"/>
          <w:sz w:val="24"/>
          <w:szCs w:val="22"/>
          <w14:textFill>
            <w14:solidFill>
              <w14:schemeClr w14:val="tx1"/>
            </w14:solidFill>
          </w14:textFill>
        </w:rPr>
      </w:pPr>
    </w:p>
    <w:p w14:paraId="331B6E5C">
      <w:pPr>
        <w:pStyle w:val="11"/>
        <w:rPr>
          <w:rFonts w:hint="eastAsia" w:ascii="宋体" w:hAnsi="宋体" w:cs="宋体"/>
          <w:b/>
          <w:color w:val="000000" w:themeColor="text1"/>
          <w:sz w:val="24"/>
          <w:szCs w:val="22"/>
          <w14:textFill>
            <w14:solidFill>
              <w14:schemeClr w14:val="tx1"/>
            </w14:solidFill>
          </w14:textFill>
        </w:rPr>
      </w:pPr>
    </w:p>
    <w:p w14:paraId="09C1894A">
      <w:pPr>
        <w:rPr>
          <w:rFonts w:hint="eastAsia" w:ascii="宋体" w:hAnsi="宋体" w:cs="宋体"/>
          <w:b/>
          <w:color w:val="000000" w:themeColor="text1"/>
          <w:sz w:val="24"/>
          <w:szCs w:val="22"/>
          <w14:textFill>
            <w14:solidFill>
              <w14:schemeClr w14:val="tx1"/>
            </w14:solidFill>
          </w14:textFill>
        </w:rPr>
      </w:pPr>
    </w:p>
    <w:p w14:paraId="6B0E8FCB">
      <w:pPr>
        <w:pStyle w:val="11"/>
        <w:rPr>
          <w:rFonts w:hint="eastAsia" w:ascii="宋体" w:hAnsi="宋体" w:cs="宋体"/>
          <w:b/>
          <w:color w:val="000000" w:themeColor="text1"/>
          <w:sz w:val="24"/>
          <w:szCs w:val="22"/>
          <w14:textFill>
            <w14:solidFill>
              <w14:schemeClr w14:val="tx1"/>
            </w14:solidFill>
          </w14:textFill>
        </w:rPr>
      </w:pPr>
    </w:p>
    <w:p w14:paraId="55F33641">
      <w:pPr>
        <w:rPr>
          <w:rFonts w:hint="eastAsia" w:ascii="宋体" w:hAnsi="宋体" w:cs="宋体"/>
          <w:b/>
          <w:color w:val="000000" w:themeColor="text1"/>
          <w:sz w:val="24"/>
          <w:szCs w:val="22"/>
          <w14:textFill>
            <w14:solidFill>
              <w14:schemeClr w14:val="tx1"/>
            </w14:solidFill>
          </w14:textFill>
        </w:rPr>
      </w:pPr>
    </w:p>
    <w:p w14:paraId="76588ED4">
      <w:pPr>
        <w:pStyle w:val="11"/>
        <w:rPr>
          <w:rFonts w:hint="eastAsia" w:ascii="宋体" w:hAnsi="宋体" w:cs="宋体"/>
          <w:b/>
          <w:color w:val="000000" w:themeColor="text1"/>
          <w:sz w:val="24"/>
          <w:szCs w:val="22"/>
          <w14:textFill>
            <w14:solidFill>
              <w14:schemeClr w14:val="tx1"/>
            </w14:solidFill>
          </w14:textFill>
        </w:rPr>
      </w:pPr>
    </w:p>
    <w:p w14:paraId="078FDA9D">
      <w:pPr>
        <w:rPr>
          <w:rFonts w:hint="eastAsia" w:ascii="宋体" w:hAnsi="宋体" w:cs="宋体"/>
          <w:b/>
          <w:color w:val="000000" w:themeColor="text1"/>
          <w:sz w:val="24"/>
          <w:szCs w:val="22"/>
          <w14:textFill>
            <w14:solidFill>
              <w14:schemeClr w14:val="tx1"/>
            </w14:solidFill>
          </w14:textFill>
        </w:rPr>
      </w:pPr>
    </w:p>
    <w:p w14:paraId="7F2DB586">
      <w:pPr>
        <w:pStyle w:val="11"/>
        <w:rPr>
          <w:rFonts w:hint="eastAsia" w:ascii="宋体" w:hAnsi="宋体" w:cs="宋体"/>
          <w:b/>
          <w:color w:val="000000" w:themeColor="text1"/>
          <w:sz w:val="24"/>
          <w:szCs w:val="22"/>
          <w14:textFill>
            <w14:solidFill>
              <w14:schemeClr w14:val="tx1"/>
            </w14:solidFill>
          </w14:textFill>
        </w:rPr>
      </w:pPr>
    </w:p>
    <w:p w14:paraId="5C7E66C9">
      <w:pPr>
        <w:rPr>
          <w:rFonts w:hint="eastAsia" w:ascii="宋体" w:hAnsi="宋体" w:cs="宋体"/>
          <w:b/>
          <w:color w:val="000000" w:themeColor="text1"/>
          <w:sz w:val="24"/>
          <w:szCs w:val="22"/>
          <w14:textFill>
            <w14:solidFill>
              <w14:schemeClr w14:val="tx1"/>
            </w14:solidFill>
          </w14:textFill>
        </w:rPr>
      </w:pPr>
    </w:p>
    <w:p w14:paraId="73A02CA8">
      <w:pPr>
        <w:pStyle w:val="11"/>
        <w:rPr>
          <w:rFonts w:hint="eastAsia" w:ascii="宋体" w:hAnsi="宋体" w:cs="宋体"/>
          <w:b/>
          <w:color w:val="000000" w:themeColor="text1"/>
          <w:sz w:val="24"/>
          <w:szCs w:val="22"/>
          <w14:textFill>
            <w14:solidFill>
              <w14:schemeClr w14:val="tx1"/>
            </w14:solidFill>
          </w14:textFill>
        </w:rPr>
      </w:pPr>
    </w:p>
    <w:bookmarkEnd w:id="934"/>
    <w:p w14:paraId="0432779F">
      <w:pPr>
        <w:spacing w:line="360" w:lineRule="auto"/>
        <w:ind w:firstLine="3840" w:firstLineChars="1600"/>
        <w:jc w:val="left"/>
        <w:rPr>
          <w:rFonts w:ascii="宋体" w:hAnsi="宋体" w:cs="宋体"/>
          <w:color w:val="000000" w:themeColor="text1"/>
          <w:sz w:val="24"/>
          <w:szCs w:val="24"/>
          <w14:textFill>
            <w14:solidFill>
              <w14:schemeClr w14:val="tx1"/>
            </w14:solidFill>
          </w14:textFill>
        </w:rPr>
        <w:sectPr>
          <w:footerReference r:id="rId15" w:type="firs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cols w:space="720" w:num="1"/>
          <w:titlePg/>
          <w:docGrid w:linePitch="312" w:charSpace="889"/>
        </w:sectPr>
      </w:pPr>
    </w:p>
    <w:bookmarkEnd w:id="935"/>
    <w:bookmarkEnd w:id="936"/>
    <w:bookmarkEnd w:id="937"/>
    <w:bookmarkEnd w:id="938"/>
    <w:bookmarkEnd w:id="939"/>
    <w:bookmarkEnd w:id="940"/>
    <w:bookmarkEnd w:id="941"/>
    <w:bookmarkEnd w:id="942"/>
    <w:bookmarkEnd w:id="943"/>
    <w:bookmarkEnd w:id="944"/>
    <w:bookmarkEnd w:id="945"/>
    <w:bookmarkEnd w:id="946"/>
    <w:bookmarkEnd w:id="947"/>
    <w:p w14:paraId="49229526">
      <w:pPr>
        <w:outlineLvl w:val="0"/>
        <w:rPr>
          <w:rFonts w:hint="eastAsia" w:ascii="宋体" w:hAnsi="宋体" w:eastAsia="宋体" w:cs="宋体"/>
          <w:b/>
          <w:color w:val="000000" w:themeColor="text1"/>
          <w:sz w:val="24"/>
          <w:lang w:val="en-US" w:eastAsia="zh-CN"/>
          <w14:textFill>
            <w14:solidFill>
              <w14:schemeClr w14:val="tx1"/>
            </w14:solidFill>
          </w14:textFill>
        </w:rPr>
      </w:pPr>
      <w:bookmarkStart w:id="948" w:name="_Toc20822"/>
      <w:bookmarkStart w:id="949" w:name="_Toc25467"/>
      <w:bookmarkStart w:id="950" w:name="_Toc22398"/>
      <w:bookmarkStart w:id="951" w:name="_Toc13756"/>
      <w:bookmarkStart w:id="952" w:name="_Toc12649"/>
      <w:bookmarkStart w:id="953" w:name="_Toc7195"/>
      <w:bookmarkStart w:id="954" w:name="_Toc1972"/>
      <w:r>
        <w:rPr>
          <w:rFonts w:hint="eastAsia" w:ascii="宋体" w:hAnsi="宋体" w:eastAsia="宋体" w:cs="宋体"/>
          <w:b/>
          <w:color w:val="000000" w:themeColor="text1"/>
          <w:sz w:val="24"/>
          <w14:textFill>
            <w14:solidFill>
              <w14:schemeClr w14:val="tx1"/>
            </w14:solidFill>
          </w14:textFill>
        </w:rPr>
        <w:t>附件</w:t>
      </w:r>
      <w:bookmarkEnd w:id="948"/>
      <w:bookmarkEnd w:id="949"/>
      <w:bookmarkEnd w:id="950"/>
      <w:bookmarkEnd w:id="951"/>
      <w:bookmarkEnd w:id="952"/>
      <w:bookmarkEnd w:id="953"/>
      <w:bookmarkEnd w:id="954"/>
      <w:r>
        <w:rPr>
          <w:rFonts w:hint="eastAsia" w:ascii="宋体" w:hAnsi="宋体" w:cs="宋体"/>
          <w:b/>
          <w:color w:val="000000" w:themeColor="text1"/>
          <w:sz w:val="24"/>
          <w:lang w:val="en-US" w:eastAsia="zh-CN"/>
          <w14:textFill>
            <w14:solidFill>
              <w14:schemeClr w14:val="tx1"/>
            </w14:solidFill>
          </w14:textFill>
        </w:rPr>
        <w:t>1</w:t>
      </w:r>
    </w:p>
    <w:p w14:paraId="28EB1345">
      <w:pPr>
        <w:rPr>
          <w:rFonts w:hint="eastAsia"/>
          <w:color w:val="000000" w:themeColor="text1"/>
          <w14:textFill>
            <w14:solidFill>
              <w14:schemeClr w14:val="tx1"/>
            </w14:solidFill>
          </w14:textFill>
        </w:rPr>
      </w:pPr>
    </w:p>
    <w:p w14:paraId="5148EA0B">
      <w:pPr>
        <w:widowControl/>
        <w:jc w:val="left"/>
        <w:rPr>
          <w:rFonts w:hint="eastAsia" w:ascii="宋体" w:hAnsi="宋体" w:cs="宋体"/>
          <w:color w:val="000000" w:themeColor="text1"/>
          <w:sz w:val="24"/>
          <w14:textFill>
            <w14:solidFill>
              <w14:schemeClr w14:val="tx1"/>
            </w14:solidFill>
          </w14:textFill>
        </w:rPr>
      </w:pPr>
    </w:p>
    <w:p w14:paraId="3971100C">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中小企业声明函（货物）</w:t>
      </w:r>
    </w:p>
    <w:p w14:paraId="26FB8C40">
      <w:pPr>
        <w:pStyle w:val="11"/>
        <w:keepNext w:val="0"/>
        <w:keepLines w:val="0"/>
        <w:pageBreakBefore w:val="0"/>
        <w:widowControl w:val="0"/>
        <w:tabs>
          <w:tab w:val="left" w:pos="9120"/>
        </w:tabs>
        <w:kinsoku/>
        <w:wordWrap/>
        <w:overflowPunct/>
        <w:topLinePunct w:val="0"/>
        <w:autoSpaceDE/>
        <w:autoSpaceDN/>
        <w:bidi w:val="0"/>
        <w:adjustRightInd/>
        <w:snapToGrid/>
        <w:spacing w:before="55" w:after="0" w:line="480" w:lineRule="auto"/>
        <w:ind w:firstLine="64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（联合体）</w:t>
      </w:r>
      <w:r>
        <w:rPr>
          <w:rFonts w:hint="eastAsia" w:ascii="宋体" w:hAnsi="宋体" w:eastAsia="宋体" w:cs="宋体"/>
          <w:color w:val="000000" w:themeColor="text1"/>
          <w:kern w:val="2"/>
          <w:sz w:val="24"/>
          <w:szCs w:val="24"/>
          <w:lang w:val="en-US" w:eastAsia="zh-CN" w:bidi="ar-SA"/>
          <w14:textFill>
            <w14:solidFill>
              <w14:schemeClr w14:val="tx1"/>
            </w14:solidFill>
          </w14:textFill>
        </w:rPr>
        <w:t>参加</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（单位名称）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的</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（项目名称）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3DA8CAE0">
      <w:pPr>
        <w:pStyle w:val="11"/>
        <w:keepNext w:val="0"/>
        <w:keepLines w:val="0"/>
        <w:pageBreakBefore w:val="0"/>
        <w:widowControl w:val="0"/>
        <w:numPr>
          <w:ilvl w:val="0"/>
          <w:numId w:val="3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1DD25B63">
      <w:pPr>
        <w:pStyle w:val="11"/>
        <w:keepNext w:val="0"/>
        <w:keepLines w:val="0"/>
        <w:pageBreakBefore w:val="0"/>
        <w:widowControl w:val="0"/>
        <w:numPr>
          <w:ilvl w:val="0"/>
          <w:numId w:val="3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7EE3A061">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229923CF">
      <w:pPr>
        <w:pStyle w:val="11"/>
        <w:keepNext w:val="0"/>
        <w:keepLines w:val="0"/>
        <w:pageBreakBefore w:val="0"/>
        <w:widowControl w:val="0"/>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5781C9E7">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本企业对上述声明内容的真实性负责。如有虚假，将依法承担相应责任。</w:t>
      </w:r>
    </w:p>
    <w:p w14:paraId="4C2ACE66">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企业名称（盖章）：</w:t>
      </w:r>
    </w:p>
    <w:p w14:paraId="1B441C9C">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日期：</w:t>
      </w:r>
    </w:p>
    <w:p w14:paraId="5009D27B">
      <w:pPr>
        <w:pStyle w:val="1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备注：1、中小企业参加政府采购活动，应当按照《政府采购促进中小企业发展管理办法》（财库〔2020〕46号）规定和《中小企业划型标准规定》（工信部联企业〔2011〕300号），如实填写并提交本《中小企业声明函》。</w:t>
      </w:r>
    </w:p>
    <w:p w14:paraId="1B3F1987">
      <w:pPr>
        <w:ind w:firstLine="480" w:firstLineChars="200"/>
        <w:outlineLvl w:val="0"/>
        <w:rPr>
          <w:rFonts w:hint="eastAsia" w:ascii="宋体" w:hAnsi="宋体" w:eastAsia="宋体" w:cs="宋体"/>
          <w:b/>
          <w:color w:val="000000" w:themeColor="text1"/>
          <w:sz w:val="24"/>
          <w14:textFill>
            <w14:solidFill>
              <w14:schemeClr w14:val="tx1"/>
            </w14:solidFill>
          </w14:textFill>
        </w:rPr>
        <w:sectPr>
          <w:headerReference r:id="rId16" w:type="default"/>
          <w:footerReference r:id="rId17"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2、从业人员、营业收入、资产总额填报上一年度数据，无上一年度数据的新成立企业可不填报。</w:t>
      </w:r>
    </w:p>
    <w:p w14:paraId="55D9A4BF">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59439EDE">
      <w:pPr>
        <w:pStyle w:val="113"/>
        <w:rPr>
          <w:rFonts w:hint="eastAsia"/>
        </w:rPr>
      </w:pPr>
    </w:p>
    <w:p w14:paraId="3A559E5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20" w:beforeAutospacing="0" w:after="20" w:afterAutospacing="0" w:line="360" w:lineRule="auto"/>
        <w:ind w:left="0" w:right="0" w:firstLine="2409" w:firstLineChars="800"/>
        <w:jc w:val="both"/>
        <w:textAlignment w:val="baseline"/>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pPr>
      <w:bookmarkStart w:id="955" w:name="_Toc13422"/>
      <w:bookmarkStart w:id="956" w:name="_Toc3759"/>
      <w:bookmarkStart w:id="957" w:name="_Toc12082"/>
      <w:bookmarkStart w:id="958" w:name="_Toc31861"/>
      <w:bookmarkStart w:id="959" w:name="_Toc7007"/>
      <w:bookmarkStart w:id="960" w:name="_Toc2637"/>
      <w:bookmarkStart w:id="961" w:name="_Toc1373"/>
      <w:bookmarkStart w:id="962" w:name="_Toc150_WPSOffice_Level1"/>
      <w:bookmarkStart w:id="963" w:name="_Toc19469"/>
      <w:r>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t>关于符合本国产品标准的声明函</w:t>
      </w:r>
    </w:p>
    <w:p w14:paraId="119EA792">
      <w:pPr>
        <w:pStyle w:val="113"/>
        <w:rPr>
          <w:rFonts w:hint="eastAsia"/>
          <w:lang w:val="zh-CN"/>
        </w:rPr>
      </w:pPr>
    </w:p>
    <w:p w14:paraId="40123B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267BE5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①，生产厂为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②，厂址为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③</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④</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⑤</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2F369E1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7249746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w:t>
      </w:r>
    </w:p>
    <w:p w14:paraId="274E5E6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 xml:space="preserve">本公司（单位）承诺，所提供的符合本国产品标准的产品成本之和占本公司（单位）提供的全部产品成本之和的比例达到80%以上，并对上述声明和承诺内容的真实性负责。如有虚假，愿承担相应法律责任。 </w:t>
      </w:r>
    </w:p>
    <w:p w14:paraId="4C6ABB1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w:t>
      </w:r>
    </w:p>
    <w:p w14:paraId="5BADF88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6F1393B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日期：  年　  月　  日         </w:t>
      </w:r>
    </w:p>
    <w:p w14:paraId="4F39487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both"/>
        <w:textAlignment w:val="baseline"/>
        <w:rPr>
          <w:rFonts w:hint="default"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shd w:val="clear" w:color="auto" w:fill="FFFFFF"/>
          <w:vertAlign w:val="baseline"/>
          <w:lang w:val="en-US" w:eastAsia="zh-CN"/>
        </w:rPr>
        <w:t>填写说明：</w:t>
      </w:r>
    </w:p>
    <w:p w14:paraId="6978AB0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①产品如有型号，请在“产品名称”栏一并填写。</w:t>
      </w:r>
    </w:p>
    <w:p w14:paraId="02D311E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②生产厂名与厂址应与生产厂营业执照载明的相关信息保持一致。</w:t>
      </w:r>
    </w:p>
    <w:p w14:paraId="298DFC9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③该产品的中国境内生产的组件成本占比相关要求实施前，“规定比例”栏可不填，下同。</w:t>
      </w:r>
    </w:p>
    <w:p w14:paraId="5FE709D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④该产品的关键组件要求实施前，“关键组件”栏可不填，下同。</w:t>
      </w:r>
    </w:p>
    <w:p w14:paraId="5D0F270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⑤该产品的关键工序要求实施前，“关键工序”栏可不填，下同。</w:t>
      </w:r>
    </w:p>
    <w:p w14:paraId="271C2516">
      <w:pPr>
        <w:keepNext w:val="0"/>
        <w:keepLines w:val="0"/>
        <w:pageBreakBefore w:val="0"/>
        <w:shd w:val="clear"/>
        <w:kinsoku/>
        <w:wordWrap/>
        <w:overflowPunct/>
        <w:topLinePunct w:val="0"/>
        <w:autoSpaceDE/>
        <w:autoSpaceDN/>
        <w:bidi w:val="0"/>
        <w:snapToGrid/>
        <w:spacing w:line="360" w:lineRule="auto"/>
        <w:ind w:firstLine="482" w:firstLineChars="200"/>
        <w:outlineLvl w:val="0"/>
        <w:rPr>
          <w:rFonts w:hint="eastAsia" w:ascii="宋体" w:hAnsi="宋体" w:eastAsia="宋体" w:cs="宋体"/>
          <w:b/>
          <w:color w:val="000000" w:themeColor="text1"/>
          <w:sz w:val="24"/>
          <w14:textFill>
            <w14:solidFill>
              <w14:schemeClr w14:val="tx1"/>
            </w14:solidFill>
          </w14:textFill>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b/>
          <w:bCs/>
          <w:i w:val="0"/>
          <w:iCs w:val="0"/>
          <w:caps w:val="0"/>
          <w:color w:val="auto"/>
          <w:spacing w:val="0"/>
          <w:sz w:val="24"/>
          <w:szCs w:val="24"/>
          <w:shd w:val="clear" w:color="auto" w:fill="FFFFFF"/>
          <w:vertAlign w:val="baseline"/>
        </w:rPr>
        <w:t>注：</w:t>
      </w:r>
      <w:r>
        <w:rPr>
          <w:rFonts w:hint="eastAsia" w:ascii="宋体" w:hAnsi="宋体" w:eastAsia="宋体" w:cs="宋体"/>
          <w:b/>
          <w:bCs/>
          <w:i w:val="0"/>
          <w:iCs w:val="0"/>
          <w:caps w:val="0"/>
          <w:color w:val="auto"/>
          <w:spacing w:val="0"/>
          <w:sz w:val="24"/>
          <w:szCs w:val="24"/>
          <w:shd w:val="clear" w:color="auto" w:fill="FFFFFF"/>
          <w:vertAlign w:val="baseline"/>
          <w:lang w:val="en-US" w:eastAsia="zh-CN"/>
        </w:rPr>
        <w:t>1.</w:t>
      </w:r>
      <w:r>
        <w:rPr>
          <w:rFonts w:hint="eastAsia" w:ascii="宋体" w:hAnsi="宋体" w:eastAsia="宋体" w:cs="宋体"/>
          <w:b/>
          <w:bCs/>
          <w:i w:val="0"/>
          <w:iCs w:val="0"/>
          <w:caps w:val="0"/>
          <w:color w:val="auto"/>
          <w:spacing w:val="0"/>
          <w:sz w:val="24"/>
          <w:szCs w:val="24"/>
          <w:shd w:val="clear" w:color="auto" w:fill="FFFFFF"/>
          <w:vertAlign w:val="baseline"/>
        </w:rPr>
        <w:t>在财政部、工业和信息化部制定出台在中国境内生产的组件成本占比要求，以及特定产品的关键组件、关键工序要求之前，目前，在中国境内生产的产品即视为符合本国产品标准，享受政府采购本国产品支持政策。</w:t>
      </w:r>
    </w:p>
    <w:p w14:paraId="1AFFB0E2">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bookmarkEnd w:id="955"/>
      <w:bookmarkEnd w:id="956"/>
      <w:bookmarkEnd w:id="957"/>
      <w:bookmarkEnd w:id="958"/>
      <w:bookmarkEnd w:id="959"/>
      <w:bookmarkEnd w:id="960"/>
      <w:bookmarkEnd w:id="961"/>
      <w:r>
        <w:rPr>
          <w:rFonts w:hint="eastAsia" w:ascii="宋体" w:hAnsi="宋体" w:cs="宋体"/>
          <w:b/>
          <w:color w:val="000000" w:themeColor="text1"/>
          <w:sz w:val="24"/>
          <w:lang w:val="en-US" w:eastAsia="zh-CN"/>
          <w14:textFill>
            <w14:solidFill>
              <w14:schemeClr w14:val="tx1"/>
            </w14:solidFill>
          </w14:textFill>
        </w:rPr>
        <w:t>3</w:t>
      </w:r>
    </w:p>
    <w:p w14:paraId="791CA4A2">
      <w:pPr>
        <w:widowControl/>
        <w:shd w:val="clear" w:color="auto" w:fill="auto"/>
        <w:spacing w:before="120" w:beforeLines="50" w:after="120" w:afterLines="50" w:line="360" w:lineRule="auto"/>
        <w:jc w:val="center"/>
        <w:textAlignment w:val="baseline"/>
        <w:rPr>
          <w:rFonts w:hint="eastAsia" w:ascii="宋体" w:hAnsi="宋体"/>
          <w:b/>
          <w:color w:val="000000" w:themeColor="text1"/>
          <w:kern w:val="0"/>
          <w:sz w:val="28"/>
          <w:szCs w:val="28"/>
          <w14:textFill>
            <w14:solidFill>
              <w14:schemeClr w14:val="tx1"/>
            </w14:solidFill>
          </w14:textFill>
        </w:rPr>
      </w:pPr>
    </w:p>
    <w:p w14:paraId="066D2A16">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64" w:name="_Toc17548"/>
      <w:bookmarkStart w:id="965" w:name="_Toc31626"/>
      <w:bookmarkStart w:id="966" w:name="_Toc24984"/>
      <w:bookmarkStart w:id="967" w:name="_Toc18601"/>
      <w:bookmarkStart w:id="968" w:name="_Toc25831"/>
      <w:bookmarkStart w:id="969" w:name="_Toc1051"/>
      <w:bookmarkStart w:id="970" w:name="_Toc29410"/>
      <w:r>
        <w:rPr>
          <w:rFonts w:hint="eastAsia" w:ascii="宋体" w:hAnsi="宋体"/>
          <w:b/>
          <w:color w:val="000000" w:themeColor="text1"/>
          <w:kern w:val="0"/>
          <w:sz w:val="28"/>
          <w:szCs w:val="28"/>
          <w14:textFill>
            <w14:solidFill>
              <w14:schemeClr w14:val="tx1"/>
            </w14:solidFill>
          </w14:textFill>
        </w:rPr>
        <w:t>残疾人福利性单位声明函（是/否）</w:t>
      </w:r>
      <w:bookmarkEnd w:id="962"/>
      <w:bookmarkEnd w:id="963"/>
      <w:bookmarkEnd w:id="964"/>
      <w:bookmarkEnd w:id="965"/>
      <w:bookmarkEnd w:id="966"/>
      <w:bookmarkEnd w:id="967"/>
      <w:bookmarkEnd w:id="968"/>
      <w:bookmarkEnd w:id="969"/>
      <w:bookmarkEnd w:id="970"/>
    </w:p>
    <w:p w14:paraId="689ECAEF">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1C729CF0">
      <w:pPr>
        <w:widowControl/>
        <w:shd w:val="clear" w:color="auto" w:fill="auto"/>
        <w:spacing w:before="120" w:beforeLines="50" w:after="240" w:line="360" w:lineRule="auto"/>
        <w:jc w:val="left"/>
        <w:textAlignment w:val="baseline"/>
        <w:rPr>
          <w:rFonts w:hint="eastAsia" w:ascii="宋体" w:hAnsi="宋体"/>
          <w:b/>
          <w:color w:val="000000" w:themeColor="text1"/>
          <w:kern w:val="0"/>
          <w:sz w:val="36"/>
          <w:szCs w:val="36"/>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22FAC6E1">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（采购人）的</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项目采购活动提供本公司制造的货物（由本单位承担工程/提供服务），或者提供其他残疾人福利性单位制造的货物（不包括使用非残疾人福利性单位注册商标的货物）。</w:t>
      </w:r>
    </w:p>
    <w:p w14:paraId="1F4272EF">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574A0FC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4EDC0E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1F80719">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364949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27E0A304">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76EBB5EB">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负责人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1DA3805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3EEA2186">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p w14:paraId="0561C668">
      <w:pPr>
        <w:shd w:val="clear" w:color="auto" w:fill="auto"/>
        <w:rPr>
          <w:rFonts w:hint="eastAsia"/>
          <w:color w:val="000000" w:themeColor="text1"/>
          <w14:textFill>
            <w14:solidFill>
              <w14:schemeClr w14:val="tx1"/>
            </w14:solidFill>
          </w14:textFill>
        </w:rPr>
      </w:pPr>
    </w:p>
    <w:p w14:paraId="3ACFE1C7">
      <w:pPr>
        <w:shd w:val="clear" w:color="auto" w:fill="auto"/>
        <w:rPr>
          <w:rFonts w:hint="eastAsia"/>
          <w:color w:val="000000" w:themeColor="text1"/>
          <w14:textFill>
            <w14:solidFill>
              <w14:schemeClr w14:val="tx1"/>
            </w14:solidFill>
          </w14:textFill>
        </w:rPr>
      </w:pPr>
    </w:p>
    <w:p w14:paraId="5176C8A7">
      <w:pPr>
        <w:shd w:val="clear" w:color="auto" w:fill="auto"/>
        <w:rPr>
          <w:rFonts w:hint="eastAsia"/>
          <w:color w:val="000000" w:themeColor="text1"/>
          <w14:textFill>
            <w14:solidFill>
              <w14:schemeClr w14:val="tx1"/>
            </w14:solidFill>
          </w14:textFill>
        </w:rPr>
      </w:pPr>
    </w:p>
    <w:p w14:paraId="73E05BB4">
      <w:pPr>
        <w:shd w:val="clear" w:color="auto" w:fill="auto"/>
        <w:rPr>
          <w:rFonts w:hint="eastAsia"/>
          <w:color w:val="000000" w:themeColor="text1"/>
          <w14:textFill>
            <w14:solidFill>
              <w14:schemeClr w14:val="tx1"/>
            </w14:solidFill>
          </w14:textFill>
        </w:rPr>
      </w:pPr>
    </w:p>
    <w:p w14:paraId="5E51A5AE">
      <w:pPr>
        <w:shd w:val="clear" w:color="auto" w:fill="auto"/>
        <w:rPr>
          <w:rFonts w:hint="eastAsia"/>
          <w:color w:val="000000" w:themeColor="text1"/>
          <w14:textFill>
            <w14:solidFill>
              <w14:schemeClr w14:val="tx1"/>
            </w14:solidFill>
          </w14:textFill>
        </w:rPr>
      </w:pPr>
    </w:p>
    <w:p w14:paraId="18DEE795">
      <w:pPr>
        <w:shd w:val="clear" w:color="auto" w:fill="auto"/>
        <w:rPr>
          <w:rFonts w:hint="eastAsia"/>
          <w:color w:val="000000" w:themeColor="text1"/>
          <w14:textFill>
            <w14:solidFill>
              <w14:schemeClr w14:val="tx1"/>
            </w14:solidFill>
          </w14:textFill>
        </w:rPr>
      </w:pPr>
    </w:p>
    <w:p w14:paraId="2A1BBAF7">
      <w:pPr>
        <w:shd w:val="clear" w:color="auto" w:fill="auto"/>
        <w:rPr>
          <w:rFonts w:hint="eastAsia"/>
          <w:color w:val="000000" w:themeColor="text1"/>
          <w14:textFill>
            <w14:solidFill>
              <w14:schemeClr w14:val="tx1"/>
            </w14:solidFill>
          </w14:textFill>
        </w:rPr>
      </w:pPr>
    </w:p>
    <w:p w14:paraId="6FCC7926">
      <w:pPr>
        <w:pStyle w:val="13"/>
        <w:shd w:val="clear" w:color="auto" w:fill="auto"/>
        <w:ind w:left="1470" w:right="1470"/>
        <w:rPr>
          <w:rFonts w:hint="eastAsia"/>
          <w:color w:val="000000" w:themeColor="text1"/>
          <w14:textFill>
            <w14:solidFill>
              <w14:schemeClr w14:val="tx1"/>
            </w14:solidFill>
          </w14:textFill>
        </w:rPr>
      </w:pPr>
    </w:p>
    <w:p w14:paraId="77BFC347">
      <w:pPr>
        <w:pStyle w:val="13"/>
        <w:shd w:val="clear" w:color="auto" w:fill="auto"/>
        <w:ind w:left="1470" w:right="1470"/>
        <w:rPr>
          <w:rFonts w:hint="eastAsia"/>
          <w:color w:val="000000" w:themeColor="text1"/>
          <w14:textFill>
            <w14:solidFill>
              <w14:schemeClr w14:val="tx1"/>
            </w14:solidFill>
          </w14:textFill>
        </w:rPr>
      </w:pPr>
    </w:p>
    <w:p w14:paraId="224C4DE5">
      <w:pPr>
        <w:pStyle w:val="13"/>
        <w:shd w:val="clear" w:color="auto" w:fill="auto"/>
        <w:ind w:left="1470" w:right="1470"/>
        <w:rPr>
          <w:rFonts w:hint="eastAsia"/>
          <w:color w:val="000000" w:themeColor="text1"/>
          <w14:textFill>
            <w14:solidFill>
              <w14:schemeClr w14:val="tx1"/>
            </w14:solidFill>
          </w14:textFill>
        </w:rPr>
      </w:pPr>
    </w:p>
    <w:p w14:paraId="34B8AC6F">
      <w:pPr>
        <w:pStyle w:val="13"/>
        <w:shd w:val="clear" w:color="auto" w:fill="auto"/>
        <w:ind w:left="1470" w:right="1470"/>
        <w:rPr>
          <w:rFonts w:hint="eastAsia"/>
          <w:color w:val="000000" w:themeColor="text1"/>
          <w14:textFill>
            <w14:solidFill>
              <w14:schemeClr w14:val="tx1"/>
            </w14:solidFill>
          </w14:textFill>
        </w:rPr>
      </w:pPr>
    </w:p>
    <w:p w14:paraId="2999FDC4">
      <w:pPr>
        <w:pStyle w:val="13"/>
        <w:shd w:val="clear" w:color="auto" w:fill="auto"/>
        <w:ind w:left="1470" w:right="1470"/>
        <w:rPr>
          <w:rFonts w:hint="eastAsia"/>
          <w:color w:val="000000" w:themeColor="text1"/>
          <w14:textFill>
            <w14:solidFill>
              <w14:schemeClr w14:val="tx1"/>
            </w14:solidFill>
          </w14:textFill>
        </w:rPr>
      </w:pPr>
    </w:p>
    <w:p w14:paraId="101F639E">
      <w:pPr>
        <w:pStyle w:val="13"/>
        <w:shd w:val="clear" w:color="auto" w:fill="auto"/>
        <w:ind w:left="1470" w:right="1470"/>
        <w:rPr>
          <w:rFonts w:hint="eastAsia"/>
          <w:color w:val="000000" w:themeColor="text1"/>
          <w14:textFill>
            <w14:solidFill>
              <w14:schemeClr w14:val="tx1"/>
            </w14:solidFill>
          </w14:textFill>
        </w:rPr>
      </w:pPr>
    </w:p>
    <w:p w14:paraId="30190009">
      <w:pPr>
        <w:pStyle w:val="13"/>
        <w:shd w:val="clear" w:color="auto" w:fill="auto"/>
        <w:ind w:left="1470" w:right="1470"/>
        <w:rPr>
          <w:rFonts w:hint="eastAsia"/>
          <w:color w:val="000000" w:themeColor="text1"/>
          <w14:textFill>
            <w14:solidFill>
              <w14:schemeClr w14:val="tx1"/>
            </w14:solidFill>
          </w14:textFill>
        </w:rPr>
      </w:pPr>
    </w:p>
    <w:p w14:paraId="06572088">
      <w:pPr>
        <w:shd w:val="clear" w:color="auto" w:fill="auto"/>
        <w:outlineLvl w:val="0"/>
        <w:rPr>
          <w:rFonts w:hint="default" w:ascii="宋体" w:hAnsi="宋体" w:eastAsia="宋体" w:cs="宋体"/>
          <w:b/>
          <w:color w:val="000000" w:themeColor="text1"/>
          <w:sz w:val="24"/>
          <w:lang w:val="en-US" w:eastAsia="zh-CN"/>
          <w14:textFill>
            <w14:solidFill>
              <w14:schemeClr w14:val="tx1"/>
            </w14:solidFill>
          </w14:textFill>
        </w:rPr>
      </w:pPr>
      <w:bookmarkStart w:id="971" w:name="_Toc12335"/>
      <w:bookmarkStart w:id="972" w:name="_Toc9395"/>
      <w:bookmarkStart w:id="973" w:name="_Toc5476"/>
      <w:bookmarkStart w:id="974" w:name="_Toc8199"/>
      <w:bookmarkStart w:id="975" w:name="_Toc15339"/>
      <w:bookmarkStart w:id="976" w:name="_Toc32027"/>
      <w:bookmarkStart w:id="977" w:name="_Toc4164"/>
      <w:r>
        <w:rPr>
          <w:rFonts w:hint="eastAsia" w:ascii="宋体" w:hAnsi="宋体" w:eastAsia="宋体" w:cs="宋体"/>
          <w:b/>
          <w:color w:val="000000" w:themeColor="text1"/>
          <w:sz w:val="24"/>
          <w14:textFill>
            <w14:solidFill>
              <w14:schemeClr w14:val="tx1"/>
            </w14:solidFill>
          </w14:textFill>
        </w:rPr>
        <w:t>附件</w:t>
      </w:r>
      <w:bookmarkEnd w:id="971"/>
      <w:bookmarkEnd w:id="972"/>
      <w:bookmarkEnd w:id="973"/>
      <w:bookmarkEnd w:id="974"/>
      <w:bookmarkEnd w:id="975"/>
      <w:bookmarkEnd w:id="976"/>
      <w:bookmarkEnd w:id="977"/>
      <w:r>
        <w:rPr>
          <w:rFonts w:hint="eastAsia" w:ascii="宋体" w:hAnsi="宋体" w:cs="宋体"/>
          <w:b/>
          <w:color w:val="000000" w:themeColor="text1"/>
          <w:sz w:val="24"/>
          <w:lang w:val="en-US" w:eastAsia="zh-CN"/>
          <w14:textFill>
            <w14:solidFill>
              <w14:schemeClr w14:val="tx1"/>
            </w14:solidFill>
          </w14:textFill>
        </w:rPr>
        <w:t>4</w:t>
      </w:r>
    </w:p>
    <w:p w14:paraId="7C141D74">
      <w:pPr>
        <w:shd w:val="clear" w:color="auto" w:fill="auto"/>
        <w:rPr>
          <w:rFonts w:hint="eastAsia"/>
          <w:color w:val="000000" w:themeColor="text1"/>
          <w14:textFill>
            <w14:solidFill>
              <w14:schemeClr w14:val="tx1"/>
            </w14:solidFill>
          </w14:textFill>
        </w:rPr>
      </w:pPr>
    </w:p>
    <w:p w14:paraId="5492705E">
      <w:pPr>
        <w:shd w:val="clear" w:color="auto" w:fill="auto"/>
        <w:rPr>
          <w:rFonts w:hint="eastAsia"/>
          <w:color w:val="000000" w:themeColor="text1"/>
          <w14:textFill>
            <w14:solidFill>
              <w14:schemeClr w14:val="tx1"/>
            </w14:solidFill>
          </w14:textFill>
        </w:rPr>
      </w:pPr>
    </w:p>
    <w:p w14:paraId="2786EEC4">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78" w:name="_Toc31454"/>
      <w:bookmarkStart w:id="979" w:name="_Toc21585"/>
      <w:bookmarkStart w:id="980" w:name="_Toc27341"/>
      <w:bookmarkStart w:id="981" w:name="_Toc10298"/>
      <w:bookmarkStart w:id="982" w:name="_Toc27208_WPSOffice_Level1"/>
      <w:bookmarkStart w:id="983" w:name="_Toc4712"/>
      <w:bookmarkStart w:id="984" w:name="_Toc5318"/>
      <w:bookmarkStart w:id="985" w:name="_Toc14109"/>
      <w:bookmarkStart w:id="986" w:name="_Toc3262"/>
      <w:r>
        <w:rPr>
          <w:rFonts w:hint="eastAsia" w:ascii="宋体" w:hAnsi="宋体"/>
          <w:b/>
          <w:color w:val="000000" w:themeColor="text1"/>
          <w:kern w:val="0"/>
          <w:sz w:val="28"/>
          <w:szCs w:val="28"/>
          <w14:textFill>
            <w14:solidFill>
              <w14:schemeClr w14:val="tx1"/>
            </w14:solidFill>
          </w14:textFill>
        </w:rPr>
        <w:t>监狱企业证明函（是/否）</w:t>
      </w:r>
      <w:bookmarkEnd w:id="978"/>
      <w:bookmarkEnd w:id="979"/>
      <w:bookmarkEnd w:id="980"/>
      <w:bookmarkEnd w:id="981"/>
      <w:bookmarkEnd w:id="982"/>
      <w:bookmarkEnd w:id="983"/>
      <w:bookmarkEnd w:id="984"/>
      <w:bookmarkEnd w:id="985"/>
      <w:bookmarkEnd w:id="986"/>
    </w:p>
    <w:p w14:paraId="22AEF579">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7234A053">
      <w:pPr>
        <w:widowControl/>
        <w:shd w:val="clear" w:color="auto" w:fill="auto"/>
        <w:spacing w:before="120" w:beforeLines="50" w:after="240" w:line="360" w:lineRule="auto"/>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15F118A6">
      <w:pPr>
        <w:keepNext w:val="0"/>
        <w:keepLines w:val="0"/>
        <w:pageBreakBefore w:val="0"/>
        <w:widowControl/>
        <w:shd w:val="clear" w:color="auto" w:fill="auto"/>
        <w:kinsoku/>
        <w:wordWrap/>
        <w:overflowPunct/>
        <w:topLinePunct w:val="0"/>
        <w:autoSpaceDE/>
        <w:autoSpaceDN/>
        <w:bidi w:val="0"/>
        <w:adjustRightInd/>
        <w:snapToGrid/>
        <w:spacing w:after="240" w:line="360" w:lineRule="auto"/>
        <w:ind w:firstLine="480" w:firstLineChars="20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AE2506">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监狱企业参加政府采购活动时，应当提供由省级以上监狱管理局、戒毒管理局（含新疆生产建设兵团）出具的属于监狱企业的证明文件。</w:t>
      </w:r>
    </w:p>
    <w:p w14:paraId="25D6ED65">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p>
    <w:p w14:paraId="18BB4727">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1C6D430D">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587C63D9">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9A4BD65">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5F62B5E2">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57C56F3B">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6B74E9B0">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负责人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66B60D33">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709634EE">
      <w:pPr>
        <w:pStyle w:val="33"/>
        <w:ind w:firstLine="720" w:firstLineChars="300"/>
        <w:rPr>
          <w:rFonts w:hint="eastAsia"/>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 w:name="华文中宋">
    <w:altName w:val="宋体"/>
    <w:panose1 w:val="02010600040101010101"/>
    <w:charset w:val="86"/>
    <w:family w:val="auto"/>
    <w:pitch w:val="default"/>
    <w:sig w:usb0="00000000" w:usb1="00000000" w:usb2="00000000" w:usb3="00000000" w:csb0="0004009F" w:csb1="DFD70000"/>
  </w:font>
  <w:font w:name="Abadi MT Condensed Light">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思源宋体 CN Light">
    <w:altName w:val="宋体"/>
    <w:panose1 w:val="00000000000000000000"/>
    <w:charset w:val="86"/>
    <w:family w:val="roman"/>
    <w:pitch w:val="default"/>
    <w:sig w:usb0="00000000" w:usb1="00000000" w:usb2="00000016" w:usb3="00000000" w:csb0="00060107"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MS PGothic">
    <w:panose1 w:val="020B0600070205080204"/>
    <w:charset w:val="80"/>
    <w:family w:val="auto"/>
    <w:pitch w:val="default"/>
    <w:sig w:usb0="E00002FF" w:usb1="6AC7FDFB" w:usb2="08000012" w:usb3="00000000" w:csb0="4002009F" w:csb1="DFD70000"/>
  </w:font>
  <w:font w:name="KSOF2BE21744">
    <w:panose1 w:val="02020500000000000000"/>
    <w:charset w:val="88"/>
    <w:family w:val="auto"/>
    <w:pitch w:val="default"/>
    <w:sig w:usb0="00000001" w:usb1="00000000" w:usb2="00000000" w:usb3="00000000" w:csb0="001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B5A6E">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zNLmJ3gEAAL8DAAAOAAAAAAAA&#10;AAEAIAAAAB4BAABkcnMvZTJvRG9jLnhtbFBLBQYAAAAABgAGAFkBAABuBQAAAAA=&#10;">
              <v:fill on="f" focussize="0,0"/>
              <v:stroke on="f"/>
              <v:imagedata o:title=""/>
              <o:lock v:ext="edit" aspectratio="f"/>
              <v:textbox inset="0mm,0mm,0mm,0mm" style="mso-fit-shape-to-text:t;">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9EA30">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fill on="f" focussize="0,0"/>
              <v:stroke on="f"/>
              <v:imagedata o:title=""/>
              <o:lock v:ext="edit" aspectratio="f"/>
              <v:textbox inset="0mm,0mm,0mm,0mm" style="mso-fit-shape-to-text:t;">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D558D">
    <w:pPr>
      <w:pStyle w:val="20"/>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ueGxxN8BAAC/AwAADgAAAAAA&#10;AAABACAAAAAeAQAAZHJzL2Uyb0RvYy54bWxQSwUGAAAAAAYABgBZAQAAbwUAAAAA&#10;">
              <v:fill on="f" focussize="0,0"/>
              <v:stroke on="f"/>
              <v:imagedata o:title=""/>
              <o:lock v:ext="edit" aspectratio="f"/>
              <v:textbox inset="0mm,0mm,0mm,0mm" style="mso-fit-shape-to-text:t;">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677E">
    <w:pPr>
      <w:pStyle w:val="20"/>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5WwLd8BAAC/AwAADgAAAAAA&#10;AAABACAAAAAeAQAAZHJzL2Uyb0RvYy54bWxQSwUGAAAAAAYABgBZAQAAbwUAAAAA&#10;">
              <v:fill on="f" focussize="0,0"/>
              <v:stroke on="f"/>
              <v:imagedata o:title=""/>
              <o:lock v:ext="edit" aspectratio="f"/>
              <v:textbox inset="0mm,0mm,0mm,0mm" style="mso-fit-shape-to-text:t;">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E392">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LH8OR3gEAAL8DAAAOAAAAAAAA&#10;AAEAIAAAAB4BAABkcnMvZTJvRG9jLnhtbFBLBQYAAAAABgAGAFkBAABuBQAAAAA=&#10;">
              <v:fill on="f" focussize="0,0"/>
              <v:stroke on="f"/>
              <v:imagedata o:title=""/>
              <o:lock v:ext="edit" aspectratio="f"/>
              <v:textbox inset="0mm,0mm,0mm,0mm" style="mso-fit-shape-to-text:t;">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6A661">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z5g43gEAAL8DAAAOAAAAAAAA&#10;AAEAIAAAAB4BAABkcnMvZTJvRG9jLnhtbFBLBQYAAAAABgAGAFkBAABuBQAAAAA=&#10;">
              <v:fill on="f" focussize="0,0"/>
              <v:stroke on="f"/>
              <v:imagedata o:title=""/>
              <o:lock v:ext="edit" aspectratio="f"/>
              <v:textbox inset="0mm,0mm,0mm,0mm" style="mso-fit-shape-to-text:t;">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48D1B">
    <w:pPr>
      <w:pStyle w:val="20"/>
      <w:rPr>
        <w:rFonts w:ascii="仿宋" w:hAnsi="仿宋" w:eastAsia="仿宋"/>
        <w:szCs w:val="1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Yjm/yQEAAJoDAAAOAAAAAAAAAAEAIAAAAB4BAABkcnMvZTJvRG9j&#10;LnhtbFBLBQYAAAAABgAGAFkBAABZBQAAAAA=&#10;">
              <v:fill on="f" focussize="0,0"/>
              <v:stroke on="f"/>
              <v:imagedata o:title=""/>
              <o:lock v:ext="edit" aspectratio="f"/>
              <v:textbox inset="0mm,0mm,0mm,0mm" style="mso-fit-shape-to-text:t;">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1323">
    <w:pPr>
      <w:pStyle w:val="20"/>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6gPH83gEAAMADAAAOAAAAAAAA&#10;AAEAIAAAAB4BAABkcnMvZTJvRG9jLnhtbFBLBQYAAAAABgAGAFkBAABuBQAAAAA=&#10;">
              <v:fill on="f" focussize="0,0"/>
              <v:stroke on="f"/>
              <v:imagedata o:title=""/>
              <o:lock v:ext="edit" aspectratio="f"/>
              <v:textbox inset="0mm,0mm,0mm,0mm" style="mso-fit-shape-to-text:t;">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811B">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8r3d8BAADAAwAADgAAAAAA&#10;AAABACAAAAAeAQAAZHJzL2Uyb0RvYy54bWxQSwUGAAAAAAYABgBZAQAAbwUAAAAA&#10;">
              <v:fill on="f" focussize="0,0"/>
              <v:stroke on="f"/>
              <v:imagedata o:title=""/>
              <o:lock v:ext="edit" aspectratio="f"/>
              <v:textbox inset="0mm,0mm,0mm,0mm" style="mso-fit-shape-to-text:t;">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068BD">
    <w:pPr>
      <w:pStyle w:val="20"/>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7BA43">
    <w:pPr>
      <w:pStyle w:val="20"/>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55314">
    <w:pPr>
      <w:pStyle w:val="20"/>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50C8C">
    <w:pPr>
      <w:pStyle w:val="2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00AA">
    <w:pPr>
      <w:pStyle w:val="2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B1F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CCA6C"/>
    <w:multiLevelType w:val="singleLevel"/>
    <w:tmpl w:val="91FCCA6C"/>
    <w:lvl w:ilvl="0" w:tentative="0">
      <w:start w:val="1"/>
      <w:numFmt w:val="chineseCounting"/>
      <w:suff w:val="space"/>
      <w:lvlText w:val="第%1章"/>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0000001"/>
    <w:multiLevelType w:val="singleLevel"/>
    <w:tmpl w:val="00000001"/>
    <w:lvl w:ilvl="0" w:tentative="0">
      <w:start w:val="9"/>
      <w:numFmt w:val="decimal"/>
      <w:suff w:val="nothing"/>
      <w:lvlText w:val="%1．"/>
      <w:lvlJc w:val="left"/>
    </w:lvl>
  </w:abstractNum>
  <w:abstractNum w:abstractNumId="8">
    <w:nsid w:val="001B2B44"/>
    <w:multiLevelType w:val="multilevel"/>
    <w:tmpl w:val="001B2B4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C9A197D"/>
    <w:multiLevelType w:val="multilevel"/>
    <w:tmpl w:val="0C9A197D"/>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24C8C68"/>
    <w:multiLevelType w:val="singleLevel"/>
    <w:tmpl w:val="124C8C68"/>
    <w:lvl w:ilvl="0" w:tentative="0">
      <w:start w:val="1"/>
      <w:numFmt w:val="chineseCounting"/>
      <w:suff w:val="nothing"/>
      <w:lvlText w:val="%1、"/>
      <w:lvlJc w:val="left"/>
      <w:rPr>
        <w:rFonts w:hint="eastAsia"/>
      </w:rPr>
    </w:lvl>
  </w:abstractNum>
  <w:abstractNum w:abstractNumId="11">
    <w:nsid w:val="19254CF2"/>
    <w:multiLevelType w:val="multilevel"/>
    <w:tmpl w:val="19254CF2"/>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12966E7"/>
    <w:multiLevelType w:val="multilevel"/>
    <w:tmpl w:val="212966E7"/>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29448DB"/>
    <w:multiLevelType w:val="multilevel"/>
    <w:tmpl w:val="229448DB"/>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2A13891"/>
    <w:multiLevelType w:val="multilevel"/>
    <w:tmpl w:val="22A13891"/>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3C9165F"/>
    <w:multiLevelType w:val="multilevel"/>
    <w:tmpl w:val="23C9165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B4E1746"/>
    <w:multiLevelType w:val="multilevel"/>
    <w:tmpl w:val="2B4E1746"/>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C5A2F90"/>
    <w:multiLevelType w:val="multilevel"/>
    <w:tmpl w:val="2C5A2F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3101AD5"/>
    <w:multiLevelType w:val="multilevel"/>
    <w:tmpl w:val="33101AD5"/>
    <w:lvl w:ilvl="0" w:tentative="0">
      <w:start w:val="1"/>
      <w:numFmt w:val="decimal"/>
      <w:pStyle w:val="107"/>
      <w:suff w:val="space"/>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19">
    <w:nsid w:val="35535CB0"/>
    <w:multiLevelType w:val="multilevel"/>
    <w:tmpl w:val="35535CB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36A22877"/>
    <w:multiLevelType w:val="multilevel"/>
    <w:tmpl w:val="36A22877"/>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3CCC21A9"/>
    <w:multiLevelType w:val="multilevel"/>
    <w:tmpl w:val="3CCC21A9"/>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424520E4"/>
    <w:multiLevelType w:val="multilevel"/>
    <w:tmpl w:val="424520E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42E500A6"/>
    <w:multiLevelType w:val="singleLevel"/>
    <w:tmpl w:val="42E500A6"/>
    <w:lvl w:ilvl="0" w:tentative="0">
      <w:start w:val="2"/>
      <w:numFmt w:val="chineseCounting"/>
      <w:suff w:val="nothing"/>
      <w:lvlText w:val="%1、"/>
      <w:lvlJc w:val="left"/>
      <w:rPr>
        <w:rFonts w:hint="eastAsia"/>
      </w:rPr>
    </w:lvl>
  </w:abstractNum>
  <w:abstractNum w:abstractNumId="24">
    <w:nsid w:val="45145C80"/>
    <w:multiLevelType w:val="multilevel"/>
    <w:tmpl w:val="45145C8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45922F88"/>
    <w:multiLevelType w:val="multilevel"/>
    <w:tmpl w:val="45922F8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B0CE37E"/>
    <w:multiLevelType w:val="singleLevel"/>
    <w:tmpl w:val="5B0CE37E"/>
    <w:lvl w:ilvl="0" w:tentative="0">
      <w:start w:val="1"/>
      <w:numFmt w:val="decimal"/>
      <w:suff w:val="nothing"/>
      <w:lvlText w:val="%1、"/>
      <w:lvlJc w:val="left"/>
    </w:lvl>
  </w:abstractNum>
  <w:abstractNum w:abstractNumId="27">
    <w:nsid w:val="5E5F3A28"/>
    <w:multiLevelType w:val="multilevel"/>
    <w:tmpl w:val="5E5F3A2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90C50DA"/>
    <w:multiLevelType w:val="multilevel"/>
    <w:tmpl w:val="690C50DA"/>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2C24153"/>
    <w:multiLevelType w:val="multilevel"/>
    <w:tmpl w:val="72C24153"/>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A0F6431"/>
    <w:multiLevelType w:val="singleLevel"/>
    <w:tmpl w:val="7A0F6431"/>
    <w:lvl w:ilvl="0" w:tentative="0">
      <w:start w:val="1"/>
      <w:numFmt w:val="decimal"/>
      <w:suff w:val="space"/>
      <w:lvlText w:val="%1."/>
      <w:lvlJc w:val="left"/>
    </w:lvl>
  </w:abstractNum>
  <w:abstractNum w:abstractNumId="31">
    <w:nsid w:val="7C56453D"/>
    <w:multiLevelType w:val="multilevel"/>
    <w:tmpl w:val="7C56453D"/>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EBA087F"/>
    <w:multiLevelType w:val="multilevel"/>
    <w:tmpl w:val="7EBA087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F1B0BA9"/>
    <w:multiLevelType w:val="multilevel"/>
    <w:tmpl w:val="7F1B0BA9"/>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0"/>
  </w:num>
  <w:num w:numId="3">
    <w:abstractNumId w:val="10"/>
  </w:num>
  <w:num w:numId="4">
    <w:abstractNumId w:val="7"/>
  </w:num>
  <w:num w:numId="5">
    <w:abstractNumId w:val="23"/>
  </w:num>
  <w:num w:numId="6">
    <w:abstractNumId w:val="30"/>
  </w:num>
  <w:num w:numId="7">
    <w:abstractNumId w:val="2"/>
  </w:num>
  <w:num w:numId="8">
    <w:abstractNumId w:val="6"/>
  </w:num>
  <w:num w:numId="9">
    <w:abstractNumId w:val="4"/>
  </w:num>
  <w:num w:numId="10">
    <w:abstractNumId w:val="3"/>
  </w:num>
  <w:num w:numId="11">
    <w:abstractNumId w:val="1"/>
  </w:num>
  <w:num w:numId="12">
    <w:abstractNumId w:val="5"/>
  </w:num>
  <w:num w:numId="13">
    <w:abstractNumId w:val="32"/>
  </w:num>
  <w:num w:numId="14">
    <w:abstractNumId w:val="25"/>
  </w:num>
  <w:num w:numId="15">
    <w:abstractNumId w:val="27"/>
  </w:num>
  <w:num w:numId="16">
    <w:abstractNumId w:val="15"/>
  </w:num>
  <w:num w:numId="17">
    <w:abstractNumId w:val="29"/>
  </w:num>
  <w:num w:numId="18">
    <w:abstractNumId w:val="19"/>
  </w:num>
  <w:num w:numId="19">
    <w:abstractNumId w:val="28"/>
  </w:num>
  <w:num w:numId="20">
    <w:abstractNumId w:val="13"/>
  </w:num>
  <w:num w:numId="21">
    <w:abstractNumId w:val="16"/>
  </w:num>
  <w:num w:numId="22">
    <w:abstractNumId w:val="14"/>
  </w:num>
  <w:num w:numId="23">
    <w:abstractNumId w:val="20"/>
  </w:num>
  <w:num w:numId="24">
    <w:abstractNumId w:val="9"/>
  </w:num>
  <w:num w:numId="25">
    <w:abstractNumId w:val="11"/>
  </w:num>
  <w:num w:numId="26">
    <w:abstractNumId w:val="21"/>
  </w:num>
  <w:num w:numId="27">
    <w:abstractNumId w:val="24"/>
  </w:num>
  <w:num w:numId="28">
    <w:abstractNumId w:val="33"/>
  </w:num>
  <w:num w:numId="29">
    <w:abstractNumId w:val="8"/>
  </w:num>
  <w:num w:numId="30">
    <w:abstractNumId w:val="17"/>
  </w:num>
  <w:num w:numId="31">
    <w:abstractNumId w:val="22"/>
  </w:num>
  <w:num w:numId="32">
    <w:abstractNumId w:val="12"/>
  </w:num>
  <w:num w:numId="33">
    <w:abstractNumId w:val="31"/>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wjkkH4ocARZ2RdPu4LVrnbf/aXI=" w:salt="Oe2efYLujPbqVTWnT3Yqkw=="/>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1MmM1YjFkMzFlY2UyMWU4ODZlY2M1YzBiYzcxMmYifQ=="/>
  </w:docVars>
  <w:rsids>
    <w:rsidRoot w:val="00172A27"/>
    <w:rsid w:val="000A4488"/>
    <w:rsid w:val="000B0726"/>
    <w:rsid w:val="000C3939"/>
    <w:rsid w:val="000C5832"/>
    <w:rsid w:val="000E729D"/>
    <w:rsid w:val="00184185"/>
    <w:rsid w:val="00272743"/>
    <w:rsid w:val="00276E33"/>
    <w:rsid w:val="002B1AB4"/>
    <w:rsid w:val="00354463"/>
    <w:rsid w:val="00394593"/>
    <w:rsid w:val="003C1B47"/>
    <w:rsid w:val="004A02C2"/>
    <w:rsid w:val="004D3FF0"/>
    <w:rsid w:val="00537B6A"/>
    <w:rsid w:val="005B4DEB"/>
    <w:rsid w:val="005C66C7"/>
    <w:rsid w:val="005E5628"/>
    <w:rsid w:val="00753092"/>
    <w:rsid w:val="007C2C00"/>
    <w:rsid w:val="007D6BA7"/>
    <w:rsid w:val="007E0017"/>
    <w:rsid w:val="00800A01"/>
    <w:rsid w:val="0087241D"/>
    <w:rsid w:val="00962672"/>
    <w:rsid w:val="009D6233"/>
    <w:rsid w:val="00A46141"/>
    <w:rsid w:val="00A54974"/>
    <w:rsid w:val="00A81D22"/>
    <w:rsid w:val="00AE3A75"/>
    <w:rsid w:val="00B20DF2"/>
    <w:rsid w:val="00B5509F"/>
    <w:rsid w:val="00B90E32"/>
    <w:rsid w:val="00B918D9"/>
    <w:rsid w:val="00BB30AE"/>
    <w:rsid w:val="00BF2ECC"/>
    <w:rsid w:val="00C30A68"/>
    <w:rsid w:val="00C31809"/>
    <w:rsid w:val="00C42D8D"/>
    <w:rsid w:val="00C73039"/>
    <w:rsid w:val="00D36C30"/>
    <w:rsid w:val="00D71F1E"/>
    <w:rsid w:val="00DE3A60"/>
    <w:rsid w:val="00E02D68"/>
    <w:rsid w:val="00E75CDE"/>
    <w:rsid w:val="00E84814"/>
    <w:rsid w:val="00EA45AA"/>
    <w:rsid w:val="00EF4366"/>
    <w:rsid w:val="00F930D0"/>
    <w:rsid w:val="01062EEC"/>
    <w:rsid w:val="01086C64"/>
    <w:rsid w:val="01161381"/>
    <w:rsid w:val="01877DA5"/>
    <w:rsid w:val="02042D83"/>
    <w:rsid w:val="02160F0D"/>
    <w:rsid w:val="02182ED7"/>
    <w:rsid w:val="021D229B"/>
    <w:rsid w:val="021F6199"/>
    <w:rsid w:val="022950E4"/>
    <w:rsid w:val="0239504F"/>
    <w:rsid w:val="02587777"/>
    <w:rsid w:val="02596B98"/>
    <w:rsid w:val="0261686C"/>
    <w:rsid w:val="029635FE"/>
    <w:rsid w:val="02B349AE"/>
    <w:rsid w:val="02CD5A6F"/>
    <w:rsid w:val="02EF2BF8"/>
    <w:rsid w:val="0304186C"/>
    <w:rsid w:val="03146D17"/>
    <w:rsid w:val="033E7281"/>
    <w:rsid w:val="0365214C"/>
    <w:rsid w:val="03AA58EB"/>
    <w:rsid w:val="047B203D"/>
    <w:rsid w:val="04A44EF6"/>
    <w:rsid w:val="04B30C95"/>
    <w:rsid w:val="04B90889"/>
    <w:rsid w:val="04B9275B"/>
    <w:rsid w:val="04E74E13"/>
    <w:rsid w:val="04F45672"/>
    <w:rsid w:val="050E6A2A"/>
    <w:rsid w:val="051F008D"/>
    <w:rsid w:val="052D0A47"/>
    <w:rsid w:val="05435813"/>
    <w:rsid w:val="055D6E6F"/>
    <w:rsid w:val="05776140"/>
    <w:rsid w:val="057B766B"/>
    <w:rsid w:val="05887D16"/>
    <w:rsid w:val="058F02ED"/>
    <w:rsid w:val="05A01219"/>
    <w:rsid w:val="05AE4D87"/>
    <w:rsid w:val="05BB0821"/>
    <w:rsid w:val="05D75C0F"/>
    <w:rsid w:val="061B32E1"/>
    <w:rsid w:val="06347089"/>
    <w:rsid w:val="06711074"/>
    <w:rsid w:val="06721B94"/>
    <w:rsid w:val="06901390"/>
    <w:rsid w:val="06915834"/>
    <w:rsid w:val="06B2086E"/>
    <w:rsid w:val="06CF20B8"/>
    <w:rsid w:val="06D93C44"/>
    <w:rsid w:val="06F44BBD"/>
    <w:rsid w:val="06FB0BDE"/>
    <w:rsid w:val="07013F3A"/>
    <w:rsid w:val="07100F0E"/>
    <w:rsid w:val="071D3188"/>
    <w:rsid w:val="07415A18"/>
    <w:rsid w:val="07654E8E"/>
    <w:rsid w:val="079062EC"/>
    <w:rsid w:val="07B06812"/>
    <w:rsid w:val="07D258D6"/>
    <w:rsid w:val="07D53346"/>
    <w:rsid w:val="07E27C47"/>
    <w:rsid w:val="083E4D1A"/>
    <w:rsid w:val="088346AD"/>
    <w:rsid w:val="08990CC5"/>
    <w:rsid w:val="089B6813"/>
    <w:rsid w:val="08D17D55"/>
    <w:rsid w:val="08DF739F"/>
    <w:rsid w:val="08E47540"/>
    <w:rsid w:val="0902043D"/>
    <w:rsid w:val="09067F2D"/>
    <w:rsid w:val="092E2FE0"/>
    <w:rsid w:val="094C0544"/>
    <w:rsid w:val="096E2623"/>
    <w:rsid w:val="098E1D4D"/>
    <w:rsid w:val="09984B50"/>
    <w:rsid w:val="09A17C56"/>
    <w:rsid w:val="09BF48F7"/>
    <w:rsid w:val="09C53944"/>
    <w:rsid w:val="09C73718"/>
    <w:rsid w:val="09FA0ABF"/>
    <w:rsid w:val="0A0B5130"/>
    <w:rsid w:val="0A3E54A5"/>
    <w:rsid w:val="0A495A73"/>
    <w:rsid w:val="0A4C7BC2"/>
    <w:rsid w:val="0A5D1DCF"/>
    <w:rsid w:val="0A6441EF"/>
    <w:rsid w:val="0A70084C"/>
    <w:rsid w:val="0A7D632B"/>
    <w:rsid w:val="0AD46554"/>
    <w:rsid w:val="0AD61641"/>
    <w:rsid w:val="0B4B2925"/>
    <w:rsid w:val="0B4B7167"/>
    <w:rsid w:val="0B6B4BD2"/>
    <w:rsid w:val="0B7E533B"/>
    <w:rsid w:val="0B8415DD"/>
    <w:rsid w:val="0B98569A"/>
    <w:rsid w:val="0B9F3A93"/>
    <w:rsid w:val="0BB726A1"/>
    <w:rsid w:val="0BB91287"/>
    <w:rsid w:val="0BC358B3"/>
    <w:rsid w:val="0BC814CA"/>
    <w:rsid w:val="0C215002"/>
    <w:rsid w:val="0C3034C5"/>
    <w:rsid w:val="0C563D8F"/>
    <w:rsid w:val="0C7E6F35"/>
    <w:rsid w:val="0C8D6641"/>
    <w:rsid w:val="0CA65091"/>
    <w:rsid w:val="0CB83C95"/>
    <w:rsid w:val="0CCE00B5"/>
    <w:rsid w:val="0CE40585"/>
    <w:rsid w:val="0CFD348A"/>
    <w:rsid w:val="0D1515C6"/>
    <w:rsid w:val="0D2067BE"/>
    <w:rsid w:val="0D230FAC"/>
    <w:rsid w:val="0D727778"/>
    <w:rsid w:val="0DB96E09"/>
    <w:rsid w:val="0DC856C6"/>
    <w:rsid w:val="0DE81498"/>
    <w:rsid w:val="0DF377D1"/>
    <w:rsid w:val="0E1409F6"/>
    <w:rsid w:val="0E5E6115"/>
    <w:rsid w:val="0E892065"/>
    <w:rsid w:val="0E8C712B"/>
    <w:rsid w:val="0E9576AC"/>
    <w:rsid w:val="0EA53D44"/>
    <w:rsid w:val="0EC31ABE"/>
    <w:rsid w:val="0ECD0C5B"/>
    <w:rsid w:val="0F3A7AFB"/>
    <w:rsid w:val="0F4C3944"/>
    <w:rsid w:val="0F6D52FB"/>
    <w:rsid w:val="0FB01B1A"/>
    <w:rsid w:val="0FB85478"/>
    <w:rsid w:val="0FF41731"/>
    <w:rsid w:val="10161195"/>
    <w:rsid w:val="10495D96"/>
    <w:rsid w:val="10790FE5"/>
    <w:rsid w:val="108C51BC"/>
    <w:rsid w:val="10AA65CB"/>
    <w:rsid w:val="10BC17FC"/>
    <w:rsid w:val="10CB60ED"/>
    <w:rsid w:val="10DE2E5B"/>
    <w:rsid w:val="10E10387"/>
    <w:rsid w:val="10F2146D"/>
    <w:rsid w:val="11036E24"/>
    <w:rsid w:val="110B0047"/>
    <w:rsid w:val="113556FF"/>
    <w:rsid w:val="11452848"/>
    <w:rsid w:val="116934C3"/>
    <w:rsid w:val="11785740"/>
    <w:rsid w:val="117D13B8"/>
    <w:rsid w:val="118A1061"/>
    <w:rsid w:val="119F0F1F"/>
    <w:rsid w:val="11EB6937"/>
    <w:rsid w:val="11F50CA6"/>
    <w:rsid w:val="1208797B"/>
    <w:rsid w:val="123173E3"/>
    <w:rsid w:val="124A0BA3"/>
    <w:rsid w:val="12610B6A"/>
    <w:rsid w:val="12751C80"/>
    <w:rsid w:val="127557DC"/>
    <w:rsid w:val="127B54E8"/>
    <w:rsid w:val="129465AA"/>
    <w:rsid w:val="12B860AC"/>
    <w:rsid w:val="12FE3A23"/>
    <w:rsid w:val="13127C55"/>
    <w:rsid w:val="13685340"/>
    <w:rsid w:val="13763F01"/>
    <w:rsid w:val="13912AE9"/>
    <w:rsid w:val="13B10D13"/>
    <w:rsid w:val="13B642FE"/>
    <w:rsid w:val="13C54960"/>
    <w:rsid w:val="13D9316F"/>
    <w:rsid w:val="13E72709"/>
    <w:rsid w:val="13EE71E9"/>
    <w:rsid w:val="13FD093F"/>
    <w:rsid w:val="142B0848"/>
    <w:rsid w:val="144B0499"/>
    <w:rsid w:val="14736D6A"/>
    <w:rsid w:val="147C3EC5"/>
    <w:rsid w:val="14B12728"/>
    <w:rsid w:val="14B31851"/>
    <w:rsid w:val="14B31E79"/>
    <w:rsid w:val="14E07884"/>
    <w:rsid w:val="14E1184E"/>
    <w:rsid w:val="151D7694"/>
    <w:rsid w:val="151F277D"/>
    <w:rsid w:val="15224301"/>
    <w:rsid w:val="154D4ED9"/>
    <w:rsid w:val="154F4200"/>
    <w:rsid w:val="1564486A"/>
    <w:rsid w:val="159A7D3E"/>
    <w:rsid w:val="15A22D8C"/>
    <w:rsid w:val="15BF700F"/>
    <w:rsid w:val="15F53C26"/>
    <w:rsid w:val="16203B24"/>
    <w:rsid w:val="16357D37"/>
    <w:rsid w:val="1662438C"/>
    <w:rsid w:val="16643EC6"/>
    <w:rsid w:val="168F61E3"/>
    <w:rsid w:val="16AD7C3A"/>
    <w:rsid w:val="16B0489D"/>
    <w:rsid w:val="16B52E8E"/>
    <w:rsid w:val="16EF7538"/>
    <w:rsid w:val="16F835E2"/>
    <w:rsid w:val="17163DEF"/>
    <w:rsid w:val="1727797E"/>
    <w:rsid w:val="173A35B9"/>
    <w:rsid w:val="173B3498"/>
    <w:rsid w:val="17440E55"/>
    <w:rsid w:val="176D1177"/>
    <w:rsid w:val="176E0E48"/>
    <w:rsid w:val="178447FF"/>
    <w:rsid w:val="178B0334"/>
    <w:rsid w:val="179E31DE"/>
    <w:rsid w:val="17B90714"/>
    <w:rsid w:val="17F17BDB"/>
    <w:rsid w:val="18053E35"/>
    <w:rsid w:val="180715CC"/>
    <w:rsid w:val="183C74C7"/>
    <w:rsid w:val="18602A8A"/>
    <w:rsid w:val="18670228"/>
    <w:rsid w:val="187464B2"/>
    <w:rsid w:val="18856E61"/>
    <w:rsid w:val="188B3FAB"/>
    <w:rsid w:val="189E12B0"/>
    <w:rsid w:val="18A230A3"/>
    <w:rsid w:val="18A8667F"/>
    <w:rsid w:val="18A91C59"/>
    <w:rsid w:val="18AA467D"/>
    <w:rsid w:val="18B54B84"/>
    <w:rsid w:val="18B76B4E"/>
    <w:rsid w:val="18B84674"/>
    <w:rsid w:val="18BF5A03"/>
    <w:rsid w:val="18CE16DB"/>
    <w:rsid w:val="18D21BDA"/>
    <w:rsid w:val="18D46C70"/>
    <w:rsid w:val="18E65685"/>
    <w:rsid w:val="18ED7B4F"/>
    <w:rsid w:val="18FE5269"/>
    <w:rsid w:val="19133E51"/>
    <w:rsid w:val="192C753C"/>
    <w:rsid w:val="193009FE"/>
    <w:rsid w:val="194C6677"/>
    <w:rsid w:val="19542075"/>
    <w:rsid w:val="19675F86"/>
    <w:rsid w:val="196E00F8"/>
    <w:rsid w:val="19A213F5"/>
    <w:rsid w:val="19A418B9"/>
    <w:rsid w:val="19A90B8D"/>
    <w:rsid w:val="19E04F6D"/>
    <w:rsid w:val="19F416DC"/>
    <w:rsid w:val="1A1C35E6"/>
    <w:rsid w:val="1A240213"/>
    <w:rsid w:val="1A2F4534"/>
    <w:rsid w:val="1A64731D"/>
    <w:rsid w:val="1A72469F"/>
    <w:rsid w:val="1A8379DF"/>
    <w:rsid w:val="1A9C424D"/>
    <w:rsid w:val="1AB25E6A"/>
    <w:rsid w:val="1AB772D9"/>
    <w:rsid w:val="1ABC31F0"/>
    <w:rsid w:val="1B542D7A"/>
    <w:rsid w:val="1B5E7755"/>
    <w:rsid w:val="1B7A71F5"/>
    <w:rsid w:val="1B822020"/>
    <w:rsid w:val="1B8371BB"/>
    <w:rsid w:val="1B976520"/>
    <w:rsid w:val="1BB455D7"/>
    <w:rsid w:val="1BCC2910"/>
    <w:rsid w:val="1BFB64CC"/>
    <w:rsid w:val="1C037BB9"/>
    <w:rsid w:val="1C1C5678"/>
    <w:rsid w:val="1C246367"/>
    <w:rsid w:val="1C4B2D6F"/>
    <w:rsid w:val="1C844DEB"/>
    <w:rsid w:val="1CC137AE"/>
    <w:rsid w:val="1CC85451"/>
    <w:rsid w:val="1CD035FF"/>
    <w:rsid w:val="1CEF1145"/>
    <w:rsid w:val="1D233D8F"/>
    <w:rsid w:val="1D3459FF"/>
    <w:rsid w:val="1D3C1D18"/>
    <w:rsid w:val="1D4D35A2"/>
    <w:rsid w:val="1D575319"/>
    <w:rsid w:val="1D7C1034"/>
    <w:rsid w:val="1D860ED4"/>
    <w:rsid w:val="1DAD1866"/>
    <w:rsid w:val="1DCD18A1"/>
    <w:rsid w:val="1DCD2970"/>
    <w:rsid w:val="1DF30372"/>
    <w:rsid w:val="1E03164B"/>
    <w:rsid w:val="1E0F4076"/>
    <w:rsid w:val="1E707F95"/>
    <w:rsid w:val="1EA94202"/>
    <w:rsid w:val="1EBA2EF4"/>
    <w:rsid w:val="1ECF1100"/>
    <w:rsid w:val="1F213D24"/>
    <w:rsid w:val="1F557895"/>
    <w:rsid w:val="1F6249F6"/>
    <w:rsid w:val="1F890B18"/>
    <w:rsid w:val="1F992B7C"/>
    <w:rsid w:val="1FA06DAA"/>
    <w:rsid w:val="1FDA2639"/>
    <w:rsid w:val="1FE16BA6"/>
    <w:rsid w:val="1FED0380"/>
    <w:rsid w:val="20194466"/>
    <w:rsid w:val="201964A9"/>
    <w:rsid w:val="20457BE4"/>
    <w:rsid w:val="20A0436C"/>
    <w:rsid w:val="20C61714"/>
    <w:rsid w:val="20D54675"/>
    <w:rsid w:val="20DE4801"/>
    <w:rsid w:val="21076EAA"/>
    <w:rsid w:val="21097C94"/>
    <w:rsid w:val="21164B43"/>
    <w:rsid w:val="21311D33"/>
    <w:rsid w:val="21C9307F"/>
    <w:rsid w:val="220A1D98"/>
    <w:rsid w:val="2217735B"/>
    <w:rsid w:val="2218797D"/>
    <w:rsid w:val="22275EF8"/>
    <w:rsid w:val="22370854"/>
    <w:rsid w:val="224B7A54"/>
    <w:rsid w:val="22755A4F"/>
    <w:rsid w:val="228B76CE"/>
    <w:rsid w:val="229F0C93"/>
    <w:rsid w:val="22AA0132"/>
    <w:rsid w:val="22B731D5"/>
    <w:rsid w:val="22FA640F"/>
    <w:rsid w:val="23125B7E"/>
    <w:rsid w:val="231A1F84"/>
    <w:rsid w:val="231A56E9"/>
    <w:rsid w:val="231D1CA3"/>
    <w:rsid w:val="23241284"/>
    <w:rsid w:val="233B037C"/>
    <w:rsid w:val="235B0525"/>
    <w:rsid w:val="237C665A"/>
    <w:rsid w:val="23850D1F"/>
    <w:rsid w:val="23A9780D"/>
    <w:rsid w:val="23BF2D5B"/>
    <w:rsid w:val="23C2320D"/>
    <w:rsid w:val="24082241"/>
    <w:rsid w:val="241A4435"/>
    <w:rsid w:val="24343980"/>
    <w:rsid w:val="24855A20"/>
    <w:rsid w:val="24896773"/>
    <w:rsid w:val="248A3369"/>
    <w:rsid w:val="249047E8"/>
    <w:rsid w:val="24BE2A29"/>
    <w:rsid w:val="24C820E3"/>
    <w:rsid w:val="24C846D9"/>
    <w:rsid w:val="24CD76F9"/>
    <w:rsid w:val="24D75E63"/>
    <w:rsid w:val="24EA483E"/>
    <w:rsid w:val="25150BF1"/>
    <w:rsid w:val="25206C08"/>
    <w:rsid w:val="25490D83"/>
    <w:rsid w:val="255C3EFC"/>
    <w:rsid w:val="255F5E6B"/>
    <w:rsid w:val="257F5A79"/>
    <w:rsid w:val="258B383C"/>
    <w:rsid w:val="25A66C6A"/>
    <w:rsid w:val="25C60AA9"/>
    <w:rsid w:val="25DA1C48"/>
    <w:rsid w:val="263022DC"/>
    <w:rsid w:val="264777FE"/>
    <w:rsid w:val="264F3B85"/>
    <w:rsid w:val="265A0BD7"/>
    <w:rsid w:val="266F42B5"/>
    <w:rsid w:val="266F6CBA"/>
    <w:rsid w:val="269C3271"/>
    <w:rsid w:val="26A771A4"/>
    <w:rsid w:val="26AA549D"/>
    <w:rsid w:val="26AD333E"/>
    <w:rsid w:val="26D13E3E"/>
    <w:rsid w:val="26D14828"/>
    <w:rsid w:val="26D44D6F"/>
    <w:rsid w:val="26D737EE"/>
    <w:rsid w:val="26EA264A"/>
    <w:rsid w:val="27563F4C"/>
    <w:rsid w:val="277D17CC"/>
    <w:rsid w:val="27A90FEA"/>
    <w:rsid w:val="27AB5D10"/>
    <w:rsid w:val="27AE3812"/>
    <w:rsid w:val="27B54BA0"/>
    <w:rsid w:val="27C41D16"/>
    <w:rsid w:val="27E77E1F"/>
    <w:rsid w:val="27F6519C"/>
    <w:rsid w:val="27FE388E"/>
    <w:rsid w:val="2812526C"/>
    <w:rsid w:val="2833209D"/>
    <w:rsid w:val="283C7070"/>
    <w:rsid w:val="285E3A0B"/>
    <w:rsid w:val="28844E1A"/>
    <w:rsid w:val="28AB7D51"/>
    <w:rsid w:val="28B014CE"/>
    <w:rsid w:val="28BA57D6"/>
    <w:rsid w:val="28CC03F4"/>
    <w:rsid w:val="28D644AD"/>
    <w:rsid w:val="28DF17A9"/>
    <w:rsid w:val="291610C3"/>
    <w:rsid w:val="293B2E83"/>
    <w:rsid w:val="293E75FA"/>
    <w:rsid w:val="29540C2B"/>
    <w:rsid w:val="295F7D1D"/>
    <w:rsid w:val="29B449E4"/>
    <w:rsid w:val="29E17ECF"/>
    <w:rsid w:val="2A0374F8"/>
    <w:rsid w:val="2A102562"/>
    <w:rsid w:val="2A1536D4"/>
    <w:rsid w:val="2A222295"/>
    <w:rsid w:val="2AA649CF"/>
    <w:rsid w:val="2AAF04D5"/>
    <w:rsid w:val="2AE73BC4"/>
    <w:rsid w:val="2AE82B97"/>
    <w:rsid w:val="2B163D4A"/>
    <w:rsid w:val="2B435A8D"/>
    <w:rsid w:val="2B812E55"/>
    <w:rsid w:val="2B8B2BFC"/>
    <w:rsid w:val="2B97636B"/>
    <w:rsid w:val="2BD63891"/>
    <w:rsid w:val="2C023378"/>
    <w:rsid w:val="2C066227"/>
    <w:rsid w:val="2C365B84"/>
    <w:rsid w:val="2C525F5C"/>
    <w:rsid w:val="2C7843EE"/>
    <w:rsid w:val="2CA86A82"/>
    <w:rsid w:val="2D04656C"/>
    <w:rsid w:val="2D187BB2"/>
    <w:rsid w:val="2D200A23"/>
    <w:rsid w:val="2D231874"/>
    <w:rsid w:val="2D2B159E"/>
    <w:rsid w:val="2D443CA7"/>
    <w:rsid w:val="2D4E6396"/>
    <w:rsid w:val="2D551834"/>
    <w:rsid w:val="2D6F72CD"/>
    <w:rsid w:val="2D742B32"/>
    <w:rsid w:val="2D7A4435"/>
    <w:rsid w:val="2DC478E8"/>
    <w:rsid w:val="2DD517D4"/>
    <w:rsid w:val="2DEA4E78"/>
    <w:rsid w:val="2DF14458"/>
    <w:rsid w:val="2E0423DE"/>
    <w:rsid w:val="2E1E4B22"/>
    <w:rsid w:val="2E3B56D4"/>
    <w:rsid w:val="2E3F12F9"/>
    <w:rsid w:val="2E555FE9"/>
    <w:rsid w:val="2E690493"/>
    <w:rsid w:val="2E6B5FB9"/>
    <w:rsid w:val="2E80644F"/>
    <w:rsid w:val="2E84538B"/>
    <w:rsid w:val="2E9A689E"/>
    <w:rsid w:val="2EBA2A9C"/>
    <w:rsid w:val="2ECD5480"/>
    <w:rsid w:val="2F0500D5"/>
    <w:rsid w:val="2F283C8F"/>
    <w:rsid w:val="2F2D7712"/>
    <w:rsid w:val="2F7D080C"/>
    <w:rsid w:val="2FAD1AEA"/>
    <w:rsid w:val="2FB1480C"/>
    <w:rsid w:val="2FC55B9D"/>
    <w:rsid w:val="2FF31D0A"/>
    <w:rsid w:val="30110DE2"/>
    <w:rsid w:val="3030231C"/>
    <w:rsid w:val="304F36B8"/>
    <w:rsid w:val="307B44AD"/>
    <w:rsid w:val="30C92320"/>
    <w:rsid w:val="30D83C45"/>
    <w:rsid w:val="30E66DCC"/>
    <w:rsid w:val="3106021B"/>
    <w:rsid w:val="311F3225"/>
    <w:rsid w:val="31552B73"/>
    <w:rsid w:val="31A73FF7"/>
    <w:rsid w:val="31BD2CD9"/>
    <w:rsid w:val="31C632CA"/>
    <w:rsid w:val="323A7360"/>
    <w:rsid w:val="323D0A84"/>
    <w:rsid w:val="32531F47"/>
    <w:rsid w:val="326076FA"/>
    <w:rsid w:val="32770D8A"/>
    <w:rsid w:val="32D24BA4"/>
    <w:rsid w:val="32D86AF0"/>
    <w:rsid w:val="330126F6"/>
    <w:rsid w:val="332F4325"/>
    <w:rsid w:val="333762E3"/>
    <w:rsid w:val="33483797"/>
    <w:rsid w:val="337825D1"/>
    <w:rsid w:val="33BA4BF5"/>
    <w:rsid w:val="33D51773"/>
    <w:rsid w:val="33E111B6"/>
    <w:rsid w:val="34000EC8"/>
    <w:rsid w:val="340B2F58"/>
    <w:rsid w:val="340F1183"/>
    <w:rsid w:val="34105922"/>
    <w:rsid w:val="34251EF7"/>
    <w:rsid w:val="34311A53"/>
    <w:rsid w:val="347B2E07"/>
    <w:rsid w:val="349D0E96"/>
    <w:rsid w:val="349D28F7"/>
    <w:rsid w:val="34A246FE"/>
    <w:rsid w:val="34BF1F7E"/>
    <w:rsid w:val="34CB2DEE"/>
    <w:rsid w:val="34D452B4"/>
    <w:rsid w:val="34E26997"/>
    <w:rsid w:val="34FD7B87"/>
    <w:rsid w:val="35C91817"/>
    <w:rsid w:val="35D94150"/>
    <w:rsid w:val="35EC2ECC"/>
    <w:rsid w:val="36455341"/>
    <w:rsid w:val="36592683"/>
    <w:rsid w:val="365A314A"/>
    <w:rsid w:val="36787DF2"/>
    <w:rsid w:val="36873605"/>
    <w:rsid w:val="368C2F70"/>
    <w:rsid w:val="368F2A60"/>
    <w:rsid w:val="36B215D8"/>
    <w:rsid w:val="36E52680"/>
    <w:rsid w:val="36F154C9"/>
    <w:rsid w:val="3708606E"/>
    <w:rsid w:val="37477549"/>
    <w:rsid w:val="37732382"/>
    <w:rsid w:val="37864191"/>
    <w:rsid w:val="37985EC1"/>
    <w:rsid w:val="37BC5B6D"/>
    <w:rsid w:val="37E413C0"/>
    <w:rsid w:val="37F708BD"/>
    <w:rsid w:val="380171FD"/>
    <w:rsid w:val="38402233"/>
    <w:rsid w:val="384B29B7"/>
    <w:rsid w:val="38712298"/>
    <w:rsid w:val="387939C8"/>
    <w:rsid w:val="388C5B1D"/>
    <w:rsid w:val="38A04DF7"/>
    <w:rsid w:val="38C77976"/>
    <w:rsid w:val="38E74525"/>
    <w:rsid w:val="39174448"/>
    <w:rsid w:val="39225E0E"/>
    <w:rsid w:val="392331A3"/>
    <w:rsid w:val="3931772E"/>
    <w:rsid w:val="3963370B"/>
    <w:rsid w:val="397836F4"/>
    <w:rsid w:val="39952DF3"/>
    <w:rsid w:val="399D0939"/>
    <w:rsid w:val="39EF3677"/>
    <w:rsid w:val="39FF1BFA"/>
    <w:rsid w:val="3A0F0CCD"/>
    <w:rsid w:val="3A130E7B"/>
    <w:rsid w:val="3A361B71"/>
    <w:rsid w:val="3A521691"/>
    <w:rsid w:val="3A663A3E"/>
    <w:rsid w:val="3A9C574C"/>
    <w:rsid w:val="3AAE6E0A"/>
    <w:rsid w:val="3ABE557C"/>
    <w:rsid w:val="3B5947AB"/>
    <w:rsid w:val="3B622EC6"/>
    <w:rsid w:val="3B9A280D"/>
    <w:rsid w:val="3BEA7430"/>
    <w:rsid w:val="3BF81716"/>
    <w:rsid w:val="3BFD527E"/>
    <w:rsid w:val="3C157564"/>
    <w:rsid w:val="3C16679F"/>
    <w:rsid w:val="3C1B6C41"/>
    <w:rsid w:val="3C3A1C26"/>
    <w:rsid w:val="3C424E8F"/>
    <w:rsid w:val="3C477B6F"/>
    <w:rsid w:val="3C8702E7"/>
    <w:rsid w:val="3C9708C1"/>
    <w:rsid w:val="3CB81B4A"/>
    <w:rsid w:val="3CC83199"/>
    <w:rsid w:val="3CF571F3"/>
    <w:rsid w:val="3D140C5C"/>
    <w:rsid w:val="3D2F43E0"/>
    <w:rsid w:val="3D3954D4"/>
    <w:rsid w:val="3D4B1ECE"/>
    <w:rsid w:val="3D5D6812"/>
    <w:rsid w:val="3D655D60"/>
    <w:rsid w:val="3D7824A0"/>
    <w:rsid w:val="3DAC43F9"/>
    <w:rsid w:val="3DD02553"/>
    <w:rsid w:val="3DED0D09"/>
    <w:rsid w:val="3E13326D"/>
    <w:rsid w:val="3E1F46CA"/>
    <w:rsid w:val="3E29379B"/>
    <w:rsid w:val="3E616B4B"/>
    <w:rsid w:val="3E6E2B1B"/>
    <w:rsid w:val="3E955746"/>
    <w:rsid w:val="3ED205EC"/>
    <w:rsid w:val="3EDE6333"/>
    <w:rsid w:val="3EE142D2"/>
    <w:rsid w:val="3F0835D9"/>
    <w:rsid w:val="3F446ADE"/>
    <w:rsid w:val="3F4F166A"/>
    <w:rsid w:val="3F593C86"/>
    <w:rsid w:val="3F83747D"/>
    <w:rsid w:val="3FAC2F73"/>
    <w:rsid w:val="3FB85A65"/>
    <w:rsid w:val="3FCC0118"/>
    <w:rsid w:val="3FCF3F18"/>
    <w:rsid w:val="3FD421E8"/>
    <w:rsid w:val="400118CA"/>
    <w:rsid w:val="400E0E9A"/>
    <w:rsid w:val="40252995"/>
    <w:rsid w:val="40332828"/>
    <w:rsid w:val="40A44C63"/>
    <w:rsid w:val="40C1415E"/>
    <w:rsid w:val="40C17CBA"/>
    <w:rsid w:val="40D00B2F"/>
    <w:rsid w:val="40DC0786"/>
    <w:rsid w:val="411A73CB"/>
    <w:rsid w:val="412B15D8"/>
    <w:rsid w:val="417F6B17"/>
    <w:rsid w:val="41840BE1"/>
    <w:rsid w:val="418C6658"/>
    <w:rsid w:val="41964E73"/>
    <w:rsid w:val="419F529D"/>
    <w:rsid w:val="41B55086"/>
    <w:rsid w:val="41D8464F"/>
    <w:rsid w:val="41EE6E13"/>
    <w:rsid w:val="41F30347"/>
    <w:rsid w:val="42024A2E"/>
    <w:rsid w:val="42084EC3"/>
    <w:rsid w:val="42C57F36"/>
    <w:rsid w:val="42F0030F"/>
    <w:rsid w:val="43545BF4"/>
    <w:rsid w:val="4361439B"/>
    <w:rsid w:val="43946CA9"/>
    <w:rsid w:val="43A86F10"/>
    <w:rsid w:val="43CA7938"/>
    <w:rsid w:val="440A7DA4"/>
    <w:rsid w:val="44427F52"/>
    <w:rsid w:val="444B50A7"/>
    <w:rsid w:val="446564DF"/>
    <w:rsid w:val="44801C3A"/>
    <w:rsid w:val="44913E48"/>
    <w:rsid w:val="44A41525"/>
    <w:rsid w:val="44DC4453"/>
    <w:rsid w:val="44EE129A"/>
    <w:rsid w:val="45044441"/>
    <w:rsid w:val="45180211"/>
    <w:rsid w:val="4531654E"/>
    <w:rsid w:val="45744DF5"/>
    <w:rsid w:val="458B38D1"/>
    <w:rsid w:val="45A445C6"/>
    <w:rsid w:val="45B52D68"/>
    <w:rsid w:val="45C174FE"/>
    <w:rsid w:val="45DE7FFD"/>
    <w:rsid w:val="460348D1"/>
    <w:rsid w:val="46054AED"/>
    <w:rsid w:val="460D64F3"/>
    <w:rsid w:val="464F1C02"/>
    <w:rsid w:val="464F7B16"/>
    <w:rsid w:val="466F2638"/>
    <w:rsid w:val="46722E9B"/>
    <w:rsid w:val="469A7FF6"/>
    <w:rsid w:val="469F0A9E"/>
    <w:rsid w:val="46A11BA1"/>
    <w:rsid w:val="46EE732F"/>
    <w:rsid w:val="47060312"/>
    <w:rsid w:val="4719209A"/>
    <w:rsid w:val="475779E8"/>
    <w:rsid w:val="47794A11"/>
    <w:rsid w:val="47804A42"/>
    <w:rsid w:val="478D6579"/>
    <w:rsid w:val="47A143A2"/>
    <w:rsid w:val="47B71069"/>
    <w:rsid w:val="48132F14"/>
    <w:rsid w:val="48335942"/>
    <w:rsid w:val="48AC1250"/>
    <w:rsid w:val="48BD16AF"/>
    <w:rsid w:val="48D66C7A"/>
    <w:rsid w:val="48E105FA"/>
    <w:rsid w:val="48E34354"/>
    <w:rsid w:val="48F03833"/>
    <w:rsid w:val="48FC2F4A"/>
    <w:rsid w:val="49036E3A"/>
    <w:rsid w:val="491A32E7"/>
    <w:rsid w:val="493556E9"/>
    <w:rsid w:val="49470F79"/>
    <w:rsid w:val="49506444"/>
    <w:rsid w:val="49557B3A"/>
    <w:rsid w:val="49620E28"/>
    <w:rsid w:val="496F2273"/>
    <w:rsid w:val="49931665"/>
    <w:rsid w:val="499E6DEB"/>
    <w:rsid w:val="49DB1022"/>
    <w:rsid w:val="49E71F57"/>
    <w:rsid w:val="49ED46D6"/>
    <w:rsid w:val="4A1D33CB"/>
    <w:rsid w:val="4A4B0CBA"/>
    <w:rsid w:val="4AA41178"/>
    <w:rsid w:val="4AEB2504"/>
    <w:rsid w:val="4AEE1C45"/>
    <w:rsid w:val="4AF35701"/>
    <w:rsid w:val="4AF74536"/>
    <w:rsid w:val="4AF8077D"/>
    <w:rsid w:val="4B0E35D5"/>
    <w:rsid w:val="4B1B12F2"/>
    <w:rsid w:val="4B1E34DF"/>
    <w:rsid w:val="4B283107"/>
    <w:rsid w:val="4B392546"/>
    <w:rsid w:val="4B4657DE"/>
    <w:rsid w:val="4B491A26"/>
    <w:rsid w:val="4B65281E"/>
    <w:rsid w:val="4B6E4EE3"/>
    <w:rsid w:val="4B840262"/>
    <w:rsid w:val="4B8C6395"/>
    <w:rsid w:val="4BAF3531"/>
    <w:rsid w:val="4BF624AA"/>
    <w:rsid w:val="4C0223E7"/>
    <w:rsid w:val="4C202114"/>
    <w:rsid w:val="4C3600A4"/>
    <w:rsid w:val="4C5D2FD0"/>
    <w:rsid w:val="4C5D3D1E"/>
    <w:rsid w:val="4C981C3F"/>
    <w:rsid w:val="4CD718F5"/>
    <w:rsid w:val="4CDD6765"/>
    <w:rsid w:val="4D204A83"/>
    <w:rsid w:val="4D267F84"/>
    <w:rsid w:val="4D2B547F"/>
    <w:rsid w:val="4D4E28D6"/>
    <w:rsid w:val="4D7A36CB"/>
    <w:rsid w:val="4D822F7E"/>
    <w:rsid w:val="4D832F3E"/>
    <w:rsid w:val="4D99574F"/>
    <w:rsid w:val="4D9B5CE1"/>
    <w:rsid w:val="4DDA3031"/>
    <w:rsid w:val="4E053C7B"/>
    <w:rsid w:val="4E0E5A4F"/>
    <w:rsid w:val="4E4435E1"/>
    <w:rsid w:val="4EAC1167"/>
    <w:rsid w:val="4EBF39F7"/>
    <w:rsid w:val="4EE52C6D"/>
    <w:rsid w:val="4F01127F"/>
    <w:rsid w:val="4F427061"/>
    <w:rsid w:val="4F860A4D"/>
    <w:rsid w:val="4FAB2D1B"/>
    <w:rsid w:val="4FF37764"/>
    <w:rsid w:val="50096F88"/>
    <w:rsid w:val="50146059"/>
    <w:rsid w:val="50477724"/>
    <w:rsid w:val="506130BA"/>
    <w:rsid w:val="506D5769"/>
    <w:rsid w:val="507C3BFE"/>
    <w:rsid w:val="50E45A03"/>
    <w:rsid w:val="51150190"/>
    <w:rsid w:val="51512E75"/>
    <w:rsid w:val="51567489"/>
    <w:rsid w:val="51D5048D"/>
    <w:rsid w:val="51E51FEE"/>
    <w:rsid w:val="520B7D74"/>
    <w:rsid w:val="52100AA2"/>
    <w:rsid w:val="522768AD"/>
    <w:rsid w:val="523251E2"/>
    <w:rsid w:val="52720E14"/>
    <w:rsid w:val="527B46FD"/>
    <w:rsid w:val="52853F43"/>
    <w:rsid w:val="528E51B8"/>
    <w:rsid w:val="5299186C"/>
    <w:rsid w:val="52A6664F"/>
    <w:rsid w:val="52B15411"/>
    <w:rsid w:val="52CC7DF3"/>
    <w:rsid w:val="52CE1289"/>
    <w:rsid w:val="52EB079C"/>
    <w:rsid w:val="531B4AC6"/>
    <w:rsid w:val="53277BCE"/>
    <w:rsid w:val="534C3D5B"/>
    <w:rsid w:val="535004C8"/>
    <w:rsid w:val="536C61AC"/>
    <w:rsid w:val="538423E9"/>
    <w:rsid w:val="538B7847"/>
    <w:rsid w:val="5398065B"/>
    <w:rsid w:val="539F3E8B"/>
    <w:rsid w:val="53A22BE3"/>
    <w:rsid w:val="53A53928"/>
    <w:rsid w:val="53FF3DB2"/>
    <w:rsid w:val="540A1104"/>
    <w:rsid w:val="541859EC"/>
    <w:rsid w:val="54420CBA"/>
    <w:rsid w:val="544D712B"/>
    <w:rsid w:val="54800E8E"/>
    <w:rsid w:val="5483555B"/>
    <w:rsid w:val="548A4BDF"/>
    <w:rsid w:val="549E4143"/>
    <w:rsid w:val="54A408D5"/>
    <w:rsid w:val="54B57808"/>
    <w:rsid w:val="552A2DE1"/>
    <w:rsid w:val="553920BD"/>
    <w:rsid w:val="55676834"/>
    <w:rsid w:val="55771FC6"/>
    <w:rsid w:val="557E0A27"/>
    <w:rsid w:val="55C5000F"/>
    <w:rsid w:val="55D10548"/>
    <w:rsid w:val="55D36179"/>
    <w:rsid w:val="563B33DC"/>
    <w:rsid w:val="56814E3E"/>
    <w:rsid w:val="56982E14"/>
    <w:rsid w:val="56B87FF7"/>
    <w:rsid w:val="56D12D5D"/>
    <w:rsid w:val="56E95B74"/>
    <w:rsid w:val="56F53225"/>
    <w:rsid w:val="57047B95"/>
    <w:rsid w:val="57236B81"/>
    <w:rsid w:val="573773E9"/>
    <w:rsid w:val="57415259"/>
    <w:rsid w:val="57593089"/>
    <w:rsid w:val="5794682F"/>
    <w:rsid w:val="57A852D8"/>
    <w:rsid w:val="57BF2D4E"/>
    <w:rsid w:val="57D0356B"/>
    <w:rsid w:val="57D52571"/>
    <w:rsid w:val="57E82455"/>
    <w:rsid w:val="57F047F5"/>
    <w:rsid w:val="582564D7"/>
    <w:rsid w:val="58264E59"/>
    <w:rsid w:val="582B34CF"/>
    <w:rsid w:val="583848AE"/>
    <w:rsid w:val="58402AE0"/>
    <w:rsid w:val="58603F84"/>
    <w:rsid w:val="589A7317"/>
    <w:rsid w:val="58B0750F"/>
    <w:rsid w:val="58B35CA0"/>
    <w:rsid w:val="58E41F09"/>
    <w:rsid w:val="58FE1654"/>
    <w:rsid w:val="590651C6"/>
    <w:rsid w:val="59255A95"/>
    <w:rsid w:val="592866D1"/>
    <w:rsid w:val="59312499"/>
    <w:rsid w:val="595A2AA1"/>
    <w:rsid w:val="59754D64"/>
    <w:rsid w:val="59934492"/>
    <w:rsid w:val="599F5584"/>
    <w:rsid w:val="59BF0C4D"/>
    <w:rsid w:val="59F640F1"/>
    <w:rsid w:val="5A2B3EF4"/>
    <w:rsid w:val="5A32585F"/>
    <w:rsid w:val="5A3776B2"/>
    <w:rsid w:val="5A3879B1"/>
    <w:rsid w:val="5A3B68D8"/>
    <w:rsid w:val="5A51742C"/>
    <w:rsid w:val="5A780863"/>
    <w:rsid w:val="5A9C07B2"/>
    <w:rsid w:val="5AA10B95"/>
    <w:rsid w:val="5AC62645"/>
    <w:rsid w:val="5ACD3059"/>
    <w:rsid w:val="5AEE5383"/>
    <w:rsid w:val="5B056235"/>
    <w:rsid w:val="5B0C581F"/>
    <w:rsid w:val="5B677436"/>
    <w:rsid w:val="5B8D79ED"/>
    <w:rsid w:val="5BA46702"/>
    <w:rsid w:val="5BA83B17"/>
    <w:rsid w:val="5BBE7DF7"/>
    <w:rsid w:val="5BC62257"/>
    <w:rsid w:val="5BD3501A"/>
    <w:rsid w:val="5C0B5D25"/>
    <w:rsid w:val="5C26298E"/>
    <w:rsid w:val="5C4E644E"/>
    <w:rsid w:val="5C6006D9"/>
    <w:rsid w:val="5C9127DF"/>
    <w:rsid w:val="5C913374"/>
    <w:rsid w:val="5C9218B6"/>
    <w:rsid w:val="5C997D95"/>
    <w:rsid w:val="5CA93FCD"/>
    <w:rsid w:val="5CAE1C5C"/>
    <w:rsid w:val="5CBE07F4"/>
    <w:rsid w:val="5CC608C4"/>
    <w:rsid w:val="5CEA4624"/>
    <w:rsid w:val="5CF36FF6"/>
    <w:rsid w:val="5CFC234E"/>
    <w:rsid w:val="5D080CF3"/>
    <w:rsid w:val="5D0C4449"/>
    <w:rsid w:val="5D2B3347"/>
    <w:rsid w:val="5D762135"/>
    <w:rsid w:val="5D7E3D19"/>
    <w:rsid w:val="5DA153CA"/>
    <w:rsid w:val="5DBC1DC9"/>
    <w:rsid w:val="5DC43727"/>
    <w:rsid w:val="5DD07337"/>
    <w:rsid w:val="5DDC3B9C"/>
    <w:rsid w:val="5DFF67AF"/>
    <w:rsid w:val="5E2E21D3"/>
    <w:rsid w:val="5E4B6CD4"/>
    <w:rsid w:val="5E64625A"/>
    <w:rsid w:val="5E67591F"/>
    <w:rsid w:val="5E743855"/>
    <w:rsid w:val="5E953FF5"/>
    <w:rsid w:val="5EBB4155"/>
    <w:rsid w:val="5EBE461E"/>
    <w:rsid w:val="5EC22FE7"/>
    <w:rsid w:val="5ED33DDE"/>
    <w:rsid w:val="5EE057F0"/>
    <w:rsid w:val="5F170E02"/>
    <w:rsid w:val="5F6661A5"/>
    <w:rsid w:val="5FC812E1"/>
    <w:rsid w:val="60181471"/>
    <w:rsid w:val="6042276E"/>
    <w:rsid w:val="605305D2"/>
    <w:rsid w:val="60716B51"/>
    <w:rsid w:val="609F0BE8"/>
    <w:rsid w:val="611759A9"/>
    <w:rsid w:val="612400C6"/>
    <w:rsid w:val="61325D85"/>
    <w:rsid w:val="61330309"/>
    <w:rsid w:val="613C715F"/>
    <w:rsid w:val="614C45C2"/>
    <w:rsid w:val="6162741E"/>
    <w:rsid w:val="61633837"/>
    <w:rsid w:val="619C0D54"/>
    <w:rsid w:val="61AA24B2"/>
    <w:rsid w:val="61B559C9"/>
    <w:rsid w:val="61C10516"/>
    <w:rsid w:val="61D8036A"/>
    <w:rsid w:val="61F61177"/>
    <w:rsid w:val="61FA7BC0"/>
    <w:rsid w:val="62061579"/>
    <w:rsid w:val="620850D8"/>
    <w:rsid w:val="620B6608"/>
    <w:rsid w:val="6223212B"/>
    <w:rsid w:val="62293020"/>
    <w:rsid w:val="625D388F"/>
    <w:rsid w:val="62700306"/>
    <w:rsid w:val="6277148C"/>
    <w:rsid w:val="627B785A"/>
    <w:rsid w:val="62EE6294"/>
    <w:rsid w:val="62F56FFB"/>
    <w:rsid w:val="62F873C6"/>
    <w:rsid w:val="630C78A2"/>
    <w:rsid w:val="631811F9"/>
    <w:rsid w:val="63332842"/>
    <w:rsid w:val="6338786C"/>
    <w:rsid w:val="635D166D"/>
    <w:rsid w:val="635F1070"/>
    <w:rsid w:val="63663C6E"/>
    <w:rsid w:val="63732A2E"/>
    <w:rsid w:val="637F4537"/>
    <w:rsid w:val="63846BFA"/>
    <w:rsid w:val="6388493C"/>
    <w:rsid w:val="639B14F1"/>
    <w:rsid w:val="63DC35A2"/>
    <w:rsid w:val="64497237"/>
    <w:rsid w:val="644A6763"/>
    <w:rsid w:val="6458713F"/>
    <w:rsid w:val="64B61035"/>
    <w:rsid w:val="64C134D4"/>
    <w:rsid w:val="64D17DD0"/>
    <w:rsid w:val="64D92D39"/>
    <w:rsid w:val="64F1286C"/>
    <w:rsid w:val="64FA7837"/>
    <w:rsid w:val="65257F68"/>
    <w:rsid w:val="6539772E"/>
    <w:rsid w:val="65773904"/>
    <w:rsid w:val="65A25A5D"/>
    <w:rsid w:val="65AA7ED4"/>
    <w:rsid w:val="65B51681"/>
    <w:rsid w:val="65BC5116"/>
    <w:rsid w:val="65C07C91"/>
    <w:rsid w:val="65C53559"/>
    <w:rsid w:val="65D04378"/>
    <w:rsid w:val="66634A35"/>
    <w:rsid w:val="66703465"/>
    <w:rsid w:val="66711486"/>
    <w:rsid w:val="66772B67"/>
    <w:rsid w:val="667F610B"/>
    <w:rsid w:val="669332A9"/>
    <w:rsid w:val="66A838D4"/>
    <w:rsid w:val="66D659BE"/>
    <w:rsid w:val="670D4EDB"/>
    <w:rsid w:val="67584625"/>
    <w:rsid w:val="675E7762"/>
    <w:rsid w:val="676A6010"/>
    <w:rsid w:val="67844D97"/>
    <w:rsid w:val="679F4002"/>
    <w:rsid w:val="67AF3709"/>
    <w:rsid w:val="67B927F7"/>
    <w:rsid w:val="67C07B0C"/>
    <w:rsid w:val="67C26372"/>
    <w:rsid w:val="67F45EB1"/>
    <w:rsid w:val="6800627B"/>
    <w:rsid w:val="686471F3"/>
    <w:rsid w:val="68A5389A"/>
    <w:rsid w:val="68BD1306"/>
    <w:rsid w:val="68CC0A7B"/>
    <w:rsid w:val="690A5DF3"/>
    <w:rsid w:val="692F7608"/>
    <w:rsid w:val="693A3C94"/>
    <w:rsid w:val="699072D5"/>
    <w:rsid w:val="69EF3CFC"/>
    <w:rsid w:val="6A1C4030"/>
    <w:rsid w:val="6A60677C"/>
    <w:rsid w:val="6A61315C"/>
    <w:rsid w:val="6A6854FB"/>
    <w:rsid w:val="6ACA30EF"/>
    <w:rsid w:val="6AE22020"/>
    <w:rsid w:val="6AFE7F06"/>
    <w:rsid w:val="6B163F01"/>
    <w:rsid w:val="6B18454C"/>
    <w:rsid w:val="6B3449D8"/>
    <w:rsid w:val="6B44190F"/>
    <w:rsid w:val="6B6A1504"/>
    <w:rsid w:val="6B7660F1"/>
    <w:rsid w:val="6B8805B7"/>
    <w:rsid w:val="6B8C31C6"/>
    <w:rsid w:val="6B9A16B0"/>
    <w:rsid w:val="6BBB2B79"/>
    <w:rsid w:val="6BC37EBD"/>
    <w:rsid w:val="6BEE1B1F"/>
    <w:rsid w:val="6BF222BC"/>
    <w:rsid w:val="6BFD5ADD"/>
    <w:rsid w:val="6C496C32"/>
    <w:rsid w:val="6C4A0645"/>
    <w:rsid w:val="6C5555D7"/>
    <w:rsid w:val="6C5E29A1"/>
    <w:rsid w:val="6C8469CD"/>
    <w:rsid w:val="6C883B28"/>
    <w:rsid w:val="6CAF3E08"/>
    <w:rsid w:val="6D055307"/>
    <w:rsid w:val="6D0B294D"/>
    <w:rsid w:val="6D0F2724"/>
    <w:rsid w:val="6D34343E"/>
    <w:rsid w:val="6D580A73"/>
    <w:rsid w:val="6D765805"/>
    <w:rsid w:val="6D853231"/>
    <w:rsid w:val="6D9A533D"/>
    <w:rsid w:val="6DA47FDB"/>
    <w:rsid w:val="6DC24155"/>
    <w:rsid w:val="6DCF13B9"/>
    <w:rsid w:val="6DFB5D0A"/>
    <w:rsid w:val="6E13574A"/>
    <w:rsid w:val="6E1A3DCB"/>
    <w:rsid w:val="6E237077"/>
    <w:rsid w:val="6E390A34"/>
    <w:rsid w:val="6E843F52"/>
    <w:rsid w:val="6E895A0C"/>
    <w:rsid w:val="6EA77C40"/>
    <w:rsid w:val="6EB81E4D"/>
    <w:rsid w:val="6F6B6B85"/>
    <w:rsid w:val="6FA56875"/>
    <w:rsid w:val="6FAA3E8C"/>
    <w:rsid w:val="6FC43A9D"/>
    <w:rsid w:val="6FDF1606"/>
    <w:rsid w:val="6FF814B9"/>
    <w:rsid w:val="701418C2"/>
    <w:rsid w:val="702D1E02"/>
    <w:rsid w:val="7037771F"/>
    <w:rsid w:val="707149AA"/>
    <w:rsid w:val="70743576"/>
    <w:rsid w:val="70A63B08"/>
    <w:rsid w:val="70C3758A"/>
    <w:rsid w:val="70D162B1"/>
    <w:rsid w:val="70DF7033"/>
    <w:rsid w:val="71045017"/>
    <w:rsid w:val="71073633"/>
    <w:rsid w:val="710904E6"/>
    <w:rsid w:val="71162BC3"/>
    <w:rsid w:val="71257C6E"/>
    <w:rsid w:val="7129096F"/>
    <w:rsid w:val="712C7364"/>
    <w:rsid w:val="71436346"/>
    <w:rsid w:val="71B27028"/>
    <w:rsid w:val="71B57799"/>
    <w:rsid w:val="71CC633B"/>
    <w:rsid w:val="71EF0F7D"/>
    <w:rsid w:val="729B0011"/>
    <w:rsid w:val="72AC3A77"/>
    <w:rsid w:val="72B7759F"/>
    <w:rsid w:val="72F042DC"/>
    <w:rsid w:val="72FE42B8"/>
    <w:rsid w:val="7312546F"/>
    <w:rsid w:val="733046A8"/>
    <w:rsid w:val="73445EC6"/>
    <w:rsid w:val="734C778A"/>
    <w:rsid w:val="737F4524"/>
    <w:rsid w:val="73874C52"/>
    <w:rsid w:val="739A5360"/>
    <w:rsid w:val="739B6B88"/>
    <w:rsid w:val="739F0A39"/>
    <w:rsid w:val="73A36C4B"/>
    <w:rsid w:val="73B54BAD"/>
    <w:rsid w:val="73CA0EB2"/>
    <w:rsid w:val="73E47A11"/>
    <w:rsid w:val="73FC7501"/>
    <w:rsid w:val="73FD3278"/>
    <w:rsid w:val="741928EC"/>
    <w:rsid w:val="741E260C"/>
    <w:rsid w:val="7428537F"/>
    <w:rsid w:val="749018A2"/>
    <w:rsid w:val="74C01A5C"/>
    <w:rsid w:val="751029E3"/>
    <w:rsid w:val="754601B3"/>
    <w:rsid w:val="75DF6571"/>
    <w:rsid w:val="75F61C4F"/>
    <w:rsid w:val="75FC2F67"/>
    <w:rsid w:val="75FE7663"/>
    <w:rsid w:val="760342F6"/>
    <w:rsid w:val="7611222F"/>
    <w:rsid w:val="761A7C28"/>
    <w:rsid w:val="7623456A"/>
    <w:rsid w:val="762C55FB"/>
    <w:rsid w:val="76485DDD"/>
    <w:rsid w:val="76601FFC"/>
    <w:rsid w:val="766306AC"/>
    <w:rsid w:val="76665F88"/>
    <w:rsid w:val="769D5ED7"/>
    <w:rsid w:val="76B2751A"/>
    <w:rsid w:val="76B876CE"/>
    <w:rsid w:val="76BF67F2"/>
    <w:rsid w:val="76C6276D"/>
    <w:rsid w:val="76CC02DA"/>
    <w:rsid w:val="770A12C8"/>
    <w:rsid w:val="770F5ED0"/>
    <w:rsid w:val="77304C77"/>
    <w:rsid w:val="7735668B"/>
    <w:rsid w:val="774861C7"/>
    <w:rsid w:val="778E5D01"/>
    <w:rsid w:val="77AD760B"/>
    <w:rsid w:val="77C83F73"/>
    <w:rsid w:val="78006D3F"/>
    <w:rsid w:val="78174088"/>
    <w:rsid w:val="78362F6E"/>
    <w:rsid w:val="78370600"/>
    <w:rsid w:val="78415AB7"/>
    <w:rsid w:val="7858084F"/>
    <w:rsid w:val="78674A79"/>
    <w:rsid w:val="786D7B25"/>
    <w:rsid w:val="78787715"/>
    <w:rsid w:val="78812D47"/>
    <w:rsid w:val="78861E06"/>
    <w:rsid w:val="78A32AA7"/>
    <w:rsid w:val="78AF300A"/>
    <w:rsid w:val="78B84A7D"/>
    <w:rsid w:val="78CB43CD"/>
    <w:rsid w:val="78DD2BDC"/>
    <w:rsid w:val="790673B4"/>
    <w:rsid w:val="790E548B"/>
    <w:rsid w:val="791D747D"/>
    <w:rsid w:val="792E3346"/>
    <w:rsid w:val="79314CD6"/>
    <w:rsid w:val="793F25E5"/>
    <w:rsid w:val="798028C5"/>
    <w:rsid w:val="79A67472"/>
    <w:rsid w:val="79AE27CB"/>
    <w:rsid w:val="79BF7C3B"/>
    <w:rsid w:val="79C21A2B"/>
    <w:rsid w:val="79CA006C"/>
    <w:rsid w:val="7A0B7BCF"/>
    <w:rsid w:val="7A384B54"/>
    <w:rsid w:val="7A3E2302"/>
    <w:rsid w:val="7A4D1FE3"/>
    <w:rsid w:val="7A691309"/>
    <w:rsid w:val="7A837C4E"/>
    <w:rsid w:val="7A8F5FE5"/>
    <w:rsid w:val="7A9856F3"/>
    <w:rsid w:val="7AA67B95"/>
    <w:rsid w:val="7ABD5135"/>
    <w:rsid w:val="7AE80C9A"/>
    <w:rsid w:val="7B18439F"/>
    <w:rsid w:val="7B40617B"/>
    <w:rsid w:val="7B707964"/>
    <w:rsid w:val="7B752FA7"/>
    <w:rsid w:val="7BAE37D0"/>
    <w:rsid w:val="7BAE62E8"/>
    <w:rsid w:val="7BB0282A"/>
    <w:rsid w:val="7BBF4352"/>
    <w:rsid w:val="7BD45C18"/>
    <w:rsid w:val="7C241981"/>
    <w:rsid w:val="7C3E1B1F"/>
    <w:rsid w:val="7C597EB8"/>
    <w:rsid w:val="7C7A24E5"/>
    <w:rsid w:val="7C7A4E0E"/>
    <w:rsid w:val="7CA40E8B"/>
    <w:rsid w:val="7CC055E5"/>
    <w:rsid w:val="7CDE5175"/>
    <w:rsid w:val="7CE06A63"/>
    <w:rsid w:val="7CFF60C4"/>
    <w:rsid w:val="7D0211AE"/>
    <w:rsid w:val="7D0270B5"/>
    <w:rsid w:val="7D117BBB"/>
    <w:rsid w:val="7D2675D0"/>
    <w:rsid w:val="7D2B72C1"/>
    <w:rsid w:val="7D362AB8"/>
    <w:rsid w:val="7D5176F5"/>
    <w:rsid w:val="7D87238A"/>
    <w:rsid w:val="7D890ACB"/>
    <w:rsid w:val="7D902913"/>
    <w:rsid w:val="7DCF3B2B"/>
    <w:rsid w:val="7E046E5D"/>
    <w:rsid w:val="7E1D5AA3"/>
    <w:rsid w:val="7E416CED"/>
    <w:rsid w:val="7E5409CF"/>
    <w:rsid w:val="7E890F19"/>
    <w:rsid w:val="7E8C4CB0"/>
    <w:rsid w:val="7EA32746"/>
    <w:rsid w:val="7EAF1681"/>
    <w:rsid w:val="7EFC017C"/>
    <w:rsid w:val="7F0E52CF"/>
    <w:rsid w:val="7F0F7842"/>
    <w:rsid w:val="7F1460DC"/>
    <w:rsid w:val="7F65392B"/>
    <w:rsid w:val="7F7B3F7D"/>
    <w:rsid w:val="7F896D93"/>
    <w:rsid w:val="7F8A5F55"/>
    <w:rsid w:val="7F9A3684"/>
    <w:rsid w:val="7FB56661"/>
    <w:rsid w:val="7FC72C59"/>
    <w:rsid w:val="7FE54E2A"/>
    <w:rsid w:val="7FE5632B"/>
    <w:rsid w:val="7FEB051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2"/>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3">
    <w:name w:val="heading 2"/>
    <w:basedOn w:val="1"/>
    <w:next w:val="1"/>
    <w:link w:val="117"/>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line="360" w:lineRule="auto"/>
      <w:outlineLvl w:val="3"/>
    </w:pPr>
    <w:rPr>
      <w:rFonts w:ascii="Arial" w:hAnsi="Arial" w:eastAsia="宋体" w:cs="Times New Roman"/>
      <w:b/>
      <w:bCs/>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7">
    <w:name w:val="Default Paragraph Font"/>
    <w:qFormat/>
    <w:uiPriority w:val="0"/>
    <w:rPr>
      <w:rFonts w:ascii="Calibri" w:hAnsi="Calibri" w:eastAsia="宋体" w:cs="Times New Roman"/>
    </w:rPr>
  </w:style>
  <w:style w:type="table" w:default="1" w:styleId="35">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Calibri" w:hAnsi="Calibri" w:eastAsia="宋体" w:cs="Times New Roman"/>
    </w:rPr>
  </w:style>
  <w:style w:type="paragraph" w:styleId="8">
    <w:name w:val="Normal Indent"/>
    <w:basedOn w:val="1"/>
    <w:next w:val="1"/>
    <w:qFormat/>
    <w:uiPriority w:val="0"/>
    <w:pPr>
      <w:widowControl/>
      <w:ind w:firstLine="420"/>
      <w:jc w:val="left"/>
    </w:pPr>
    <w:rPr>
      <w:rFonts w:ascii="Calibri" w:hAnsi="Calibri" w:eastAsia="宋体" w:cs="Times New Roman"/>
      <w:kern w:val="0"/>
      <w:sz w:val="20"/>
    </w:rPr>
  </w:style>
  <w:style w:type="paragraph" w:styleId="9">
    <w:name w:val="annotation text"/>
    <w:basedOn w:val="1"/>
    <w:qFormat/>
    <w:uiPriority w:val="0"/>
    <w:pPr>
      <w:adjustRightInd w:val="0"/>
      <w:spacing w:line="360" w:lineRule="atLeast"/>
      <w:jc w:val="left"/>
      <w:textAlignment w:val="baseline"/>
    </w:pPr>
    <w:rPr>
      <w:rFonts w:ascii="Calibri" w:hAnsi="Calibri" w:eastAsia="宋体" w:cs="Times New Roman"/>
      <w:kern w:val="0"/>
      <w:sz w:val="24"/>
    </w:rPr>
  </w:style>
  <w:style w:type="paragraph" w:styleId="10">
    <w:name w:val="Body Text 3"/>
    <w:basedOn w:val="1"/>
    <w:qFormat/>
    <w:uiPriority w:val="0"/>
    <w:rPr>
      <w:rFonts w:ascii="宋体" w:hAnsi="Calibri" w:eastAsia="宋体" w:cs="Times New Roman"/>
      <w:sz w:val="24"/>
      <w:szCs w:val="20"/>
    </w:rPr>
  </w:style>
  <w:style w:type="paragraph" w:styleId="11">
    <w:name w:val="Body Text"/>
    <w:basedOn w:val="1"/>
    <w:next w:val="1"/>
    <w:qFormat/>
    <w:uiPriority w:val="0"/>
    <w:rPr>
      <w:rFonts w:ascii="宋体" w:hAnsi="宋体" w:eastAsia="宋体" w:cs="Times New Roman"/>
      <w:sz w:val="30"/>
      <w:szCs w:val="20"/>
    </w:rPr>
  </w:style>
  <w:style w:type="paragraph" w:styleId="12">
    <w:name w:val="Body Text Indent"/>
    <w:basedOn w:val="1"/>
    <w:qFormat/>
    <w:uiPriority w:val="0"/>
    <w:pPr>
      <w:ind w:firstLine="600" w:firstLineChars="200"/>
    </w:pPr>
    <w:rPr>
      <w:rFonts w:ascii="宋体" w:hAnsi="宋体" w:eastAsia="宋体" w:cs="Times New Roman"/>
      <w:sz w:val="30"/>
      <w:szCs w:val="20"/>
    </w:rPr>
  </w:style>
  <w:style w:type="paragraph" w:styleId="13">
    <w:name w:val="Block Text"/>
    <w:basedOn w:val="1"/>
    <w:qFormat/>
    <w:uiPriority w:val="0"/>
    <w:pPr>
      <w:ind w:left="1440" w:leftChars="700" w:right="700" w:rightChars="700"/>
    </w:pPr>
    <w:rPr>
      <w:rFonts w:ascii="Calibri" w:hAnsi="Calibri" w:eastAsia="宋体" w:cs="Times New Roman"/>
    </w:rPr>
  </w:style>
  <w:style w:type="paragraph" w:styleId="14">
    <w:name w:val="toc 5"/>
    <w:basedOn w:val="1"/>
    <w:next w:val="1"/>
    <w:qFormat/>
    <w:uiPriority w:val="0"/>
    <w:pPr>
      <w:ind w:left="1680" w:leftChars="800"/>
    </w:pPr>
    <w:rPr>
      <w:rFonts w:ascii="Calibri" w:hAnsi="Calibri" w:eastAsia="宋体" w:cs="Times New Roman"/>
    </w:rPr>
  </w:style>
  <w:style w:type="paragraph" w:styleId="15">
    <w:name w:val="toc 3"/>
    <w:basedOn w:val="1"/>
    <w:next w:val="1"/>
    <w:qFormat/>
    <w:uiPriority w:val="0"/>
    <w:pPr>
      <w:ind w:left="840" w:leftChars="400"/>
    </w:pPr>
    <w:rPr>
      <w:rFonts w:ascii="Calibri" w:hAnsi="Calibri" w:eastAsia="宋体" w:cs="Times New Roman"/>
    </w:rPr>
  </w:style>
  <w:style w:type="paragraph" w:styleId="16">
    <w:name w:val="Plain Text"/>
    <w:basedOn w:val="1"/>
    <w:qFormat/>
    <w:uiPriority w:val="0"/>
    <w:rPr>
      <w:rFonts w:ascii="宋体" w:hAnsi="Courier New" w:eastAsia="宋体" w:cs="宋体"/>
      <w:szCs w:val="21"/>
    </w:rPr>
  </w:style>
  <w:style w:type="paragraph" w:styleId="17">
    <w:name w:val="toc 8"/>
    <w:basedOn w:val="1"/>
    <w:next w:val="1"/>
    <w:qFormat/>
    <w:uiPriority w:val="0"/>
    <w:pPr>
      <w:ind w:left="2940" w:leftChars="1400"/>
    </w:pPr>
    <w:rPr>
      <w:rFonts w:ascii="Calibri" w:hAnsi="Calibri" w:eastAsia="宋体" w:cs="Times New Roman"/>
    </w:rPr>
  </w:style>
  <w:style w:type="paragraph" w:styleId="18">
    <w:name w:val="Date"/>
    <w:basedOn w:val="1"/>
    <w:next w:val="1"/>
    <w:qFormat/>
    <w:uiPriority w:val="0"/>
    <w:pPr>
      <w:ind w:left="100" w:leftChars="2500"/>
    </w:pPr>
    <w:rPr>
      <w:rFonts w:ascii="Calibri" w:hAnsi="Calibri" w:eastAsia="宋体" w:cs="Times New Roman"/>
    </w:rPr>
  </w:style>
  <w:style w:type="paragraph" w:styleId="19">
    <w:name w:val="Body Text Indent 2"/>
    <w:basedOn w:val="1"/>
    <w:qFormat/>
    <w:uiPriority w:val="0"/>
    <w:pPr>
      <w:autoSpaceDE w:val="0"/>
      <w:autoSpaceDN w:val="0"/>
      <w:adjustRightInd w:val="0"/>
      <w:spacing w:line="640" w:lineRule="exact"/>
      <w:ind w:firstLine="645"/>
    </w:pPr>
    <w:rPr>
      <w:rFonts w:ascii="楷体_GB2312" w:hAnsi="Calibri" w:eastAsia="楷体_GB2312" w:cs="Times New Roman"/>
      <w:kern w:val="0"/>
      <w:sz w:val="32"/>
      <w:szCs w:val="32"/>
    </w:rPr>
  </w:style>
  <w:style w:type="paragraph" w:styleId="20">
    <w:name w:val="footer"/>
    <w:basedOn w:val="1"/>
    <w:link w:val="53"/>
    <w:qFormat/>
    <w:uiPriority w:val="0"/>
    <w:pPr>
      <w:tabs>
        <w:tab w:val="center" w:pos="4153"/>
        <w:tab w:val="right" w:pos="8306"/>
      </w:tabs>
      <w:snapToGrid w:val="0"/>
      <w:jc w:val="left"/>
    </w:pPr>
    <w:rPr>
      <w:rFonts w:ascii="Calibri" w:hAnsi="Calibri" w:eastAsia="宋体" w:cs="Times New Roman"/>
      <w:sz w:val="18"/>
      <w:szCs w:val="20"/>
    </w:rPr>
  </w:style>
  <w:style w:type="paragraph" w:styleId="21">
    <w:name w:val="envelope return"/>
    <w:basedOn w:val="1"/>
    <w:qFormat/>
    <w:uiPriority w:val="0"/>
    <w:pPr>
      <w:snapToGrid w:val="0"/>
    </w:pPr>
    <w:rPr>
      <w:rFonts w:ascii="Arial" w:hAnsi="Arial" w:eastAsia="宋体" w:cs="Times New Roman"/>
    </w:rPr>
  </w:style>
  <w:style w:type="paragraph" w:styleId="22">
    <w:name w:val="header"/>
    <w:basedOn w:val="1"/>
    <w:link w:val="54"/>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0"/>
    <w:rPr>
      <w:rFonts w:ascii="Calibri" w:hAnsi="Calibri" w:eastAsia="宋体" w:cs="Times New Roman"/>
    </w:rPr>
  </w:style>
  <w:style w:type="paragraph" w:styleId="24">
    <w:name w:val="toc 4"/>
    <w:basedOn w:val="1"/>
    <w:next w:val="1"/>
    <w:qFormat/>
    <w:uiPriority w:val="0"/>
    <w:pPr>
      <w:ind w:left="1260" w:leftChars="600"/>
    </w:pPr>
    <w:rPr>
      <w:rFonts w:ascii="Calibri" w:hAnsi="Calibri" w:eastAsia="宋体" w:cs="Times New Roman"/>
    </w:rPr>
  </w:style>
  <w:style w:type="paragraph" w:styleId="25">
    <w:name w:val="toc 6"/>
    <w:basedOn w:val="1"/>
    <w:next w:val="1"/>
    <w:qFormat/>
    <w:uiPriority w:val="0"/>
    <w:pPr>
      <w:ind w:left="2100" w:leftChars="1000"/>
    </w:pPr>
    <w:rPr>
      <w:rFonts w:ascii="Calibri" w:hAnsi="Calibri" w:eastAsia="宋体" w:cs="Times New Roman"/>
    </w:rPr>
  </w:style>
  <w:style w:type="paragraph" w:styleId="26">
    <w:name w:val="toc 2"/>
    <w:basedOn w:val="1"/>
    <w:next w:val="1"/>
    <w:qFormat/>
    <w:uiPriority w:val="0"/>
    <w:pPr>
      <w:ind w:left="420" w:leftChars="200"/>
    </w:pPr>
    <w:rPr>
      <w:rFonts w:ascii="Calibri" w:hAnsi="Calibri" w:eastAsia="宋体" w:cs="Times New Roman"/>
    </w:rPr>
  </w:style>
  <w:style w:type="paragraph" w:styleId="27">
    <w:name w:val="toc 9"/>
    <w:basedOn w:val="1"/>
    <w:next w:val="1"/>
    <w:qFormat/>
    <w:uiPriority w:val="0"/>
    <w:pPr>
      <w:ind w:left="3360" w:leftChars="1600"/>
    </w:pPr>
    <w:rPr>
      <w:rFonts w:ascii="Calibri" w:hAnsi="Calibri" w:eastAsia="宋体" w:cs="Times New Roman"/>
    </w:rPr>
  </w:style>
  <w:style w:type="paragraph" w:styleId="28">
    <w:name w:val="Body Text 2"/>
    <w:basedOn w:val="1"/>
    <w:qFormat/>
    <w:uiPriority w:val="0"/>
    <w:pPr>
      <w:spacing w:line="440" w:lineRule="exact"/>
    </w:pPr>
    <w:rPr>
      <w:rFonts w:ascii="宋体" w:hAnsi="宋体"/>
      <w:color w:val="000000"/>
      <w:kern w:val="0"/>
    </w:rPr>
  </w:style>
  <w:style w:type="paragraph" w:styleId="29">
    <w:name w:val="List Continue 2"/>
    <w:basedOn w:val="1"/>
    <w:qFormat/>
    <w:uiPriority w:val="0"/>
    <w:pPr>
      <w:spacing w:after="120" w:afterLines="0"/>
      <w:ind w:left="840" w:leftChars="400"/>
    </w:pPr>
    <w:rPr>
      <w:rFonts w:ascii="Calibri" w:hAnsi="Calibri" w:eastAsia="宋体" w:cs="Times New Roman"/>
      <w:szCs w:val="20"/>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1">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宋体" w:cs="Arial"/>
      <w:kern w:val="0"/>
      <w:szCs w:val="21"/>
    </w:rPr>
  </w:style>
  <w:style w:type="paragraph" w:styleId="32">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33">
    <w:name w:val="Body Text First Indent"/>
    <w:basedOn w:val="11"/>
    <w:qFormat/>
    <w:uiPriority w:val="0"/>
    <w:pPr>
      <w:ind w:firstLine="420" w:firstLineChars="100"/>
    </w:pPr>
    <w:rPr>
      <w:rFonts w:ascii="Calibri" w:hAnsi="Calibri" w:eastAsia="宋体" w:cs="Times New Roman"/>
    </w:rPr>
  </w:style>
  <w:style w:type="paragraph" w:styleId="34">
    <w:name w:val="Body Text First Indent 2"/>
    <w:basedOn w:val="12"/>
    <w:qFormat/>
    <w:uiPriority w:val="0"/>
    <w:pPr>
      <w:adjustRightInd w:val="0"/>
      <w:spacing w:after="80"/>
      <w:textAlignment w:val="baseline"/>
    </w:pPr>
    <w:rPr>
      <w:rFonts w:ascii="宋体" w:hAnsi="宋体"/>
      <w:color w:val="000000"/>
      <w:kern w:val="0"/>
      <w:szCs w:val="20"/>
    </w:rPr>
  </w:style>
  <w:style w:type="table" w:styleId="36">
    <w:name w:val="Table Grid"/>
    <w:basedOn w:val="35"/>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rFonts w:ascii="Calibri" w:hAnsi="Calibri" w:eastAsia="宋体" w:cs="Times New Roman"/>
      <w:b/>
    </w:rPr>
  </w:style>
  <w:style w:type="character" w:styleId="39">
    <w:name w:val="page number"/>
    <w:qFormat/>
    <w:uiPriority w:val="0"/>
    <w:rPr>
      <w:rFonts w:ascii="Calibri" w:hAnsi="Calibri" w:eastAsia="宋体" w:cs="Times New Roman"/>
    </w:rPr>
  </w:style>
  <w:style w:type="character" w:styleId="40">
    <w:name w:val="FollowedHyperlink"/>
    <w:qFormat/>
    <w:uiPriority w:val="0"/>
    <w:rPr>
      <w:rFonts w:ascii="Calibri" w:hAnsi="Calibri" w:eastAsia="宋体" w:cs="Times New Roman"/>
      <w:color w:val="333333"/>
      <w:u w:val="none"/>
    </w:rPr>
  </w:style>
  <w:style w:type="character" w:styleId="41">
    <w:name w:val="Emphasis"/>
    <w:qFormat/>
    <w:uiPriority w:val="0"/>
    <w:rPr>
      <w:rFonts w:ascii="Calibri" w:hAnsi="Calibri" w:eastAsia="宋体" w:cs="Times New Roman"/>
    </w:rPr>
  </w:style>
  <w:style w:type="character" w:styleId="42">
    <w:name w:val="HTML Definition"/>
    <w:qFormat/>
    <w:uiPriority w:val="0"/>
    <w:rPr>
      <w:rFonts w:ascii="Calibri" w:hAnsi="Calibri" w:eastAsia="宋体" w:cs="Times New Roman"/>
      <w:i/>
      <w:sz w:val="20"/>
      <w:szCs w:val="20"/>
    </w:rPr>
  </w:style>
  <w:style w:type="character" w:styleId="43">
    <w:name w:val="HTML Typewriter"/>
    <w:basedOn w:val="37"/>
    <w:qFormat/>
    <w:uiPriority w:val="0"/>
    <w:rPr>
      <w:rFonts w:hint="default" w:ascii="monospace" w:hAnsi="monospace" w:eastAsia="monospace" w:cs="monospace"/>
      <w:sz w:val="20"/>
    </w:rPr>
  </w:style>
  <w:style w:type="character" w:styleId="44">
    <w:name w:val="HTML Acronym"/>
    <w:basedOn w:val="37"/>
    <w:qFormat/>
    <w:uiPriority w:val="0"/>
  </w:style>
  <w:style w:type="character" w:styleId="45">
    <w:name w:val="HTML Variable"/>
    <w:basedOn w:val="37"/>
    <w:qFormat/>
    <w:uiPriority w:val="0"/>
  </w:style>
  <w:style w:type="character" w:styleId="46">
    <w:name w:val="Hyperlink"/>
    <w:qFormat/>
    <w:uiPriority w:val="0"/>
    <w:rPr>
      <w:rFonts w:hint="default" w:ascii="Times New Roman" w:hAnsi="Times New Roman" w:eastAsia="宋体" w:cs="Times New Roman"/>
      <w:color w:val="0000FF"/>
      <w:u w:val="single"/>
    </w:rPr>
  </w:style>
  <w:style w:type="character" w:styleId="47">
    <w:name w:val="HTML Code"/>
    <w:qFormat/>
    <w:uiPriority w:val="0"/>
    <w:rPr>
      <w:rFonts w:ascii="Consolas" w:hAnsi="Consolas" w:eastAsia="Consolas" w:cs="Consolas"/>
      <w:color w:val="C7254E"/>
      <w:sz w:val="21"/>
      <w:szCs w:val="21"/>
      <w:shd w:val="clear" w:color="auto" w:fill="F9F2F4"/>
    </w:rPr>
  </w:style>
  <w:style w:type="character" w:styleId="48">
    <w:name w:val="annotation reference"/>
    <w:qFormat/>
    <w:uiPriority w:val="0"/>
    <w:rPr>
      <w:rFonts w:ascii="Calibri" w:hAnsi="Calibri" w:eastAsia="宋体" w:cs="Times New Roman"/>
      <w:sz w:val="21"/>
      <w:szCs w:val="21"/>
    </w:rPr>
  </w:style>
  <w:style w:type="character" w:styleId="49">
    <w:name w:val="HTML Cite"/>
    <w:basedOn w:val="37"/>
    <w:qFormat/>
    <w:uiPriority w:val="0"/>
  </w:style>
  <w:style w:type="character" w:styleId="50">
    <w:name w:val="HTML Keyboard"/>
    <w:qFormat/>
    <w:uiPriority w:val="0"/>
    <w:rPr>
      <w:rFonts w:hint="default" w:ascii="Consolas" w:hAnsi="Consolas" w:eastAsia="Consolas" w:cs="Consolas"/>
      <w:color w:val="FFFFFF"/>
      <w:sz w:val="21"/>
      <w:szCs w:val="21"/>
      <w:shd w:val="clear" w:color="auto" w:fill="333333"/>
    </w:rPr>
  </w:style>
  <w:style w:type="character" w:styleId="51">
    <w:name w:val="HTML Sample"/>
    <w:qFormat/>
    <w:uiPriority w:val="0"/>
    <w:rPr>
      <w:rFonts w:hint="default" w:ascii="Consolas" w:hAnsi="Consolas" w:eastAsia="Consolas" w:cs="Consolas"/>
      <w:sz w:val="21"/>
      <w:szCs w:val="21"/>
    </w:rPr>
  </w:style>
  <w:style w:type="character" w:customStyle="1" w:styleId="52">
    <w:name w:val="标题 1 字符"/>
    <w:link w:val="2"/>
    <w:qFormat/>
    <w:uiPriority w:val="0"/>
    <w:rPr>
      <w:rFonts w:ascii="Times New Roman" w:hAnsi="Times New Roman" w:eastAsia="宋体" w:cs="Times New Roman"/>
      <w:b/>
      <w:bCs/>
      <w:kern w:val="44"/>
      <w:sz w:val="28"/>
      <w:szCs w:val="44"/>
    </w:rPr>
  </w:style>
  <w:style w:type="character" w:customStyle="1" w:styleId="53">
    <w:name w:val="页脚 字符"/>
    <w:link w:val="20"/>
    <w:qFormat/>
    <w:uiPriority w:val="0"/>
    <w:rPr>
      <w:rFonts w:ascii="Calibri" w:hAnsi="Calibri" w:eastAsia="宋体" w:cs="Times New Roman"/>
      <w:kern w:val="2"/>
      <w:sz w:val="18"/>
    </w:rPr>
  </w:style>
  <w:style w:type="character" w:customStyle="1" w:styleId="54">
    <w:name w:val="页眉 字符"/>
    <w:link w:val="22"/>
    <w:qFormat/>
    <w:uiPriority w:val="0"/>
    <w:rPr>
      <w:rFonts w:ascii="Calibri" w:hAnsi="Calibri" w:eastAsia="宋体" w:cs="Times New Roman"/>
      <w:kern w:val="2"/>
      <w:sz w:val="18"/>
      <w:szCs w:val="18"/>
    </w:rPr>
  </w:style>
  <w:style w:type="character" w:customStyle="1" w:styleId="55">
    <w:name w:val="HTML 预设格式 字符"/>
    <w:link w:val="31"/>
    <w:qFormat/>
    <w:uiPriority w:val="0"/>
    <w:rPr>
      <w:rFonts w:ascii="Arial" w:hAnsi="Arial" w:eastAsia="宋体" w:cs="Arial"/>
      <w:sz w:val="21"/>
      <w:szCs w:val="21"/>
      <w:lang w:val="en-US" w:eastAsia="zh-CN" w:bidi="ar-SA"/>
    </w:rPr>
  </w:style>
  <w:style w:type="paragraph" w:customStyle="1" w:styleId="56">
    <w:name w:val="BodyText"/>
    <w:basedOn w:val="1"/>
    <w:next w:val="1"/>
    <w:qFormat/>
    <w:uiPriority w:val="0"/>
    <w:pPr>
      <w:jc w:val="center"/>
      <w:textAlignment w:val="baseline"/>
    </w:pPr>
  </w:style>
  <w:style w:type="character" w:customStyle="1" w:styleId="57">
    <w:name w:val="button"/>
    <w:qFormat/>
    <w:uiPriority w:val="0"/>
    <w:rPr>
      <w:rFonts w:ascii="Calibri" w:hAnsi="Calibri" w:eastAsia="宋体" w:cs="Times New Roman"/>
    </w:rPr>
  </w:style>
  <w:style w:type="character" w:customStyle="1" w:styleId="58">
    <w:name w:val="glyphicon4"/>
    <w:qFormat/>
    <w:uiPriority w:val="0"/>
    <w:rPr>
      <w:rFonts w:ascii="Calibri" w:hAnsi="Calibri" w:eastAsia="宋体" w:cs="Times New Roman"/>
    </w:rPr>
  </w:style>
  <w:style w:type="character" w:customStyle="1" w:styleId="59">
    <w:name w:val="font71"/>
    <w:qFormat/>
    <w:uiPriority w:val="0"/>
    <w:rPr>
      <w:rFonts w:hint="eastAsia" w:ascii="宋体" w:hAnsi="宋体" w:eastAsia="宋体" w:cs="宋体"/>
      <w:color w:val="000000"/>
      <w:sz w:val="21"/>
      <w:szCs w:val="21"/>
      <w:u w:val="none"/>
    </w:rPr>
  </w:style>
  <w:style w:type="character" w:customStyle="1" w:styleId="60">
    <w:name w:val="font12"/>
    <w:qFormat/>
    <w:uiPriority w:val="0"/>
    <w:rPr>
      <w:rFonts w:hint="eastAsia" w:ascii="宋体" w:hAnsi="宋体" w:eastAsia="宋体" w:cs="宋体"/>
      <w:color w:val="000000"/>
      <w:sz w:val="18"/>
      <w:szCs w:val="18"/>
      <w:u w:val="none"/>
      <w:vertAlign w:val="superscript"/>
    </w:rPr>
  </w:style>
  <w:style w:type="character" w:customStyle="1" w:styleId="61">
    <w:name w:val="hour_am"/>
    <w:qFormat/>
    <w:uiPriority w:val="0"/>
    <w:rPr>
      <w:rFonts w:ascii="Calibri" w:hAnsi="Calibri" w:eastAsia="宋体" w:cs="Times New Roman"/>
    </w:rPr>
  </w:style>
  <w:style w:type="character" w:customStyle="1" w:styleId="62">
    <w:name w:val="font121"/>
    <w:qFormat/>
    <w:uiPriority w:val="0"/>
    <w:rPr>
      <w:rFonts w:hint="default" w:ascii="Times New Roman" w:hAnsi="Times New Roman" w:eastAsia="宋体" w:cs="Times New Roman"/>
      <w:color w:val="000000"/>
      <w:sz w:val="20"/>
      <w:szCs w:val="20"/>
      <w:u w:val="none"/>
    </w:rPr>
  </w:style>
  <w:style w:type="character" w:customStyle="1" w:styleId="63">
    <w:name w:val="indent"/>
    <w:qFormat/>
    <w:uiPriority w:val="0"/>
    <w:rPr>
      <w:rFonts w:ascii="Calibri" w:hAnsi="Calibri" w:eastAsia="宋体" w:cs="Times New Roman"/>
    </w:rPr>
  </w:style>
  <w:style w:type="character" w:customStyle="1" w:styleId="64">
    <w:name w:val="font21"/>
    <w:qFormat/>
    <w:uiPriority w:val="0"/>
    <w:rPr>
      <w:rFonts w:hint="eastAsia" w:ascii="宋体" w:hAnsi="宋体" w:eastAsia="宋体" w:cs="宋体"/>
      <w:color w:val="000000"/>
      <w:sz w:val="18"/>
      <w:szCs w:val="18"/>
      <w:u w:val="none"/>
    </w:rPr>
  </w:style>
  <w:style w:type="character" w:customStyle="1" w:styleId="65">
    <w:name w:val="font11"/>
    <w:qFormat/>
    <w:uiPriority w:val="0"/>
    <w:rPr>
      <w:rFonts w:hint="eastAsia" w:ascii="宋体" w:hAnsi="宋体" w:eastAsia="宋体" w:cs="宋体"/>
      <w:color w:val="000000"/>
      <w:sz w:val="20"/>
      <w:szCs w:val="20"/>
      <w:u w:val="none"/>
    </w:rPr>
  </w:style>
  <w:style w:type="character" w:customStyle="1" w:styleId="66">
    <w:name w:val="font81"/>
    <w:qFormat/>
    <w:uiPriority w:val="0"/>
    <w:rPr>
      <w:rFonts w:hint="eastAsia" w:ascii="宋体" w:hAnsi="宋体" w:eastAsia="宋体" w:cs="宋体"/>
      <w:color w:val="000000"/>
      <w:sz w:val="21"/>
      <w:szCs w:val="21"/>
      <w:u w:val="none"/>
      <w:vertAlign w:val="superscript"/>
    </w:rPr>
  </w:style>
  <w:style w:type="character" w:customStyle="1" w:styleId="67">
    <w:name w:val="font01"/>
    <w:qFormat/>
    <w:uiPriority w:val="0"/>
    <w:rPr>
      <w:rFonts w:hint="eastAsia" w:ascii="宋体" w:hAnsi="宋体" w:eastAsia="宋体" w:cs="宋体"/>
      <w:color w:val="000000"/>
      <w:sz w:val="20"/>
      <w:szCs w:val="20"/>
      <w:u w:val="none"/>
      <w:vertAlign w:val="superscript"/>
    </w:rPr>
  </w:style>
  <w:style w:type="character" w:customStyle="1" w:styleId="68">
    <w:name w:val="hover3"/>
    <w:qFormat/>
    <w:uiPriority w:val="0"/>
    <w:rPr>
      <w:rFonts w:ascii="Calibri" w:hAnsi="Calibri" w:eastAsia="宋体" w:cs="Times New Roman"/>
      <w:shd w:val="clear" w:color="auto" w:fill="EEEEEE"/>
    </w:rPr>
  </w:style>
  <w:style w:type="character" w:customStyle="1" w:styleId="69">
    <w:name w:val="font51"/>
    <w:qFormat/>
    <w:uiPriority w:val="0"/>
    <w:rPr>
      <w:rFonts w:hint="eastAsia" w:ascii="宋体" w:hAnsi="宋体" w:eastAsia="宋体" w:cs="宋体"/>
      <w:color w:val="000000"/>
      <w:sz w:val="18"/>
      <w:szCs w:val="18"/>
      <w:u w:val="none"/>
    </w:rPr>
  </w:style>
  <w:style w:type="character" w:customStyle="1" w:styleId="70">
    <w:name w:val="font41"/>
    <w:qFormat/>
    <w:uiPriority w:val="0"/>
    <w:rPr>
      <w:rFonts w:hint="eastAsia" w:ascii="宋体" w:hAnsi="宋体" w:eastAsia="宋体" w:cs="宋体"/>
      <w:color w:val="000000"/>
      <w:sz w:val="22"/>
      <w:szCs w:val="22"/>
      <w:u w:val="none"/>
    </w:rPr>
  </w:style>
  <w:style w:type="character" w:customStyle="1" w:styleId="71">
    <w:name w:val="hour_pm"/>
    <w:qFormat/>
    <w:uiPriority w:val="0"/>
    <w:rPr>
      <w:rFonts w:ascii="Calibri" w:hAnsi="Calibri" w:eastAsia="宋体" w:cs="Times New Roman"/>
    </w:rPr>
  </w:style>
  <w:style w:type="character" w:customStyle="1" w:styleId="72">
    <w:name w:val="old"/>
    <w:qFormat/>
    <w:uiPriority w:val="0"/>
    <w:rPr>
      <w:rFonts w:ascii="Calibri" w:hAnsi="Calibri" w:eastAsia="宋体" w:cs="Times New Roman"/>
      <w:color w:val="999999"/>
    </w:rPr>
  </w:style>
  <w:style w:type="character" w:customStyle="1" w:styleId="73">
    <w:name w:val="font61"/>
    <w:qFormat/>
    <w:uiPriority w:val="0"/>
    <w:rPr>
      <w:rFonts w:hint="eastAsia" w:ascii="宋体" w:hAnsi="宋体" w:eastAsia="宋体" w:cs="宋体"/>
      <w:b/>
      <w:color w:val="000000"/>
      <w:sz w:val="20"/>
      <w:szCs w:val="20"/>
      <w:u w:val="none"/>
    </w:rPr>
  </w:style>
  <w:style w:type="character" w:customStyle="1" w:styleId="74">
    <w:name w:val="font101"/>
    <w:qFormat/>
    <w:uiPriority w:val="0"/>
    <w:rPr>
      <w:rFonts w:ascii="华文中宋" w:hAnsi="华文中宋" w:eastAsia="华文中宋" w:cs="华文中宋"/>
      <w:color w:val="000000"/>
      <w:sz w:val="21"/>
      <w:szCs w:val="21"/>
      <w:u w:val="none"/>
      <w:vertAlign w:val="superscript"/>
    </w:rPr>
  </w:style>
  <w:style w:type="character" w:customStyle="1" w:styleId="75">
    <w:name w:val="tmpztreemove_arrow"/>
    <w:qFormat/>
    <w:uiPriority w:val="0"/>
    <w:rPr>
      <w:rFonts w:ascii="Calibri" w:hAnsi="Calibri" w:eastAsia="宋体" w:cs="Times New Roman"/>
      <w:shd w:val="clear" w:color="auto" w:fill="FFFFFF"/>
    </w:rPr>
  </w:style>
  <w:style w:type="character" w:customStyle="1" w:styleId="76">
    <w:name w:val="font31"/>
    <w:qFormat/>
    <w:uiPriority w:val="0"/>
    <w:rPr>
      <w:rFonts w:hint="eastAsia" w:ascii="宋体" w:hAnsi="宋体" w:eastAsia="宋体" w:cs="宋体"/>
      <w:color w:val="000000"/>
      <w:sz w:val="22"/>
      <w:szCs w:val="22"/>
      <w:u w:val="none"/>
    </w:rPr>
  </w:style>
  <w:style w:type="character" w:customStyle="1" w:styleId="77">
    <w:name w:val="正文1"/>
    <w:qFormat/>
    <w:uiPriority w:val="0"/>
    <w:rPr>
      <w:rFonts w:hint="eastAsia" w:ascii="宋体" w:hAnsi="宋体" w:eastAsia="宋体" w:cs="Times New Roman"/>
      <w:sz w:val="22"/>
      <w:szCs w:val="22"/>
    </w:rPr>
  </w:style>
  <w:style w:type="paragraph" w:customStyle="1" w:styleId="78">
    <w:name w:val="WPSOffice手动目录 1"/>
    <w:qFormat/>
    <w:uiPriority w:val="0"/>
    <w:rPr>
      <w:rFonts w:ascii="Calibri" w:hAnsi="Calibri" w:eastAsia="宋体" w:cs="Times New Roman"/>
      <w:lang w:val="en-US" w:eastAsia="zh-CN" w:bidi="ar-SA"/>
    </w:rPr>
  </w:style>
  <w:style w:type="paragraph" w:customStyle="1" w:styleId="79">
    <w:name w:val="_Style 7"/>
    <w:basedOn w:val="1"/>
    <w:qFormat/>
    <w:uiPriority w:val="0"/>
    <w:pPr>
      <w:ind w:firstLine="420" w:firstLineChars="200"/>
    </w:pPr>
    <w:rPr>
      <w:rFonts w:ascii="Calibri" w:hAnsi="Calibri" w:eastAsia="宋体" w:cs="Times New Roman"/>
    </w:rPr>
  </w:style>
  <w:style w:type="paragraph" w:customStyle="1" w:styleId="80">
    <w:name w:val="正文 A"/>
    <w:qFormat/>
    <w:uiPriority w:val="0"/>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8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_Style 3"/>
    <w:basedOn w:val="2"/>
    <w:next w:val="1"/>
    <w:qFormat/>
    <w:uiPriority w:val="0"/>
    <w:pPr>
      <w:widowControl/>
      <w:spacing w:before="480" w:after="0" w:line="276" w:lineRule="auto"/>
      <w:jc w:val="left"/>
      <w:outlineLvl w:val="9"/>
    </w:pPr>
    <w:rPr>
      <w:rFonts w:ascii="Cambria" w:hAnsi="Cambria" w:eastAsia="宋体" w:cs="Times New Roman"/>
      <w:color w:val="365F91"/>
      <w:kern w:val="0"/>
      <w:szCs w:val="28"/>
    </w:rPr>
  </w:style>
  <w:style w:type="paragraph" w:customStyle="1" w:styleId="84">
    <w:name w:val="_Style 1"/>
    <w:basedOn w:val="1"/>
    <w:qFormat/>
    <w:uiPriority w:val="0"/>
    <w:pPr>
      <w:adjustRightInd/>
      <w:spacing w:line="240" w:lineRule="auto"/>
      <w:ind w:firstLine="420" w:firstLineChars="200"/>
      <w:textAlignment w:val="auto"/>
    </w:pPr>
    <w:rPr>
      <w:rFonts w:ascii="Abadi MT Condensed Light" w:hAnsi="Abadi MT Condensed Light" w:eastAsia="仿宋_GB2312" w:cs="Times New Roman"/>
      <w:kern w:val="2"/>
      <w:sz w:val="10"/>
    </w:rPr>
  </w:style>
  <w:style w:type="paragraph" w:customStyle="1" w:styleId="85">
    <w:name w:val="Char Char Char Char"/>
    <w:basedOn w:val="1"/>
    <w:qFormat/>
    <w:uiPriority w:val="0"/>
    <w:rPr>
      <w:rFonts w:ascii="Calibri" w:hAnsi="Calibri" w:eastAsia="宋体" w:cs="Times New Roman"/>
    </w:rPr>
  </w:style>
  <w:style w:type="paragraph" w:customStyle="1" w:styleId="86">
    <w:name w:val="表内文字1"/>
    <w:basedOn w:val="16"/>
    <w:qFormat/>
    <w:uiPriority w:val="0"/>
    <w:pPr>
      <w:adjustRightInd w:val="0"/>
      <w:snapToGrid w:val="0"/>
      <w:spacing w:before="78" w:beforeLines="25" w:line="300" w:lineRule="auto"/>
      <w:jc w:val="center"/>
    </w:pPr>
    <w:rPr>
      <w:rFonts w:ascii="Times New Roman" w:hAnsi="Times New Roman" w:eastAsia="宋体" w:cs="Courier New"/>
      <w:snapToGrid w:val="0"/>
      <w:spacing w:val="10"/>
      <w:kern w:val="0"/>
      <w:sz w:val="24"/>
      <w:szCs w:val="21"/>
    </w:rPr>
  </w:style>
  <w:style w:type="paragraph" w:customStyle="1" w:styleId="87">
    <w:name w:val="p0"/>
    <w:basedOn w:val="1"/>
    <w:qFormat/>
    <w:uiPriority w:val="0"/>
    <w:rPr>
      <w:rFonts w:ascii="Calibri" w:hAnsi="Calibri" w:eastAsia="宋体" w:cs="Times New Roman"/>
      <w:kern w:val="0"/>
    </w:rPr>
  </w:style>
  <w:style w:type="paragraph" w:customStyle="1" w:styleId="88">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bCs w:val="0"/>
      <w:sz w:val="28"/>
      <w:szCs w:val="20"/>
    </w:rPr>
  </w:style>
  <w:style w:type="paragraph" w:customStyle="1" w:styleId="89">
    <w:name w:val="样式 标题 3 + (中文) 黑体 小四 非加粗 段前: 7.8 磅 段后: 0 磅 行距: 固定值 20 磅"/>
    <w:basedOn w:val="4"/>
    <w:qFormat/>
    <w:uiPriority w:val="0"/>
    <w:pPr>
      <w:spacing w:before="0" w:beforeLines="0" w:after="0" w:afterLines="0" w:line="400" w:lineRule="exact"/>
    </w:pPr>
    <w:rPr>
      <w:rFonts w:ascii="Calibri" w:hAnsi="Calibri" w:eastAsia="黑体" w:cs="宋体"/>
      <w:b w:val="0"/>
      <w:bCs w:val="0"/>
      <w:sz w:val="24"/>
      <w:szCs w:val="20"/>
    </w:rPr>
  </w:style>
  <w:style w:type="paragraph" w:customStyle="1" w:styleId="90">
    <w:name w:val="表内文字"/>
    <w:basedOn w:val="16"/>
    <w:qFormat/>
    <w:uiPriority w:val="0"/>
    <w:pPr>
      <w:adjustRightInd w:val="0"/>
      <w:snapToGrid w:val="0"/>
      <w:spacing w:before="78" w:beforeLines="25"/>
      <w:jc w:val="center"/>
    </w:pPr>
    <w:rPr>
      <w:rFonts w:ascii="Times New Roman" w:hAnsi="Times New Roman" w:eastAsia="宋体" w:cs="Times New Roman"/>
      <w:snapToGrid w:val="0"/>
      <w:spacing w:val="10"/>
      <w:kern w:val="0"/>
      <w:sz w:val="24"/>
      <w:szCs w:val="24"/>
    </w:rPr>
  </w:style>
  <w:style w:type="paragraph" w:customStyle="1" w:styleId="91">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92">
    <w:name w:val="List Paragraph"/>
    <w:basedOn w:val="1"/>
    <w:qFormat/>
    <w:uiPriority w:val="0"/>
    <w:pPr>
      <w:ind w:firstLine="420" w:firstLineChars="200"/>
    </w:pPr>
    <w:rPr>
      <w:rFonts w:ascii="Calibri" w:hAnsi="Calibri" w:eastAsia="宋体" w:cs="Times New Roman"/>
    </w:rPr>
  </w:style>
  <w:style w:type="paragraph" w:customStyle="1" w:styleId="93">
    <w:name w:val="MessageHeader"/>
    <w:basedOn w:val="1"/>
    <w:next w:val="56"/>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94">
    <w:name w:val="彩色列表 - 着色 11"/>
    <w:basedOn w:val="1"/>
    <w:qFormat/>
    <w:uiPriority w:val="0"/>
    <w:pPr>
      <w:ind w:firstLine="420" w:firstLineChars="200"/>
    </w:pPr>
    <w:rPr>
      <w:rFonts w:ascii="Calibri" w:hAnsi="Calibri" w:eastAsia="宋体" w:cs="Times New Roman"/>
      <w:szCs w:val="22"/>
    </w:rPr>
  </w:style>
  <w:style w:type="paragraph" w:customStyle="1" w:styleId="95">
    <w:name w:val="Table Paragraph"/>
    <w:basedOn w:val="1"/>
    <w:qFormat/>
    <w:uiPriority w:val="0"/>
    <w:rPr>
      <w:rFonts w:ascii="PMingLiU" w:hAnsi="PMingLiU" w:eastAsia="PMingLiU" w:cs="PMingLiU"/>
      <w:lang w:val="zh-CN" w:eastAsia="zh-CN" w:bidi="zh-CN"/>
    </w:rPr>
  </w:style>
  <w:style w:type="paragraph" w:customStyle="1" w:styleId="96">
    <w:name w:val="BodyText1I2"/>
    <w:basedOn w:val="97"/>
    <w:qFormat/>
    <w:uiPriority w:val="0"/>
    <w:pPr>
      <w:spacing w:after="0"/>
      <w:ind w:left="0" w:leftChars="0" w:firstLine="420"/>
    </w:pPr>
    <w:rPr>
      <w:rFonts w:ascii="宋体" w:hAnsi="Calibri"/>
      <w:szCs w:val="20"/>
    </w:rPr>
  </w:style>
  <w:style w:type="paragraph" w:customStyle="1" w:styleId="97">
    <w:name w:val="BodyTextIndent"/>
    <w:basedOn w:val="1"/>
    <w:qFormat/>
    <w:uiPriority w:val="0"/>
    <w:pPr>
      <w:spacing w:after="120" w:line="360" w:lineRule="auto"/>
      <w:ind w:left="420" w:leftChars="200" w:firstLine="200" w:firstLineChars="200"/>
    </w:pPr>
    <w:rPr>
      <w:rFonts w:ascii="Arial" w:hAnsi="Arial"/>
      <w:sz w:val="24"/>
    </w:rPr>
  </w:style>
  <w:style w:type="paragraph" w:customStyle="1" w:styleId="98">
    <w:name w:val="09正文_wh"/>
    <w:next w:val="1"/>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99">
    <w:name w:val="正文_2_0"/>
    <w:next w:val="10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0">
    <w:name w:val="正文文本_2"/>
    <w:basedOn w:val="99"/>
    <w:next w:val="99"/>
    <w:qFormat/>
    <w:uiPriority w:val="1"/>
    <w:pPr>
      <w:ind w:firstLine="0" w:firstLineChars="0"/>
    </w:pPr>
    <w:rPr>
      <w:rFonts w:cs="Times New Roman"/>
      <w:kern w:val="0"/>
      <w:lang w:val="zh-CN"/>
    </w:rPr>
  </w:style>
  <w:style w:type="paragraph" w:customStyle="1" w:styleId="101">
    <w:name w:val="正文文本_1"/>
    <w:basedOn w:val="99"/>
    <w:unhideWhenUsed/>
    <w:qFormat/>
    <w:uiPriority w:val="0"/>
    <w:pPr>
      <w:widowControl/>
      <w:spacing w:after="160"/>
      <w:jc w:val="left"/>
    </w:pPr>
    <w:rPr>
      <w:rFonts w:ascii="宋体" w:hAnsi="宋体" w:cs="宋体"/>
      <w:kern w:val="0"/>
      <w:sz w:val="24"/>
      <w:szCs w:val="24"/>
      <w:lang w:val="zh-CN" w:bidi="zh-CN"/>
    </w:rPr>
  </w:style>
  <w:style w:type="paragraph" w:customStyle="1" w:styleId="102">
    <w:name w:val="正文_1_0"/>
    <w:next w:val="10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正文文本_1_0"/>
    <w:basedOn w:val="102"/>
    <w:unhideWhenUsed/>
    <w:qFormat/>
    <w:uiPriority w:val="0"/>
    <w:pPr>
      <w:widowControl/>
      <w:spacing w:after="160"/>
      <w:jc w:val="left"/>
    </w:pPr>
    <w:rPr>
      <w:rFonts w:ascii="宋体" w:hAnsi="宋体" w:cs="宋体"/>
      <w:kern w:val="0"/>
      <w:sz w:val="24"/>
      <w:szCs w:val="24"/>
      <w:lang w:val="zh-CN" w:bidi="zh-CN"/>
    </w:rPr>
  </w:style>
  <w:style w:type="paragraph" w:customStyle="1" w:styleId="104">
    <w:name w:val="目录"/>
    <w:basedOn w:val="1"/>
    <w:qFormat/>
    <w:uiPriority w:val="0"/>
    <w:pPr>
      <w:spacing w:line="540" w:lineRule="exact"/>
      <w:ind w:left="53" w:firstLine="560" w:firstLineChars="200"/>
    </w:pPr>
    <w:rPr>
      <w:rFonts w:eastAsia="仿宋_GB2312"/>
      <w:sz w:val="28"/>
      <w:szCs w:val="28"/>
    </w:rPr>
  </w:style>
  <w:style w:type="paragraph" w:customStyle="1" w:styleId="105">
    <w:name w:val="正文_3"/>
    <w:next w:val="106"/>
    <w:qFormat/>
    <w:uiPriority w:val="0"/>
    <w:pPr>
      <w:widowControl w:val="0"/>
      <w:spacing w:line="360" w:lineRule="auto"/>
      <w:ind w:firstLine="420" w:firstLineChars="200"/>
      <w:jc w:val="both"/>
    </w:pPr>
    <w:rPr>
      <w:rFonts w:ascii="Times New Roman" w:hAnsi="Times New Roman" w:eastAsia="宋体" w:cs="思源宋体 CN Light"/>
      <w:kern w:val="2"/>
      <w:sz w:val="21"/>
      <w:szCs w:val="24"/>
      <w:lang w:val="en-US" w:eastAsia="zh-CN" w:bidi="ar-SA"/>
    </w:rPr>
  </w:style>
  <w:style w:type="paragraph" w:customStyle="1" w:styleId="106">
    <w:name w:val="样式 首行缩进:  2 字符_1"/>
    <w:basedOn w:val="105"/>
    <w:qFormat/>
    <w:uiPriority w:val="0"/>
    <w:pPr>
      <w:ind w:firstLine="480"/>
    </w:pPr>
    <w:rPr>
      <w:rFonts w:ascii="Calibri" w:hAnsi="Calibri" w:cs="宋体"/>
      <w:color w:val="000000"/>
      <w:szCs w:val="20"/>
    </w:rPr>
  </w:style>
  <w:style w:type="paragraph" w:customStyle="1" w:styleId="107">
    <w:name w:val="正文(1)"/>
    <w:basedOn w:val="1"/>
    <w:qFormat/>
    <w:uiPriority w:val="0"/>
    <w:pPr>
      <w:numPr>
        <w:ilvl w:val="0"/>
        <w:numId w:val="1"/>
      </w:numPr>
      <w:ind w:firstLine="200"/>
    </w:pPr>
    <w:rPr>
      <w:b/>
    </w:rPr>
  </w:style>
  <w:style w:type="paragraph" w:customStyle="1" w:styleId="108">
    <w:name w:val="Heading4"/>
    <w:basedOn w:val="1"/>
    <w:next w:val="1"/>
    <w:qFormat/>
    <w:uiPriority w:val="0"/>
    <w:pPr>
      <w:keepNext/>
      <w:spacing w:line="600" w:lineRule="exact"/>
      <w:jc w:val="center"/>
    </w:pPr>
    <w:rPr>
      <w:rFonts w:ascii="楷体_GB2312" w:hAnsi="Times New Roman" w:eastAsia="楷体_GB2312"/>
      <w:sz w:val="32"/>
      <w:szCs w:val="32"/>
    </w:rPr>
  </w:style>
  <w:style w:type="character" w:customStyle="1" w:styleId="109">
    <w:name w:val="NormalCharacter"/>
    <w:qFormat/>
    <w:uiPriority w:val="0"/>
    <w:rPr>
      <w:rFonts w:ascii="Calibri Light" w:hAnsi="Calibri Light" w:eastAsia="华文仿宋" w:cs="Calibri Light"/>
      <w:kern w:val="2"/>
      <w:sz w:val="28"/>
      <w:szCs w:val="28"/>
      <w:lang w:val="en-US" w:eastAsia="zh-CN" w:bidi="ar-SA"/>
    </w:rPr>
  </w:style>
  <w:style w:type="paragraph" w:customStyle="1" w:styleId="110">
    <w:name w:val="正文缩进1"/>
    <w:basedOn w:val="1"/>
    <w:qFormat/>
    <w:uiPriority w:val="0"/>
    <w:pPr>
      <w:ind w:firstLine="420" w:firstLineChars="200"/>
    </w:pPr>
  </w:style>
  <w:style w:type="character" w:customStyle="1" w:styleId="111">
    <w:name w:val="font171"/>
    <w:basedOn w:val="37"/>
    <w:qFormat/>
    <w:uiPriority w:val="0"/>
    <w:rPr>
      <w:rFonts w:ascii="Arial" w:hAnsi="Arial" w:cs="Arial"/>
      <w:color w:val="333333"/>
      <w:sz w:val="20"/>
      <w:szCs w:val="20"/>
      <w:u w:val="none"/>
    </w:rPr>
  </w:style>
  <w:style w:type="character" w:customStyle="1" w:styleId="112">
    <w:name w:val="font151"/>
    <w:basedOn w:val="37"/>
    <w:qFormat/>
    <w:uiPriority w:val="0"/>
    <w:rPr>
      <w:rFonts w:hint="eastAsia" w:ascii="宋体" w:hAnsi="宋体" w:eastAsia="宋体" w:cs="宋体"/>
      <w:color w:val="333333"/>
      <w:sz w:val="20"/>
      <w:szCs w:val="20"/>
      <w:u w:val="none"/>
    </w:rPr>
  </w:style>
  <w:style w:type="paragraph" w:customStyle="1" w:styleId="11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4">
    <w:name w:val="列出段落1"/>
    <w:basedOn w:val="1"/>
    <w:qFormat/>
    <w:uiPriority w:val="34"/>
    <w:pPr>
      <w:ind w:firstLine="420" w:firstLineChars="200"/>
    </w:pPr>
  </w:style>
  <w:style w:type="table" w:customStyle="1" w:styleId="115">
    <w:name w:val="Table Normal"/>
    <w:unhideWhenUsed/>
    <w:qFormat/>
    <w:uiPriority w:val="0"/>
    <w:tblPr>
      <w:tblCellMar>
        <w:top w:w="0" w:type="dxa"/>
        <w:left w:w="0" w:type="dxa"/>
        <w:bottom w:w="0" w:type="dxa"/>
        <w:right w:w="0" w:type="dxa"/>
      </w:tblCellMar>
    </w:tblPr>
  </w:style>
  <w:style w:type="paragraph" w:customStyle="1" w:styleId="116">
    <w:name w:val="Table Text"/>
    <w:basedOn w:val="1"/>
    <w:semiHidden/>
    <w:qFormat/>
    <w:uiPriority w:val="0"/>
    <w:rPr>
      <w:rFonts w:ascii="Times New Roman" w:hAnsi="Times New Roman" w:eastAsia="Times New Roman" w:cs="Times New Roman"/>
      <w:sz w:val="22"/>
      <w:szCs w:val="22"/>
      <w:lang w:val="en-US" w:eastAsia="en-US" w:bidi="ar-SA"/>
    </w:rPr>
  </w:style>
  <w:style w:type="character" w:customStyle="1" w:styleId="117">
    <w:name w:val="标题 2 Char"/>
    <w:link w:val="3"/>
    <w:qFormat/>
    <w:uiPriority w:val="0"/>
    <w:rPr>
      <w:rFonts w:ascii="Arial" w:hAnsi="Arial" w:eastAsia="宋体" w:cs="Times New Roman"/>
      <w:b/>
      <w:bCs/>
      <w:sz w:val="28"/>
      <w:szCs w:val="32"/>
    </w:rPr>
  </w:style>
  <w:style w:type="paragraph" w:customStyle="1" w:styleId="118">
    <w:name w:val="null3"/>
    <w:hidden/>
    <w:qFormat/>
    <w:uiPriority w:val="0"/>
    <w:rPr>
      <w:rFonts w:hint="eastAsia" w:asciiTheme="minorHAnsi" w:hAnsiTheme="minorHAnsi" w:eastAsiaTheme="minorEastAsia" w:cstheme="minorBidi"/>
      <w:lang w:val="en-US" w:eastAsia="zh-Hans"/>
    </w:rPr>
  </w:style>
  <w:style w:type="paragraph" w:customStyle="1" w:styleId="119">
    <w:name w:val="列出段落1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156</Pages>
  <Words>3697</Words>
  <Characters>4343</Characters>
  <Lines>425</Lines>
  <Paragraphs>119</Paragraphs>
  <TotalTime>15</TotalTime>
  <ScaleCrop>false</ScaleCrop>
  <LinksUpToDate>false</LinksUpToDate>
  <CharactersWithSpaces>4429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2016-12-15T15:01:00Z</dcterms:created>
  <dc:creator>wangchao</dc:creator>
  <cp:lastModifiedBy>admin</cp:lastModifiedBy>
  <cp:lastPrinted>2026-02-09T01:53:00Z</cp:lastPrinted>
  <dcterms:modified xsi:type="dcterms:W3CDTF">2026-08-27T06:27:27Z</dcterms:modified>
  <dc:title>陕西延长石油（集团）有限责任公司油煤新技术开发公司安全评估项目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F075E56A96FD48EB94D94FEA463BB433_13</vt:lpwstr>
  </property>
  <property fmtid="{D5CDD505-2E9C-101B-9397-08002B2CF9AE}" pid="4" name="KSOTemplateDocerSaveRecord">
    <vt:lpwstr>eyJoZGlkIjoiNDFiZmZmNDQyYzUxMzhiOWVkN2IzMDRmYThlNTRhNTAiLCJ1c2VySWQiOiI3ODAwNzU1NjEifQ==</vt:lpwstr>
  </property>
</Properties>
</file>