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版本号：SXHT2026-ZC-CS100720260513001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外贸大厦北立面及圆盘观览台外立面翻新维修工程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SXHT2026-ZC-CS1007</w:t>
      </w:r>
      <w:r>
        <w:br/>
      </w:r>
      <w:r>
        <w:br/>
      </w:r>
      <w:r>
        <w:br/>
      </w:r>
    </w:p>
    <w:p>
      <w:pPr>
        <w:pStyle w:val="null3"/>
        <w:jc w:val="center"/>
        <w:outlineLvl w:val="2"/>
      </w:pPr>
      <w:r>
        <w:rPr>
          <w:rFonts w:ascii="仿宋_GB2312" w:hAnsi="仿宋_GB2312" w:cs="仿宋_GB2312" w:eastAsia="仿宋_GB2312"/>
          <w:sz w:val="28"/>
          <w:b/>
        </w:rPr>
        <w:t>西安跨境电子商务服务中心</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西安跨境电子商务服务中心</w:t>
      </w:r>
      <w:r>
        <w:rPr>
          <w:rFonts w:ascii="仿宋_GB2312" w:hAnsi="仿宋_GB2312" w:cs="仿宋_GB2312" w:eastAsia="仿宋_GB2312"/>
        </w:rPr>
        <w:t>委托，拟对</w:t>
      </w:r>
      <w:r>
        <w:rPr>
          <w:rFonts w:ascii="仿宋_GB2312" w:hAnsi="仿宋_GB2312" w:cs="仿宋_GB2312" w:eastAsia="仿宋_GB2312"/>
        </w:rPr>
        <w:t>外贸大厦北立面及圆盘观览台外立面翻新维修工程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SXHT2026-ZC-CS1007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外贸大厦北立面及圆盘观览台外立面翻新维修工程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对剩余未翻新的北立面及楼顶圆盘观览台进行全面翻修，以达成大楼外立面整体风格的统一与安全性的全面提升。注意：未叙述详细部分详见工程量清单。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采购包1（外贸大厦北立面及圆盘观览台外立面翻新维修工程）：属于专门面向中小企业采购。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2、资质证书：供应商具备建筑工程施工总承包三级及以上资质，同时具有合格有效的安全生产许可证；</w:t>
      </w:r>
    </w:p>
    <w:p>
      <w:pPr>
        <w:pStyle w:val="null3"/>
      </w:pPr>
      <w:r>
        <w:rPr>
          <w:rFonts w:ascii="仿宋_GB2312" w:hAnsi="仿宋_GB2312" w:cs="仿宋_GB2312" w:eastAsia="仿宋_GB2312"/>
        </w:rPr>
        <w:t>3、项目经理：拟派项目经理具备建筑工程专业二级及以上注册建造师执业资格且在本单位注册，具有有效的安全生产考核合格证，且未担任其他在建工程项目的项目经理（提供无在建承诺书）；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4、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西安跨境电子商务服务中心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西安市碑林区环城南路中段68号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029-87855506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代理服务费收费标准：1.固定金额人民币：陆仟元整（6000.00元）2.支付方式：成交供应商应在领取通知书的同时，支付本项目代理服务费。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西安跨境电子商务服务中心</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西安跨境电子商务服务中心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西安跨境电子商务服务中心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符合国家现行《建筑工程施工质量验收统一标准》（GB50300）及外墙外保温/涂料相关技术规程</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外立面维修改造项目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标的名称：外立面维修改造项目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对剩余未翻新的北立面及楼顶圆盘观览台进行全面翻修，以达成大楼外立面整体风格的统一与安全性的全面提升。注意：未叙述详细部分详见工程量清单。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工程内容：</w:t>
            </w:r>
          </w:p>
          <w:p>
            <w:pPr>
              <w:pStyle w:val="null3"/>
            </w:pPr>
            <w:r>
              <w:rPr>
                <w:rFonts w:ascii="仿宋_GB2312" w:hAnsi="仿宋_GB2312" w:cs="仿宋_GB2312" w:eastAsia="仿宋_GB2312"/>
              </w:rPr>
              <w:t>本次维修主要涵盖两大区域，总维修面积约1736平方米。</w:t>
            </w:r>
          </w:p>
          <w:p>
            <w:pPr>
              <w:pStyle w:val="null3"/>
            </w:pPr>
            <w:r>
              <w:rPr>
                <w:rFonts w:ascii="仿宋_GB2312" w:hAnsi="仿宋_GB2312" w:cs="仿宋_GB2312" w:eastAsia="仿宋_GB2312"/>
              </w:rPr>
              <w:t>注意：详见工程量清单。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本次翻新维修工艺采用“整体铲除翻新+真石漆喷涂”工艺。为确保抗裂效果及美观度，挂网规格必须与原瓷砖面大小网格保持一致（约15cm*30cm网格）。具体施工流程及要求如下：</w:t>
            </w:r>
          </w:p>
          <w:p>
            <w:pPr>
              <w:pStyle w:val="null3"/>
            </w:pPr>
            <w:r>
              <w:rPr>
                <w:rFonts w:ascii="仿宋_GB2312" w:hAnsi="仿宋_GB2312" w:cs="仿宋_GB2312" w:eastAsia="仿宋_GB2312"/>
              </w:rPr>
              <w:t>1.基层处理：彻底铲除原有外墙瓷砖及粘结层，直至露出建筑墙体坚实基层（混凝土或砌体）。严禁保留空鼓、松动的旧基层。</w:t>
            </w:r>
          </w:p>
          <w:p>
            <w:pPr>
              <w:pStyle w:val="null3"/>
            </w:pPr>
            <w:r>
              <w:rPr>
                <w:rFonts w:ascii="仿宋_GB2312" w:hAnsi="仿宋_GB2312" w:cs="仿宋_GB2312" w:eastAsia="仿宋_GB2312"/>
              </w:rPr>
              <w:t>2.基层修复：对铲除后的基层墙体进行彻底清理、除尘。对墙体表面进行找平处理，修补缺损、凹陷部位。对裂缝及薄弱环节进行加固处理，必要时涂刷渗透型防水剂进行防水加强处理，确保基层牢固、平整、干燥、洁净。</w:t>
            </w:r>
          </w:p>
          <w:p>
            <w:pPr>
              <w:pStyle w:val="null3"/>
            </w:pPr>
            <w:r>
              <w:rPr>
                <w:rFonts w:ascii="仿宋_GB2312" w:hAnsi="仿宋_GB2312" w:cs="仿宋_GB2312" w:eastAsia="仿宋_GB2312"/>
              </w:rPr>
              <w:t>3.挂网抗裂：整体铺设抗裂网格布，网格尺寸必须控制在15cm*30cm 左右，以匹配原瓷砖分格缝，保证最终外观线条与原设计风格一致。使用专用粘结砂浆对网格布进行全覆盖，确保网格布埋置于砂浆中层，增强整体抗裂性能。</w:t>
            </w:r>
          </w:p>
          <w:p>
            <w:pPr>
              <w:pStyle w:val="null3"/>
            </w:pPr>
            <w:r>
              <w:rPr>
                <w:rFonts w:ascii="仿宋_GB2312" w:hAnsi="仿宋_GB2312" w:cs="仿宋_GB2312" w:eastAsia="仿宋_GB2312"/>
              </w:rPr>
              <w:t>4.真石漆施工：均匀批刮（或喷涂）抗碱封闭底漆，不得有漏涂，确保封闭性，增强主涂层附着力。喷涂真石漆主涂层，要求质感均匀、色泽一致、厚度达标（通常2-3mm），展现仿石效果。喷涂高性能耐候性罩面清漆，确保涂层具备优异的耐候性、耐沾污性、耐久性及自洁功能。</w:t>
            </w:r>
          </w:p>
          <w:p>
            <w:pPr>
              <w:pStyle w:val="null3"/>
            </w:pPr>
            <w:r>
              <w:rPr>
                <w:rFonts w:ascii="仿宋_GB2312" w:hAnsi="仿宋_GB2312" w:cs="仿宋_GB2312" w:eastAsia="仿宋_GB2312"/>
              </w:rPr>
              <w:t>5.细部处理：对窗口四周、檐口线条、造型接缝、空调洞口、落水管卡等细部节点进行专项防水密封与收口美化处理，防止雨水渗漏，确保整体美观。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注意事项及特别说明：</w:t>
            </w:r>
          </w:p>
          <w:p>
            <w:pPr>
              <w:pStyle w:val="null3"/>
            </w:pPr>
            <w:r>
              <w:rPr>
                <w:rFonts w:ascii="仿宋_GB2312" w:hAnsi="仿宋_GB2312" w:cs="仿宋_GB2312" w:eastAsia="仿宋_GB2312"/>
              </w:rPr>
              <w:t>1.投标单位需自行前往项目现场进行踏勘，以准确了解现场实际情况、施工难点及作业面，除设计变更外，不因现场踏勘不清而调整。</w:t>
            </w:r>
          </w:p>
          <w:p>
            <w:pPr>
              <w:pStyle w:val="null3"/>
            </w:pPr>
            <w:r>
              <w:rPr>
                <w:rFonts w:ascii="仿宋_GB2312" w:hAnsi="仿宋_GB2312" w:cs="仿宋_GB2312" w:eastAsia="仿宋_GB2312"/>
              </w:rPr>
              <w:t>2.施工期间需确保大楼正常办公秩序，施工单位需合理安排作业时间（如产生噪音的工序安排在非办公时间或周末），并做好防尘降噪措施。</w:t>
            </w:r>
          </w:p>
          <w:p>
            <w:pPr>
              <w:pStyle w:val="null3"/>
            </w:pPr>
            <w:r>
              <w:rPr>
                <w:rFonts w:ascii="仿宋_GB2312" w:hAnsi="仿宋_GB2312" w:cs="仿宋_GB2312" w:eastAsia="仿宋_GB2312"/>
              </w:rPr>
              <w:t>3.真石漆主材及辅材需提供样品及检测机构出具的检测报告，确保环保及耐候性达标。</w:t>
            </w:r>
          </w:p>
          <w:p>
            <w:pPr>
              <w:pStyle w:val="null3"/>
            </w:pPr>
            <w:r>
              <w:rPr>
                <w:rFonts w:ascii="仿宋_GB2312" w:hAnsi="仿宋_GB2312" w:cs="仿宋_GB2312" w:eastAsia="仿宋_GB2312"/>
              </w:rPr>
              <w:t>4.安全要求：杜绝安全事故。施工单位需为现场作业人员购买工伤保险及意外伤害险，并严格遵守当地安全文明施工规定。</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商务要求：</w:t>
            </w:r>
          </w:p>
          <w:p>
            <w:pPr>
              <w:pStyle w:val="null3"/>
              <w:jc w:val="both"/>
            </w:pPr>
            <w:r>
              <w:rPr>
                <w:rFonts w:ascii="仿宋_GB2312" w:hAnsi="仿宋_GB2312" w:cs="仿宋_GB2312" w:eastAsia="仿宋_GB2312"/>
              </w:rPr>
              <w:t>1.施工地点：西安市碑林区文艺路街道环城南路中段68号外贸大厦。</w:t>
            </w:r>
          </w:p>
          <w:p>
            <w:pPr>
              <w:pStyle w:val="null3"/>
            </w:pPr>
            <w:r>
              <w:rPr>
                <w:rFonts w:ascii="仿宋_GB2312" w:hAnsi="仿宋_GB2312" w:cs="仿宋_GB2312" w:eastAsia="仿宋_GB2312"/>
              </w:rPr>
              <w:t>2.工期：自签订合同之日起 45 日历天内完成全部施工内容。</w:t>
            </w:r>
          </w:p>
          <w:p>
            <w:pPr>
              <w:pStyle w:val="null3"/>
            </w:pPr>
            <w:r>
              <w:rPr>
                <w:rFonts w:ascii="仿宋_GB2312" w:hAnsi="仿宋_GB2312" w:cs="仿宋_GB2312" w:eastAsia="仿宋_GB2312"/>
              </w:rPr>
              <w:t>3.质量保修期：5年。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5.质量标准：符合国家现行《建筑工程施工质量验收统一标准》（GB50300）及外墙外保温/涂料相关技术规程。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1.外贸大厦北立面及圆盘观览台外立面翻新维修工程施工图；</w:t>
            </w:r>
          </w:p>
          <w:p>
            <w:pPr>
              <w:pStyle w:val="null3"/>
            </w:pPr>
            <w:r>
              <w:rPr>
                <w:rFonts w:ascii="仿宋_GB2312" w:hAnsi="仿宋_GB2312" w:cs="仿宋_GB2312" w:eastAsia="仿宋_GB2312"/>
              </w:rPr>
              <w:t>2.《陕西省建设工程工程量清单计价标准及计算标准》【2025】；</w:t>
            </w:r>
          </w:p>
          <w:p>
            <w:pPr>
              <w:pStyle w:val="null3"/>
            </w:pPr>
            <w:r>
              <w:rPr>
                <w:rFonts w:ascii="仿宋_GB2312" w:hAnsi="仿宋_GB2312" w:cs="仿宋_GB2312" w:eastAsia="仿宋_GB2312"/>
              </w:rPr>
              <w:t>、陕西省住房和城乡建设厅关于印发《2025陕西省建设工程费用规则等计价依据的通知》陕建管发〔2025〕10号、《陕西省房屋建筑与装饰工程基价表》（2025）、拆除工程依据《全统修缮定额土建工程陕西省价目表（2001）》、《陕西省建设工程费用规则》（2025）；</w:t>
            </w:r>
          </w:p>
          <w:p>
            <w:pPr>
              <w:pStyle w:val="null3"/>
            </w:pPr>
            <w:r>
              <w:rPr>
                <w:rFonts w:ascii="仿宋_GB2312" w:hAnsi="仿宋_GB2312" w:cs="仿宋_GB2312" w:eastAsia="仿宋_GB2312"/>
              </w:rPr>
              <w:t>3.材料价按市场价计入；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符合国家现行《建筑工程施工质量验收统一标准》（GB50300）及外墙外保温/涂料相关技术规程。</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7.5000.23.2，在施工期间，成交供应商必须注意行人及校内人员安全，加强安全措施，并对施工人员进行安全教育。施工人员必须持证上岗。因项目的特殊性，要求成交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工程。3.本项目合同包1采购标的所属行业为：建筑业；4.本项目是否属于信用担保试点范围：否。5.本项目为固定单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10月至今已缴纳的至少一个月的纳税证明或完税证明（任意税种），依法免税的单位应提供相关证明材料；3.提供2025年10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依据财库〔2026〕2号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针对于本项目的编制编制保修方案，方案内容包含但不限于：①工程验收方案②保修责任及保修承诺等内容。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得2分，最高得4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详见附件：西安跨境电子商务服务中心外贸大厦北立面及圆盘观览台外立面翻新维修工程采购合同.docx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