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版本号：JQZB2026-05-07.1BG120260602001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城固县老庄镇鲁家庄村柑橘分拣包装及保鲜库项目(二次)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JQZB2026-05-07.1BG1</w:t>
      </w:r>
      <w:r>
        <w:br/>
      </w:r>
      <w:r>
        <w:br/>
      </w:r>
      <w:r>
        <w:br/>
      </w:r>
    </w:p>
    <w:p>
      <w:pPr>
        <w:pStyle w:val="null3"/>
        <w:jc w:val="center"/>
        <w:outlineLvl w:val="2"/>
      </w:pPr>
      <w:r>
        <w:rPr>
          <w:rFonts w:ascii="仿宋_GB2312" w:hAnsi="仿宋_GB2312" w:cs="仿宋_GB2312" w:eastAsia="仿宋_GB2312"/>
          <w:sz w:val="28"/>
          <w:b/>
        </w:rPr>
        <w:t>城固县老庄镇人民政府</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城固县老庄镇人民政府</w:t>
      </w:r>
      <w:r>
        <w:rPr>
          <w:rFonts w:ascii="仿宋_GB2312" w:hAnsi="仿宋_GB2312" w:cs="仿宋_GB2312" w:eastAsia="仿宋_GB2312"/>
        </w:rPr>
        <w:t>委托，拟对</w:t>
      </w:r>
      <w:r>
        <w:rPr>
          <w:rFonts w:ascii="仿宋_GB2312" w:hAnsi="仿宋_GB2312" w:cs="仿宋_GB2312" w:eastAsia="仿宋_GB2312"/>
        </w:rPr>
        <w:t>城固县老庄镇鲁家庄村柑橘分拣包装及保鲜库项目(二次)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JQZB2026-05-07.1BG1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城固县老庄镇鲁家庄村柑橘分拣包装及保鲜库项目(二次)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城固县老庄镇鲁家庄村柑橘分拣包装及保鲜库项目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采购包1（城固县老庄镇鲁家庄村柑橘分拣包装及保鲜库项目）：属于专门面向中小企业采购。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1、统一社会信用代码营业执照或事业单位法人证书：供应商具有独立承担民事责任能力的法人、其他组织或自然人，提供合法有效的统一社会信用代码营业执照或事业单位法人证书(自然人应提供身份证明）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2、法定代表人授权：供应商应授权合法的人员参加投标全过程，其中法定代表人直接参加投标的，须出具法人身份证，法定代表人授权代表参加投标的，须出具法定代表人授权书及授权代表身份证</w:t>
      </w:r>
    </w:p>
    <w:p>
      <w:pPr>
        <w:pStyle w:val="null3"/>
      </w:pPr>
      <w:r>
        <w:rPr>
          <w:rFonts w:ascii="仿宋_GB2312" w:hAnsi="仿宋_GB2312" w:cs="仿宋_GB2312" w:eastAsia="仿宋_GB2312"/>
        </w:rPr>
        <w:t>3、财务会计制度、依法缴纳税收和社会保障资金的良好记录及参加本项目采购活动前三年内在经营活动中无重大违法活 动记录：供应商须具有健全的财务会计制度、具有履行合同所必需的设备和专业技术能力、具有依法缴纳税收和社会保障资金 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4、投标保证金：保证金缴纳凭证（截图加盖公章）</w:t>
      </w:r>
    </w:p>
    <w:p>
      <w:pPr>
        <w:pStyle w:val="null3"/>
      </w:pPr>
      <w:r>
        <w:rPr>
          <w:rFonts w:ascii="仿宋_GB2312" w:hAnsi="仿宋_GB2312" w:cs="仿宋_GB2312" w:eastAsia="仿宋_GB2312"/>
        </w:rPr>
        <w:t>5、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p>
      <w:pPr>
        <w:pStyle w:val="null3"/>
      </w:pPr>
      <w:r>
        <w:rPr>
          <w:rFonts w:ascii="仿宋_GB2312" w:hAnsi="仿宋_GB2312" w:cs="仿宋_GB2312" w:eastAsia="仿宋_GB2312"/>
        </w:rPr>
        <w:t>6、供应商企业关系关联及联合体说明：本项目不接受联合体磋商，单位负责人为同一人或者存在直接控股、管理关系的不同供应商，不得参加同一合同项下的政府采购活动。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城固县老庄镇人民政府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老庄镇朱家坎社区一组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城固县老庄镇人民政府经办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18220796879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陕西省汉中市汉台区财富立方写字楼1403室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13992608388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开户名称：泾清项目管理有限公司汉台分公司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银行账号：103688816695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城固县老庄镇人民政府</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城固县老庄镇人民政府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城固县老庄镇人民政府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按照国家标准和合同要求执行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联系电话：13992608388</w:t>
      </w:r>
    </w:p>
    <w:p>
      <w:pPr>
        <w:pStyle w:val="null3"/>
      </w:pPr>
      <w:r>
        <w:rPr>
          <w:rFonts w:ascii="仿宋_GB2312" w:hAnsi="仿宋_GB2312" w:cs="仿宋_GB2312" w:eastAsia="仿宋_GB2312"/>
        </w:rPr>
        <w:t>地址：陕西省汉中市汉台区财富立方写字楼1403室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新建1条柑橘分拣包装生产线及配套设施；安装地磅1台及配套模具；新建600平方保鲜库1座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930,600.00</w:t>
      </w:r>
    </w:p>
    <w:p>
      <w:pPr>
        <w:pStyle w:val="null3"/>
      </w:pPr>
      <w:r>
        <w:rPr>
          <w:rFonts w:ascii="仿宋_GB2312" w:hAnsi="仿宋_GB2312" w:cs="仿宋_GB2312" w:eastAsia="仿宋_GB2312"/>
        </w:rPr>
        <w:t>采购包最高限价（元）: 930,600.00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城固县老庄镇鲁家庄村柑橘分拣包装及保鲜库项目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930,600.00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标的名称：城固县老庄镇鲁家庄村柑橘分拣包装及保鲜库项目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14"/>
              <w:gridCol w:w="216"/>
              <w:gridCol w:w="878"/>
              <w:gridCol w:w="878"/>
              <w:gridCol w:w="114"/>
              <w:gridCol w:w="165"/>
              <w:gridCol w:w="0"/>
            </w:tblGrid>
            <w:tr>
              <w:tc>
                <w:tcPr>
                  <w:tcW w:type="dxa" w:w="2365"/>
                  <w:gridSpan w:val="7"/>
                  <w:tcBorders>
                    <w:top w:val="none" w:color="000000" w:sz="4"/>
                    <w:left w:val="none" w:color="000000" w:sz="4"/>
                    <w:bottom w:val="none" w:color="000000" w:sz="4"/>
                    <w:right w:val="none" w:color="000000" w:sz="4"/>
                  </w:tcBorders>
                  <w:tcMar>
                    <w:top w:type="dxa" w:w="15"/>
                    <w:left w:type="dxa" w:w="15"/>
                    <w:bottom w:type="dxa" w:w="0"/>
                    <w:right w:type="dxa" w:w="15"/>
                  </w:tcMar>
                  <w:vAlign w:val="bottom"/>
                </w:tcPr>
                <w:p>
                  <w:pPr>
                    <w:pStyle w:val="null3"/>
                    <w:jc w:val="center"/>
                  </w:pPr>
                  <w:r>
                    <w:rPr>
                      <w:rFonts w:ascii="仿宋_GB2312" w:hAnsi="仿宋_GB2312" w:cs="仿宋_GB2312" w:eastAsia="仿宋_GB2312"/>
                      <w:sz w:val="24"/>
                      <w:b/>
                      <w:color w:val="000000"/>
                    </w:rPr>
                    <w:t>城固县老庄镇鲁家庄村柑橘分拣包装及保鲜库项目设备清单</w:t>
                  </w:r>
                </w:p>
              </w:tc>
            </w:tr>
            <w:tr>
              <w:tc>
                <w:tcPr>
                  <w:tcW w:type="dxa" w:w="2365"/>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一、保鲜库设备清单</w:t>
                  </w:r>
                  <w:r>
                    <w:rPr>
                      <w:rFonts w:ascii="仿宋_GB2312" w:hAnsi="仿宋_GB2312" w:cs="仿宋_GB2312" w:eastAsia="仿宋_GB2312"/>
                      <w:sz w:val="24"/>
                      <w:b/>
                      <w:color w:val="000000"/>
                    </w:rPr>
                    <w:t>:</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技术参数</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技术参数及要求</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单位</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数量</w:t>
                  </w:r>
                </w:p>
              </w:tc>
            </w:tr>
            <w:tr>
              <w:tc>
                <w:tcPr>
                  <w:tcW w:type="dxa" w:w="2365"/>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一、库体保温</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双彩聚氨酯夹芯板（复合</w:t>
                  </w:r>
                  <w:r>
                    <w:rPr>
                      <w:rFonts w:ascii="仿宋_GB2312" w:hAnsi="仿宋_GB2312" w:cs="仿宋_GB2312" w:eastAsia="仿宋_GB2312"/>
                      <w:sz w:val="24"/>
                      <w:color w:val="000000"/>
                    </w:rPr>
                    <w:t>B1阻燃型）</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材料需求为：</w:t>
                  </w:r>
                  <w:r>
                    <w:rPr>
                      <w:rFonts w:ascii="仿宋_GB2312" w:hAnsi="仿宋_GB2312" w:cs="仿宋_GB2312" w:eastAsia="仿宋_GB2312"/>
                      <w:sz w:val="24"/>
                      <w:color w:val="000000"/>
                    </w:rPr>
                    <w:t>100mm聚氨酯,防火等级为复合B1级。</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1.材料厚度为：100mm聚氨酯,防火等级达到复合B1级；中芯密度、压缩强度、导热系数符合GB/T21558-2008标准二类指标要求；燃烧性能符合GB/8624-2012标准B1级指标要求。</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2.双面彩钢板厚度≥0.3mm</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940</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气调专用冷库门（平移门）</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平移门尺寸为</w:t>
                  </w:r>
                  <w:r>
                    <w:rPr>
                      <w:rFonts w:ascii="仿宋_GB2312" w:hAnsi="仿宋_GB2312" w:cs="仿宋_GB2312" w:eastAsia="仿宋_GB2312"/>
                      <w:sz w:val="24"/>
                      <w:color w:val="000000"/>
                    </w:rPr>
                    <w:t>:1500mm×2300mm 厚度≥100mm</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1.平移门尺寸为:1500mm×2300mm 厚度≥100mm；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2.保温材料：聚氨酯；</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3.密封性能：双道密封条；</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4.开启方式：手动平移+手动应急安全锁）；</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5材质：不锈钢门框，面板为双面彩钢板且彩钢板厚度≥0.4mm</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扇</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冷库门（平移门）</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平移门尺寸为</w:t>
                  </w:r>
                  <w:r>
                    <w:rPr>
                      <w:rFonts w:ascii="仿宋_GB2312" w:hAnsi="仿宋_GB2312" w:cs="仿宋_GB2312" w:eastAsia="仿宋_GB2312"/>
                      <w:sz w:val="24"/>
                      <w:color w:val="000000"/>
                    </w:rPr>
                    <w:t>:1500mm×2300mm 厚度≥100mm</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1.平移门尺寸为:1500mm×2300mm 厚度≥100mm；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2.保温材料：聚氨酯；</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3.密封性能：双道密封条；</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4.开启方式：手动平移+手动应急（安全锁）；</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5.材质：不锈钢门框，面板为双面彩钢板且彩钢板厚度≥0.4mm</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扇</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r>
            <w:tr>
              <w:tc>
                <w:tcPr>
                  <w:tcW w:type="dxa" w:w="2365"/>
                  <w:gridSpan w:val="6"/>
                  <w:tcBorders>
                    <w:top w:val="none" w:color="000000" w:sz="4"/>
                    <w:left w:val="singl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二、制冷设备、系统</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活塞机制冷机组</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制冷机组的匹数</w:t>
                  </w:r>
                  <w:r>
                    <w:rPr>
                      <w:rFonts w:ascii="仿宋_GB2312" w:hAnsi="仿宋_GB2312" w:cs="仿宋_GB2312" w:eastAsia="仿宋_GB2312"/>
                      <w:sz w:val="24"/>
                      <w:color w:val="000000"/>
                    </w:rPr>
                    <w:t>≥10 HP，选型为中高温机组</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1.制冷机组的匹数≥10 HP，选型为中高温机组/风冷式（严禁用低温机组拉高温/高温拉低温）</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2.必需满足在蒸发温度较高时制冷量≥35kW；能够契合中高温制冷需求。</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3.制冷剂：适配R22、R407C、R404A等；</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4.能效比≥2.8；</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5.噪音≤75dB(A)；</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6.防护等级≥IP54</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蒸发器</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冷却面积</w:t>
                  </w:r>
                  <w:r>
                    <w:rPr>
                      <w:rFonts w:ascii="仿宋_GB2312" w:hAnsi="仿宋_GB2312" w:cs="仿宋_GB2312" w:eastAsia="仿宋_GB2312"/>
                      <w:sz w:val="24"/>
                      <w:color w:val="000000"/>
                    </w:rPr>
                    <w:t>≥140平米</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1.冷却面积：≥140㎡；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2.风量≥18000m³/h；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3.制冷量≥2.5KW；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4.风机功率≥0.75kW；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5.除霜方式：电热/热气除霜；</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6.材质：换热管为铜管，外壳为彩钢板</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膨胀阀</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≥7.5TR（27kW）适配制冷剂：R22、R407C、R404A、R507、R134a、R410A等</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1.容量：≥7.5TR（27kW）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2.适配制冷剂：R22、R407C、R404A、R507、R134a、R410A等</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3.接口尺寸：DN20-DN32（适配 DN20及以上标准管道，需提供配套连接件）；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4.工作温度-40℃~+60℃；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5.控制精度±1℃</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2365"/>
                  <w:gridSpan w:val="6"/>
                  <w:tcBorders>
                    <w:top w:val="none" w:color="000000" w:sz="4"/>
                    <w:left w:val="single" w:color="000000" w:sz="4"/>
                    <w:bottom w:val="singl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三、气调设备、系统</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气调一体机</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要求操作简单、中文界面。兼具气体分析、脱除氧、脱除碳等功能。具备远程操作功能。满足冷库气体调控需求。</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1.满足冷库长久保鲜需要</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2.具备全自动循环取样及气体检测分析。</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3.二氧化碳检测范围：0-8%；氧气检测范围0-20%；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4.控制精度：±0.5%；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5.除湿量≥2kg/h；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6.功率≤5kW；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7.控制方式：PLC自动控制+触摸屏操作</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果蔬灭菌机</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满足冷库等场景的果蔬灭菌，具备耐低温特性，适配冷库极端环境</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1.灭菌方式：臭氧灭菌，臭氧产量≥15g/h；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2.灭菌效率≥99%；</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3.适用温度：-10℃－+40℃；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4.功率≤1.5kW；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5.控制方式：定时/自动启停</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超声波加湿器</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加湿量</w:t>
                  </w:r>
                  <w:r>
                    <w:rPr>
                      <w:rFonts w:ascii="仿宋_GB2312" w:hAnsi="仿宋_GB2312" w:cs="仿宋_GB2312" w:eastAsia="仿宋_GB2312"/>
                      <w:sz w:val="24"/>
                      <w:color w:val="000000"/>
                    </w:rPr>
                    <w:t>≥5kg/h,雾粒直径1 - 10μm，适配冷库极端环境。</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1.加湿量：≥5kg/h；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2.雾粒直径1-10μm；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3.控湿精度±3%RH；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4.功率≤300W；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5.水箱容量≥5L；</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6.防护等级≥IP44</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安全阀</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尺寸需适配气调库有限的安装空间，介质适配性：明确适配气调库内的混合气体（如含氮气、二氧化碳等保鲜气体），同时需耐受库内的低温环境</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1.适用介质：氮气、二氧化碳、空气混合气体</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2.适用温度：-40℃~+80℃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3.材质：阀体铸钢，阀芯不锈钢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4.密封泄漏量≤0.1%额定排量</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5</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气体平衡袋</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气密性</w:t>
                  </w:r>
                  <w:r>
                    <w:rPr>
                      <w:rFonts w:ascii="仿宋_GB2312" w:hAnsi="仿宋_GB2312" w:cs="仿宋_GB2312" w:eastAsia="仿宋_GB2312"/>
                      <w:sz w:val="24"/>
                      <w:color w:val="000000"/>
                    </w:rPr>
                    <w:t>≤0.5%/24h；压力范围：正压≤250Pa；负压≥-200Pa；尺寸≥2m³</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1.容量：≥2m³；</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2.气密性≤0.5%/24h；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3.压力范围：正压≤250Pa；负压≥-200Pa；</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4.材质：塑胶耐低温材质；</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5.适用温度：-30℃~+60℃；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6.接口尺寸：DN50-DN65（需提供配套连接件）</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套</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6</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空压机</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≥1.5kW（2HP）排气压力≥1.25MPa（12.5bar）</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排气量：</w:t>
                  </w:r>
                  <w:r>
                    <w:rPr>
                      <w:rFonts w:ascii="仿宋_GB2312" w:hAnsi="仿宋_GB2312" w:cs="仿宋_GB2312" w:eastAsia="仿宋_GB2312"/>
                      <w:sz w:val="24"/>
                      <w:color w:val="000000"/>
                    </w:rPr>
                    <w:t>0.12–0.15m³/min</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1.电机功率：≥1.5kW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2.排气压力：≥1.25MPa（12.5bar）</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3.排气量：0.12–0.2m³/min</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4.噪音≤70dB(A)</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5.冷却方式：风冷</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6.储气罐容量≥50L</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2365"/>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四、电气控制部分</w:t>
                  </w:r>
                  <w:r>
                    <w:rPr>
                      <w:rFonts w:ascii="仿宋_GB2312" w:hAnsi="仿宋_GB2312" w:cs="仿宋_GB2312" w:eastAsia="仿宋_GB2312"/>
                      <w:sz w:val="24"/>
                      <w:b/>
                      <w:color w:val="000000"/>
                    </w:rPr>
                    <w:t xml:space="preserve">                                                                           </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系统控制箱</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控制性能控温精度：</w:t>
                  </w:r>
                  <w:r>
                    <w:rPr>
                      <w:rFonts w:ascii="仿宋_GB2312" w:hAnsi="仿宋_GB2312" w:cs="仿宋_GB2312" w:eastAsia="仿宋_GB2312"/>
                      <w:sz w:val="24"/>
                      <w:color w:val="000000"/>
                    </w:rPr>
                    <w:t>±0.1~±0.5℃；控湿精度：±3~±5%RH（恒温恒湿型）可实现远程监控，具备相序缺项、过载等多重保护</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1.控制性能控温精度：±0.1~±0.5℃；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2.控湿精度：±3~±5%RH（恒温恒湿型）；</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3.可实现远程监控，具备相序缺项、过载等多重保护；</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4.额外功能：氧气、二氧化碳浓度自动控制；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5.通信接口：RS485/以太网（支持远程监控）；</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6.显示屏幕：≥7英寸触摸屏；</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7.工作电压：AC380V/50Hz；</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8.防护等级≥IP54</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风幕机</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风量</w:t>
                  </w:r>
                  <w:r>
                    <w:rPr>
                      <w:rFonts w:ascii="仿宋_GB2312" w:hAnsi="仿宋_GB2312" w:cs="仿宋_GB2312" w:eastAsia="仿宋_GB2312"/>
                      <w:sz w:val="24"/>
                      <w:color w:val="000000"/>
                    </w:rPr>
                    <w:t>≥1800mm</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1.风量：≥1800m³/h</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2.风速≥8m/s</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3.电机功率≤0.75kW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4.适用门高：2.0-2.5m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5.适用温度：-10℃~+40℃</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6.材质：冷轧钢板喷塑</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7.噪音≤65dB(A)</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4</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冷库灯</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电气规格：</w:t>
                  </w:r>
                  <w:r>
                    <w:rPr>
                      <w:rFonts w:ascii="仿宋_GB2312" w:hAnsi="仿宋_GB2312" w:cs="仿宋_GB2312" w:eastAsia="仿宋_GB2312"/>
                      <w:sz w:val="24"/>
                      <w:color w:val="000000"/>
                    </w:rPr>
                    <w:t>AC220V/50Hz；功率250W；PF≥0.95；THD≤15%。</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1.电气规格：AC220V/50Hz；</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2.功率：250W；</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3.PF≥0.95；THD≤15%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4.防护等级≥IP65；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5.使用寿命≥50000小时</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个</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20</w:t>
                  </w:r>
                </w:p>
              </w:tc>
            </w:tr>
            <w:tr>
              <w:tc>
                <w:tcPr>
                  <w:tcW w:type="dxa" w:w="2365"/>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二、柑橘加工生产线设备清单</w:t>
                  </w:r>
                  <w:r>
                    <w:rPr>
                      <w:rFonts w:ascii="仿宋_GB2312" w:hAnsi="仿宋_GB2312" w:cs="仿宋_GB2312" w:eastAsia="仿宋_GB2312"/>
                      <w:sz w:val="24"/>
                      <w:b/>
                      <w:color w:val="000000"/>
                    </w:rPr>
                    <w:t>:</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规格型号</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技术参数及要求</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单位</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数量</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柑橘分选、提升、输送、</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收集、清洗打蜡一体机</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防护等级</w:t>
                  </w:r>
                  <w:r>
                    <w:rPr>
                      <w:rFonts w:ascii="仿宋_GB2312" w:hAnsi="仿宋_GB2312" w:cs="仿宋_GB2312" w:eastAsia="仿宋_GB2312"/>
                      <w:sz w:val="24"/>
                      <w:color w:val="000000"/>
                    </w:rPr>
                    <w:t>≥IP55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配置出口数量</w:t>
                  </w:r>
                  <w:r>
                    <w:rPr>
                      <w:rFonts w:ascii="仿宋_GB2312" w:hAnsi="仿宋_GB2312" w:cs="仿宋_GB2312" w:eastAsia="仿宋_GB2312"/>
                      <w:sz w:val="24"/>
                      <w:color w:val="000000"/>
                    </w:rPr>
                    <w:t>≥8个</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设备分辨率</w:t>
                  </w:r>
                  <w:r>
                    <w:rPr>
                      <w:rFonts w:ascii="仿宋_GB2312" w:hAnsi="仿宋_GB2312" w:cs="仿宋_GB2312" w:eastAsia="仿宋_GB2312"/>
                      <w:sz w:val="24"/>
                      <w:color w:val="000000"/>
                    </w:rPr>
                    <w:t>≥0.1g</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称重范围</w:t>
                  </w:r>
                  <w:r>
                    <w:rPr>
                      <w:rFonts w:ascii="仿宋_GB2312" w:hAnsi="仿宋_GB2312" w:cs="仿宋_GB2312" w:eastAsia="仿宋_GB2312"/>
                      <w:sz w:val="24"/>
                      <w:color w:val="000000"/>
                    </w:rPr>
                    <w:t>1g-1000g</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分选速度</w:t>
                  </w:r>
                  <w:r>
                    <w:rPr>
                      <w:rFonts w:ascii="仿宋_GB2312" w:hAnsi="仿宋_GB2312" w:cs="仿宋_GB2312" w:eastAsia="仿宋_GB2312"/>
                      <w:sz w:val="24"/>
                      <w:color w:val="000000"/>
                    </w:rPr>
                    <w:t>≥100个/分钟</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输送方式：皮带（滚筒）输送加可变频调速功能</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1.防护等级 ≥IP55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2.配置出口数量：≥8个</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3.设备分辨率：≥0.1g</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4.称重范围：1g-1000g</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5.分选速度：≥100个/分钟</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6.输送方式：皮带（滚筒）输送加可变频调速功能</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7.清洗功能：高压喷淋（水压0.3-0.5MPa）</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8.打蜡功能：食用级蜡自动喷涂</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9.材质：食品接触部分304不锈钢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10.电源：AC380V/50Hz</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r>
              <w:tc>
                <w:tcPr>
                  <w:tcW w:type="dxa" w:w="2365"/>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color w:val="000000"/>
                    </w:rPr>
                    <w:t>三、地磅设备清单</w:t>
                  </w:r>
                  <w:r>
                    <w:rPr>
                      <w:rFonts w:ascii="仿宋_GB2312" w:hAnsi="仿宋_GB2312" w:cs="仿宋_GB2312" w:eastAsia="仿宋_GB2312"/>
                      <w:sz w:val="24"/>
                      <w:b/>
                      <w:color w:val="000000"/>
                    </w:rPr>
                    <w:t>:</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序号</w:t>
                  </w:r>
                </w:p>
              </w:tc>
              <w:tc>
                <w:tcPr>
                  <w:tcW w:type="dxa" w:w="2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规格型号</w:t>
                  </w:r>
                </w:p>
              </w:tc>
              <w:tc>
                <w:tcPr>
                  <w:tcW w:type="dxa" w:w="87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技术参数及要求</w:t>
                  </w:r>
                </w:p>
              </w:tc>
              <w:tc>
                <w:tcPr>
                  <w:tcW w:type="dxa" w:w="1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单位</w:t>
                  </w:r>
                </w:p>
              </w:tc>
              <w:tc>
                <w:tcPr>
                  <w:tcW w:type="dxa" w:w="16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数量</w:t>
                  </w:r>
                </w:p>
              </w:tc>
            </w:tr>
            <w:tr>
              <w:tc>
                <w:tcPr>
                  <w:tcW w:type="dxa" w:w="11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地磅</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SCS-100吨(3x15米) 1台(三节)</w:t>
                  </w:r>
                </w:p>
              </w:tc>
              <w:tc>
                <w:tcPr>
                  <w:tcW w:type="dxa" w:w="87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color w:val="000000"/>
                    </w:rPr>
                    <w:t>1.SCS-100吨(3x15米) 1台(三节)</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2.分度值：50kg</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3.精度等级：III级</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4.传感器：数字式（≥8个）</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5.显示仪表：大屏幕液晶（带数据存储/打印）</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6.台面材质：Q235钢板，厚度≥10mm</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7.防护等级：传感器不低于IP68，仪表不低于IP65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8.通信接口：RS232/485</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9.安装方式：有基坑安装</w:t>
                  </w:r>
                </w:p>
              </w:tc>
              <w:tc>
                <w:tcPr>
                  <w:tcW w:type="dxa" w:w="1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台</w:t>
                  </w:r>
                </w:p>
              </w:tc>
              <w:tc>
                <w:tcPr>
                  <w:tcW w:type="dxa" w:w="16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老庄镇鲁家庄村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货物一次性配齐后，提供出厂检测报告、产品使用说明书、合格证等其它相关资料后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符合国家及相关行业的验收标准进行验收a.出厂检验:中标供应商在货物出厂前,应按产品技术标准规定的检验项目和试验方法进行全面检验,卖方应随同货物提供出厂检验报告、产品质量合格证。b. 货物运达采购单位安装现场后，由采购单位进行质量和数量的验收（但不作为最终合格的保证），应达到合同规定的要求。c.本次采购货物的安装调试，检验结果应符合制造厂产品标准、国家有关标准 和采购文件规定的技术要求。d.本次采购的设备安装调试结束后，由成交供应商会同采购单位按双方规定的标准及合同要求进行联合验收。供应商按规定的标准要求进行联合最终验收，验收合格后办 理相关手续。文本资料(1) 产品验收标准； (2) 技术说明书； (3) 使用说明书； (4) 设备安装、调试、维修线路原理图； (5) 零部件目录； (6) 备品备件、易损件清单； (7) 安装、维修及操作手册； (8) 合同中要求的其他文件资料。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按照国家《建设工程质量管理条例》中有关规定实行质保，质保期1年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成交供应商在采购结果发布后3个工作日内向代理机构提交纸质版响应文件以便于存档，响应文件正本1份，副本1份(可以使用签章文件直接打印)，电子版文件1份(以U盘为载体，PDF格式)。线下递交响应文件地点:汉中市汉台区财富立方写字楼1403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产品技术参数表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统一社会信用代码营业执照或事业单位法人证书</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财务会计制度、依法缴纳税收和社会保障资金的良好记录及参加本项目采购活动前三年内在经营活动中无重大违法活 动记录</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 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产品技术响应</w:t>
            </w:r>
          </w:p>
        </w:tc>
        <w:tc>
          <w:tcPr>
            <w:tcW w:type="dxa" w:w="2492"/>
          </w:tcPr>
          <w:p>
            <w:pPr>
              <w:pStyle w:val="null3"/>
            </w:pPr>
            <w:r>
              <w:rPr>
                <w:rFonts w:ascii="仿宋_GB2312" w:hAnsi="仿宋_GB2312" w:cs="仿宋_GB2312" w:eastAsia="仿宋_GB2312"/>
              </w:rPr>
              <w:t>所投产品的技术指标、参数、性能等情况符合招标文件要求，投标产品附有详细的产品技术资料，根据响应程度计0-27 分,具体为：完全响应得 27分；负偏离一项扣 2分，扣完为止。（注：包括但不限于第三方检测报告或技术白皮书或产品彩页或说明书或官网功能截图等内容），若未提供佐证材料视为负偏离。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供应商针对本项目提出实施方案，包含但不限于①供货方案、②安装与调试、③维修保养的培训服务、④应急预案等，内容完整、详细、合理、可操作性强，符合项目要求。每项满分5分，缺项不得分 , 每项内容存在缺陷，扣1分。缺陷是指内容不合理、虽有内容但 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供货渠道合法</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投标人需截止开标日期提近三年（2023年6月至今）类似业绩：每提供一项得2分，最高得 4分（提供类似业绩的中标通知书或合同），不提供或提供的资料不全不得分。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