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版本号：HXTC-ZFCG-南郑区-20260603.1B120260629001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2026年南郑区高台镇东风村粪污资源化利用液体有机肥生产线项目（设备采购）(二次)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HXTC-ZFCG-南郑区-20260603.1B1</w:t>
      </w:r>
      <w:r>
        <w:br/>
      </w:r>
      <w:r>
        <w:br/>
      </w:r>
      <w:r>
        <w:br/>
      </w:r>
    </w:p>
    <w:p>
      <w:pPr>
        <w:pStyle w:val="null3"/>
        <w:jc w:val="center"/>
        <w:outlineLvl w:val="2"/>
      </w:pPr>
      <w:r>
        <w:rPr>
          <w:rFonts w:ascii="仿宋_GB2312" w:hAnsi="仿宋_GB2312" w:cs="仿宋_GB2312" w:eastAsia="仿宋_GB2312"/>
          <w:sz w:val="28"/>
          <w:b/>
        </w:rPr>
        <w:t>汉中市南郑区高台镇人民政府</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汉中市南郑区高台镇人民政府</w:t>
      </w:r>
      <w:r>
        <w:rPr>
          <w:rFonts w:ascii="仿宋_GB2312" w:hAnsi="仿宋_GB2312" w:cs="仿宋_GB2312" w:eastAsia="仿宋_GB2312"/>
        </w:rPr>
        <w:t>委托，拟对</w:t>
      </w:r>
      <w:r>
        <w:rPr>
          <w:rFonts w:ascii="仿宋_GB2312" w:hAnsi="仿宋_GB2312" w:cs="仿宋_GB2312" w:eastAsia="仿宋_GB2312"/>
        </w:rPr>
        <w:t>2026年南郑区高台镇东风村粪污资源化利用液体有机肥生产线项目（设备采购）(二次)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HXTC-ZFCG-南郑区-20260603.1B1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2026年南郑区高台镇东风村粪污资源化利用液体有机肥生产线项目（设备采购）(二次)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南郑区高台镇东风村粪污资源化利用液体有机肥生产线项目（设备采购）（二次），1项，主要采购内容为一批20吨/日养殖粪污水资源化处理高定设备，其中主要设备名称：养殖粪污水一体化液体发酵制肥设备，包含一体化箱体、发酵系统、发酵在线控制系统、管道及配件、控制柜、循环泵、工作平台、罗茨风机、曝气器、预处理桶及复合微生物发酵菌剂等（具体货品采购明细、服务内容、采购范围及商务要求详见招标文件“技术参数与性能指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采购包1（2026年南郑区高台镇东风村粪污资源化利用液体有机肥生产线项目（设备采购）（二次））：属于专门面向中小企业采购。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为具有独立承担民事责任能力的企业法人、事业法人、其他组织，提供营业执照复印件（事业单位须提供事业单位法人证、组织机构代码证等证明文件；其他组织应提供合法证明文件）【注：提供加盖公章的复印件。投标人需在本项目电子化交易系统中按要求上传相关证明文件并签章】：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注：提供本项要求“承诺函”。投标人需在本项目电子化交易系统中按要求上传相关证明文件并签章】：具有履行合同所必须的设备和专业技术能力，供应商需在本项目电子化交易系统中按要求上传承诺函及相关证明文件并签章；</w:t>
      </w:r>
    </w:p>
    <w:p>
      <w:pPr>
        <w:pStyle w:val="null3"/>
      </w:pPr>
      <w:r>
        <w:rPr>
          <w:rFonts w:ascii="仿宋_GB2312" w:hAnsi="仿宋_GB2312" w:cs="仿宋_GB2312" w:eastAsia="仿宋_GB2312"/>
        </w:rPr>
        <w:t>3、投标人应授权合法的人员参加本次招标活动：其中法定代表人直接参加的，须出具法人身份证，并与营业执照上信息一致；授权代表参加的，须出具法定代表人授权书及被授权人身份证【注：提供加盖公章的证照复印件】：投标人应授权合法的人员参加本次招标活动：其中法定代表人直接参加的，须出具法人身份证，并与营业执照上信息一致；授权代表参加的，须出具法定代表人授权书及被授权人身份证，投标人需在本项目电子化交易系统中按要求上传相关证明文件并签章；</w:t>
      </w:r>
    </w:p>
    <w:p>
      <w:pPr>
        <w:pStyle w:val="null3"/>
      </w:pPr>
      <w:r>
        <w:rPr>
          <w:rFonts w:ascii="仿宋_GB2312" w:hAnsi="仿宋_GB2312" w:cs="仿宋_GB2312" w:eastAsia="仿宋_GB2312"/>
        </w:rPr>
        <w:t>4、本项目不接受联合体投标，单位负责人为同一人或者存在控股、管理关系的不同单位不得同时参与本项目投标响应【注：提供“投标人非联合体”声明函】：本项目不接受联合体投标，单位负责人为同一人或者存在控股、管理关系的不同单位不得同时参与本项目投标响应；</w:t>
      </w:r>
    </w:p>
    <w:p>
      <w:pPr>
        <w:pStyle w:val="null3"/>
      </w:pPr>
      <w:r>
        <w:rPr>
          <w:rFonts w:ascii="仿宋_GB2312" w:hAnsi="仿宋_GB2312" w:cs="仿宋_GB2312" w:eastAsia="仿宋_GB2312"/>
        </w:rPr>
        <w:t>5、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注：拟参与本项目投标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p>
      <w:pPr>
        <w:pStyle w:val="null3"/>
      </w:pPr>
      <w:r>
        <w:rPr>
          <w:rFonts w:ascii="仿宋_GB2312" w:hAnsi="仿宋_GB2312" w:cs="仿宋_GB2312" w:eastAsia="仿宋_GB2312"/>
        </w:rPr>
        <w:t>6、投标人按规定缴纳了投标保证金或提供投标担保函【注：提供加盖公章的复印件。投标人需在本项目电子化交易系统中按要求上传相关证明文件并签章】：投标人按规定缴纳了投标保证金或提供投标担保函，供应商需在本项目电子化交易系统中按要求上传相关证明文件并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汉中市南郑区高台镇人民政府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汉中市南郑区高台镇高台街19号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0916-5572113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陕西省汉中市汉台区将坛西路南侧35号颐馨园小区东单元十一楼1101室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开户名称：华兴天成项目咨询有限公司汉中分公司</w:t>
            </w:r>
          </w:p>
          <w:p>
            <w:pPr>
              <w:pStyle w:val="null3"/>
            </w:pPr>
            <w:r>
              <w:rPr>
                <w:rFonts w:ascii="仿宋_GB2312" w:hAnsi="仿宋_GB2312" w:cs="仿宋_GB2312" w:eastAsia="仿宋_GB2312"/>
              </w:rPr>
              <w:t>开户银行：中国银行股份有限公司汉中天汉大道支行</w:t>
            </w:r>
          </w:p>
          <w:p>
            <w:pPr>
              <w:pStyle w:val="null3"/>
            </w:pPr>
            <w:r>
              <w:rPr>
                <w:rFonts w:ascii="仿宋_GB2312" w:hAnsi="仿宋_GB2312" w:cs="仿宋_GB2312" w:eastAsia="仿宋_GB2312"/>
              </w:rPr>
              <w:t>银行账号：1024 8277 3591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说明：详细内容甲乙双方合同内约定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汉中市南郑区高台镇人民政府</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汉中市南郑区高台镇人民政府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汉中市南郑区高台镇人民政府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招标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具体内容甲乙双方合同内约定。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地址：陕西省汉中市汉台区将坛西路南侧35号颐馨园小区东单元十一楼1101室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南郑区高台镇东风村粪污资源化利用液体有机肥生产线项目（设备采购）（二次），1项，主要采购内容为一批20吨/日养殖粪污水资源化处理高定设备，其中主要设备名称：养殖粪污水一体化液体发酵制肥设备，包含一体化箱体、发酵系统、发酵在线控制系统、管道及配件、控制柜、循环泵、工作平台、罗茨风机、曝气器、预处理桶及复合微生物发酵菌剂等（具体货品采购明细、服务内容、采购范围及商务要求详见采购明细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2026年南郑区高台镇东风村粪污资源化利用液体有机肥生产线项目（设备采购）（二次）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标的名称：2026年南郑区高台镇东风村粪污资源化利用液体有机肥生产线项目（设备采购）（二次）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964"/>
              <w:jc w:val="both"/>
            </w:pPr>
            <w:r>
              <w:rPr>
                <w:rFonts w:ascii="仿宋_GB2312" w:hAnsi="仿宋_GB2312" w:cs="仿宋_GB2312" w:eastAsia="仿宋_GB2312"/>
                <w:sz w:val="32"/>
                <w:b/>
              </w:rPr>
              <w:t>2</w:t>
            </w:r>
            <w:r>
              <w:rPr>
                <w:rFonts w:ascii="仿宋_GB2312" w:hAnsi="仿宋_GB2312" w:cs="仿宋_GB2312" w:eastAsia="仿宋_GB2312"/>
                <w:sz w:val="32"/>
                <w:b/>
              </w:rPr>
              <w:t>0吨/日养殖粪污水资源化处理</w:t>
            </w:r>
            <w:r>
              <w:rPr>
                <w:rFonts w:ascii="仿宋_GB2312" w:hAnsi="仿宋_GB2312" w:cs="仿宋_GB2312" w:eastAsia="仿宋_GB2312"/>
                <w:sz w:val="32"/>
                <w:b/>
              </w:rPr>
              <w:t>高定</w:t>
            </w:r>
            <w:r>
              <w:rPr>
                <w:rFonts w:ascii="仿宋_GB2312" w:hAnsi="仿宋_GB2312" w:cs="仿宋_GB2312" w:eastAsia="仿宋_GB2312"/>
                <w:sz w:val="32"/>
                <w:b/>
              </w:rPr>
              <w:t>设备</w:t>
            </w:r>
            <w:r>
              <w:rPr>
                <w:rFonts w:ascii="仿宋_GB2312" w:hAnsi="仿宋_GB2312" w:cs="仿宋_GB2312" w:eastAsia="仿宋_GB2312"/>
                <w:sz w:val="32"/>
                <w:b/>
              </w:rPr>
              <w:t>采购清单</w:t>
            </w:r>
          </w:p>
          <w:p>
            <w:pPr>
              <w:pStyle w:val="null3"/>
              <w:ind w:left="1440"/>
              <w:jc w:val="both"/>
            </w:pPr>
            <w:r>
              <w:rPr>
                <w:rFonts w:ascii="仿宋_GB2312" w:hAnsi="仿宋_GB2312" w:cs="仿宋_GB2312" w:eastAsia="仿宋_GB2312"/>
                <w:sz w:val="24"/>
                <w:b/>
              </w:rPr>
              <w:t>1.项目名称：</w:t>
            </w:r>
            <w:r>
              <w:rPr>
                <w:rFonts w:ascii="仿宋_GB2312" w:hAnsi="仿宋_GB2312" w:cs="仿宋_GB2312" w:eastAsia="仿宋_GB2312"/>
                <w:sz w:val="24"/>
              </w:rPr>
              <w:t>2026年南郑区高台镇东风村粪污资源化利用液体有机肥生产线项目（设备采购）（二次）</w:t>
            </w:r>
          </w:p>
          <w:p>
            <w:pPr>
              <w:pStyle w:val="null3"/>
              <w:ind w:firstLine="200"/>
              <w:jc w:val="both"/>
            </w:pPr>
            <w:r>
              <w:rPr>
                <w:rFonts w:ascii="仿宋_GB2312" w:hAnsi="仿宋_GB2312" w:cs="仿宋_GB2312" w:eastAsia="仿宋_GB2312"/>
                <w:sz w:val="24"/>
                <w:b/>
              </w:rPr>
              <w:t>2.</w:t>
            </w:r>
            <w:r>
              <w:rPr>
                <w:rFonts w:ascii="仿宋_GB2312" w:hAnsi="仿宋_GB2312" w:cs="仿宋_GB2312" w:eastAsia="仿宋_GB2312"/>
                <w:sz w:val="24"/>
                <w:b/>
              </w:rPr>
              <w:t>设备名称：</w:t>
            </w:r>
            <w:r>
              <w:rPr>
                <w:rFonts w:ascii="仿宋_GB2312" w:hAnsi="仿宋_GB2312" w:cs="仿宋_GB2312" w:eastAsia="仿宋_GB2312"/>
                <w:sz w:val="24"/>
              </w:rPr>
              <w:t>养殖粪污水一体化液体发酵制肥设备</w:t>
            </w:r>
          </w:p>
          <w:p>
            <w:pPr>
              <w:pStyle w:val="null3"/>
              <w:ind w:firstLine="200"/>
              <w:jc w:val="both"/>
            </w:pPr>
            <w:r>
              <w:rPr>
                <w:rFonts w:ascii="仿宋_GB2312" w:hAnsi="仿宋_GB2312" w:cs="仿宋_GB2312" w:eastAsia="仿宋_GB2312"/>
                <w:sz w:val="24"/>
                <w:b/>
              </w:rPr>
              <w:t>3.</w:t>
            </w:r>
            <w:r>
              <w:rPr>
                <w:rFonts w:ascii="仿宋_GB2312" w:hAnsi="仿宋_GB2312" w:cs="仿宋_GB2312" w:eastAsia="仿宋_GB2312"/>
                <w:sz w:val="24"/>
                <w:b/>
              </w:rPr>
              <w:t>适用范围：</w:t>
            </w:r>
            <w:r>
              <w:rPr>
                <w:rFonts w:ascii="仿宋_GB2312" w:hAnsi="仿宋_GB2312" w:cs="仿宋_GB2312" w:eastAsia="仿宋_GB2312"/>
                <w:sz w:val="24"/>
              </w:rPr>
              <w:t>固液分离后的养殖粪污水、沼液深度处理</w:t>
            </w:r>
          </w:p>
          <w:p>
            <w:pPr>
              <w:pStyle w:val="null3"/>
              <w:ind w:firstLine="200"/>
              <w:jc w:val="both"/>
            </w:pPr>
            <w:r>
              <w:rPr>
                <w:rFonts w:ascii="仿宋_GB2312" w:hAnsi="仿宋_GB2312" w:cs="仿宋_GB2312" w:eastAsia="仿宋_GB2312"/>
                <w:sz w:val="24"/>
                <w:b/>
              </w:rPr>
              <w:t>4.</w:t>
            </w:r>
            <w:r>
              <w:rPr>
                <w:rFonts w:ascii="仿宋_GB2312" w:hAnsi="仿宋_GB2312" w:cs="仿宋_GB2312" w:eastAsia="仿宋_GB2312"/>
                <w:sz w:val="24"/>
                <w:b/>
              </w:rPr>
              <w:t>设备清单</w:t>
            </w:r>
            <w:r>
              <w:rPr>
                <w:rFonts w:ascii="仿宋_GB2312" w:hAnsi="仿宋_GB2312" w:cs="仿宋_GB2312" w:eastAsia="仿宋_GB2312"/>
                <w:sz w:val="24"/>
                <w:b/>
              </w:rPr>
              <w:t>明细：</w:t>
            </w:r>
          </w:p>
          <w:p>
            <w:pPr>
              <w:pStyle w:val="null3"/>
              <w:ind w:firstLine="200"/>
              <w:jc w:val="center"/>
            </w:pPr>
            <w:r>
              <w:rPr>
                <w:rFonts w:ascii="仿宋_GB2312" w:hAnsi="仿宋_GB2312" w:cs="仿宋_GB2312" w:eastAsia="仿宋_GB2312"/>
                <w:sz w:val="28"/>
                <w:b/>
              </w:rPr>
              <w:t>2</w:t>
            </w:r>
            <w:r>
              <w:rPr>
                <w:rFonts w:ascii="仿宋_GB2312" w:hAnsi="仿宋_GB2312" w:cs="仿宋_GB2312" w:eastAsia="仿宋_GB2312"/>
                <w:sz w:val="28"/>
                <w:b/>
              </w:rPr>
              <w:t>0吨级养殖粪污水一体化液体发酵制肥设备</w:t>
            </w:r>
            <w:r>
              <w:rPr>
                <w:rFonts w:ascii="仿宋_GB2312" w:hAnsi="仿宋_GB2312" w:cs="仿宋_GB2312" w:eastAsia="仿宋_GB2312"/>
                <w:sz w:val="28"/>
                <w:b/>
              </w:rPr>
              <w:t>采购清单明细</w:t>
            </w:r>
          </w:p>
          <w:tbl>
            <w:tblPr>
              <w:tblBorders>
                <w:top w:val="none" w:color="000000" w:sz="4"/>
                <w:left w:val="none" w:color="000000" w:sz="4"/>
                <w:bottom w:val="none" w:color="000000" w:sz="4"/>
                <w:right w:val="none" w:color="000000" w:sz="4"/>
                <w:insideH w:val="none"/>
                <w:insideV w:val="none"/>
              </w:tblBorders>
            </w:tblPr>
            <w:tblGrid>
              <w:gridCol w:w="157"/>
              <w:gridCol w:w="378"/>
              <w:gridCol w:w="813"/>
              <w:gridCol w:w="716"/>
              <w:gridCol w:w="262"/>
              <w:gridCol w:w="224"/>
            </w:tblGrid>
            <w:tr>
              <w:tc>
                <w:tcPr>
                  <w:tcW w:type="dxa" w:w="157"/>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序号</w:t>
                  </w:r>
                </w:p>
              </w:tc>
              <w:tc>
                <w:tcPr>
                  <w:tcW w:type="dxa" w:w="378"/>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名称</w:t>
                  </w:r>
                </w:p>
              </w:tc>
              <w:tc>
                <w:tcPr>
                  <w:tcW w:type="dxa" w:w="813"/>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规格参数</w:t>
                  </w:r>
                </w:p>
              </w:tc>
              <w:tc>
                <w:tcPr>
                  <w:tcW w:type="dxa" w:w="716"/>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ind w:firstLine="200"/>
                    <w:jc w:val="both"/>
                  </w:pPr>
                  <w:r>
                    <w:rPr>
                      <w:rFonts w:ascii="仿宋_GB2312" w:hAnsi="仿宋_GB2312" w:cs="仿宋_GB2312" w:eastAsia="仿宋_GB2312"/>
                      <w:sz w:val="24"/>
                      <w:b/>
                    </w:rPr>
                    <w:t>主体</w:t>
                  </w:r>
                  <w:r>
                    <w:rPr>
                      <w:rFonts w:ascii="仿宋_GB2312" w:hAnsi="仿宋_GB2312" w:cs="仿宋_GB2312" w:eastAsia="仿宋_GB2312"/>
                      <w:sz w:val="24"/>
                      <w:b/>
                    </w:rPr>
                    <w:t>材质</w:t>
                  </w:r>
                  <w:r>
                    <w:rPr>
                      <w:rFonts w:ascii="仿宋_GB2312" w:hAnsi="仿宋_GB2312" w:cs="仿宋_GB2312" w:eastAsia="仿宋_GB2312"/>
                      <w:sz w:val="24"/>
                      <w:b/>
                    </w:rPr>
                    <w:t>或功能</w:t>
                  </w:r>
                </w:p>
              </w:tc>
              <w:tc>
                <w:tcPr>
                  <w:tcW w:type="dxa" w:w="262"/>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数量</w:t>
                  </w:r>
                </w:p>
              </w:tc>
              <w:tc>
                <w:tcPr>
                  <w:tcW w:type="dxa" w:w="224"/>
                  <w:tcBorders>
                    <w:top w:val="single" w:color="000000" w:sz="4"/>
                    <w:left w:val="single" w:color="000000" w:sz="4"/>
                    <w:bottom w:val="single" w:color="000000" w:sz="4"/>
                    <w:right w:val="single" w:color="000000" w:sz="4"/>
                  </w:tcBorders>
                  <w:shd w:fill="EAEDF2"/>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单位</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一体化箱体</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▲①长×宽×高：9m×3.5m×3.5m；正负偏差2mm；</w:t>
                  </w:r>
                </w:p>
                <w:p>
                  <w:pPr>
                    <w:pStyle w:val="null3"/>
                    <w:jc w:val="left"/>
                  </w:pPr>
                  <w:r>
                    <w:rPr>
                      <w:rFonts w:ascii="仿宋_GB2312" w:hAnsi="仿宋_GB2312" w:cs="仿宋_GB2312" w:eastAsia="仿宋_GB2312"/>
                      <w:sz w:val="24"/>
                    </w:rPr>
                    <w:t>②板材厚度</w:t>
                  </w:r>
                  <w:r>
                    <w:rPr>
                      <w:rFonts w:ascii="仿宋_GB2312" w:hAnsi="仿宋_GB2312" w:cs="仿宋_GB2312" w:eastAsia="仿宋_GB2312"/>
                      <w:sz w:val="24"/>
                    </w:rPr>
                    <w:t>≥</w:t>
                  </w:r>
                  <w:r>
                    <w:rPr>
                      <w:rFonts w:ascii="仿宋_GB2312" w:hAnsi="仿宋_GB2312" w:cs="仿宋_GB2312" w:eastAsia="仿宋_GB2312"/>
                      <w:sz w:val="24"/>
                    </w:rPr>
                    <w:t>1mm；</w:t>
                  </w:r>
                </w:p>
                <w:p>
                  <w:pPr>
                    <w:pStyle w:val="null3"/>
                    <w:jc w:val="left"/>
                  </w:pPr>
                  <w:r>
                    <w:rPr>
                      <w:rFonts w:ascii="仿宋_GB2312" w:hAnsi="仿宋_GB2312" w:cs="仿宋_GB2312" w:eastAsia="仿宋_GB2312"/>
                      <w:sz w:val="24"/>
                    </w:rPr>
                    <w:t>③有效容积≥110.20m³。</w:t>
                  </w:r>
                  <w:r>
                    <w:rPr>
                      <w:rFonts w:ascii="仿宋_GB2312" w:hAnsi="仿宋_GB2312" w:cs="仿宋_GB2312" w:eastAsia="仿宋_GB2312"/>
                      <w:sz w:val="30"/>
                      <w:vertAlign w:val="superscript"/>
                    </w:rPr>
                    <w:t xml:space="preserve"> </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100方钢+304不锈钢护板；</w:t>
                  </w:r>
                </w:p>
                <w:p>
                  <w:pPr>
                    <w:pStyle w:val="null3"/>
                    <w:jc w:val="center"/>
                  </w:pPr>
                  <w:r>
                    <w:rPr>
                      <w:rFonts w:ascii="仿宋_GB2312" w:hAnsi="仿宋_GB2312" w:cs="仿宋_GB2312" w:eastAsia="仿宋_GB2312"/>
                      <w:sz w:val="24"/>
                    </w:rPr>
                    <w:t>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2</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发酵系统</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★①单套直径2.53米，高3.52米，正负偏差2mm；</w:t>
                  </w:r>
                </w:p>
                <w:p>
                  <w:pPr>
                    <w:pStyle w:val="null3"/>
                    <w:jc w:val="left"/>
                  </w:pPr>
                  <w:r>
                    <w:rPr>
                      <w:rFonts w:ascii="仿宋_GB2312" w:hAnsi="仿宋_GB2312" w:cs="仿宋_GB2312" w:eastAsia="仿宋_GB2312"/>
                      <w:sz w:val="24"/>
                    </w:rPr>
                    <w:t>②壁厚</w:t>
                  </w:r>
                  <w:r>
                    <w:rPr>
                      <w:rFonts w:ascii="仿宋_GB2312" w:hAnsi="仿宋_GB2312" w:cs="仿宋_GB2312" w:eastAsia="仿宋_GB2312"/>
                      <w:sz w:val="24"/>
                    </w:rPr>
                    <w:t>≥</w:t>
                  </w:r>
                  <w:r>
                    <w:rPr>
                      <w:rFonts w:ascii="仿宋_GB2312" w:hAnsi="仿宋_GB2312" w:cs="仿宋_GB2312" w:eastAsia="仿宋_GB2312"/>
                      <w:sz w:val="24"/>
                    </w:rPr>
                    <w:t>3毫米；</w:t>
                  </w:r>
                </w:p>
                <w:p>
                  <w:pPr>
                    <w:pStyle w:val="null3"/>
                    <w:jc w:val="left"/>
                  </w:pPr>
                  <w:r>
                    <w:rPr>
                      <w:rFonts w:ascii="仿宋_GB2312" w:hAnsi="仿宋_GB2312" w:cs="仿宋_GB2312" w:eastAsia="仿宋_GB2312"/>
                      <w:sz w:val="24"/>
                    </w:rPr>
                    <w:t>③单套有效容积≥14m³、总有效容积≥42m³，无恒温加热，带搅拌和曝气。</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304不锈钢，冷板拉丝抛光；</w:t>
                  </w:r>
                </w:p>
                <w:p>
                  <w:pPr>
                    <w:pStyle w:val="null3"/>
                    <w:jc w:val="center"/>
                  </w:pPr>
                  <w:r>
                    <w:rPr>
                      <w:rFonts w:ascii="仿宋_GB2312" w:hAnsi="仿宋_GB2312" w:cs="仿宋_GB2312" w:eastAsia="仿宋_GB2312"/>
                      <w:sz w:val="24"/>
                    </w:rPr>
                    <w:t>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3</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发酵在线控制系统</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4"/>
                    </w:rPr>
                    <w:t>▲①</w:t>
                  </w:r>
                  <w:r>
                    <w:rPr>
                      <w:rFonts w:ascii="仿宋_GB2312" w:hAnsi="仿宋_GB2312" w:cs="仿宋_GB2312" w:eastAsia="仿宋_GB2312"/>
                      <w:sz w:val="24"/>
                    </w:rPr>
                    <w:t>主体材质：</w:t>
                  </w:r>
                  <w:r>
                    <w:rPr>
                      <w:rFonts w:ascii="仿宋_GB2312" w:hAnsi="仿宋_GB2312" w:cs="仿宋_GB2312" w:eastAsia="仿宋_GB2312"/>
                      <w:sz w:val="24"/>
                    </w:rPr>
                    <w:t>316不锈钢探头、ABS工程塑料安装件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②</w:t>
                  </w:r>
                  <w:r>
                    <w:rPr>
                      <w:rFonts w:ascii="仿宋_GB2312" w:hAnsi="仿宋_GB2312" w:cs="仿宋_GB2312" w:eastAsia="仿宋_GB2312"/>
                      <w:sz w:val="24"/>
                    </w:rPr>
                    <w:t>检测参数：</w:t>
                  </w:r>
                  <w:r>
                    <w:rPr>
                      <w:rFonts w:ascii="仿宋_GB2312" w:hAnsi="仿宋_GB2312" w:cs="仿宋_GB2312" w:eastAsia="仿宋_GB2312"/>
                      <w:sz w:val="24"/>
                    </w:rPr>
                    <w:t>pH：0–14pH，精度±0.02，耐高温防污电极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w:t>
                  </w:r>
                  <w:r>
                    <w:rPr>
                      <w:rFonts w:ascii="仿宋_GB2312" w:hAnsi="仿宋_GB2312" w:cs="仿宋_GB2312" w:eastAsia="仿宋_GB2312"/>
                      <w:sz w:val="24"/>
                    </w:rPr>
                    <w:t>分辨率：</w:t>
                  </w:r>
                  <w:r>
                    <w:rPr>
                      <w:rFonts w:ascii="仿宋_GB2312" w:hAnsi="仿宋_GB2312" w:cs="仿宋_GB2312" w:eastAsia="仿宋_GB2312"/>
                      <w:sz w:val="24"/>
                    </w:rPr>
                    <w:t>≤0.01pH</w:t>
                  </w:r>
                  <w:r>
                    <w:rPr>
                      <w:rFonts w:ascii="仿宋_GB2312" w:hAnsi="仿宋_GB2312" w:cs="仿宋_GB2312" w:eastAsia="仿宋_GB2312"/>
                      <w:sz w:val="24"/>
                    </w:rPr>
                    <w:t>；</w:t>
                  </w:r>
                  <w:r>
                    <w:rPr>
                      <w:rFonts w:ascii="仿宋_GB2312" w:hAnsi="仿宋_GB2312" w:cs="仿宋_GB2312" w:eastAsia="仿宋_GB2312"/>
                      <w:sz w:val="24"/>
                    </w:rPr>
                    <w:t>重复性：</w:t>
                  </w:r>
                  <w:r>
                    <w:rPr>
                      <w:rFonts w:ascii="仿宋_GB2312" w:hAnsi="仿宋_GB2312" w:cs="仿宋_GB2312" w:eastAsia="仿宋_GB2312"/>
                      <w:sz w:val="24"/>
                    </w:rPr>
                    <w:t>≤±0.02 pH</w:t>
                  </w:r>
                </w:p>
                <w:p>
                  <w:pPr>
                    <w:pStyle w:val="null3"/>
                    <w:jc w:val="both"/>
                  </w:pPr>
                  <w:r>
                    <w:rPr>
                      <w:rFonts w:ascii="仿宋_GB2312" w:hAnsi="仿宋_GB2312" w:cs="仿宋_GB2312" w:eastAsia="仿宋_GB2312"/>
                      <w:sz w:val="24"/>
                    </w:rPr>
                    <w:t>④</w:t>
                  </w:r>
                  <w:r>
                    <w:rPr>
                      <w:rFonts w:ascii="仿宋_GB2312" w:hAnsi="仿宋_GB2312" w:cs="仿宋_GB2312" w:eastAsia="仿宋_GB2312"/>
                      <w:sz w:val="24"/>
                    </w:rPr>
                    <w:t>温度：</w:t>
                  </w:r>
                  <w:r>
                    <w:rPr>
                      <w:rFonts w:ascii="仿宋_GB2312" w:hAnsi="仿宋_GB2312" w:cs="仿宋_GB2312" w:eastAsia="仿宋_GB2312"/>
                      <w:sz w:val="24"/>
                    </w:rPr>
                    <w:t>0–65℃，PT100，精度±0.2℃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⑤</w:t>
                  </w:r>
                  <w:r>
                    <w:rPr>
                      <w:rFonts w:ascii="仿宋_GB2312" w:hAnsi="仿宋_GB2312" w:cs="仿宋_GB2312" w:eastAsia="仿宋_GB2312"/>
                      <w:sz w:val="24"/>
                    </w:rPr>
                    <w:t>液位</w:t>
                  </w:r>
                  <w:r>
                    <w:rPr>
                      <w:rFonts w:ascii="仿宋_GB2312" w:hAnsi="仿宋_GB2312" w:cs="仿宋_GB2312" w:eastAsia="仿宋_GB2312"/>
                      <w:sz w:val="24"/>
                    </w:rPr>
                    <w:t>/水位：连续在线监测，4–20mA标准输出</w:t>
                  </w:r>
                  <w:r>
                    <w:rPr>
                      <w:rFonts w:ascii="仿宋_GB2312" w:hAnsi="仿宋_GB2312" w:cs="仿宋_GB2312" w:eastAsia="仿宋_GB2312"/>
                      <w:sz w:val="24"/>
                    </w:rPr>
                    <w:t>；</w:t>
                  </w:r>
                  <w:r>
                    <w:rPr>
                      <w:rFonts w:ascii="仿宋_GB2312" w:hAnsi="仿宋_GB2312" w:cs="仿宋_GB2312" w:eastAsia="仿宋_GB2312"/>
                      <w:sz w:val="24"/>
                    </w:rPr>
                    <w:t>测量精度</w:t>
                  </w:r>
                  <w:r>
                    <w:rPr>
                      <w:rFonts w:ascii="仿宋_GB2312" w:hAnsi="仿宋_GB2312" w:cs="仿宋_GB2312" w:eastAsia="仿宋_GB2312"/>
                      <w:sz w:val="24"/>
                    </w:rPr>
                    <w:t>±0.5% FS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⑥</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0.1mm/1mm</w:t>
                  </w:r>
                  <w:r>
                    <w:rPr>
                      <w:rFonts w:ascii="仿宋_GB2312" w:hAnsi="仿宋_GB2312" w:cs="仿宋_GB2312" w:eastAsia="仿宋_GB2312"/>
                      <w:sz w:val="24"/>
                    </w:rPr>
                    <w:t>；</w:t>
                  </w:r>
                  <w:r>
                    <w:rPr>
                      <w:rFonts w:ascii="仿宋_GB2312" w:hAnsi="仿宋_GB2312" w:cs="仿宋_GB2312" w:eastAsia="仿宋_GB2312"/>
                      <w:sz w:val="24"/>
                    </w:rPr>
                    <w:t>重复性：</w:t>
                  </w:r>
                  <w:r>
                    <w:rPr>
                      <w:rFonts w:ascii="仿宋_GB2312" w:hAnsi="仿宋_GB2312" w:cs="仿宋_GB2312" w:eastAsia="仿宋_GB2312"/>
                      <w:sz w:val="24"/>
                    </w:rPr>
                    <w:t>≤±0.1% FS</w:t>
                  </w:r>
                  <w:r>
                    <w:rPr>
                      <w:rFonts w:ascii="仿宋_GB2312" w:hAnsi="仿宋_GB2312" w:cs="仿宋_GB2312" w:eastAsia="仿宋_GB2312"/>
                      <w:sz w:val="24"/>
                    </w:rPr>
                    <w:t>；</w:t>
                  </w:r>
                  <w:r>
                    <w:rPr>
                      <w:rFonts w:ascii="仿宋_GB2312" w:hAnsi="仿宋_GB2312" w:cs="仿宋_GB2312" w:eastAsia="仿宋_GB2312"/>
                      <w:sz w:val="24"/>
                    </w:rPr>
                    <w:t>响应时间：</w:t>
                  </w:r>
                  <w:r>
                    <w:rPr>
                      <w:rFonts w:ascii="仿宋_GB2312" w:hAnsi="仿宋_GB2312" w:cs="仿宋_GB2312" w:eastAsia="仿宋_GB2312"/>
                      <w:sz w:val="24"/>
                    </w:rPr>
                    <w:t>0.5~3s</w:t>
                  </w:r>
                </w:p>
                <w:p>
                  <w:pPr>
                    <w:pStyle w:val="null3"/>
                    <w:jc w:val="both"/>
                  </w:pPr>
                  <w:r>
                    <w:rPr>
                      <w:rFonts w:ascii="仿宋_GB2312" w:hAnsi="仿宋_GB2312" w:cs="仿宋_GB2312" w:eastAsia="仿宋_GB2312"/>
                      <w:sz w:val="24"/>
                    </w:rPr>
                    <w:t>⑦</w:t>
                  </w:r>
                  <w:r>
                    <w:rPr>
                      <w:rFonts w:ascii="仿宋_GB2312" w:hAnsi="仿宋_GB2312" w:cs="仿宋_GB2312" w:eastAsia="仿宋_GB2312"/>
                      <w:sz w:val="24"/>
                    </w:rPr>
                    <w:t>DO溶解氧：</w:t>
                  </w:r>
                  <w:r>
                    <w:rPr>
                      <w:rFonts w:ascii="仿宋_GB2312" w:hAnsi="仿宋_GB2312" w:cs="仿宋_GB2312" w:eastAsia="仿宋_GB2312"/>
                      <w:sz w:val="24"/>
                    </w:rPr>
                    <w:t>常规</w:t>
                  </w:r>
                  <w:r>
                    <w:rPr>
                      <w:rFonts w:ascii="仿宋_GB2312" w:hAnsi="仿宋_GB2312" w:cs="仿宋_GB2312" w:eastAsia="仿宋_GB2312"/>
                      <w:sz w:val="24"/>
                    </w:rPr>
                    <w:t xml:space="preserve"> 0～20mg/L</w:t>
                  </w:r>
                  <w:r>
                    <w:rPr>
                      <w:rFonts w:ascii="仿宋_GB2312" w:hAnsi="仿宋_GB2312" w:cs="仿宋_GB2312" w:eastAsia="仿宋_GB2312"/>
                      <w:sz w:val="24"/>
                    </w:rPr>
                    <w:t>，</w:t>
                  </w:r>
                  <w:r>
                    <w:rPr>
                      <w:rFonts w:ascii="仿宋_GB2312" w:hAnsi="仿宋_GB2312" w:cs="仿宋_GB2312" w:eastAsia="仿宋_GB2312"/>
                      <w:sz w:val="24"/>
                    </w:rPr>
                    <w:t>分辨率：</w:t>
                  </w:r>
                  <w:r>
                    <w:rPr>
                      <w:rFonts w:ascii="仿宋_GB2312" w:hAnsi="仿宋_GB2312" w:cs="仿宋_GB2312" w:eastAsia="仿宋_GB2312"/>
                      <w:sz w:val="24"/>
                    </w:rPr>
                    <w:t>≤0.01mg/L</w:t>
                  </w:r>
                  <w:r>
                    <w:rPr>
                      <w:rFonts w:ascii="仿宋_GB2312" w:hAnsi="仿宋_GB2312" w:cs="仿宋_GB2312" w:eastAsia="仿宋_GB2312"/>
                      <w:sz w:val="24"/>
                    </w:rPr>
                    <w:t>，</w:t>
                  </w:r>
                  <w:r>
                    <w:rPr>
                      <w:rFonts w:ascii="仿宋_GB2312" w:hAnsi="仿宋_GB2312" w:cs="仿宋_GB2312" w:eastAsia="仿宋_GB2312"/>
                      <w:sz w:val="24"/>
                    </w:rPr>
                    <w:t>耐污膜头，响应快速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⑧</w:t>
                  </w:r>
                  <w:r>
                    <w:rPr>
                      <w:rFonts w:ascii="仿宋_GB2312" w:hAnsi="仿宋_GB2312" w:cs="仿宋_GB2312" w:eastAsia="仿宋_GB2312"/>
                      <w:sz w:val="24"/>
                    </w:rPr>
                    <w:t>气液流量：实时计量，可联动调节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⑨</w:t>
                  </w:r>
                  <w:r>
                    <w:rPr>
                      <w:rFonts w:ascii="仿宋_GB2312" w:hAnsi="仿宋_GB2312" w:cs="仿宋_GB2312" w:eastAsia="仿宋_GB2312"/>
                      <w:sz w:val="24"/>
                    </w:rPr>
                    <w:t>功能：全自动运行、数据存储、超限报警、远程监控、联动控制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支持</w:t>
                  </w:r>
                  <w:r>
                    <w:rPr>
                      <w:rFonts w:ascii="仿宋_GB2312" w:hAnsi="仿宋_GB2312" w:cs="仿宋_GB2312" w:eastAsia="仿宋_GB2312"/>
                      <w:sz w:val="24"/>
                    </w:rPr>
                    <w:t>MODBUS-RTU、MODBUS-TCP、RS485、HJ212-2017、4G/5G、LoRa、NB-IoT、MQTT、TCP/IP、UDP的标准通讯协议和对接标准。</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ABS、工程塑、316不锈钢；</w:t>
                  </w:r>
                </w:p>
                <w:p>
                  <w:pPr>
                    <w:pStyle w:val="null3"/>
                    <w:jc w:val="center"/>
                  </w:pPr>
                  <w:r>
                    <w:rPr>
                      <w:rFonts w:ascii="仿宋_GB2312" w:hAnsi="仿宋_GB2312" w:cs="仿宋_GB2312" w:eastAsia="仿宋_GB2312"/>
                      <w:sz w:val="24"/>
                    </w:rPr>
                    <w:t>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4</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管道及配件</w:t>
                  </w:r>
                  <w:r>
                    <w:rPr>
                      <w:rFonts w:ascii="仿宋_GB2312" w:hAnsi="仿宋_GB2312" w:cs="仿宋_GB2312" w:eastAsia="仿宋_GB2312"/>
                      <w:sz w:val="24"/>
                    </w:rPr>
                    <w:t>（配件辅材）</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①管道、直接、弯头、阀门规格包含DN63、DN50、DN32、DN15；</w:t>
                  </w:r>
                </w:p>
                <w:p>
                  <w:pPr>
                    <w:pStyle w:val="null3"/>
                    <w:jc w:val="left"/>
                  </w:pPr>
                  <w:r>
                    <w:rPr>
                      <w:rFonts w:ascii="仿宋_GB2312" w:hAnsi="仿宋_GB2312" w:cs="仿宋_GB2312" w:eastAsia="仿宋_GB2312"/>
                      <w:sz w:val="24"/>
                    </w:rPr>
                    <w:t>②耐压：</w:t>
                  </w:r>
                  <w:r>
                    <w:rPr>
                      <w:rFonts w:ascii="仿宋_GB2312" w:hAnsi="仿宋_GB2312" w:cs="仿宋_GB2312" w:eastAsia="仿宋_GB2312"/>
                      <w:sz w:val="24"/>
                    </w:rPr>
                    <w:t>≥</w:t>
                  </w:r>
                  <w:r>
                    <w:rPr>
                      <w:rFonts w:ascii="仿宋_GB2312" w:hAnsi="仿宋_GB2312" w:cs="仿宋_GB2312" w:eastAsia="仿宋_GB2312"/>
                      <w:sz w:val="24"/>
                    </w:rPr>
                    <w:t>1.6MPa；</w:t>
                  </w:r>
                </w:p>
                <w:p>
                  <w:pPr>
                    <w:pStyle w:val="null3"/>
                    <w:jc w:val="left"/>
                  </w:pPr>
                  <w:r>
                    <w:rPr>
                      <w:rFonts w:ascii="仿宋_GB2312" w:hAnsi="仿宋_GB2312" w:cs="仿宋_GB2312" w:eastAsia="仿宋_GB2312"/>
                      <w:sz w:val="24"/>
                    </w:rPr>
                    <w:t>③采用PVC胶黏剂连接。</w:t>
                  </w:r>
                </w:p>
                <w:p>
                  <w:pPr>
                    <w:pStyle w:val="null3"/>
                    <w:jc w:val="left"/>
                  </w:pP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防爆级</w:t>
                  </w:r>
                  <w:r>
                    <w:rPr>
                      <w:rFonts w:ascii="仿宋_GB2312" w:hAnsi="仿宋_GB2312" w:cs="仿宋_GB2312" w:eastAsia="仿宋_GB2312"/>
                      <w:sz w:val="24"/>
                    </w:rPr>
                    <w:t>PVC-U</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5</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控制柜</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IP55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柜体材质：</w:t>
                  </w:r>
                  <w:r>
                    <w:rPr>
                      <w:rFonts w:ascii="仿宋_GB2312" w:hAnsi="仿宋_GB2312" w:cs="仿宋_GB2312" w:eastAsia="仿宋_GB2312"/>
                      <w:sz w:val="24"/>
                    </w:rPr>
                    <w:t>304</w:t>
                  </w:r>
                  <w:r>
                    <w:rPr>
                      <w:rFonts w:ascii="仿宋_GB2312" w:hAnsi="仿宋_GB2312" w:cs="仿宋_GB2312" w:eastAsia="仿宋_GB2312"/>
                      <w:sz w:val="24"/>
                    </w:rPr>
                    <w:t>不锈钢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核心配置：</w:t>
                  </w:r>
                </w:p>
                <w:p>
                  <w:pPr>
                    <w:pStyle w:val="null3"/>
                    <w:jc w:val="left"/>
                  </w:pPr>
                  <w:r>
                    <w:rPr>
                      <w:rFonts w:ascii="仿宋_GB2312" w:hAnsi="仿宋_GB2312" w:cs="仿宋_GB2312" w:eastAsia="仿宋_GB2312"/>
                      <w:sz w:val="24"/>
                    </w:rPr>
                    <w:t>③PLC：采用高性能主流品牌，且性能满足使用需求；</w:t>
                  </w:r>
                </w:p>
                <w:p>
                  <w:pPr>
                    <w:pStyle w:val="null3"/>
                    <w:jc w:val="left"/>
                  </w:pPr>
                  <w:r>
                    <w:rPr>
                      <w:rFonts w:ascii="仿宋_GB2312" w:hAnsi="仿宋_GB2312" w:cs="仿宋_GB2312" w:eastAsia="仿宋_GB2312"/>
                      <w:sz w:val="24"/>
                    </w:rPr>
                    <w:t>④触摸屏：</w:t>
                  </w:r>
                  <w:r>
                    <w:rPr>
                      <w:rFonts w:ascii="仿宋_GB2312" w:hAnsi="仿宋_GB2312" w:cs="仿宋_GB2312" w:eastAsia="仿宋_GB2312"/>
                      <w:sz w:val="24"/>
                    </w:rPr>
                    <w:t>≥</w:t>
                  </w:r>
                  <w:r>
                    <w:rPr>
                      <w:rFonts w:ascii="仿宋_GB2312" w:hAnsi="仿宋_GB2312" w:cs="仿宋_GB2312" w:eastAsia="仿宋_GB2312"/>
                      <w:sz w:val="24"/>
                    </w:rPr>
                    <w:t>10寸及以上工业级，分辨率≥1024*768具备以太网通讯口；</w:t>
                  </w:r>
                </w:p>
                <w:p>
                  <w:pPr>
                    <w:pStyle w:val="null3"/>
                    <w:jc w:val="left"/>
                  </w:pPr>
                  <w:r>
                    <w:rPr>
                      <w:rFonts w:ascii="仿宋_GB2312" w:hAnsi="仿宋_GB2312" w:cs="仿宋_GB2312" w:eastAsia="仿宋_GB2312"/>
                      <w:sz w:val="24"/>
                    </w:rPr>
                    <w:t>⑤低压电器：采用高性能主流品牌，</w:t>
                  </w:r>
                  <w:r>
                    <w:rPr>
                      <w:rFonts w:ascii="仿宋_GB2312" w:hAnsi="仿宋_GB2312" w:cs="仿宋_GB2312" w:eastAsia="仿宋_GB2312"/>
                      <w:sz w:val="24"/>
                    </w:rPr>
                    <w:t>性能满足使用需求。</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主体材质采用</w:t>
                  </w:r>
                  <w:r>
                    <w:rPr>
                      <w:rFonts w:ascii="仿宋_GB2312" w:hAnsi="仿宋_GB2312" w:cs="仿宋_GB2312" w:eastAsia="仿宋_GB2312"/>
                      <w:sz w:val="24"/>
                    </w:rPr>
                    <w:t>304不锈钢；</w:t>
                  </w:r>
                </w:p>
                <w:p>
                  <w:pPr>
                    <w:pStyle w:val="null3"/>
                    <w:jc w:val="center"/>
                  </w:pPr>
                  <w:r>
                    <w:rPr>
                      <w:rFonts w:ascii="仿宋_GB2312" w:hAnsi="仿宋_GB2312" w:cs="仿宋_GB2312" w:eastAsia="仿宋_GB2312"/>
                      <w:sz w:val="24"/>
                    </w:rPr>
                    <w:t>304不锈钢符合</w:t>
                  </w:r>
                  <w:r>
                    <w:rPr>
                      <w:rFonts w:ascii="仿宋_GB2312" w:hAnsi="仿宋_GB2312" w:cs="仿宋_GB2312" w:eastAsia="仿宋_GB2312"/>
                      <w:sz w:val="24"/>
                    </w:rPr>
                    <w:t>GB/T20878-2024标准</w:t>
                  </w:r>
                  <w:r>
                    <w:rPr>
                      <w:rFonts w:ascii="仿宋_GB2312" w:hAnsi="仿宋_GB2312" w:cs="仿宋_GB2312" w:eastAsia="仿宋_GB2312"/>
                      <w:sz w:val="24"/>
                    </w:rPr>
                    <w:t>。</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6</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循环泵</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流量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15m³/h</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扬程：</w:t>
                  </w:r>
                  <w:r>
                    <w:rPr>
                      <w:rFonts w:ascii="仿宋_GB2312" w:hAnsi="仿宋_GB2312" w:cs="仿宋_GB2312" w:eastAsia="仿宋_GB2312"/>
                      <w:sz w:val="24"/>
                    </w:rPr>
                    <w:t>≥</w:t>
                  </w:r>
                  <w:r>
                    <w:rPr>
                      <w:rFonts w:ascii="仿宋_GB2312" w:hAnsi="仿宋_GB2312" w:cs="仿宋_GB2312" w:eastAsia="仿宋_GB2312"/>
                      <w:sz w:val="24"/>
                    </w:rPr>
                    <w:t>15m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0.75KW，380V</w:t>
                  </w:r>
                  <w:r>
                    <w:rPr>
                      <w:rFonts w:ascii="仿宋_GB2312" w:hAnsi="仿宋_GB2312" w:cs="仿宋_GB2312" w:eastAsia="仿宋_GB2312"/>
                      <w:sz w:val="24"/>
                    </w:rPr>
                    <w:t>,50HZ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转速</w:t>
                  </w:r>
                  <w:r>
                    <w:rPr>
                      <w:rFonts w:ascii="仿宋_GB2312" w:hAnsi="仿宋_GB2312" w:cs="仿宋_GB2312" w:eastAsia="仿宋_GB2312"/>
                      <w:sz w:val="24"/>
                    </w:rPr>
                    <w:t>n：≥1000r/min</w:t>
                  </w:r>
                </w:p>
                <w:p>
                  <w:pPr>
                    <w:pStyle w:val="null3"/>
                    <w:jc w:val="left"/>
                  </w:pPr>
                  <w:r>
                    <w:rPr>
                      <w:rFonts w:ascii="仿宋_GB2312" w:hAnsi="仿宋_GB2312" w:cs="仿宋_GB2312" w:eastAsia="仿宋_GB2312"/>
                      <w:sz w:val="24"/>
                    </w:rPr>
                    <w:t>③工作压力：壳体承压≥ PN16;防护等级：≥IP54</w:t>
                  </w:r>
                </w:p>
                <w:p>
                  <w:pPr>
                    <w:pStyle w:val="null3"/>
                    <w:jc w:val="left"/>
                  </w:pPr>
                  <w:r>
                    <w:rPr>
                      <w:rFonts w:ascii="仿宋_GB2312" w:hAnsi="仿宋_GB2312" w:cs="仿宋_GB2312" w:eastAsia="仿宋_GB2312"/>
                      <w:sz w:val="24"/>
                    </w:rPr>
                    <w:t>▲④</w:t>
                  </w:r>
                  <w:r>
                    <w:rPr>
                      <w:rFonts w:ascii="仿宋_GB2312" w:hAnsi="仿宋_GB2312" w:cs="仿宋_GB2312" w:eastAsia="仿宋_GB2312"/>
                      <w:sz w:val="24"/>
                    </w:rPr>
                    <w:t>材质：</w:t>
                  </w:r>
                  <w:r>
                    <w:rPr>
                      <w:rFonts w:ascii="仿宋_GB2312" w:hAnsi="仿宋_GB2312" w:cs="仿宋_GB2312" w:eastAsia="仿宋_GB2312"/>
                      <w:sz w:val="24"/>
                    </w:rPr>
                    <w:t>304不锈钢泵体、叶轮、泵轴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⑤</w:t>
                  </w:r>
                  <w:r>
                    <w:rPr>
                      <w:rFonts w:ascii="仿宋_GB2312" w:hAnsi="仿宋_GB2312" w:cs="仿宋_GB2312" w:eastAsia="仿宋_GB2312"/>
                      <w:sz w:val="24"/>
                    </w:rPr>
                    <w:t>结构：半开式叶轮，防堵塞，可输送含细小颗粒污水</w:t>
                  </w:r>
                  <w:r>
                    <w:rPr>
                      <w:rFonts w:ascii="仿宋_GB2312" w:hAnsi="仿宋_GB2312" w:cs="仿宋_GB2312" w:eastAsia="仿宋_GB2312"/>
                      <w:sz w:val="24"/>
                    </w:rPr>
                    <w:t>。</w:t>
                  </w:r>
                </w:p>
                <w:p>
                  <w:pPr>
                    <w:pStyle w:val="null3"/>
                    <w:jc w:val="left"/>
                  </w:pP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颗粒泵</w:t>
                  </w:r>
                </w:p>
                <w:p>
                  <w:pPr>
                    <w:pStyle w:val="null3"/>
                    <w:jc w:val="center"/>
                  </w:pPr>
                  <w:r>
                    <w:rPr>
                      <w:rFonts w:ascii="仿宋_GB2312" w:hAnsi="仿宋_GB2312" w:cs="仿宋_GB2312" w:eastAsia="仿宋_GB2312"/>
                      <w:sz w:val="24"/>
                    </w:rPr>
                    <w:t>主体材质采用国标</w:t>
                  </w:r>
                  <w:r>
                    <w:rPr>
                      <w:rFonts w:ascii="仿宋_GB2312" w:hAnsi="仿宋_GB2312" w:cs="仿宋_GB2312" w:eastAsia="仿宋_GB2312"/>
                      <w:sz w:val="24"/>
                    </w:rPr>
                    <w:t>304不锈钢，符合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台</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7</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工作平台</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一体化箱体配套设置</w:t>
                  </w:r>
                  <w:r>
                    <w:rPr>
                      <w:rFonts w:ascii="仿宋_GB2312" w:hAnsi="仿宋_GB2312" w:cs="仿宋_GB2312" w:eastAsia="仿宋_GB2312"/>
                      <w:sz w:val="24"/>
                    </w:rPr>
                    <w:t>,规格尺寸：宽≥600mm，长≥9000mm，</w:t>
                  </w:r>
                  <w:r>
                    <w:rPr>
                      <w:rFonts w:ascii="仿宋_GB2312" w:hAnsi="仿宋_GB2312" w:cs="仿宋_GB2312" w:eastAsia="仿宋_GB2312"/>
                      <w:sz w:val="24"/>
                    </w:rPr>
                    <w:t>支撑框架采用</w:t>
                  </w:r>
                  <w:r>
                    <w:rPr>
                      <w:rFonts w:ascii="仿宋_GB2312" w:hAnsi="仿宋_GB2312" w:cs="仿宋_GB2312" w:eastAsia="仿宋_GB2312"/>
                      <w:sz w:val="24"/>
                    </w:rPr>
                    <w:t>30*30*2mm的不锈钢方管作为纵横梁，间距1米，通过支架固定在箱体顶部，</w:t>
                  </w:r>
                  <w:r>
                    <w:rPr>
                      <w:rFonts w:ascii="仿宋_GB2312" w:hAnsi="仿宋_GB2312" w:cs="仿宋_GB2312" w:eastAsia="仿宋_GB2312"/>
                      <w:sz w:val="24"/>
                    </w:rPr>
                    <w:t>一侧留护栏，护栏高</w:t>
                  </w:r>
                  <w:r>
                    <w:rPr>
                      <w:rFonts w:ascii="仿宋_GB2312" w:hAnsi="仿宋_GB2312" w:cs="仿宋_GB2312" w:eastAsia="仿宋_GB2312"/>
                      <w:sz w:val="24"/>
                    </w:rPr>
                    <w:t>≥1100mm，长≥9000mm。</w:t>
                  </w:r>
                </w:p>
                <w:p>
                  <w:pPr>
                    <w:pStyle w:val="null3"/>
                    <w:jc w:val="left"/>
                  </w:pPr>
                  <w:r>
                    <w:rPr>
                      <w:rFonts w:ascii="仿宋_GB2312" w:hAnsi="仿宋_GB2312" w:cs="仿宋_GB2312" w:eastAsia="仿宋_GB2312"/>
                      <w:sz w:val="24"/>
                    </w:rPr>
                    <w:t>②走道板采用</w:t>
                  </w:r>
                  <w:r>
                    <w:rPr>
                      <w:rFonts w:ascii="仿宋_GB2312" w:hAnsi="仿宋_GB2312" w:cs="仿宋_GB2312" w:eastAsia="仿宋_GB2312"/>
                      <w:sz w:val="24"/>
                    </w:rPr>
                    <w:t>≥</w:t>
                  </w:r>
                  <w:r>
                    <w:rPr>
                      <w:rFonts w:ascii="仿宋_GB2312" w:hAnsi="仿宋_GB2312" w:cs="仿宋_GB2312" w:eastAsia="仿宋_GB2312"/>
                      <w:sz w:val="24"/>
                    </w:rPr>
                    <w:t>5mm厚的玻璃钢格栅板。</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主体材质采用国标</w:t>
                  </w:r>
                  <w:r>
                    <w:rPr>
                      <w:rFonts w:ascii="仿宋_GB2312" w:hAnsi="仿宋_GB2312" w:cs="仿宋_GB2312" w:eastAsia="仿宋_GB2312"/>
                      <w:sz w:val="24"/>
                    </w:rPr>
                    <w:t>304不锈钢，符合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8</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罗茨风机</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w:t>
                  </w:r>
                  <w:r>
                    <w:rPr>
                      <w:rFonts w:ascii="仿宋_GB2312" w:hAnsi="仿宋_GB2312" w:cs="仿宋_GB2312" w:eastAsia="仿宋_GB2312"/>
                      <w:sz w:val="24"/>
                    </w:rPr>
                    <w:t>风量：</w:t>
                  </w:r>
                  <w:r>
                    <w:rPr>
                      <w:rFonts w:ascii="仿宋_GB2312" w:hAnsi="仿宋_GB2312" w:cs="仿宋_GB2312" w:eastAsia="仿宋_GB2312"/>
                      <w:sz w:val="24"/>
                    </w:rPr>
                    <w:t>≥</w:t>
                  </w:r>
                  <w:r>
                    <w:rPr>
                      <w:rFonts w:ascii="仿宋_GB2312" w:hAnsi="仿宋_GB2312" w:cs="仿宋_GB2312" w:eastAsia="仿宋_GB2312"/>
                      <w:sz w:val="24"/>
                    </w:rPr>
                    <w:t>1.06m³/min</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②</w:t>
                  </w:r>
                  <w:r>
                    <w:rPr>
                      <w:rFonts w:ascii="仿宋_GB2312" w:hAnsi="仿宋_GB2312" w:cs="仿宋_GB2312" w:eastAsia="仿宋_GB2312"/>
                      <w:sz w:val="24"/>
                    </w:rPr>
                    <w:t>升压：</w:t>
                  </w:r>
                  <w:r>
                    <w:rPr>
                      <w:rFonts w:ascii="仿宋_GB2312" w:hAnsi="仿宋_GB2312" w:cs="仿宋_GB2312" w:eastAsia="仿宋_GB2312"/>
                      <w:sz w:val="24"/>
                    </w:rPr>
                    <w:t>≥</w:t>
                  </w:r>
                  <w:r>
                    <w:rPr>
                      <w:rFonts w:ascii="仿宋_GB2312" w:hAnsi="仿宋_GB2312" w:cs="仿宋_GB2312" w:eastAsia="仿宋_GB2312"/>
                      <w:sz w:val="24"/>
                    </w:rPr>
                    <w:t>25kPa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③</w:t>
                  </w:r>
                  <w:r>
                    <w:rPr>
                      <w:rFonts w:ascii="仿宋_GB2312" w:hAnsi="仿宋_GB2312" w:cs="仿宋_GB2312" w:eastAsia="仿宋_GB2312"/>
                      <w:sz w:val="24"/>
                    </w:rPr>
                    <w:t>电机：</w:t>
                  </w:r>
                  <w:r>
                    <w:rPr>
                      <w:rFonts w:ascii="仿宋_GB2312" w:hAnsi="仿宋_GB2312" w:cs="仿宋_GB2312" w:eastAsia="仿宋_GB2312"/>
                      <w:sz w:val="24"/>
                    </w:rPr>
                    <w:t>≥</w:t>
                  </w:r>
                  <w:r>
                    <w:rPr>
                      <w:rFonts w:ascii="仿宋_GB2312" w:hAnsi="仿宋_GB2312" w:cs="仿宋_GB2312" w:eastAsia="仿宋_GB2312"/>
                      <w:sz w:val="24"/>
                    </w:rPr>
                    <w:t>4极，</w:t>
                  </w:r>
                  <w:r>
                    <w:rPr>
                      <w:rFonts w:ascii="仿宋_GB2312" w:hAnsi="仿宋_GB2312" w:cs="仿宋_GB2312" w:eastAsia="仿宋_GB2312"/>
                      <w:sz w:val="24"/>
                    </w:rPr>
                    <w:t>≥</w:t>
                  </w:r>
                  <w:r>
                    <w:rPr>
                      <w:rFonts w:ascii="仿宋_GB2312" w:hAnsi="仿宋_GB2312" w:cs="仿宋_GB2312" w:eastAsia="仿宋_GB2312"/>
                      <w:sz w:val="24"/>
                    </w:rPr>
                    <w:t>1.1KW，380V</w:t>
                  </w:r>
                </w:p>
                <w:p>
                  <w:pPr>
                    <w:pStyle w:val="null3"/>
                    <w:jc w:val="left"/>
                  </w:pPr>
                  <w:r>
                    <w:rPr>
                      <w:rFonts w:ascii="仿宋_GB2312" w:hAnsi="仿宋_GB2312" w:cs="仿宋_GB2312" w:eastAsia="仿宋_GB2312"/>
                      <w:sz w:val="24"/>
                    </w:rPr>
                    <w:t>④转速：≥1450r/min</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主体为铸铁件</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9</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曝气器</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①HR-400,DN20；</w:t>
                  </w:r>
                </w:p>
                <w:p>
                  <w:pPr>
                    <w:pStyle w:val="null3"/>
                    <w:jc w:val="left"/>
                  </w:pPr>
                  <w:r>
                    <w:rPr>
                      <w:rFonts w:ascii="仿宋_GB2312" w:hAnsi="仿宋_GB2312" w:cs="仿宋_GB2312" w:eastAsia="仿宋_GB2312"/>
                      <w:sz w:val="24"/>
                    </w:rPr>
                    <w:t>②</w:t>
                  </w:r>
                  <w:r>
                    <w:rPr>
                      <w:rFonts w:ascii="仿宋_GB2312" w:hAnsi="仿宋_GB2312" w:cs="仿宋_GB2312" w:eastAsia="仿宋_GB2312"/>
                      <w:sz w:val="24"/>
                    </w:rPr>
                    <w:t>单台标准风量：</w:t>
                  </w:r>
                  <w:r>
                    <w:rPr>
                      <w:rFonts w:ascii="仿宋_GB2312" w:hAnsi="仿宋_GB2312" w:cs="仿宋_GB2312" w:eastAsia="仿宋_GB2312"/>
                      <w:sz w:val="24"/>
                    </w:rPr>
                    <w:t>0.4～0.8m³/min；</w:t>
                  </w:r>
                </w:p>
                <w:p>
                  <w:pPr>
                    <w:pStyle w:val="null3"/>
                    <w:jc w:val="left"/>
                  </w:pPr>
                  <w:r>
                    <w:rPr>
                      <w:rFonts w:ascii="仿宋_GB2312" w:hAnsi="仿宋_GB2312" w:cs="仿宋_GB2312" w:eastAsia="仿宋_GB2312"/>
                      <w:sz w:val="24"/>
                    </w:rPr>
                    <w:t>③单台服务面积：6～10㎡/ 套；④适用曝气水深：≥3.0m。</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ABS</w:t>
                  </w:r>
                  <w:r>
                    <w:rPr>
                      <w:rFonts w:ascii="仿宋_GB2312" w:hAnsi="仿宋_GB2312" w:cs="仿宋_GB2312" w:eastAsia="仿宋_GB2312"/>
                      <w:sz w:val="24"/>
                    </w:rPr>
                    <w:t>+304不锈钢；</w:t>
                  </w:r>
                </w:p>
                <w:p>
                  <w:pPr>
                    <w:pStyle w:val="null3"/>
                    <w:jc w:val="center"/>
                  </w:pPr>
                  <w:r>
                    <w:rPr>
                      <w:rFonts w:ascii="仿宋_GB2312" w:hAnsi="仿宋_GB2312" w:cs="仿宋_GB2312" w:eastAsia="仿宋_GB2312"/>
                      <w:sz w:val="24"/>
                    </w:rPr>
                    <w:t>304不锈钢符合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6</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10</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预处理桶</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①单套直径</w:t>
                  </w:r>
                  <w:r>
                    <w:rPr>
                      <w:rFonts w:ascii="仿宋_GB2312" w:hAnsi="仿宋_GB2312" w:cs="仿宋_GB2312" w:eastAsia="仿宋_GB2312"/>
                      <w:sz w:val="24"/>
                    </w:rPr>
                    <w:t>≥</w:t>
                  </w:r>
                  <w:r>
                    <w:rPr>
                      <w:rFonts w:ascii="仿宋_GB2312" w:hAnsi="仿宋_GB2312" w:cs="仿宋_GB2312" w:eastAsia="仿宋_GB2312"/>
                      <w:sz w:val="24"/>
                    </w:rPr>
                    <w:t>2.53米，高</w:t>
                  </w:r>
                  <w:r>
                    <w:rPr>
                      <w:rFonts w:ascii="仿宋_GB2312" w:hAnsi="仿宋_GB2312" w:cs="仿宋_GB2312" w:eastAsia="仿宋_GB2312"/>
                      <w:sz w:val="24"/>
                    </w:rPr>
                    <w:t>≥</w:t>
                  </w:r>
                  <w:r>
                    <w:rPr>
                      <w:rFonts w:ascii="仿宋_GB2312" w:hAnsi="仿宋_GB2312" w:cs="仿宋_GB2312" w:eastAsia="仿宋_GB2312"/>
                      <w:sz w:val="24"/>
                    </w:rPr>
                    <w:t>3.52米，壁厚</w:t>
                  </w:r>
                  <w:r>
                    <w:rPr>
                      <w:rFonts w:ascii="仿宋_GB2312" w:hAnsi="仿宋_GB2312" w:cs="仿宋_GB2312" w:eastAsia="仿宋_GB2312"/>
                      <w:sz w:val="24"/>
                    </w:rPr>
                    <w:t>≥</w:t>
                  </w:r>
                  <w:r>
                    <w:rPr>
                      <w:rFonts w:ascii="仿宋_GB2312" w:hAnsi="仿宋_GB2312" w:cs="仿宋_GB2312" w:eastAsia="仿宋_GB2312"/>
                      <w:sz w:val="24"/>
                    </w:rPr>
                    <w:t>3毫米，总有效容积≥14m³，无恒温加热，带搅拌和曝气；</w:t>
                  </w:r>
                </w:p>
                <w:p>
                  <w:pPr>
                    <w:pStyle w:val="null3"/>
                    <w:jc w:val="left"/>
                  </w:pPr>
                  <w:r>
                    <w:rPr>
                      <w:rFonts w:ascii="仿宋_GB2312" w:hAnsi="仿宋_GB2312" w:cs="仿宋_GB2312" w:eastAsia="仿宋_GB2312"/>
                      <w:sz w:val="24"/>
                    </w:rPr>
                    <w:t>②用于液体原料的预发酵处理和固液分离。</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304不锈钢</w:t>
                  </w:r>
                </w:p>
                <w:p>
                  <w:pPr>
                    <w:pStyle w:val="null3"/>
                    <w:jc w:val="center"/>
                  </w:pPr>
                  <w:r>
                    <w:rPr>
                      <w:rFonts w:ascii="仿宋_GB2312" w:hAnsi="仿宋_GB2312" w:cs="仿宋_GB2312" w:eastAsia="仿宋_GB2312"/>
                      <w:sz w:val="24"/>
                    </w:rPr>
                    <w:t>304不锈钢符合</w:t>
                  </w:r>
                  <w:r>
                    <w:rPr>
                      <w:rFonts w:ascii="仿宋_GB2312" w:hAnsi="仿宋_GB2312" w:cs="仿宋_GB2312" w:eastAsia="仿宋_GB2312"/>
                      <w:sz w:val="24"/>
                    </w:rPr>
                    <w:t>GB/T20878-2024</w:t>
                  </w:r>
                  <w:r>
                    <w:rPr>
                      <w:rFonts w:ascii="仿宋_GB2312" w:hAnsi="仿宋_GB2312" w:cs="仿宋_GB2312" w:eastAsia="仿宋_GB2312"/>
                      <w:sz w:val="24"/>
                    </w:rPr>
                    <w:t>标准</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套</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11</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纳米载体</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①100mm*2mm，球体，内含</w:t>
                  </w:r>
                  <w:r>
                    <w:rPr>
                      <w:rFonts w:ascii="仿宋_GB2312" w:hAnsi="仿宋_GB2312" w:cs="仿宋_GB2312" w:eastAsia="仿宋_GB2312"/>
                      <w:sz w:val="24"/>
                    </w:rPr>
                    <w:t>2毫米边长的正方体纳米生物海绵</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②纳米生物海绵压缩回弹：压缩 50% 可完全回弹，长期曝气不易碎，年磨损率≤2%；</w:t>
                  </w:r>
                </w:p>
                <w:p>
                  <w:pPr>
                    <w:pStyle w:val="null3"/>
                    <w:jc w:val="left"/>
                  </w:pPr>
                  <w:r>
                    <w:rPr>
                      <w:rFonts w:ascii="仿宋_GB2312" w:hAnsi="仿宋_GB2312" w:cs="仿宋_GB2312" w:eastAsia="仿宋_GB2312"/>
                      <w:sz w:val="24"/>
                    </w:rPr>
                    <w:t>③网孔 PPI：≥15PPI；有效比表面积：3500～8000㎡/m³；饱和生物膜负载：25～40kg 微生物 /m³。</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纳米生物海绵</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2000</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个</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12</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复合微生物发酵菌剂</w:t>
                  </w:r>
                </w:p>
              </w:tc>
              <w:tc>
                <w:tcPr>
                  <w:tcW w:type="dxa" w:w="8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▲①技术指标：有效活菌数≥2.0×</w:t>
                  </w:r>
                  <w:r>
                    <w:rPr>
                      <w:rFonts w:ascii="仿宋_GB2312" w:hAnsi="仿宋_GB2312" w:cs="仿宋_GB2312" w:eastAsia="仿宋_GB2312"/>
                      <w:sz w:val="24"/>
                    </w:rPr>
                    <w:t>10</w:t>
                  </w:r>
                  <w:r>
                    <w:rPr>
                      <w:rFonts w:ascii="仿宋_GB2312" w:hAnsi="仿宋_GB2312" w:cs="仿宋_GB2312" w:eastAsia="仿宋_GB2312"/>
                      <w:sz w:val="24"/>
                      <w:vertAlign w:val="superscript"/>
                    </w:rPr>
                    <w:t>8</w:t>
                  </w:r>
                  <w:r>
                    <w:rPr>
                      <w:rFonts w:ascii="仿宋_GB2312" w:hAnsi="仿宋_GB2312" w:cs="仿宋_GB2312" w:eastAsia="仿宋_GB2312"/>
                      <w:sz w:val="24"/>
                    </w:rPr>
                    <w:t>cfu</w:t>
                  </w:r>
                  <w:r>
                    <w:rPr>
                      <w:rFonts w:ascii="仿宋_GB2312" w:hAnsi="仿宋_GB2312" w:cs="仿宋_GB2312" w:eastAsia="仿宋_GB2312"/>
                      <w:sz w:val="24"/>
                    </w:rPr>
                    <w:t>，杂菌率≤5%。</w:t>
                  </w:r>
                </w:p>
                <w:p>
                  <w:pPr>
                    <w:pStyle w:val="null3"/>
                    <w:jc w:val="left"/>
                  </w:pPr>
                  <w:r>
                    <w:rPr>
                      <w:rFonts w:ascii="仿宋_GB2312" w:hAnsi="仿宋_GB2312" w:cs="仿宋_GB2312" w:eastAsia="仿宋_GB2312"/>
                      <w:sz w:val="24"/>
                    </w:rPr>
                    <w:t>②功能性指标：菌剂在适宜工况下，能使系统出水水质达到GB/T40750-2021中非浓缩沼液肥料标准。</w:t>
                  </w:r>
                </w:p>
              </w:tc>
              <w:tc>
                <w:tcPr>
                  <w:tcW w:type="dxa" w:w="71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混合发酵</w:t>
                  </w:r>
                </w:p>
                <w:p>
                  <w:pPr>
                    <w:pStyle w:val="null3"/>
                    <w:jc w:val="center"/>
                  </w:pPr>
                  <w:r>
                    <w:rPr>
                      <w:rFonts w:ascii="仿宋_GB2312" w:hAnsi="仿宋_GB2312" w:cs="仿宋_GB2312" w:eastAsia="仿宋_GB2312"/>
                      <w:sz w:val="24"/>
                    </w:rPr>
                    <w:t>提供首次投加及免费技术指导，首年补菌免费。</w:t>
                  </w:r>
                </w:p>
              </w:tc>
              <w:tc>
                <w:tcPr>
                  <w:tcW w:type="dxa" w:w="26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10</w:t>
                  </w:r>
                  <w:r>
                    <w:rPr>
                      <w:rFonts w:ascii="仿宋_GB2312" w:hAnsi="仿宋_GB2312" w:cs="仿宋_GB2312" w:eastAsia="仿宋_GB2312"/>
                      <w:sz w:val="24"/>
                    </w:rPr>
                    <w:t>0</w:t>
                  </w:r>
                  <w:r>
                    <w:rPr>
                      <w:rFonts w:ascii="仿宋_GB2312" w:hAnsi="仿宋_GB2312" w:cs="仿宋_GB2312" w:eastAsia="仿宋_GB2312"/>
                      <w:sz w:val="24"/>
                    </w:rPr>
                    <w:t>00</w:t>
                  </w:r>
                </w:p>
              </w:tc>
              <w:tc>
                <w:tcPr>
                  <w:tcW w:type="dxa" w:w="22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kg</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13</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物流、安装调试费用及说明</w:t>
                  </w:r>
                </w:p>
              </w:tc>
              <w:tc>
                <w:tcPr>
                  <w:tcW w:type="dxa" w:w="201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供货范围：含设备本体、附件、随机工具及一年备品备件。</w:t>
                  </w:r>
                </w:p>
                <w:p>
                  <w:pPr>
                    <w:pStyle w:val="null3"/>
                    <w:jc w:val="left"/>
                  </w:pPr>
                  <w:r>
                    <w:rPr>
                      <w:rFonts w:ascii="仿宋_GB2312" w:hAnsi="仿宋_GB2312" w:cs="仿宋_GB2312" w:eastAsia="仿宋_GB2312"/>
                      <w:sz w:val="24"/>
                    </w:rPr>
                    <w:t>安装界面：负责设备就位、组装、接线、调试及单机试运行等。</w:t>
                  </w:r>
                </w:p>
                <w:p>
                  <w:pPr>
                    <w:pStyle w:val="null3"/>
                    <w:jc w:val="left"/>
                  </w:pPr>
                  <w:r>
                    <w:rPr>
                      <w:rFonts w:ascii="仿宋_GB2312" w:hAnsi="仿宋_GB2312" w:cs="仿宋_GB2312" w:eastAsia="仿宋_GB2312"/>
                      <w:sz w:val="24"/>
                    </w:rPr>
                    <w:t>培训：负责对甲方操作人员提供不少于</w:t>
                  </w:r>
                  <w:r>
                    <w:rPr>
                      <w:rFonts w:ascii="仿宋_GB2312" w:hAnsi="仿宋_GB2312" w:cs="仿宋_GB2312" w:eastAsia="仿宋_GB2312"/>
                      <w:sz w:val="24"/>
                    </w:rPr>
                    <w:t>3天的现场免费培训。</w:t>
                  </w:r>
                </w:p>
              </w:tc>
            </w:tr>
            <w:tr>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b/>
                    </w:rPr>
                    <w:t>14</w:t>
                  </w:r>
                </w:p>
              </w:tc>
              <w:tc>
                <w:tcPr>
                  <w:tcW w:type="dxa" w:w="37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rPr>
                    <w:t>说明</w:t>
                  </w:r>
                </w:p>
              </w:tc>
              <w:tc>
                <w:tcPr>
                  <w:tcW w:type="dxa" w:w="2015"/>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4"/>
                    </w:rPr>
                    <w:t>本清单为一体化设备主要结构和附属配件清单，不含外部电气设计，根据现场及运输限制，采用整体吊装或分体现场焊接安装工艺。</w:t>
                  </w:r>
                </w:p>
              </w:tc>
            </w:tr>
          </w:tbl>
          <w:p>
            <w:pPr>
              <w:pStyle w:val="null3"/>
              <w:ind w:firstLine="200"/>
              <w:jc w:val="both"/>
            </w:pPr>
            <w:r>
              <w:rPr>
                <w:rFonts w:ascii="仿宋_GB2312" w:hAnsi="仿宋_GB2312" w:cs="仿宋_GB2312" w:eastAsia="仿宋_GB2312"/>
                <w:sz w:val="24"/>
                <w:b/>
              </w:rPr>
              <w:t>4.</w:t>
            </w:r>
            <w:r>
              <w:rPr>
                <w:rFonts w:ascii="仿宋_GB2312" w:hAnsi="仿宋_GB2312" w:cs="仿宋_GB2312" w:eastAsia="仿宋_GB2312"/>
                <w:sz w:val="24"/>
                <w:b/>
              </w:rPr>
              <w:t>现场安装要求</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空间要求：封闭或半封闭空间，层高</w:t>
            </w:r>
            <w:r>
              <w:rPr>
                <w:rFonts w:ascii="仿宋_GB2312" w:hAnsi="仿宋_GB2312" w:cs="仿宋_GB2312" w:eastAsia="仿宋_GB2312"/>
                <w:sz w:val="24"/>
              </w:rPr>
              <w:t>4.5米，避风防晒，70平米；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地面要求：混凝土或水泥硬化地面，</w:t>
            </w:r>
            <w:r>
              <w:rPr>
                <w:rFonts w:ascii="仿宋_GB2312" w:hAnsi="仿宋_GB2312" w:cs="仿宋_GB2312" w:eastAsia="仿宋_GB2312"/>
                <w:sz w:val="24"/>
              </w:rPr>
              <w:t>标号：</w:t>
            </w:r>
            <w:r>
              <w:rPr>
                <w:rFonts w:ascii="仿宋_GB2312" w:hAnsi="仿宋_GB2312" w:cs="仿宋_GB2312" w:eastAsia="仿宋_GB2312"/>
                <w:sz w:val="24"/>
              </w:rPr>
              <w:t>≥</w:t>
            </w:r>
            <w:r>
              <w:rPr>
                <w:rFonts w:ascii="仿宋_GB2312" w:hAnsi="仿宋_GB2312" w:cs="仿宋_GB2312" w:eastAsia="仿宋_GB2312"/>
                <w:sz w:val="24"/>
              </w:rPr>
              <w:t>C20,</w:t>
            </w:r>
            <w:r>
              <w:rPr>
                <w:rFonts w:ascii="仿宋_GB2312" w:hAnsi="仿宋_GB2312" w:cs="仿宋_GB2312" w:eastAsia="仿宋_GB2312"/>
                <w:sz w:val="24"/>
              </w:rPr>
              <w:t>铺装厚度</w:t>
            </w:r>
            <w:r>
              <w:rPr>
                <w:rFonts w:ascii="仿宋_GB2312" w:hAnsi="仿宋_GB2312" w:cs="仿宋_GB2312" w:eastAsia="仿宋_GB2312"/>
                <w:sz w:val="24"/>
              </w:rPr>
              <w:t>≥15</w:t>
            </w:r>
            <w:r>
              <w:rPr>
                <w:rFonts w:ascii="仿宋_GB2312" w:hAnsi="仿宋_GB2312" w:cs="仿宋_GB2312" w:eastAsia="仿宋_GB2312"/>
                <w:sz w:val="24"/>
              </w:rPr>
              <w:t>厘米；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水电要求：</w:t>
            </w:r>
            <w:r>
              <w:rPr>
                <w:rFonts w:ascii="仿宋_GB2312" w:hAnsi="仿宋_GB2312" w:cs="仿宋_GB2312" w:eastAsia="仿宋_GB2312"/>
                <w:sz w:val="24"/>
              </w:rPr>
              <w:t>380v动力电源，自来水，排水沟及冲洗水收集池；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成品储存：容积</w:t>
            </w:r>
            <w:r>
              <w:rPr>
                <w:rFonts w:ascii="仿宋_GB2312" w:hAnsi="仿宋_GB2312" w:cs="仿宋_GB2312" w:eastAsia="仿宋_GB2312"/>
                <w:sz w:val="24"/>
              </w:rPr>
              <w:t>1000-1500立方，池体防腐防渗，顶部覆</w:t>
            </w:r>
            <w:r>
              <w:rPr>
                <w:rFonts w:ascii="仿宋_GB2312" w:hAnsi="仿宋_GB2312" w:cs="仿宋_GB2312" w:eastAsia="仿宋_GB2312"/>
                <w:sz w:val="24"/>
              </w:rPr>
              <w:t>盖。</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00"/>
              <w:jc w:val="both"/>
            </w:pPr>
            <w:r>
              <w:rPr>
                <w:rFonts w:ascii="仿宋_GB2312" w:hAnsi="仿宋_GB2312" w:cs="仿宋_GB2312" w:eastAsia="仿宋_GB2312"/>
                <w:sz w:val="24"/>
                <w:b/>
              </w:rPr>
              <w:t>5.核心产品及相同品牌的处理：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1）本项目核心产品为：</w:t>
            </w:r>
            <w:r>
              <w:rPr>
                <w:rFonts w:ascii="仿宋_GB2312" w:hAnsi="仿宋_GB2312" w:cs="仿宋_GB2312" w:eastAsia="仿宋_GB2312"/>
                <w:sz w:val="24"/>
                <w:b/>
                <w:u w:val="single"/>
              </w:rPr>
              <w:t>发酵系统</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如通过初审的有效投标人拟供核心产品的品牌相同，按照《政府采购货物和服务招标投标管理办法》(第87号令)规定，提供相同核心品牌产品且通过资格审查、符合性审查的不同供应商参加同一合同项下投标的，按一家投标人计算，评审后得分最高的同品牌供应商获得中标人推荐资格;评审得分相同的，以“评分标准  详细评审内容”中得分高的优先，其他同品牌投标人不作为中标候选人。</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3）非单一产品采购项目中，多家投标人提供的核心产品品牌相同的，视为提供相同品牌产品。核心产品应当根据招标项目技术构成、产品价格比重等合理确定，核心产品见上附。</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本项目为专门面向中小企业采购项目，投标人为享受中小企业扶持政策而提交的《中小企业声明函》（货物），应由参加投标响应的投标人按照招标文件所附格式出具并加盖本单位印章。声明函中须逐一列明本次采购标的物（标的物名称详见招标文件“3.3 技术要求 技术参数与性能指标”）及其制造商的企业名称、从业人员数、营业收入、资产总额，并声明该制造商属于中型/小型/微型企业，且货物由该中小企业生产并使用其商号或注册商标。制造商无需另行出具声明函，但供应商应依据制造商提供的真实信息如实填报，并对声明内容的真实性负责。供应商提供《中小企业声明函》内容不实的，属于提供虚假材料谋取中标、成交，依照《中华人民共和国政府采购法》第七十七条追究责任。</w:t>
            </w:r>
          </w:p>
          <w:p>
            <w:pPr>
              <w:pStyle w:val="null3"/>
              <w:ind w:firstLine="482"/>
              <w:jc w:val="both"/>
            </w:pPr>
            <w:r>
              <w:rPr>
                <w:rFonts w:ascii="仿宋_GB2312" w:hAnsi="仿宋_GB2312" w:cs="仿宋_GB2312" w:eastAsia="仿宋_GB2312"/>
                <w:sz w:val="24"/>
                <w:b/>
              </w:rPr>
              <w:t>6.其他要求：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1）投标人所投产品必须为合格产品，质量达到国家有关标准，投标响应时须按照招标文件要求提供有关货物的合格证明材料、详细技术资料等；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投标人应保证货物是全新、未使用过的合格产品。并完全符合招标文件规定的质量规格和性能的要求。投标人应保证所提供的货物经正确安装、正常运转和保养后，在其使用时应具有满意的性能。在货物质量保证期内投标人应对由于设计、工艺或者材料的缺陷而发生的任何不足或者故障负责。当招标文件中的技术要求以及货物备品备件的互换性标准与国家标准或者行业标准等不一致时，应以国家标准或者行业标准等为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3）上述技术指标（参数）中凡有品牌描述或指向某品牌的指标描述均为参考指标，产品的类型可以由各投标人根据自己的理解进行投标响应，但所投的产品的数量及技术参数不能低于上表中所列的技术参数。</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合同签订后90日历天，根据招标人通知及合同约定备货并送货至招标人指定地点（具体服务起止日期可随合同签订时间相应顺延）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汉中市南郑区高台镇东风村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预付款，合同签订后向中标人支付合同总金额30%预付款；，达到付款条件起30个工作日内，支付合同总金额的30.0%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进度款，每月20日中标人向采购单位通报当月完成工作量，由采购单位审核认定；，达到付款条件起30个工作日内，支付合同总金额的30.0%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进度款，项目验收合格后，支付至合同总价款的90%，达到付款条件起30个工作日内，支付合同总金额的30.0%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进度款，结算审计无争议后余款一次付清，达到付款条件起30个工作日内，支付合同总金额的10.0%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（一）到货验收： 标准：设备品牌、规格、数量、材质与清单一致，外观无变形、锈蚀、破损，随附合格证、说明书、质保书齐全。 方法：甲乙双方现场核对清点，签字确认《到货验收单》。 （二）安装调试验收： 标准： 安装符合清单说明要求，现场空间、地面、水电条件匹配，无安全隐患； 单机试运行正常：循环泵无泄漏、风机噪音≤75dB、控制柜操作灵敏，各参数显示准确； 联动运行稳定：发酵系统可实现自动启停、pH/DO/液位联动调节、远程监控功能正常。 方法：连续空载试运行72小时，无故障后签署《安装调试验收记录》。 （三）性能验收 标准： 处理能力达到20吨/日设计要求； 处理后出水无恶臭，符合液态有机肥基本性状（无未分解杂质、无异味）； 系统连续稳定运行7天无故障。 方法：现场核查运行记录，抽样留存发酵后产物备查，双方确认后签署《最终验收报告》。 （四）资料交付 验收同步移交全套竣工资料：设备图纸、操作手册、维护保养指南、电气接线图、备品备件清单。 其他验收内容、标准及方式符合国家及行业相关规定要求。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一、质量保修范围： 设备本体：一体化箱体、发酵系统、预处理桶、工作平台等金属结构件，因材质缺陷、焊接/装配工艺问题导致的变形、渗漏、锈蚀； 核心部件： 发酵在线控制系统、控制柜：非人为操作失误、外部供电异常导致的传感器失灵、控制模块故障、程序运行异常； 罗茨风机、循环泵、曝气器：正常工况下的机械故障、性能衰减（不含易损耗材）； 配套辅材：管道、纳米载体、微生物菌剂（到货验收时活性不达标的情况）； 安装服务：设备调试后出现的安装密封不严、管路连接松动等问题。 二、质量保修期：产品质保期为二年，自货品运输安装调试完毕经买方验收合格之日起计算，若该质量保证期小于国家标准，则以国家标准为准。 三、通用服务约定： （1）保修期内出现故障，接到通知后24小时内响应，48小时内出具解决方案，必要时安排技术人员上门； （2）保修期外提供终身维修服务，仅收取零部件成本费及合理差旅费，优先保障原厂配件供应； （3）免费提供1次操作及运维培训，后续可提供定期巡检增值服务。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符合国家及行业现行规范标准，具体内容甲乙双方合同内约定。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一、招标文件补充内容： 1、质量标准：所有产品质量必须符合国家有关规范标准。所有设施设备及辅材必须是未使用过的新产品，质量优良、渠道正当，配置合理，达到“安全合格”标准。 2、质保期：产品质保期为二年，自货品运输安装调试完毕经买方验收合格之日起计算，若该质量保证期小于国家标准，则以国家标准为准。 3、合同履行期限（交货期限）：合同签订后90日历天，根据招标人通知及合同约定备货并送货至招标人指定地点（具体服务起止日期可随合同签订时间相应顺延）。 4、验收标准：质量验收满足统一标准及其他的国家相关标准、行业标准、地方标准和规范。 5、投标报价的其他要求：投标人所报的价格应考虑到可能发生的所有与提供项目所需设备货物、相关服务及履行合同义务有关的一切费用；投标报价不得大于或等于最高限价（预算金额），否则该投标人的投标响应按废标处理；任何有选择的报价将不予接受，按无效投标响应处理。 6、其他权利与义务：满足招标文件要求。 7、专业术语：构成招标文件组成部分的“招标公告”、“投标人须知”、“评审办法”、“采购清单”及“商务要求”等章节中出现的措辞“采购人”、“甲方”在招投标阶段应按“招标人”进行理解，“供应商”、“乙方”在招投标阶段应按“投标人”进行理解。 8.知识产权：构成本招标文件各个组成部分的文件，未经招标人书面同意，投标人不得擅自复印和用于非本招标项目所需的其他目的。招标人全部或者部分使用未中标人投标响应文件中的技术成果或技术方案时，需征得其书面同意，并不得擅自复印或提供给第三人。 二、针对本项目的其他技术服务要求： 1.报价方式： （1）付款方式：本项目为固定总价包干。 （2）价款结算：最终结算价款以各产品的总价、验收确认清单及合同协议书为依据进行结算，具体费用按招标人验收确认清单为准。 （3）付款方式：经招标人验收合格后，根据实际采购清单及成交单价据实结算后支付（详见合同约定）。 （4）付款依据：招标文件、投标响应文件、采购合同、投标人销售发票、招标人（甲方）出具的验收报告等。 （5）响应报价为完成本项目招标文件中所提出的采购需求、服务范围及要求的全部内容，并达到国家、地方及招标人验收标准而产生的所有费用，包括但不限于货物价款(含通常配备的备品备件、易损件）、人工费、运杂费（含保险费）、安装费、调试费、拆装搬运费、售后服务、验收费、检测费、本项目招标代理服务费、利润、风险、税金等在项目实施过程中所发生的所有费用，招标文件未列明，而投标人认为应当计取的费用均应列入报价中。报价时不论是否计取，招标人均按已计取对待。任何错报、漏报由投标人自行负责。 （6）本项目设有投标分项报价表（详见给定格式），“投标分项报价表”各分项报价合计应当与“投标报价表”报价合计相等，具体要求详见附件格式。 2.合格的货物（产品）和服务： （1）投标人提供的所有货物和服务，必须是合法生产、合法来源，符合国家有关标准要求，并满足招标文件规定的招标（采购）需求、服务需求及其它伴随服务等要求。 （2）招标人有权拒绝接受任何不合格的货物和服务，由此产生的费用及相关后果均由投标人自行承担。 3.节能产品、环境标志产品： 投标人可以提供产品经国家确定的认证机构出具的、处于有效期之内的节能产品、环境标志产品认证证书复印件。 三、商务响应内容按照招标文件要求格式“商务条款响应偏离表（格式）详见附件”填写，投标人需在本项目电子化交易系统中按要求上传并签章。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投标人为具有独立承担民事责任能力的企业法人、事业法人、其他组织，提供营业执照复印件（事业单位须提供事业单位法人证、组织机构代码证等证明文件；其他组织应提供合法证明文件）【注：提供加盖公章的复印件。投标人需在本项目电子化交易系统中按要求上传相关证明文件并签章】</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具有履行合同所必须的设备和专业技术能力【注：提供本项要求“承诺函”。投标人需在本项目电子化交易系统中按要求上传相关证明文件并签章】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具有履行合同所必须的设备和专业技术能力，供应商需在本项目电子化交易系统中按要求上传承诺函及相关证明文件并签章；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应授权合法的人员参加本次招标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投标人应授权合法的人员参加本次招标活动：其中法定代表人直接参加的，须出具法人身份证，并与营业执照上信息一致；授权代表参加的，须出具法定代表人授权书及被授权人身份证，投标人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本项目不接受联合体投标，单位负责人为同一人或者存在控股、管理关系的不同单位不得同时参与本项目投标响应【注：提供“投标人非联合体”声明函】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本项目不接受联合体投标，单位负责人为同一人或者存在控股、管理关系的不同单位不得同时参与本项目投标响应；</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注：拟参与本项目投标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投标响应的供应商应按照汉中市财政局《关于全面推行政府采购供应商基本资格条件承诺制的通知》（汉财办采管〔2024〕20号）文件要求，提供满足相应条件的资格承诺函；投标人应具备健全的财务会计制度、履行合同所需的设备和专业技术能力、依法缴纳税收和社会保障资金，以及参加本项目采购活动前3年内经营活动无重大违法记录；投标人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投标人按规定缴纳了投标保证金或提供投标担保函【注：提供加盖公章的复印件。投标人需在本项目电子化交易系统中按要求上传相关证明文件并签章】</w:t>
            </w:r>
          </w:p>
        </w:tc>
        <w:tc>
          <w:tcPr>
            <w:tcW w:type="dxa" w:w="3322"/>
          </w:tcPr>
          <w:p>
            <w:pPr>
              <w:pStyle w:val="null3"/>
            </w:pPr>
            <w:r>
              <w:rPr>
                <w:rFonts w:ascii="仿宋_GB2312" w:hAnsi="仿宋_GB2312" w:cs="仿宋_GB2312" w:eastAsia="仿宋_GB2312"/>
              </w:rPr>
              <w:t>投标人按规定缴纳了投标保证金或提供投标担保函，供应商需在本项目电子化交易系统中按要求上传相关证明文件并签章。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只能有一个有效报价，不得提交选择性报价，且报价不超过采购预算金额（最高限价）；</w:t>
            </w:r>
          </w:p>
        </w:tc>
        <w:tc>
          <w:tcPr>
            <w:tcW w:type="dxa" w:w="1661"/>
          </w:tcPr>
          <w:p>
            <w:pPr>
              <w:pStyle w:val="null3"/>
            </w:pPr>
            <w:r>
              <w:rPr>
                <w:rFonts w:ascii="仿宋_GB2312" w:hAnsi="仿宋_GB2312" w:cs="仿宋_GB2312" w:eastAsia="仿宋_GB2312"/>
              </w:rPr>
              <w:t>开标一览表 投标分项报价表（格式）.pdf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投标分项报价表（格式）.pdf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投标人按照要求对招标文件中“商务条款响应偏离表（格式）”响应；</w:t>
            </w:r>
          </w:p>
        </w:tc>
        <w:tc>
          <w:tcPr>
            <w:tcW w:type="dxa" w:w="1661"/>
          </w:tcPr>
          <w:p>
            <w:pPr>
              <w:pStyle w:val="null3"/>
            </w:pPr>
            <w:r>
              <w:rPr>
                <w:rFonts w:ascii="仿宋_GB2312" w:hAnsi="仿宋_GB2312" w:cs="仿宋_GB2312" w:eastAsia="仿宋_GB2312"/>
              </w:rPr>
              <w:t>商务条款响应偏离表（格式）.pdf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核心产品参数响应</w:t>
            </w:r>
          </w:p>
        </w:tc>
        <w:tc>
          <w:tcPr>
            <w:tcW w:type="dxa" w:w="3322"/>
          </w:tcPr>
          <w:p>
            <w:pPr>
              <w:pStyle w:val="null3"/>
            </w:pPr>
            <w:r>
              <w:rPr>
                <w:rFonts w:ascii="仿宋_GB2312" w:hAnsi="仿宋_GB2312" w:cs="仿宋_GB2312" w:eastAsia="仿宋_GB2312"/>
              </w:rPr>
              <w:t>符合“第三章 招标项目技术、服务、商务及其他要求”中“3.3 技术要求 第4条 设备清单明细”中核心产品参数要求；</w:t>
            </w:r>
          </w:p>
        </w:tc>
        <w:tc>
          <w:tcPr>
            <w:tcW w:type="dxa" w:w="1661"/>
          </w:tcPr>
          <w:p>
            <w:pPr>
              <w:pStyle w:val="null3"/>
            </w:pPr>
            <w:r>
              <w:rPr>
                <w:rFonts w:ascii="仿宋_GB2312" w:hAnsi="仿宋_GB2312" w:cs="仿宋_GB2312" w:eastAsia="仿宋_GB2312"/>
              </w:rPr>
              <w:t>技术规格响应偏离表（格式）.pdf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投标人响应文件未附有违背法律法规和政府规章规定的其他条件；投标人响应文件符合招标文件中规定的其他实质性要求。</w:t>
            </w:r>
          </w:p>
        </w:tc>
        <w:tc>
          <w:tcPr>
            <w:tcW w:type="dxa" w:w="1661"/>
          </w:tcPr>
          <w:p>
            <w:pPr>
              <w:pStyle w:val="null3"/>
            </w:pPr>
            <w:r>
              <w:rPr>
                <w:rFonts w:ascii="仿宋_GB2312" w:hAnsi="仿宋_GB2312" w:cs="仿宋_GB2312" w:eastAsia="仿宋_GB2312"/>
              </w:rPr>
              <w:t>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①技术参数评审要求；</w:t>
            </w:r>
          </w:p>
        </w:tc>
        <w:tc>
          <w:tcPr>
            <w:tcW w:type="dxa" w:w="2492"/>
          </w:tcPr>
          <w:p>
            <w:pPr>
              <w:pStyle w:val="null3"/>
            </w:pPr>
            <w:r>
              <w:rPr>
                <w:rFonts w:ascii="仿宋_GB2312" w:hAnsi="仿宋_GB2312" w:cs="仿宋_GB2312" w:eastAsia="仿宋_GB2312"/>
              </w:rPr>
              <w:t>投标人所投产品完全符合招标文件（采购清单）中技术参数要求的没有负偏离的得20分；其中：（1）技术参数中标记“★”（1项）的技术参数项不得出现负偏离（实质性要求）；审查依据：根据采购内容特点提供相关佐证资料，包含但不限于检测报告、技术规格书/产品白皮书/产品彩页、官网证明彩页或投标人自行承诺+详细技术说明并附以上任意一源头资料（注：投标人可提供包含但不限于招标文件所列类型的证明材料，凡能真实、有效地证明投标产品满足招标文件要求的技术资料，均视为有效佐证）。 （2）技术参数中标记“▲”（4项）的技术参数项每出现一项负偏离扣3.5分；审查依据：根据采购内容特点提供相关佐证资料，包含但不限于检测报告、技术规格书/产品白皮书/产品彩页、官网证明彩页或投标人自行承诺+详细技术说明并附以上任意一源头资料（注：投标人可提供包含但不限于招标文件所列类型的证明材料，凡能真实、有效地证明投标产品满足招标文件要求的技术资料，均视为有效佐证）。 （3）未做标记的参数项出现一项负偏离扣0.15分；审查依据：未做标记的技术参数无需提供证明资料，以投标人投标文件中“技术规格响应偏离表”所填内容为准。扣完为止。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技术规格响应偏离表（格式）.pdf</w:t>
            </w:r>
          </w:p>
          <w:p>
            <w:pPr>
              <w:pStyle w:val="null3"/>
            </w:pPr>
            <w:r>
              <w:rPr>
                <w:rFonts w:ascii="仿宋_GB2312" w:hAnsi="仿宋_GB2312" w:cs="仿宋_GB2312" w:eastAsia="仿宋_GB2312"/>
              </w:rPr>
              <w:t>附件1：综合评分明细表：①技术参数评审要求.pdf</w:t>
            </w:r>
          </w:p>
        </w:tc>
      </w:tr>
      <w:tr>
        <w:tc>
          <w:tcPr>
            <w:tcW w:type="dxa" w:w="831"/>
            <w:vMerge/>
          </w:tcPr>
          <w:p/>
        </w:tc>
        <w:tc>
          <w:tcPr>
            <w:tcW w:type="dxa" w:w="1661"/>
          </w:tcPr>
          <w:p>
            <w:pPr>
              <w:pStyle w:val="null3"/>
            </w:pPr>
            <w:r>
              <w:rPr>
                <w:rFonts w:ascii="仿宋_GB2312" w:hAnsi="仿宋_GB2312" w:cs="仿宋_GB2312" w:eastAsia="仿宋_GB2312"/>
              </w:rPr>
              <w:t>②供货实施方案；</w:t>
            </w:r>
          </w:p>
        </w:tc>
        <w:tc>
          <w:tcPr>
            <w:tcW w:type="dxa" w:w="2492"/>
          </w:tcPr>
          <w:p>
            <w:pPr>
              <w:pStyle w:val="null3"/>
            </w:pPr>
            <w:r>
              <w:rPr>
                <w:rFonts w:ascii="仿宋_GB2312" w:hAnsi="仿宋_GB2312" w:cs="仿宋_GB2312" w:eastAsia="仿宋_GB2312"/>
              </w:rPr>
              <w:t>一、评审内容：投标人对本项目提供供货实施方案，包括：①货源组织及供货进度计划方案；②质量控制措施、关键节点把控方案；③包装运输及装卸搬运方案；④退货换货机制；⑤项目应急预案。 二、评审标准：（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 三、赋分标准：（1）根据投标人响应程度，以上内容均完整、有针对性且具有较强实施性的，得满分10分；（2）其中每有一条内容缺项的，扣2分；（3）每条评审内容中若有一处不完整、有缺陷或与项目不匹配的，扣1分，扣完为止。注：未提供此项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附件2：综合评分明细表：②供货实施方案.pdf</w:t>
            </w:r>
          </w:p>
        </w:tc>
      </w:tr>
      <w:tr>
        <w:tc>
          <w:tcPr>
            <w:tcW w:type="dxa" w:w="831"/>
            <w:vMerge/>
          </w:tcPr>
          <w:p/>
        </w:tc>
        <w:tc>
          <w:tcPr>
            <w:tcW w:type="dxa" w:w="1661"/>
          </w:tcPr>
          <w:p>
            <w:pPr>
              <w:pStyle w:val="null3"/>
            </w:pPr>
            <w:r>
              <w:rPr>
                <w:rFonts w:ascii="仿宋_GB2312" w:hAnsi="仿宋_GB2312" w:cs="仿宋_GB2312" w:eastAsia="仿宋_GB2312"/>
              </w:rPr>
              <w:t>③安装调试方案；</w:t>
            </w:r>
          </w:p>
        </w:tc>
        <w:tc>
          <w:tcPr>
            <w:tcW w:type="dxa" w:w="2492"/>
          </w:tcPr>
          <w:p>
            <w:pPr>
              <w:pStyle w:val="null3"/>
            </w:pPr>
            <w:r>
              <w:rPr>
                <w:rFonts w:ascii="仿宋_GB2312" w:hAnsi="仿宋_GB2312" w:cs="仿宋_GB2312" w:eastAsia="仿宋_GB2312"/>
              </w:rPr>
              <w:t>一、评审内容：投标人对本项目提供的货品安装调试方案包括但不限于：①安装场地勘察与准备方案：确保对安装现场环境（如空间布局、水电接入点、地面承重）进行详细勘察，制定完善的现场安全防护及施工准备措施，满足项目现场实际需求；②设备安装工艺与工序方案：详细阐述设备基础复测、吊装就位、管路连接、电气接线等核心工序的施工工艺、技术要点及质量控制标准；③系统调试与联动运行方案：包含运行测试的具体步骤、判断标准及异常处理预案，确保系统各项性能指标达到技术要求。 二、评审标准：（1）以上内容符合采购需求是指：① 内容与项目技术服务需求吻合，有具体详细的阐述；② 阐述从实际出发，切合项目背景、项目需求发现问题并提出合理化专业技术建议或者解决方案；③ 内容符合国家、地方、行业标准，行业惯例以及项目特点；④ 内容清楚明了、表述规范、含义准确；（2）存在缺陷是指：① 仅有框架或标题、或仅有复制招标内容的要求；② 内容不完整、方案中出现套用（复制）其他项目方案或内容；③ 内容中出现前后描述不一致现象或语言描述出现有错误；④ 内容涉及适用的规范及标准（方法）出现错误、实施地点区域错误、项目名称错误等任意一种情形。 三、赋分标准：（1）根据投标人响应程度，以上内容均完整、有针对性且具有较强实施性的，得满分6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附件3：综合评分明细表：③安装调试方案.docx</w:t>
            </w:r>
          </w:p>
        </w:tc>
      </w:tr>
      <w:tr>
        <w:tc>
          <w:tcPr>
            <w:tcW w:type="dxa" w:w="831"/>
            <w:vMerge/>
          </w:tcPr>
          <w:p/>
        </w:tc>
        <w:tc>
          <w:tcPr>
            <w:tcW w:type="dxa" w:w="1661"/>
          </w:tcPr>
          <w:p>
            <w:pPr>
              <w:pStyle w:val="null3"/>
            </w:pPr>
            <w:r>
              <w:rPr>
                <w:rFonts w:ascii="仿宋_GB2312" w:hAnsi="仿宋_GB2312" w:cs="仿宋_GB2312" w:eastAsia="仿宋_GB2312"/>
              </w:rPr>
              <w:t>④设备质量保障措施及保证承诺；</w:t>
            </w:r>
          </w:p>
        </w:tc>
        <w:tc>
          <w:tcPr>
            <w:tcW w:type="dxa" w:w="2492"/>
          </w:tcPr>
          <w:p>
            <w:pPr>
              <w:pStyle w:val="null3"/>
            </w:pPr>
            <w:r>
              <w:rPr>
                <w:rFonts w:ascii="仿宋_GB2312" w:hAnsi="仿宋_GB2312" w:cs="仿宋_GB2312" w:eastAsia="仿宋_GB2312"/>
              </w:rPr>
              <w:t>一、评审内容：投标人针对本项目提供相应的设备质量保障措施及保证承诺，包括但不限于：①设备质量保障措施：建立完善的质量管理体系，涵盖设备生产过程中的原材料检验、关键工序控制、出厂前功能测试及成品质检流程，确保制造过程受控；②质量管理制度与执行：明确项目专职质量管理人员职责，制定详细的设备制造、运输、安装全过程质量巡检与监督机制，并提供相应的制度文件或执行记录表单；③质量保证承诺及违约处罚：出具针对本项目的专门《质量保证承诺书》，明确质保期内出现质量问题的响应时限、维修/更换方案及具体的违约责任与处罚措施。 二、评审标准：（1）以上内容符合采购需求是指：① 内容与项目技术服务需求吻合，有具体详细的阐述；② 阐述从实际出发，切合项目背景、项目需求发现问题并提出合理化专业技术建议或者解决方案；③ 内容符合国家、地方、行业标准，行业惯例以及项目特点；④ 内容清楚明了、表述规范、含义准确；（2）存在缺陷是指：① 仅有框架或标题、或仅有复制招标内容的要求；② 内容不完整、方案中出现套用（复制）其他项目方案或内容；③ 内容中出现前后描述不一致现象或语言描述出现有错误；④ 内容涉及适用的规范及标准（方法）出现错误、实施地点区域错误、项目名称错误等任意一种情形。 三、赋分标准：（1）根据投标人响应程度，以上内容均完整、有针对性且具有较强实施性的，得满分6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附件4：综合评分明细表：④设备质量保障措施及保证承诺.pdf</w:t>
            </w:r>
          </w:p>
        </w:tc>
      </w:tr>
      <w:tr>
        <w:tc>
          <w:tcPr>
            <w:tcW w:type="dxa" w:w="831"/>
            <w:vMerge/>
          </w:tcPr>
          <w:p/>
        </w:tc>
        <w:tc>
          <w:tcPr>
            <w:tcW w:type="dxa" w:w="1661"/>
          </w:tcPr>
          <w:p>
            <w:pPr>
              <w:pStyle w:val="null3"/>
            </w:pPr>
            <w:r>
              <w:rPr>
                <w:rFonts w:ascii="仿宋_GB2312" w:hAnsi="仿宋_GB2312" w:cs="仿宋_GB2312" w:eastAsia="仿宋_GB2312"/>
              </w:rPr>
              <w:t>⑤售后服务、培训方案、服务承诺及保障措施；</w:t>
            </w:r>
          </w:p>
        </w:tc>
        <w:tc>
          <w:tcPr>
            <w:tcW w:type="dxa" w:w="2492"/>
          </w:tcPr>
          <w:p>
            <w:pPr>
              <w:pStyle w:val="null3"/>
            </w:pPr>
            <w:r>
              <w:rPr>
                <w:rFonts w:ascii="仿宋_GB2312" w:hAnsi="仿宋_GB2312" w:cs="仿宋_GB2312" w:eastAsia="仿宋_GB2312"/>
              </w:rPr>
              <w:t>一、评审内容：投标人针对本项目提供相应的售后服务、培训方案、服务承诺及保障措施，包括但不限于：①售后服务方案：明确质保期限（需满足或优于招标文件要求），制定详细的质保期内日常巡检计划、故障响应机制（明确到场时间）及备品备件供应保障方案；②培训方案：针对本项目管理人员及操作工人，制定包含设备操作规程、日常维护保养、常见故障排除、安全注意事项等内容的现场实操培训计划；③服务承诺：出具针对本项目的书面服务承诺书，明确服务质量标准、违约责任及因服务不到位给采购人造成损失的赔偿机制；④保障措施：建立本地化服务支撑体系或快速响应机制（如驻点服务、合作服务商名录），确保售后人员、车辆及常用工具随时待命，满足突发抢修需求。 二、评审标准：（1）以上内容符合采购需求是指：① 内容与项目技术服务需求吻合，有具体详细的阐述；② 阐述从实际出发，切合项目背景、项目需求发现问题并提出合理化专业技术建议或者解决方案；③ 内容符合国家、地方、行业标准，行业惯例以及项目特点；④ 内容清楚明了、表述规范、含义准确，相关时间节点（如响应时间、到场时间）明确且合理；（2）存在缺陷是指：① 仅有框架或标题、或仅有复制招标内容的要求；② 内容不完整、方案中出现套用（复制）其他项目方案或内容；③ 内容中出现前后描述不一致现象或语言描述出现有错误；④ 内容涉及适用的规范及标准（方法）出现错误、实施地点区域错误、项目名称错误等任意一种情形；⑤承诺内容空泛（如仅写“提供优质服务”而无具体措施），或响应时间等关键技术指标低于行业通常标准且未提供合理解释。 三、赋分标准：（1）根据投标人响应程度，以上内容均完整、有针对性且具有较强实施性的，得满分8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附件5：综合评分明细表：⑤售后服务、培训方案、服务承诺及保障措施.pdf</w:t>
            </w:r>
          </w:p>
        </w:tc>
      </w:tr>
      <w:tr>
        <w:tc>
          <w:tcPr>
            <w:tcW w:type="dxa" w:w="831"/>
            <w:vMerge/>
          </w:tcPr>
          <w:p/>
        </w:tc>
        <w:tc>
          <w:tcPr>
            <w:tcW w:type="dxa" w:w="1661"/>
          </w:tcPr>
          <w:p>
            <w:pPr>
              <w:pStyle w:val="null3"/>
            </w:pPr>
            <w:r>
              <w:rPr>
                <w:rFonts w:ascii="仿宋_GB2312" w:hAnsi="仿宋_GB2312" w:cs="仿宋_GB2312" w:eastAsia="仿宋_GB2312"/>
              </w:rPr>
              <w:t>⑥供货进度方案；</w:t>
            </w:r>
          </w:p>
        </w:tc>
        <w:tc>
          <w:tcPr>
            <w:tcW w:type="dxa" w:w="2492"/>
          </w:tcPr>
          <w:p>
            <w:pPr>
              <w:pStyle w:val="null3"/>
            </w:pPr>
            <w:r>
              <w:rPr>
                <w:rFonts w:ascii="仿宋_GB2312" w:hAnsi="仿宋_GB2312" w:cs="仿宋_GB2312" w:eastAsia="仿宋_GB2312"/>
              </w:rPr>
              <w:t>一、评审内容：投标人针对本项目制定的供货进度方案，包括但不限于：①详细供货进度计划表：以甘特图或横道图形式清晰列出从合同签订、原材料采购、工厂加工制造、出厂检验、包装运输、到货验收、现场安装调试直至最终验收合格等关键节点的时间安排；②产能匹配与货源组织保障：阐述生产厂家针对本项目投入的生产设备、人力配置及产能负荷情况，确保供货周期满足招标文件要求；③进度风险控制与应急预案：识别可能影响供货进度的潜在风险（如极端天气、原材料涨价/断供、物流受阻等），并提出具体的赶工措施、备选物流方案或应急替代预案。 二、评审标准：（1）以上内容符合采购需求是指：① 内容与项目技术服务需求吻合，有具体详细的阐述；② 阐述从实际出发，切合项目背景、项目需求，进度安排科学合理，符合逻辑；③ 内容符合国家、地方、行业标准，行业惯例以及项目特点；④ 内容清楚明了、表述规范、含义准确，关键时间节点（如合同签订后X天内交货、安装工期等）明确且合理且不低于招标文件要求；（2）存在缺陷是指：①仅有框架或标题、或仅有复制招标内容的要求；② 内容不完整、方案中出现套用（复制）其他项目方案或内容；③ 内容中出现前后描述不一致现象或语言描述出现有错误；④ 内容涉及适用的规范及标准（方法）出现错误、实施地点区域错误、项目名称错误等任意一种情形；⑤进度计划安排不合理、违背常理（如生产周期短于合理制造周期），或关键节点缺失，未体现对延误风险的应对措施。 三、赋分标准：（1）根据投标人响应程度，以上内容均完整、有针对性且具有较强实施性的，得满分6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附件6：综合评分明细表：⑥供货进度方案.pdf</w:t>
            </w:r>
          </w:p>
        </w:tc>
      </w:tr>
      <w:tr>
        <w:tc>
          <w:tcPr>
            <w:tcW w:type="dxa" w:w="831"/>
            <w:vMerge/>
          </w:tcPr>
          <w:p/>
        </w:tc>
        <w:tc>
          <w:tcPr>
            <w:tcW w:type="dxa" w:w="1661"/>
          </w:tcPr>
          <w:p>
            <w:pPr>
              <w:pStyle w:val="null3"/>
            </w:pPr>
            <w:r>
              <w:rPr>
                <w:rFonts w:ascii="仿宋_GB2312" w:hAnsi="仿宋_GB2312" w:cs="仿宋_GB2312" w:eastAsia="仿宋_GB2312"/>
              </w:rPr>
              <w:t>⑦试运行方案及承诺；</w:t>
            </w:r>
          </w:p>
        </w:tc>
        <w:tc>
          <w:tcPr>
            <w:tcW w:type="dxa" w:w="2492"/>
          </w:tcPr>
          <w:p>
            <w:pPr>
              <w:pStyle w:val="null3"/>
            </w:pPr>
            <w:r>
              <w:rPr>
                <w:rFonts w:ascii="仿宋_GB2312" w:hAnsi="仿宋_GB2312" w:cs="仿宋_GB2312" w:eastAsia="仿宋_GB2312"/>
              </w:rPr>
              <w:t>一、评审内容：投标人针对本项目制定试运行方案及承诺，包括但不限于：①试运行计划方案及确保设备稳定运行的实质性承诺：制定详细的步骤、时间节点及评判标准；并承诺在试运行期间通过技术调试确保设备各项性能指标达到合同约定及招标文件要求；②试运行期间的应急补救措施：针对试运行过程中可能出现的设备故障、系统泄漏、电气故障、水质异常波动等突发情况，制定具体的应急响应预案、故障排查流程及快速恢复运行的措施，确保将损失降至最低。 二、评审标准：（1）以上内容符合采购需求是指：① 内容与项目技术服务需求吻合，有具体详细的阐述；② 阐述从实际出发，切合项目背景、项目需求，进度安排科学合理，符合逻辑；③ 内容符合国家、地方、行业标准，行业惯例以及项目特点；④ 内容清楚明了、表述规范、含义准确，关键时间节点（如合同签订后X天内完成试运行）明确且合理，与招标文件要求一致 ；⑤承诺内容具体、量化，而非空泛的口号；（2）存在缺陷是指：①仅有框架或标题、或仅有复制招标内容的要求；② 内容不完整、方案中出现套用（复制）其他项目方案或内容；③ 内容中出现前后描述不一致现象或语言描述出现有错误；④ 内容涉及适用的规范及标准（方法）出现错误、实施地点区域错误、项目名称错误等任意一种情形；⑤试运行计划缺乏可操作性，或未明确具体的性能达标判定标准，应急补救措施空洞无物。 三、赋分标准：（1）根据投标人响应程度，以上内容均完整、有针对性且具有较强实施性的，得满分4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附件7：综合评分明细表：⑦试运行方案及承诺.pdf</w:t>
            </w:r>
          </w:p>
        </w:tc>
      </w:tr>
      <w:tr>
        <w:tc>
          <w:tcPr>
            <w:tcW w:type="dxa" w:w="831"/>
            <w:vMerge/>
          </w:tcPr>
          <w:p/>
        </w:tc>
        <w:tc>
          <w:tcPr>
            <w:tcW w:type="dxa" w:w="1661"/>
          </w:tcPr>
          <w:p>
            <w:pPr>
              <w:pStyle w:val="null3"/>
            </w:pPr>
            <w:r>
              <w:rPr>
                <w:rFonts w:ascii="仿宋_GB2312" w:hAnsi="仿宋_GB2312" w:cs="仿宋_GB2312" w:eastAsia="仿宋_GB2312"/>
              </w:rPr>
              <w:t>⑧合理化建议；</w:t>
            </w:r>
          </w:p>
        </w:tc>
        <w:tc>
          <w:tcPr>
            <w:tcW w:type="dxa" w:w="2492"/>
          </w:tcPr>
          <w:p>
            <w:pPr>
              <w:pStyle w:val="null3"/>
            </w:pPr>
            <w:r>
              <w:rPr>
                <w:rFonts w:ascii="仿宋_GB2312" w:hAnsi="仿宋_GB2312" w:cs="仿宋_GB2312" w:eastAsia="仿宋_GB2312"/>
              </w:rPr>
              <w:t>一、评审内容：投标人基于对养殖废水处理项目的深入理解，结合行业先进技术与项目管理经验，针对本项目提出的合理化建议，包括但不限于：①工艺优化建议：针对本项目的水质特点、处理规模或现场条件，提出不同于常规做法但在技术、经济上更具优势的处理工艺改进建议；②运行效能提升建议：针对设备长期稳定运行、节能降耗、减少人工干预等方面，提出具有可操作性的运行管理模式优化建议；③运维成本管控建议：在能耗控制或废弃物处置等方面，提出能够有效降低项目全生命周期综合运维成本的合理化建议。 二、评审标准：（1）以上内容符合采购需求是指：① 建议内容具有针对性，紧扣本项目的实际需求与技术痛点，非泛泛而谈的通用理论；② 建议具备技术可行性与经济合理性，能够提供具体的实施路径或预期效益分析；③表述清晰、逻辑严谨，能够体现出投标人在环保工程或养殖废水处理领域的专业深度与实践经验；④ 内容符合国家、地方、行业标准及行业惯例；（2）存在缺陷是指：①仅有框架或标题、或仅有复制招标内容的要求；②内容不完整、方案中出现套用（复制）其他项目建议或通用模板；③内容中出现前后描述不一致现象或语言描述出现有错误；④ 内容涉及适用的规范及标准（方法）出现错误、实施地点区域错误、项目名称错误等任意一种情形；⑤建议脱离实际、不可落地，或仅为简单常识性表述，无实质性增值内容。 三、赋分标准：（1）根据投标人响应程度，以上内容均完整、有针对性且具有较强实施性的，得满分6分；（2）其中每有一条内容缺项的，扣2分；（3）每条评审内容中若有一处不完整、有缺陷或与项目不匹配的，扣0.5分，扣完为止。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附件8：综合评分明细表：⑧合理化建议.pdf</w:t>
            </w:r>
          </w:p>
        </w:tc>
      </w:tr>
      <w:tr>
        <w:tc>
          <w:tcPr>
            <w:tcW w:type="dxa" w:w="831"/>
            <w:vMerge/>
          </w:tcPr>
          <w:p/>
        </w:tc>
        <w:tc>
          <w:tcPr>
            <w:tcW w:type="dxa" w:w="1661"/>
          </w:tcPr>
          <w:p>
            <w:pPr>
              <w:pStyle w:val="null3"/>
            </w:pPr>
            <w:r>
              <w:rPr>
                <w:rFonts w:ascii="仿宋_GB2312" w:hAnsi="仿宋_GB2312" w:cs="仿宋_GB2312" w:eastAsia="仿宋_GB2312"/>
              </w:rPr>
              <w:t>⑨节能环保；</w:t>
            </w:r>
          </w:p>
        </w:tc>
        <w:tc>
          <w:tcPr>
            <w:tcW w:type="dxa" w:w="2492"/>
          </w:tcPr>
          <w:p>
            <w:pPr>
              <w:pStyle w:val="null3"/>
            </w:pPr>
            <w:r>
              <w:rPr>
                <w:rFonts w:ascii="仿宋_GB2312" w:hAnsi="仿宋_GB2312" w:cs="仿宋_GB2312" w:eastAsia="仿宋_GB2312"/>
              </w:rPr>
              <w:t>投标人所投产品具有国家节能产品认证且证书在有效期内，或具有中国环境标志产品认证证书且在有效期内，或具有国家强制采购节能产品认证证书且在有效期内的投标人，得1分。 注：需提供相关认证证书或在证明材料复印件并加盖投标人公章，未提供不得分。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附件9：综合评分明细表：⑨节能环保.pdf</w:t>
            </w:r>
          </w:p>
        </w:tc>
      </w:tr>
      <w:tr>
        <w:tc>
          <w:tcPr>
            <w:tcW w:type="dxa" w:w="831"/>
            <w:vMerge/>
          </w:tcPr>
          <w:p/>
        </w:tc>
        <w:tc>
          <w:tcPr>
            <w:tcW w:type="dxa" w:w="1661"/>
          </w:tcPr>
          <w:p>
            <w:pPr>
              <w:pStyle w:val="null3"/>
            </w:pPr>
            <w:r>
              <w:rPr>
                <w:rFonts w:ascii="仿宋_GB2312" w:hAnsi="仿宋_GB2312" w:cs="仿宋_GB2312" w:eastAsia="仿宋_GB2312"/>
              </w:rPr>
              <w:t>⑩类似业绩；</w:t>
            </w:r>
          </w:p>
        </w:tc>
        <w:tc>
          <w:tcPr>
            <w:tcW w:type="dxa" w:w="2492"/>
          </w:tcPr>
          <w:p>
            <w:pPr>
              <w:pStyle w:val="null3"/>
            </w:pPr>
            <w:r>
              <w:rPr>
                <w:rFonts w:ascii="仿宋_GB2312" w:hAnsi="仿宋_GB2312" w:cs="仿宋_GB2312" w:eastAsia="仿宋_GB2312"/>
              </w:rPr>
              <w:t>投标人提供近三年（2023年——至今）完成类似项目业绩（时间以签订的施工合同时间为准），每提供1个业绩得1分，此项最高得3分；（注：业绩评审需提供加盖公章的项目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附件10：综合评分明细表：⑩类似业绩.pdf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投标分项报价表（格式）.pdf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投标分项报价表（格式）.pdf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详见附件：投标分项报价表（格式）.pdf</w:t>
      </w:r>
    </w:p>
    <w:p>
      <w:pPr>
        <w:pStyle w:val="null3"/>
        <w:ind w:firstLine="960"/>
      </w:pPr>
      <w:r>
        <w:rPr>
          <w:rFonts w:ascii="仿宋_GB2312" w:hAnsi="仿宋_GB2312" w:cs="仿宋_GB2312" w:eastAsia="仿宋_GB2312"/>
        </w:rPr>
        <w:t>详见附件：技术规格响应偏离表（格式）.pdf</w:t>
      </w:r>
    </w:p>
    <w:p>
      <w:pPr>
        <w:pStyle w:val="null3"/>
        <w:ind w:firstLine="960"/>
      </w:pPr>
      <w:r>
        <w:rPr>
          <w:rFonts w:ascii="仿宋_GB2312" w:hAnsi="仿宋_GB2312" w:cs="仿宋_GB2312" w:eastAsia="仿宋_GB2312"/>
        </w:rPr>
        <w:t>详见附件：商务条款响应偏离表（格式）.pdf</w:t>
      </w:r>
    </w:p>
    <w:p>
      <w:pPr>
        <w:pStyle w:val="null3"/>
        <w:ind w:firstLine="960"/>
      </w:pPr>
      <w:r>
        <w:rPr>
          <w:rFonts w:ascii="仿宋_GB2312" w:hAnsi="仿宋_GB2312" w:cs="仿宋_GB2312" w:eastAsia="仿宋_GB2312"/>
        </w:rPr>
        <w:t>详见附件：附件1：综合评分明细表：①技术参数评审要求.pdf</w:t>
      </w:r>
    </w:p>
    <w:p>
      <w:pPr>
        <w:pStyle w:val="null3"/>
        <w:ind w:firstLine="960"/>
      </w:pPr>
      <w:r>
        <w:rPr>
          <w:rFonts w:ascii="仿宋_GB2312" w:hAnsi="仿宋_GB2312" w:cs="仿宋_GB2312" w:eastAsia="仿宋_GB2312"/>
        </w:rPr>
        <w:t>详见附件：附件2：综合评分明细表：②供货实施方案.pdf</w:t>
      </w:r>
    </w:p>
    <w:p>
      <w:pPr>
        <w:pStyle w:val="null3"/>
        <w:ind w:firstLine="960"/>
      </w:pPr>
      <w:r>
        <w:rPr>
          <w:rFonts w:ascii="仿宋_GB2312" w:hAnsi="仿宋_GB2312" w:cs="仿宋_GB2312" w:eastAsia="仿宋_GB2312"/>
        </w:rPr>
        <w:t>详见附件：附件3：综合评分明细表：③安装调试方案.docx</w:t>
      </w:r>
    </w:p>
    <w:p>
      <w:pPr>
        <w:pStyle w:val="null3"/>
        <w:ind w:firstLine="960"/>
      </w:pPr>
      <w:r>
        <w:rPr>
          <w:rFonts w:ascii="仿宋_GB2312" w:hAnsi="仿宋_GB2312" w:cs="仿宋_GB2312" w:eastAsia="仿宋_GB2312"/>
        </w:rPr>
        <w:t>详见附件：附件4：综合评分明细表：④设备质量保障措施及保证承诺.pdf</w:t>
      </w:r>
    </w:p>
    <w:p>
      <w:pPr>
        <w:pStyle w:val="null3"/>
        <w:ind w:firstLine="960"/>
      </w:pPr>
      <w:r>
        <w:rPr>
          <w:rFonts w:ascii="仿宋_GB2312" w:hAnsi="仿宋_GB2312" w:cs="仿宋_GB2312" w:eastAsia="仿宋_GB2312"/>
        </w:rPr>
        <w:t>详见附件：附件5：综合评分明细表：⑤售后服务、培训方案、服务承诺及保障措施.pdf</w:t>
      </w:r>
    </w:p>
    <w:p>
      <w:pPr>
        <w:pStyle w:val="null3"/>
        <w:ind w:firstLine="960"/>
      </w:pPr>
      <w:r>
        <w:rPr>
          <w:rFonts w:ascii="仿宋_GB2312" w:hAnsi="仿宋_GB2312" w:cs="仿宋_GB2312" w:eastAsia="仿宋_GB2312"/>
        </w:rPr>
        <w:t>详见附件：附件6：综合评分明细表：⑥供货进度方案.pdf</w:t>
      </w:r>
    </w:p>
    <w:p>
      <w:pPr>
        <w:pStyle w:val="null3"/>
        <w:ind w:firstLine="960"/>
      </w:pPr>
      <w:r>
        <w:rPr>
          <w:rFonts w:ascii="仿宋_GB2312" w:hAnsi="仿宋_GB2312" w:cs="仿宋_GB2312" w:eastAsia="仿宋_GB2312"/>
        </w:rPr>
        <w:t>详见附件：附件7：综合评分明细表：⑦试运行方案及承诺.pdf</w:t>
      </w:r>
    </w:p>
    <w:p>
      <w:pPr>
        <w:pStyle w:val="null3"/>
        <w:ind w:firstLine="960"/>
      </w:pPr>
      <w:r>
        <w:rPr>
          <w:rFonts w:ascii="仿宋_GB2312" w:hAnsi="仿宋_GB2312" w:cs="仿宋_GB2312" w:eastAsia="仿宋_GB2312"/>
        </w:rPr>
        <w:t>详见附件：附件8：综合评分明细表：⑧合理化建议.pdf</w:t>
      </w:r>
    </w:p>
    <w:p>
      <w:pPr>
        <w:pStyle w:val="null3"/>
        <w:ind w:firstLine="960"/>
      </w:pPr>
      <w:r>
        <w:rPr>
          <w:rFonts w:ascii="仿宋_GB2312" w:hAnsi="仿宋_GB2312" w:cs="仿宋_GB2312" w:eastAsia="仿宋_GB2312"/>
        </w:rPr>
        <w:t>详见附件：附件9：综合评分明细表：⑨节能环保.pdf</w:t>
      </w:r>
    </w:p>
    <w:p>
      <w:pPr>
        <w:pStyle w:val="null3"/>
        <w:ind w:firstLine="960"/>
      </w:pPr>
      <w:r>
        <w:rPr>
          <w:rFonts w:ascii="仿宋_GB2312" w:hAnsi="仿宋_GB2312" w:cs="仿宋_GB2312" w:eastAsia="仿宋_GB2312"/>
        </w:rPr>
        <w:t>详见附件：附件10：综合评分明细表：⑩类似业绩.pdf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详见附件：政府采购货物买卖合同（试行范本）.docx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