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5B8A14F">
      <w:pPr>
        <w:spacing w:line="240" w:lineRule="auto"/>
        <w:jc w:val="left"/>
        <w:rPr>
          <w:rFonts w:hint="eastAsia" w:ascii="宋体" w:hAnsi="宋体" w:eastAsia="宋体" w:cs="宋体"/>
          <w:bCs/>
          <w:color w:val="auto"/>
          <w:sz w:val="2"/>
          <w:szCs w:val="2"/>
          <w:highlight w:val="none"/>
        </w:rPr>
      </w:pPr>
      <w:bookmarkStart w:id="0" w:name="_Toc193702467"/>
      <w:bookmarkStart w:id="1" w:name="_Toc12260"/>
      <w:bookmarkStart w:id="2" w:name="_Toc246928891"/>
      <w:bookmarkStart w:id="3" w:name="_Toc6410"/>
      <w:bookmarkStart w:id="4" w:name="_Toc22392"/>
      <w:bookmarkStart w:id="5" w:name="_Toc465958085"/>
      <w:bookmarkStart w:id="6" w:name="_Toc12011"/>
      <w:bookmarkStart w:id="7" w:name="OLE_LINK18"/>
      <w:r>
        <w:rPr>
          <w:rFonts w:hint="eastAsia" w:ascii="宋体" w:hAnsi="宋体" w:eastAsia="宋体" w:cs="宋体"/>
          <w:bCs/>
          <w:color w:val="auto"/>
          <w:sz w:val="2"/>
          <w:szCs w:val="2"/>
          <w:highlight w:val="none"/>
        </w:rPr>
        <w:t xml:space="preserve">                                                                                                                                                                                                                                                 </w:t>
      </w:r>
    </w:p>
    <w:p w14:paraId="7BD6711C">
      <w:pPr>
        <w:pStyle w:val="3"/>
        <w:spacing w:line="240" w:lineRule="auto"/>
        <w:rPr>
          <w:rFonts w:hint="eastAsia" w:ascii="宋体" w:hAnsi="宋体" w:eastAsia="宋体" w:cs="宋体"/>
          <w:b w:val="0"/>
          <w:bCs/>
          <w:color w:val="auto"/>
          <w:sz w:val="2"/>
          <w:szCs w:val="2"/>
          <w:highlight w:val="none"/>
        </w:rPr>
      </w:pPr>
      <w:bookmarkStart w:id="8" w:name="_Toc14053"/>
      <w:r>
        <w:rPr>
          <w:rFonts w:hint="eastAsia" w:ascii="宋体" w:hAnsi="宋体" w:eastAsia="宋体" w:cs="宋体"/>
          <w:b w:val="0"/>
          <w:bCs/>
          <w:color w:val="auto"/>
          <w:sz w:val="28"/>
          <w:szCs w:val="28"/>
          <w:highlight w:val="none"/>
        </w:rPr>
        <w:t>采购项目编号：</w:t>
      </w:r>
      <w:bookmarkEnd w:id="8"/>
      <w:r>
        <w:rPr>
          <w:rFonts w:hint="eastAsia" w:ascii="宋体" w:hAnsi="宋体" w:eastAsia="宋体" w:cs="宋体"/>
          <w:b w:val="0"/>
          <w:bCs/>
          <w:color w:val="auto"/>
          <w:sz w:val="28"/>
          <w:szCs w:val="28"/>
          <w:highlight w:val="none"/>
          <w:lang w:eastAsia="zh-CN"/>
        </w:rPr>
        <w:t>SXCG-PZ-2026006.1B1</w:t>
      </w:r>
    </w:p>
    <w:p w14:paraId="6B3DBE2A">
      <w:pPr>
        <w:rPr>
          <w:rFonts w:hint="eastAsia" w:ascii="宋体" w:hAnsi="宋体" w:eastAsia="宋体" w:cs="宋体"/>
          <w:bCs/>
          <w:color w:val="auto"/>
          <w:highlight w:val="none"/>
        </w:rPr>
      </w:pPr>
    </w:p>
    <w:p w14:paraId="757E5655">
      <w:pPr>
        <w:rPr>
          <w:rFonts w:hint="eastAsia" w:ascii="宋体" w:hAnsi="宋体" w:eastAsia="宋体" w:cs="宋体"/>
          <w:bCs/>
          <w:color w:val="auto"/>
          <w:highlight w:val="none"/>
        </w:rPr>
      </w:pPr>
    </w:p>
    <w:p w14:paraId="1006993E">
      <w:pPr>
        <w:rPr>
          <w:rFonts w:hint="eastAsia" w:ascii="宋体" w:hAnsi="宋体" w:eastAsia="宋体" w:cs="宋体"/>
          <w:bCs/>
          <w:color w:val="auto"/>
          <w:highlight w:val="none"/>
        </w:rPr>
      </w:pPr>
    </w:p>
    <w:p w14:paraId="365A45D4">
      <w:pPr>
        <w:rPr>
          <w:rFonts w:hint="eastAsia" w:ascii="宋体" w:hAnsi="宋体" w:eastAsia="宋体" w:cs="宋体"/>
          <w:bCs/>
          <w:color w:val="auto"/>
          <w:highlight w:val="none"/>
        </w:rPr>
      </w:pPr>
    </w:p>
    <w:p w14:paraId="6CD00406">
      <w:pPr>
        <w:rPr>
          <w:rFonts w:hint="eastAsia" w:ascii="宋体" w:hAnsi="宋体" w:eastAsia="宋体" w:cs="宋体"/>
          <w:bCs/>
          <w:color w:val="auto"/>
          <w:highlight w:val="none"/>
        </w:rPr>
      </w:pPr>
    </w:p>
    <w:p w14:paraId="11B55C66">
      <w:pPr>
        <w:pStyle w:val="15"/>
        <w:jc w:val="center"/>
        <w:rPr>
          <w:rFonts w:hint="eastAsia" w:ascii="宋体" w:hAnsi="宋体" w:cs="宋体"/>
          <w:bCs/>
          <w:color w:val="auto"/>
          <w:sz w:val="60"/>
          <w:szCs w:val="60"/>
          <w:highlight w:val="none"/>
          <w:lang w:eastAsia="zh-CN"/>
        </w:rPr>
      </w:pPr>
      <w:r>
        <w:rPr>
          <w:rFonts w:hint="eastAsia" w:ascii="宋体" w:hAnsi="宋体" w:cs="宋体"/>
          <w:bCs/>
          <w:color w:val="auto"/>
          <w:sz w:val="60"/>
          <w:szCs w:val="60"/>
          <w:highlight w:val="none"/>
          <w:lang w:eastAsia="zh-CN"/>
        </w:rPr>
        <w:t>中共绥德县委机关灶务承包服务</w:t>
      </w:r>
    </w:p>
    <w:p w14:paraId="69A33294">
      <w:pPr>
        <w:pStyle w:val="15"/>
        <w:jc w:val="center"/>
        <w:rPr>
          <w:rFonts w:hint="eastAsia" w:ascii="宋体" w:hAnsi="宋体" w:eastAsia="宋体" w:cs="宋体"/>
          <w:bCs/>
          <w:color w:val="auto"/>
          <w:sz w:val="80"/>
          <w:szCs w:val="80"/>
          <w:highlight w:val="none"/>
          <w:lang w:eastAsia="zh-CN"/>
        </w:rPr>
      </w:pPr>
      <w:r>
        <w:rPr>
          <w:rFonts w:hint="eastAsia" w:ascii="宋体" w:hAnsi="宋体" w:cs="宋体"/>
          <w:bCs/>
          <w:color w:val="auto"/>
          <w:sz w:val="60"/>
          <w:szCs w:val="60"/>
          <w:highlight w:val="none"/>
          <w:lang w:eastAsia="zh-CN"/>
        </w:rPr>
        <w:t>(二次)</w:t>
      </w:r>
    </w:p>
    <w:p w14:paraId="511BADEE">
      <w:pPr>
        <w:pStyle w:val="15"/>
        <w:rPr>
          <w:rFonts w:hint="eastAsia" w:ascii="宋体" w:hAnsi="宋体" w:eastAsia="宋体" w:cs="宋体"/>
          <w:bCs/>
          <w:color w:val="auto"/>
          <w:sz w:val="80"/>
          <w:szCs w:val="80"/>
          <w:highlight w:val="none"/>
        </w:rPr>
      </w:pPr>
    </w:p>
    <w:p w14:paraId="11558E50">
      <w:pPr>
        <w:rPr>
          <w:rFonts w:hint="eastAsia" w:ascii="宋体" w:hAnsi="宋体" w:eastAsia="宋体" w:cs="宋体"/>
          <w:bCs/>
          <w:color w:val="auto"/>
          <w:highlight w:val="none"/>
        </w:rPr>
      </w:pPr>
    </w:p>
    <w:p w14:paraId="41BFD4D9">
      <w:pPr>
        <w:rPr>
          <w:rFonts w:hint="eastAsia" w:ascii="宋体" w:hAnsi="宋体" w:eastAsia="宋体" w:cs="宋体"/>
          <w:bCs/>
          <w:color w:val="auto"/>
          <w:highlight w:val="none"/>
        </w:rPr>
      </w:pPr>
    </w:p>
    <w:p w14:paraId="7C928240">
      <w:pPr>
        <w:rPr>
          <w:rFonts w:hint="eastAsia" w:ascii="宋体" w:hAnsi="宋体" w:eastAsia="宋体" w:cs="宋体"/>
          <w:bCs/>
          <w:color w:val="auto"/>
          <w:highlight w:val="none"/>
        </w:rPr>
      </w:pPr>
    </w:p>
    <w:p w14:paraId="4345BCB5">
      <w:pPr>
        <w:jc w:val="center"/>
        <w:rPr>
          <w:rFonts w:hint="eastAsia" w:ascii="宋体" w:hAnsi="宋体" w:eastAsia="宋体" w:cs="宋体"/>
          <w:bCs/>
          <w:color w:val="auto"/>
          <w:sz w:val="80"/>
          <w:szCs w:val="80"/>
          <w:highlight w:val="none"/>
        </w:rPr>
      </w:pPr>
      <w:r>
        <w:rPr>
          <w:rFonts w:hint="eastAsia" w:ascii="宋体" w:hAnsi="宋体" w:eastAsia="宋体" w:cs="宋体"/>
          <w:bCs/>
          <w:color w:val="auto"/>
          <w:sz w:val="80"/>
          <w:szCs w:val="80"/>
          <w:highlight w:val="none"/>
        </w:rPr>
        <w:t>竞争性谈判文件</w:t>
      </w:r>
    </w:p>
    <w:p w14:paraId="40660381">
      <w:pPr>
        <w:spacing w:line="420" w:lineRule="auto"/>
        <w:rPr>
          <w:rFonts w:hint="eastAsia" w:ascii="宋体" w:hAnsi="宋体" w:eastAsia="宋体" w:cs="宋体"/>
          <w:bCs/>
          <w:color w:val="auto"/>
          <w:sz w:val="24"/>
          <w:szCs w:val="24"/>
          <w:highlight w:val="none"/>
        </w:rPr>
      </w:pPr>
    </w:p>
    <w:p w14:paraId="45FB7C6E">
      <w:pPr>
        <w:spacing w:line="420" w:lineRule="auto"/>
        <w:rPr>
          <w:rFonts w:hint="eastAsia" w:ascii="宋体" w:hAnsi="宋体" w:eastAsia="宋体" w:cs="宋体"/>
          <w:bCs/>
          <w:color w:val="auto"/>
          <w:sz w:val="24"/>
          <w:szCs w:val="24"/>
          <w:highlight w:val="none"/>
        </w:rPr>
      </w:pPr>
    </w:p>
    <w:p w14:paraId="08B03E21">
      <w:pPr>
        <w:spacing w:line="420" w:lineRule="auto"/>
        <w:rPr>
          <w:rFonts w:hint="eastAsia" w:ascii="宋体" w:hAnsi="宋体" w:eastAsia="宋体" w:cs="宋体"/>
          <w:bCs/>
          <w:color w:val="auto"/>
          <w:sz w:val="24"/>
          <w:szCs w:val="24"/>
          <w:highlight w:val="none"/>
        </w:rPr>
      </w:pPr>
    </w:p>
    <w:p w14:paraId="1D4553F9">
      <w:pPr>
        <w:spacing w:line="420" w:lineRule="auto"/>
        <w:rPr>
          <w:rFonts w:hint="eastAsia" w:ascii="宋体" w:hAnsi="宋体" w:eastAsia="宋体" w:cs="宋体"/>
          <w:bCs/>
          <w:color w:val="auto"/>
          <w:sz w:val="24"/>
          <w:szCs w:val="24"/>
          <w:highlight w:val="none"/>
        </w:rPr>
      </w:pPr>
    </w:p>
    <w:p w14:paraId="1269C0B2">
      <w:pPr>
        <w:rPr>
          <w:rFonts w:hint="eastAsia" w:ascii="宋体" w:hAnsi="宋体" w:eastAsia="宋体" w:cs="宋体"/>
          <w:bCs/>
          <w:color w:val="auto"/>
          <w:highlight w:val="none"/>
        </w:rPr>
      </w:pPr>
    </w:p>
    <w:p w14:paraId="46AB9DAB">
      <w:pPr>
        <w:snapToGrid w:val="0"/>
        <w:spacing w:line="480" w:lineRule="auto"/>
        <w:jc w:val="center"/>
        <w:rPr>
          <w:rFonts w:hint="eastAsia" w:ascii="宋体" w:hAnsi="宋体" w:eastAsia="宋体" w:cs="宋体"/>
          <w:bCs/>
          <w:color w:val="auto"/>
          <w:sz w:val="32"/>
          <w:szCs w:val="32"/>
          <w:highlight w:val="none"/>
          <w:lang w:eastAsia="zh-CN"/>
        </w:rPr>
      </w:pPr>
      <w:bookmarkStart w:id="9" w:name="OLE_LINK43"/>
      <w:r>
        <w:rPr>
          <w:rFonts w:hint="eastAsia" w:ascii="宋体" w:hAnsi="宋体" w:eastAsia="宋体" w:cs="宋体"/>
          <w:bCs/>
          <w:color w:val="auto"/>
          <w:sz w:val="32"/>
          <w:szCs w:val="32"/>
          <w:highlight w:val="none"/>
        </w:rPr>
        <w:t>采购人：</w:t>
      </w:r>
      <w:r>
        <w:rPr>
          <w:rFonts w:hint="eastAsia" w:ascii="宋体" w:hAnsi="宋体" w:cs="宋体"/>
          <w:bCs/>
          <w:color w:val="auto"/>
          <w:sz w:val="32"/>
          <w:szCs w:val="32"/>
          <w:highlight w:val="none"/>
          <w:lang w:eastAsia="zh-CN"/>
        </w:rPr>
        <w:t>中共绥德县委办公室</w:t>
      </w:r>
    </w:p>
    <w:p w14:paraId="0C1CC5B0">
      <w:pPr>
        <w:snapToGrid w:val="0"/>
        <w:spacing w:line="480" w:lineRule="auto"/>
        <w:jc w:val="center"/>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t xml:space="preserve">    采购代理机构：</w:t>
      </w:r>
      <w:r>
        <w:rPr>
          <w:rFonts w:hint="eastAsia" w:ascii="宋体" w:hAnsi="宋体" w:cs="宋体"/>
          <w:bCs/>
          <w:color w:val="auto"/>
          <w:sz w:val="32"/>
          <w:szCs w:val="32"/>
          <w:highlight w:val="none"/>
          <w:lang w:eastAsia="zh-CN"/>
        </w:rPr>
        <w:t>鹏泽项目管理有限公司</w:t>
      </w:r>
      <w:r>
        <w:rPr>
          <w:rFonts w:hint="eastAsia" w:ascii="宋体" w:hAnsi="宋体" w:eastAsia="宋体" w:cs="宋体"/>
          <w:bCs/>
          <w:color w:val="auto"/>
          <w:sz w:val="32"/>
          <w:szCs w:val="32"/>
          <w:highlight w:val="none"/>
        </w:rPr>
        <w:t xml:space="preserve">     </w:t>
      </w:r>
    </w:p>
    <w:p w14:paraId="16CD253A">
      <w:pPr>
        <w:spacing w:line="480" w:lineRule="auto"/>
        <w:jc w:val="center"/>
        <w:rPr>
          <w:rFonts w:hint="eastAsia" w:ascii="宋体" w:hAnsi="宋体" w:eastAsia="宋体" w:cs="宋体"/>
          <w:bCs/>
          <w:color w:val="auto"/>
          <w:sz w:val="24"/>
          <w:szCs w:val="24"/>
          <w:highlight w:val="none"/>
        </w:rPr>
        <w:sectPr>
          <w:headerReference r:id="rId4" w:type="first"/>
          <w:headerReference r:id="rId3" w:type="default"/>
          <w:footerReference r:id="rId5" w:type="default"/>
          <w:footnotePr>
            <w:pos w:val="beneathText"/>
          </w:footnotePr>
          <w:pgSz w:w="11906" w:h="16838"/>
          <w:pgMar w:top="1440" w:right="1080" w:bottom="1440" w:left="1080" w:header="851" w:footer="992" w:gutter="0"/>
          <w:cols w:space="720" w:num="1"/>
          <w:docGrid w:type="lines" w:linePitch="312" w:charSpace="0"/>
        </w:sectPr>
      </w:pPr>
      <w:r>
        <w:rPr>
          <w:rFonts w:hint="eastAsia" w:ascii="宋体" w:hAnsi="宋体" w:eastAsia="宋体" w:cs="宋体"/>
          <w:bCs/>
          <w:color w:val="auto"/>
          <w:sz w:val="32"/>
          <w:szCs w:val="32"/>
          <w:highlight w:val="none"/>
        </w:rPr>
        <w:t>二零二</w:t>
      </w:r>
      <w:r>
        <w:rPr>
          <w:rFonts w:hint="eastAsia" w:ascii="宋体" w:hAnsi="宋体" w:eastAsia="宋体" w:cs="宋体"/>
          <w:bCs/>
          <w:color w:val="auto"/>
          <w:sz w:val="32"/>
          <w:szCs w:val="32"/>
          <w:highlight w:val="none"/>
          <w:lang w:val="en-US" w:eastAsia="zh-CN"/>
        </w:rPr>
        <w:t>六</w:t>
      </w:r>
      <w:r>
        <w:rPr>
          <w:rFonts w:hint="eastAsia" w:ascii="宋体" w:hAnsi="宋体" w:eastAsia="宋体" w:cs="宋体"/>
          <w:bCs/>
          <w:color w:val="auto"/>
          <w:sz w:val="32"/>
          <w:szCs w:val="32"/>
          <w:highlight w:val="none"/>
        </w:rPr>
        <w:t>年</w:t>
      </w:r>
      <w:r>
        <w:rPr>
          <w:rFonts w:hint="eastAsia" w:ascii="宋体" w:hAnsi="宋体" w:cs="宋体"/>
          <w:bCs/>
          <w:color w:val="auto"/>
          <w:sz w:val="32"/>
          <w:szCs w:val="32"/>
          <w:highlight w:val="none"/>
          <w:lang w:val="en-US" w:eastAsia="zh-CN"/>
        </w:rPr>
        <w:t>十</w:t>
      </w:r>
      <w:r>
        <w:rPr>
          <w:rFonts w:hint="eastAsia" w:ascii="宋体" w:hAnsi="宋体" w:eastAsia="宋体" w:cs="宋体"/>
          <w:bCs/>
          <w:color w:val="auto"/>
          <w:sz w:val="32"/>
          <w:szCs w:val="32"/>
          <w:highlight w:val="none"/>
        </w:rPr>
        <w:t>月</w:t>
      </w:r>
    </w:p>
    <w:bookmarkEnd w:id="9"/>
    <w:p w14:paraId="1C01982E">
      <w:pPr>
        <w:pStyle w:val="21"/>
        <w:spacing w:before="0" w:beforeAutospacing="0" w:after="0" w:afterAutospacing="0" w:line="360" w:lineRule="auto"/>
        <w:jc w:val="center"/>
        <w:rPr>
          <w:rFonts w:hint="eastAsia" w:ascii="宋体" w:hAnsi="宋体" w:eastAsia="宋体" w:cs="宋体"/>
          <w:bCs/>
          <w:color w:val="auto"/>
          <w:sz w:val="32"/>
          <w:szCs w:val="32"/>
          <w:highlight w:val="none"/>
        </w:rPr>
      </w:pPr>
      <w:r>
        <w:rPr>
          <w:rFonts w:hint="eastAsia" w:ascii="宋体" w:hAnsi="宋体" w:eastAsia="宋体" w:cs="宋体"/>
          <w:bCs/>
          <w:color w:val="auto"/>
          <w:kern w:val="2"/>
          <w:sz w:val="32"/>
          <w:szCs w:val="32"/>
          <w:highlight w:val="none"/>
        </w:rPr>
        <w:t>温馨提示</w:t>
      </w:r>
    </w:p>
    <w:p w14:paraId="08D99645">
      <w:pPr>
        <w:pStyle w:val="17"/>
        <w:tabs>
          <w:tab w:val="right" w:leader="dot" w:pos="8829"/>
        </w:tabs>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32"/>
          <w:szCs w:val="32"/>
          <w:highlight w:val="none"/>
        </w:rPr>
        <w:t>请供应商认真阅读供应商须知，避免因此造成的无效投标。</w:t>
      </w:r>
    </w:p>
    <w:p w14:paraId="7DCD52E7">
      <w:pPr>
        <w:spacing w:line="600" w:lineRule="auto"/>
        <w:jc w:val="center"/>
        <w:rPr>
          <w:rFonts w:hint="eastAsia" w:ascii="宋体" w:hAnsi="宋体" w:eastAsia="宋体" w:cs="宋体"/>
          <w:bCs/>
          <w:color w:val="auto"/>
          <w:sz w:val="44"/>
          <w:szCs w:val="44"/>
          <w:highlight w:val="none"/>
        </w:rPr>
      </w:pPr>
      <w:r>
        <w:rPr>
          <w:rFonts w:hint="eastAsia" w:ascii="宋体" w:hAnsi="宋体" w:eastAsia="宋体" w:cs="宋体"/>
          <w:bCs/>
          <w:color w:val="auto"/>
          <w:sz w:val="44"/>
          <w:szCs w:val="44"/>
          <w:highlight w:val="none"/>
        </w:rPr>
        <w:t>目  录</w:t>
      </w:r>
    </w:p>
    <w:p w14:paraId="493876FB">
      <w:pPr>
        <w:pStyle w:val="19"/>
        <w:tabs>
          <w:tab w:val="right" w:leader="dot" w:pos="9746"/>
        </w:tabs>
        <w:rPr>
          <w:rFonts w:hint="eastAsia" w:ascii="宋体" w:hAnsi="宋体" w:eastAsia="宋体" w:cs="宋体"/>
          <w:color w:val="auto"/>
          <w:highlight w:val="none"/>
        </w:rPr>
      </w:pP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TOC \o "1-2" \h \u </w:instrText>
      </w:r>
      <w:r>
        <w:rPr>
          <w:rFonts w:hint="eastAsia" w:ascii="宋体" w:hAnsi="宋体" w:eastAsia="宋体" w:cs="宋体"/>
          <w:bCs/>
          <w:color w:val="auto"/>
          <w:sz w:val="24"/>
          <w:szCs w:val="24"/>
          <w:highlight w:val="none"/>
        </w:rPr>
        <w:fldChar w:fldCharType="separate"/>
      </w:r>
    </w:p>
    <w:p w14:paraId="3092DE2A">
      <w:pPr>
        <w:pStyle w:val="17"/>
        <w:tabs>
          <w:tab w:val="right" w:leader="dot" w:pos="9746"/>
        </w:tabs>
        <w:spacing w:line="360" w:lineRule="auto"/>
        <w:rPr>
          <w:rFonts w:hint="eastAsia" w:ascii="宋体" w:hAnsi="宋体" w:eastAsia="宋体" w:cs="宋体"/>
          <w:color w:val="auto"/>
          <w:sz w:val="24"/>
          <w:szCs w:val="22"/>
          <w:highlight w:val="none"/>
        </w:rPr>
      </w:pPr>
      <w:r>
        <w:rPr>
          <w:rFonts w:hint="eastAsia" w:ascii="宋体" w:hAnsi="宋体" w:eastAsia="宋体" w:cs="宋体"/>
          <w:bCs/>
          <w:color w:val="auto"/>
          <w:sz w:val="24"/>
          <w:szCs w:val="32"/>
          <w:highlight w:val="none"/>
        </w:rPr>
        <w:fldChar w:fldCharType="begin"/>
      </w:r>
      <w:r>
        <w:rPr>
          <w:rFonts w:hint="eastAsia" w:ascii="宋体" w:hAnsi="宋体" w:eastAsia="宋体" w:cs="宋体"/>
          <w:bCs/>
          <w:color w:val="auto"/>
          <w:sz w:val="24"/>
          <w:szCs w:val="32"/>
          <w:highlight w:val="none"/>
        </w:rPr>
        <w:instrText xml:space="preserve"> HYPERLINK \l _Toc18791 </w:instrText>
      </w:r>
      <w:r>
        <w:rPr>
          <w:rFonts w:hint="eastAsia" w:ascii="宋体" w:hAnsi="宋体" w:eastAsia="宋体" w:cs="宋体"/>
          <w:bCs/>
          <w:color w:val="auto"/>
          <w:sz w:val="24"/>
          <w:szCs w:val="32"/>
          <w:highlight w:val="none"/>
        </w:rPr>
        <w:fldChar w:fldCharType="separate"/>
      </w:r>
      <w:r>
        <w:rPr>
          <w:rFonts w:hint="eastAsia" w:ascii="宋体" w:hAnsi="宋体" w:eastAsia="宋体" w:cs="宋体"/>
          <w:bCs/>
          <w:color w:val="auto"/>
          <w:sz w:val="24"/>
          <w:szCs w:val="40"/>
          <w:highlight w:val="none"/>
        </w:rPr>
        <w:t>第一部分  竞争性谈判公告</w:t>
      </w:r>
      <w:r>
        <w:rPr>
          <w:rFonts w:hint="eastAsia" w:ascii="宋体" w:hAnsi="宋体" w:eastAsia="宋体" w:cs="宋体"/>
          <w:color w:val="auto"/>
          <w:sz w:val="24"/>
          <w:szCs w:val="22"/>
          <w:highlight w:val="none"/>
        </w:rPr>
        <w:tab/>
      </w:r>
      <w:r>
        <w:rPr>
          <w:rFonts w:hint="eastAsia" w:ascii="宋体" w:hAnsi="宋体" w:eastAsia="宋体" w:cs="宋体"/>
          <w:color w:val="auto"/>
          <w:sz w:val="24"/>
          <w:szCs w:val="22"/>
          <w:highlight w:val="none"/>
        </w:rPr>
        <w:fldChar w:fldCharType="begin"/>
      </w:r>
      <w:r>
        <w:rPr>
          <w:rFonts w:hint="eastAsia" w:ascii="宋体" w:hAnsi="宋体" w:eastAsia="宋体" w:cs="宋体"/>
          <w:color w:val="auto"/>
          <w:sz w:val="24"/>
          <w:szCs w:val="22"/>
          <w:highlight w:val="none"/>
        </w:rPr>
        <w:instrText xml:space="preserve"> PAGEREF _Toc18791 \h </w:instrText>
      </w:r>
      <w:r>
        <w:rPr>
          <w:rFonts w:hint="eastAsia" w:ascii="宋体" w:hAnsi="宋体" w:eastAsia="宋体" w:cs="宋体"/>
          <w:color w:val="auto"/>
          <w:sz w:val="24"/>
          <w:szCs w:val="22"/>
          <w:highlight w:val="none"/>
        </w:rPr>
        <w:fldChar w:fldCharType="separate"/>
      </w:r>
      <w:r>
        <w:rPr>
          <w:rFonts w:hint="eastAsia" w:ascii="宋体" w:hAnsi="宋体" w:eastAsia="宋体" w:cs="宋体"/>
          <w:color w:val="auto"/>
          <w:sz w:val="24"/>
          <w:szCs w:val="22"/>
          <w:highlight w:val="none"/>
        </w:rPr>
        <w:t>1</w:t>
      </w:r>
      <w:r>
        <w:rPr>
          <w:rFonts w:hint="eastAsia" w:ascii="宋体" w:hAnsi="宋体" w:eastAsia="宋体" w:cs="宋体"/>
          <w:color w:val="auto"/>
          <w:sz w:val="24"/>
          <w:szCs w:val="22"/>
          <w:highlight w:val="none"/>
        </w:rPr>
        <w:fldChar w:fldCharType="end"/>
      </w:r>
      <w:r>
        <w:rPr>
          <w:rFonts w:hint="eastAsia" w:ascii="宋体" w:hAnsi="宋体" w:eastAsia="宋体" w:cs="宋体"/>
          <w:bCs/>
          <w:color w:val="auto"/>
          <w:sz w:val="24"/>
          <w:szCs w:val="32"/>
          <w:highlight w:val="none"/>
        </w:rPr>
        <w:fldChar w:fldCharType="end"/>
      </w:r>
    </w:p>
    <w:p w14:paraId="4035CB1F">
      <w:pPr>
        <w:pStyle w:val="17"/>
        <w:tabs>
          <w:tab w:val="right" w:leader="dot" w:pos="9746"/>
        </w:tabs>
        <w:spacing w:line="360" w:lineRule="auto"/>
        <w:rPr>
          <w:rFonts w:hint="eastAsia" w:ascii="宋体" w:hAnsi="宋体" w:eastAsia="宋体" w:cs="宋体"/>
          <w:color w:val="auto"/>
          <w:sz w:val="24"/>
          <w:szCs w:val="22"/>
          <w:highlight w:val="none"/>
        </w:rPr>
      </w:pPr>
      <w:r>
        <w:rPr>
          <w:rFonts w:hint="eastAsia" w:ascii="宋体" w:hAnsi="宋体" w:eastAsia="宋体" w:cs="宋体"/>
          <w:bCs/>
          <w:color w:val="auto"/>
          <w:sz w:val="24"/>
          <w:szCs w:val="32"/>
          <w:highlight w:val="none"/>
        </w:rPr>
        <w:fldChar w:fldCharType="begin"/>
      </w:r>
      <w:r>
        <w:rPr>
          <w:rFonts w:hint="eastAsia" w:ascii="宋体" w:hAnsi="宋体" w:eastAsia="宋体" w:cs="宋体"/>
          <w:bCs/>
          <w:color w:val="auto"/>
          <w:sz w:val="24"/>
          <w:szCs w:val="32"/>
          <w:highlight w:val="none"/>
        </w:rPr>
        <w:instrText xml:space="preserve"> HYPERLINK \l _Toc31218 </w:instrText>
      </w:r>
      <w:r>
        <w:rPr>
          <w:rFonts w:hint="eastAsia" w:ascii="宋体" w:hAnsi="宋体" w:eastAsia="宋体" w:cs="宋体"/>
          <w:bCs/>
          <w:color w:val="auto"/>
          <w:sz w:val="24"/>
          <w:szCs w:val="32"/>
          <w:highlight w:val="none"/>
        </w:rPr>
        <w:fldChar w:fldCharType="separate"/>
      </w:r>
      <w:r>
        <w:rPr>
          <w:rFonts w:hint="eastAsia" w:ascii="宋体" w:hAnsi="宋体" w:eastAsia="宋体" w:cs="宋体"/>
          <w:bCs/>
          <w:color w:val="auto"/>
          <w:sz w:val="24"/>
          <w:szCs w:val="40"/>
          <w:highlight w:val="none"/>
        </w:rPr>
        <w:t>第</w:t>
      </w:r>
      <w:r>
        <w:rPr>
          <w:rFonts w:hint="eastAsia" w:ascii="宋体" w:hAnsi="宋体" w:eastAsia="宋体" w:cs="宋体"/>
          <w:bCs/>
          <w:color w:val="auto"/>
          <w:sz w:val="24"/>
          <w:szCs w:val="40"/>
          <w:highlight w:val="none"/>
          <w:lang w:val="en-US" w:eastAsia="zh-CN"/>
        </w:rPr>
        <w:t>二</w:t>
      </w:r>
      <w:r>
        <w:rPr>
          <w:rFonts w:hint="eastAsia" w:ascii="宋体" w:hAnsi="宋体" w:eastAsia="宋体" w:cs="宋体"/>
          <w:bCs/>
          <w:color w:val="auto"/>
          <w:sz w:val="24"/>
          <w:szCs w:val="40"/>
          <w:highlight w:val="none"/>
        </w:rPr>
        <w:t xml:space="preserve">部分  </w:t>
      </w:r>
      <w:r>
        <w:rPr>
          <w:rFonts w:hint="eastAsia" w:ascii="宋体" w:hAnsi="宋体" w:eastAsia="宋体" w:cs="宋体"/>
          <w:bCs/>
          <w:color w:val="auto"/>
          <w:sz w:val="24"/>
          <w:szCs w:val="40"/>
          <w:highlight w:val="none"/>
          <w:lang w:val="en-US" w:eastAsia="zh-CN"/>
        </w:rPr>
        <w:t>供应商须知前附表</w:t>
      </w:r>
      <w:r>
        <w:rPr>
          <w:rFonts w:hint="eastAsia" w:ascii="宋体" w:hAnsi="宋体" w:eastAsia="宋体" w:cs="宋体"/>
          <w:color w:val="auto"/>
          <w:sz w:val="24"/>
          <w:szCs w:val="22"/>
          <w:highlight w:val="none"/>
        </w:rPr>
        <w:tab/>
      </w:r>
      <w:r>
        <w:rPr>
          <w:rFonts w:hint="eastAsia" w:ascii="宋体" w:hAnsi="宋体" w:eastAsia="宋体" w:cs="宋体"/>
          <w:color w:val="auto"/>
          <w:sz w:val="24"/>
          <w:szCs w:val="22"/>
          <w:highlight w:val="none"/>
        </w:rPr>
        <w:fldChar w:fldCharType="begin"/>
      </w:r>
      <w:r>
        <w:rPr>
          <w:rFonts w:hint="eastAsia" w:ascii="宋体" w:hAnsi="宋体" w:eastAsia="宋体" w:cs="宋体"/>
          <w:color w:val="auto"/>
          <w:sz w:val="24"/>
          <w:szCs w:val="22"/>
          <w:highlight w:val="none"/>
        </w:rPr>
        <w:instrText xml:space="preserve"> PAGEREF _Toc31218 \h </w:instrText>
      </w:r>
      <w:r>
        <w:rPr>
          <w:rFonts w:hint="eastAsia" w:ascii="宋体" w:hAnsi="宋体" w:eastAsia="宋体" w:cs="宋体"/>
          <w:color w:val="auto"/>
          <w:sz w:val="24"/>
          <w:szCs w:val="22"/>
          <w:highlight w:val="none"/>
        </w:rPr>
        <w:fldChar w:fldCharType="separate"/>
      </w:r>
      <w:r>
        <w:rPr>
          <w:rFonts w:hint="eastAsia" w:ascii="宋体" w:hAnsi="宋体" w:eastAsia="宋体" w:cs="宋体"/>
          <w:color w:val="auto"/>
          <w:sz w:val="24"/>
          <w:szCs w:val="22"/>
          <w:highlight w:val="none"/>
        </w:rPr>
        <w:t>6</w:t>
      </w:r>
      <w:r>
        <w:rPr>
          <w:rFonts w:hint="eastAsia" w:ascii="宋体" w:hAnsi="宋体" w:eastAsia="宋体" w:cs="宋体"/>
          <w:color w:val="auto"/>
          <w:sz w:val="24"/>
          <w:szCs w:val="22"/>
          <w:highlight w:val="none"/>
        </w:rPr>
        <w:fldChar w:fldCharType="end"/>
      </w:r>
      <w:r>
        <w:rPr>
          <w:rFonts w:hint="eastAsia" w:ascii="宋体" w:hAnsi="宋体" w:eastAsia="宋体" w:cs="宋体"/>
          <w:bCs/>
          <w:color w:val="auto"/>
          <w:sz w:val="24"/>
          <w:szCs w:val="32"/>
          <w:highlight w:val="none"/>
        </w:rPr>
        <w:fldChar w:fldCharType="end"/>
      </w:r>
    </w:p>
    <w:p w14:paraId="14732674">
      <w:pPr>
        <w:pStyle w:val="17"/>
        <w:tabs>
          <w:tab w:val="right" w:leader="dot" w:pos="9746"/>
        </w:tabs>
        <w:spacing w:line="360" w:lineRule="auto"/>
        <w:rPr>
          <w:rFonts w:hint="eastAsia" w:ascii="宋体" w:hAnsi="宋体" w:eastAsia="宋体" w:cs="宋体"/>
          <w:color w:val="auto"/>
          <w:sz w:val="24"/>
          <w:szCs w:val="22"/>
          <w:highlight w:val="none"/>
        </w:rPr>
      </w:pPr>
      <w:r>
        <w:rPr>
          <w:rFonts w:hint="eastAsia" w:ascii="宋体" w:hAnsi="宋体" w:eastAsia="宋体" w:cs="宋体"/>
          <w:bCs/>
          <w:color w:val="auto"/>
          <w:sz w:val="24"/>
          <w:szCs w:val="32"/>
          <w:highlight w:val="none"/>
        </w:rPr>
        <w:fldChar w:fldCharType="begin"/>
      </w:r>
      <w:r>
        <w:rPr>
          <w:rFonts w:hint="eastAsia" w:ascii="宋体" w:hAnsi="宋体" w:eastAsia="宋体" w:cs="宋体"/>
          <w:bCs/>
          <w:color w:val="auto"/>
          <w:sz w:val="24"/>
          <w:szCs w:val="32"/>
          <w:highlight w:val="none"/>
        </w:rPr>
        <w:instrText xml:space="preserve"> HYPERLINK \l _Toc428 </w:instrText>
      </w:r>
      <w:r>
        <w:rPr>
          <w:rFonts w:hint="eastAsia" w:ascii="宋体" w:hAnsi="宋体" w:eastAsia="宋体" w:cs="宋体"/>
          <w:bCs/>
          <w:color w:val="auto"/>
          <w:sz w:val="24"/>
          <w:szCs w:val="32"/>
          <w:highlight w:val="none"/>
        </w:rPr>
        <w:fldChar w:fldCharType="separate"/>
      </w:r>
      <w:r>
        <w:rPr>
          <w:rFonts w:hint="eastAsia" w:ascii="宋体" w:hAnsi="宋体" w:eastAsia="宋体" w:cs="宋体"/>
          <w:bCs/>
          <w:color w:val="auto"/>
          <w:sz w:val="24"/>
          <w:szCs w:val="40"/>
          <w:highlight w:val="none"/>
        </w:rPr>
        <w:t>第三部分  供应商须知</w:t>
      </w:r>
      <w:r>
        <w:rPr>
          <w:rFonts w:hint="eastAsia" w:ascii="宋体" w:hAnsi="宋体" w:eastAsia="宋体" w:cs="宋体"/>
          <w:color w:val="auto"/>
          <w:sz w:val="24"/>
          <w:szCs w:val="22"/>
          <w:highlight w:val="none"/>
        </w:rPr>
        <w:tab/>
      </w:r>
      <w:r>
        <w:rPr>
          <w:rFonts w:hint="eastAsia" w:ascii="宋体" w:hAnsi="宋体" w:eastAsia="宋体" w:cs="宋体"/>
          <w:color w:val="auto"/>
          <w:sz w:val="24"/>
          <w:szCs w:val="22"/>
          <w:highlight w:val="none"/>
        </w:rPr>
        <w:fldChar w:fldCharType="begin"/>
      </w:r>
      <w:r>
        <w:rPr>
          <w:rFonts w:hint="eastAsia" w:ascii="宋体" w:hAnsi="宋体" w:eastAsia="宋体" w:cs="宋体"/>
          <w:color w:val="auto"/>
          <w:sz w:val="24"/>
          <w:szCs w:val="22"/>
          <w:highlight w:val="none"/>
        </w:rPr>
        <w:instrText xml:space="preserve"> PAGEREF _Toc428 \h </w:instrText>
      </w:r>
      <w:r>
        <w:rPr>
          <w:rFonts w:hint="eastAsia" w:ascii="宋体" w:hAnsi="宋体" w:eastAsia="宋体" w:cs="宋体"/>
          <w:color w:val="auto"/>
          <w:sz w:val="24"/>
          <w:szCs w:val="22"/>
          <w:highlight w:val="none"/>
        </w:rPr>
        <w:fldChar w:fldCharType="separate"/>
      </w:r>
      <w:r>
        <w:rPr>
          <w:rFonts w:hint="eastAsia" w:ascii="宋体" w:hAnsi="宋体" w:eastAsia="宋体" w:cs="宋体"/>
          <w:color w:val="auto"/>
          <w:sz w:val="24"/>
          <w:szCs w:val="22"/>
          <w:highlight w:val="none"/>
        </w:rPr>
        <w:t>15</w:t>
      </w:r>
      <w:r>
        <w:rPr>
          <w:rFonts w:hint="eastAsia" w:ascii="宋体" w:hAnsi="宋体" w:eastAsia="宋体" w:cs="宋体"/>
          <w:color w:val="auto"/>
          <w:sz w:val="24"/>
          <w:szCs w:val="22"/>
          <w:highlight w:val="none"/>
        </w:rPr>
        <w:fldChar w:fldCharType="end"/>
      </w:r>
      <w:r>
        <w:rPr>
          <w:rFonts w:hint="eastAsia" w:ascii="宋体" w:hAnsi="宋体" w:eastAsia="宋体" w:cs="宋体"/>
          <w:bCs/>
          <w:color w:val="auto"/>
          <w:sz w:val="24"/>
          <w:szCs w:val="32"/>
          <w:highlight w:val="none"/>
        </w:rPr>
        <w:fldChar w:fldCharType="end"/>
      </w:r>
    </w:p>
    <w:p w14:paraId="4750FEFF">
      <w:pPr>
        <w:pStyle w:val="17"/>
        <w:tabs>
          <w:tab w:val="right" w:leader="dot" w:pos="9746"/>
        </w:tabs>
        <w:spacing w:line="360" w:lineRule="auto"/>
        <w:rPr>
          <w:rFonts w:hint="eastAsia" w:ascii="宋体" w:hAnsi="宋体" w:eastAsia="宋体" w:cs="宋体"/>
          <w:color w:val="auto"/>
          <w:sz w:val="24"/>
          <w:szCs w:val="22"/>
          <w:highlight w:val="none"/>
        </w:rPr>
      </w:pPr>
      <w:r>
        <w:rPr>
          <w:rFonts w:hint="eastAsia" w:ascii="宋体" w:hAnsi="宋体" w:eastAsia="宋体" w:cs="宋体"/>
          <w:bCs/>
          <w:color w:val="auto"/>
          <w:sz w:val="24"/>
          <w:szCs w:val="32"/>
          <w:highlight w:val="none"/>
        </w:rPr>
        <w:fldChar w:fldCharType="begin"/>
      </w:r>
      <w:r>
        <w:rPr>
          <w:rFonts w:hint="eastAsia" w:ascii="宋体" w:hAnsi="宋体" w:eastAsia="宋体" w:cs="宋体"/>
          <w:bCs/>
          <w:color w:val="auto"/>
          <w:sz w:val="24"/>
          <w:szCs w:val="32"/>
          <w:highlight w:val="none"/>
        </w:rPr>
        <w:instrText xml:space="preserve"> HYPERLINK \l _Toc19752 </w:instrText>
      </w:r>
      <w:r>
        <w:rPr>
          <w:rFonts w:hint="eastAsia" w:ascii="宋体" w:hAnsi="宋体" w:eastAsia="宋体" w:cs="宋体"/>
          <w:bCs/>
          <w:color w:val="auto"/>
          <w:sz w:val="24"/>
          <w:szCs w:val="32"/>
          <w:highlight w:val="none"/>
        </w:rPr>
        <w:fldChar w:fldCharType="separate"/>
      </w:r>
      <w:r>
        <w:rPr>
          <w:rFonts w:hint="eastAsia" w:ascii="宋体" w:hAnsi="宋体" w:eastAsia="宋体" w:cs="宋体"/>
          <w:bCs/>
          <w:color w:val="auto"/>
          <w:sz w:val="24"/>
          <w:szCs w:val="44"/>
          <w:highlight w:val="none"/>
        </w:rPr>
        <w:t>第四部分</w:t>
      </w:r>
      <w:r>
        <w:rPr>
          <w:rFonts w:hint="eastAsia" w:ascii="宋体" w:hAnsi="宋体" w:eastAsia="宋体" w:cs="宋体"/>
          <w:bCs/>
          <w:color w:val="auto"/>
          <w:sz w:val="24"/>
          <w:szCs w:val="40"/>
          <w:highlight w:val="none"/>
        </w:rPr>
        <w:t xml:space="preserve">  </w:t>
      </w:r>
      <w:r>
        <w:rPr>
          <w:rFonts w:hint="eastAsia" w:ascii="宋体" w:hAnsi="宋体" w:eastAsia="宋体" w:cs="宋体"/>
          <w:bCs/>
          <w:color w:val="auto"/>
          <w:sz w:val="24"/>
          <w:szCs w:val="44"/>
          <w:highlight w:val="none"/>
        </w:rPr>
        <w:t>政府采购合同（参考格式）</w:t>
      </w:r>
      <w:r>
        <w:rPr>
          <w:rFonts w:hint="eastAsia" w:ascii="宋体" w:hAnsi="宋体" w:eastAsia="宋体" w:cs="宋体"/>
          <w:color w:val="auto"/>
          <w:sz w:val="24"/>
          <w:szCs w:val="22"/>
          <w:highlight w:val="none"/>
        </w:rPr>
        <w:tab/>
      </w:r>
      <w:r>
        <w:rPr>
          <w:rFonts w:hint="eastAsia" w:ascii="宋体" w:hAnsi="宋体" w:eastAsia="宋体" w:cs="宋体"/>
          <w:color w:val="auto"/>
          <w:sz w:val="24"/>
          <w:szCs w:val="22"/>
          <w:highlight w:val="none"/>
        </w:rPr>
        <w:fldChar w:fldCharType="begin"/>
      </w:r>
      <w:r>
        <w:rPr>
          <w:rFonts w:hint="eastAsia" w:ascii="宋体" w:hAnsi="宋体" w:eastAsia="宋体" w:cs="宋体"/>
          <w:color w:val="auto"/>
          <w:sz w:val="24"/>
          <w:szCs w:val="22"/>
          <w:highlight w:val="none"/>
        </w:rPr>
        <w:instrText xml:space="preserve"> PAGEREF _Toc19752 \h </w:instrText>
      </w:r>
      <w:r>
        <w:rPr>
          <w:rFonts w:hint="eastAsia" w:ascii="宋体" w:hAnsi="宋体" w:eastAsia="宋体" w:cs="宋体"/>
          <w:color w:val="auto"/>
          <w:sz w:val="24"/>
          <w:szCs w:val="22"/>
          <w:highlight w:val="none"/>
        </w:rPr>
        <w:fldChar w:fldCharType="separate"/>
      </w:r>
      <w:r>
        <w:rPr>
          <w:rFonts w:hint="eastAsia" w:ascii="宋体" w:hAnsi="宋体" w:eastAsia="宋体" w:cs="宋体"/>
          <w:color w:val="auto"/>
          <w:sz w:val="24"/>
          <w:szCs w:val="22"/>
          <w:highlight w:val="none"/>
        </w:rPr>
        <w:t>32</w:t>
      </w:r>
      <w:r>
        <w:rPr>
          <w:rFonts w:hint="eastAsia" w:ascii="宋体" w:hAnsi="宋体" w:eastAsia="宋体" w:cs="宋体"/>
          <w:color w:val="auto"/>
          <w:sz w:val="24"/>
          <w:szCs w:val="22"/>
          <w:highlight w:val="none"/>
        </w:rPr>
        <w:fldChar w:fldCharType="end"/>
      </w:r>
      <w:r>
        <w:rPr>
          <w:rFonts w:hint="eastAsia" w:ascii="宋体" w:hAnsi="宋体" w:eastAsia="宋体" w:cs="宋体"/>
          <w:bCs/>
          <w:color w:val="auto"/>
          <w:sz w:val="24"/>
          <w:szCs w:val="32"/>
          <w:highlight w:val="none"/>
        </w:rPr>
        <w:fldChar w:fldCharType="end"/>
      </w:r>
    </w:p>
    <w:p w14:paraId="4491174A">
      <w:pPr>
        <w:pStyle w:val="17"/>
        <w:tabs>
          <w:tab w:val="right" w:leader="dot" w:pos="9746"/>
        </w:tabs>
        <w:spacing w:line="360" w:lineRule="auto"/>
        <w:rPr>
          <w:rFonts w:hint="eastAsia" w:ascii="宋体" w:hAnsi="宋体" w:eastAsia="宋体" w:cs="宋体"/>
          <w:color w:val="auto"/>
          <w:sz w:val="24"/>
          <w:szCs w:val="22"/>
          <w:highlight w:val="none"/>
        </w:rPr>
      </w:pPr>
      <w:r>
        <w:rPr>
          <w:rFonts w:hint="eastAsia" w:ascii="宋体" w:hAnsi="宋体" w:eastAsia="宋体" w:cs="宋体"/>
          <w:bCs/>
          <w:color w:val="auto"/>
          <w:sz w:val="24"/>
          <w:szCs w:val="32"/>
          <w:highlight w:val="none"/>
        </w:rPr>
        <w:fldChar w:fldCharType="begin"/>
      </w:r>
      <w:r>
        <w:rPr>
          <w:rFonts w:hint="eastAsia" w:ascii="宋体" w:hAnsi="宋体" w:eastAsia="宋体" w:cs="宋体"/>
          <w:bCs/>
          <w:color w:val="auto"/>
          <w:sz w:val="24"/>
          <w:szCs w:val="32"/>
          <w:highlight w:val="none"/>
        </w:rPr>
        <w:instrText xml:space="preserve"> HYPERLINK \l _Toc28905 </w:instrText>
      </w:r>
      <w:r>
        <w:rPr>
          <w:rFonts w:hint="eastAsia" w:ascii="宋体" w:hAnsi="宋体" w:eastAsia="宋体" w:cs="宋体"/>
          <w:bCs/>
          <w:color w:val="auto"/>
          <w:sz w:val="24"/>
          <w:szCs w:val="32"/>
          <w:highlight w:val="none"/>
        </w:rPr>
        <w:fldChar w:fldCharType="separate"/>
      </w:r>
      <w:r>
        <w:rPr>
          <w:rFonts w:hint="eastAsia" w:ascii="宋体" w:hAnsi="宋体" w:eastAsia="宋体" w:cs="宋体"/>
          <w:bCs/>
          <w:color w:val="auto"/>
          <w:sz w:val="24"/>
          <w:szCs w:val="40"/>
          <w:highlight w:val="none"/>
        </w:rPr>
        <w:t xml:space="preserve">第五部分 </w:t>
      </w:r>
      <w:r>
        <w:rPr>
          <w:rFonts w:hint="eastAsia" w:ascii="宋体" w:hAnsi="宋体" w:eastAsia="宋体" w:cs="宋体"/>
          <w:bCs/>
          <w:color w:val="auto"/>
          <w:sz w:val="24"/>
          <w:szCs w:val="40"/>
          <w:highlight w:val="none"/>
          <w:lang w:val="en-US" w:eastAsia="zh-CN"/>
        </w:rPr>
        <w:t xml:space="preserve"> </w:t>
      </w:r>
      <w:r>
        <w:rPr>
          <w:rFonts w:hint="eastAsia" w:ascii="宋体" w:hAnsi="宋体" w:eastAsia="宋体" w:cs="宋体"/>
          <w:bCs/>
          <w:color w:val="auto"/>
          <w:sz w:val="24"/>
          <w:szCs w:val="40"/>
          <w:highlight w:val="none"/>
        </w:rPr>
        <w:t>商务要求</w:t>
      </w:r>
      <w:r>
        <w:rPr>
          <w:rFonts w:hint="eastAsia" w:ascii="宋体" w:hAnsi="宋体" w:eastAsia="宋体" w:cs="宋体"/>
          <w:color w:val="auto"/>
          <w:sz w:val="24"/>
          <w:szCs w:val="22"/>
          <w:highlight w:val="none"/>
        </w:rPr>
        <w:tab/>
      </w:r>
      <w:r>
        <w:rPr>
          <w:rFonts w:hint="eastAsia" w:ascii="宋体" w:hAnsi="宋体" w:eastAsia="宋体" w:cs="宋体"/>
          <w:color w:val="auto"/>
          <w:sz w:val="24"/>
          <w:szCs w:val="22"/>
          <w:highlight w:val="none"/>
        </w:rPr>
        <w:fldChar w:fldCharType="begin"/>
      </w:r>
      <w:r>
        <w:rPr>
          <w:rFonts w:hint="eastAsia" w:ascii="宋体" w:hAnsi="宋体" w:eastAsia="宋体" w:cs="宋体"/>
          <w:color w:val="auto"/>
          <w:sz w:val="24"/>
          <w:szCs w:val="22"/>
          <w:highlight w:val="none"/>
        </w:rPr>
        <w:instrText xml:space="preserve"> PAGEREF _Toc28905 \h </w:instrText>
      </w:r>
      <w:r>
        <w:rPr>
          <w:rFonts w:hint="eastAsia" w:ascii="宋体" w:hAnsi="宋体" w:eastAsia="宋体" w:cs="宋体"/>
          <w:color w:val="auto"/>
          <w:sz w:val="24"/>
          <w:szCs w:val="22"/>
          <w:highlight w:val="none"/>
        </w:rPr>
        <w:fldChar w:fldCharType="separate"/>
      </w:r>
      <w:r>
        <w:rPr>
          <w:rFonts w:hint="eastAsia" w:ascii="宋体" w:hAnsi="宋体" w:eastAsia="宋体" w:cs="宋体"/>
          <w:color w:val="auto"/>
          <w:sz w:val="24"/>
          <w:szCs w:val="22"/>
          <w:highlight w:val="none"/>
        </w:rPr>
        <w:t>36</w:t>
      </w:r>
      <w:r>
        <w:rPr>
          <w:rFonts w:hint="eastAsia" w:ascii="宋体" w:hAnsi="宋体" w:eastAsia="宋体" w:cs="宋体"/>
          <w:color w:val="auto"/>
          <w:sz w:val="24"/>
          <w:szCs w:val="22"/>
          <w:highlight w:val="none"/>
        </w:rPr>
        <w:fldChar w:fldCharType="end"/>
      </w:r>
      <w:r>
        <w:rPr>
          <w:rFonts w:hint="eastAsia" w:ascii="宋体" w:hAnsi="宋体" w:eastAsia="宋体" w:cs="宋体"/>
          <w:bCs/>
          <w:color w:val="auto"/>
          <w:sz w:val="24"/>
          <w:szCs w:val="32"/>
          <w:highlight w:val="none"/>
        </w:rPr>
        <w:fldChar w:fldCharType="end"/>
      </w:r>
    </w:p>
    <w:p w14:paraId="5268D790">
      <w:pPr>
        <w:pStyle w:val="17"/>
        <w:tabs>
          <w:tab w:val="right" w:leader="dot" w:pos="9746"/>
        </w:tabs>
        <w:spacing w:line="360" w:lineRule="auto"/>
        <w:rPr>
          <w:rFonts w:hint="eastAsia" w:ascii="宋体" w:hAnsi="宋体" w:eastAsia="宋体" w:cs="宋体"/>
          <w:color w:val="auto"/>
          <w:sz w:val="24"/>
          <w:szCs w:val="22"/>
          <w:highlight w:val="none"/>
        </w:rPr>
      </w:pPr>
      <w:r>
        <w:rPr>
          <w:rFonts w:hint="eastAsia" w:ascii="宋体" w:hAnsi="宋体" w:eastAsia="宋体" w:cs="宋体"/>
          <w:bCs/>
          <w:color w:val="auto"/>
          <w:sz w:val="24"/>
          <w:szCs w:val="32"/>
          <w:highlight w:val="none"/>
        </w:rPr>
        <w:fldChar w:fldCharType="begin"/>
      </w:r>
      <w:r>
        <w:rPr>
          <w:rFonts w:hint="eastAsia" w:ascii="宋体" w:hAnsi="宋体" w:eastAsia="宋体" w:cs="宋体"/>
          <w:bCs/>
          <w:color w:val="auto"/>
          <w:sz w:val="24"/>
          <w:szCs w:val="32"/>
          <w:highlight w:val="none"/>
        </w:rPr>
        <w:instrText xml:space="preserve"> HYPERLINK \l _Toc1449 </w:instrText>
      </w:r>
      <w:r>
        <w:rPr>
          <w:rFonts w:hint="eastAsia" w:ascii="宋体" w:hAnsi="宋体" w:eastAsia="宋体" w:cs="宋体"/>
          <w:bCs/>
          <w:color w:val="auto"/>
          <w:sz w:val="24"/>
          <w:szCs w:val="32"/>
          <w:highlight w:val="none"/>
        </w:rPr>
        <w:fldChar w:fldCharType="separate"/>
      </w:r>
      <w:r>
        <w:rPr>
          <w:rFonts w:hint="eastAsia" w:ascii="宋体" w:hAnsi="宋体" w:eastAsia="宋体" w:cs="宋体"/>
          <w:bCs/>
          <w:color w:val="auto"/>
          <w:sz w:val="24"/>
          <w:szCs w:val="21"/>
          <w:highlight w:val="none"/>
        </w:rPr>
        <w:t xml:space="preserve">第六部分 </w:t>
      </w:r>
      <w:r>
        <w:rPr>
          <w:rFonts w:hint="eastAsia" w:ascii="宋体" w:hAnsi="宋体" w:eastAsia="宋体" w:cs="宋体"/>
          <w:bCs/>
          <w:color w:val="auto"/>
          <w:sz w:val="24"/>
          <w:szCs w:val="21"/>
          <w:highlight w:val="none"/>
          <w:lang w:val="en-US" w:eastAsia="zh-CN"/>
        </w:rPr>
        <w:t xml:space="preserve"> </w:t>
      </w:r>
      <w:r>
        <w:rPr>
          <w:rFonts w:hint="eastAsia" w:ascii="宋体" w:hAnsi="宋体" w:eastAsia="宋体" w:cs="宋体"/>
          <w:bCs/>
          <w:color w:val="auto"/>
          <w:sz w:val="24"/>
          <w:szCs w:val="21"/>
          <w:highlight w:val="none"/>
        </w:rPr>
        <w:t>采购内容及要求</w:t>
      </w:r>
      <w:r>
        <w:rPr>
          <w:rFonts w:hint="eastAsia" w:ascii="宋体" w:hAnsi="宋体" w:eastAsia="宋体" w:cs="宋体"/>
          <w:color w:val="auto"/>
          <w:sz w:val="24"/>
          <w:szCs w:val="22"/>
          <w:highlight w:val="none"/>
        </w:rPr>
        <w:tab/>
      </w:r>
      <w:r>
        <w:rPr>
          <w:rFonts w:hint="eastAsia" w:ascii="宋体" w:hAnsi="宋体" w:eastAsia="宋体" w:cs="宋体"/>
          <w:color w:val="auto"/>
          <w:sz w:val="24"/>
          <w:szCs w:val="22"/>
          <w:highlight w:val="none"/>
        </w:rPr>
        <w:fldChar w:fldCharType="begin"/>
      </w:r>
      <w:r>
        <w:rPr>
          <w:rFonts w:hint="eastAsia" w:ascii="宋体" w:hAnsi="宋体" w:eastAsia="宋体" w:cs="宋体"/>
          <w:color w:val="auto"/>
          <w:sz w:val="24"/>
          <w:szCs w:val="22"/>
          <w:highlight w:val="none"/>
        </w:rPr>
        <w:instrText xml:space="preserve"> PAGEREF _Toc1449 \h </w:instrText>
      </w:r>
      <w:r>
        <w:rPr>
          <w:rFonts w:hint="eastAsia" w:ascii="宋体" w:hAnsi="宋体" w:eastAsia="宋体" w:cs="宋体"/>
          <w:color w:val="auto"/>
          <w:sz w:val="24"/>
          <w:szCs w:val="22"/>
          <w:highlight w:val="none"/>
        </w:rPr>
        <w:fldChar w:fldCharType="separate"/>
      </w:r>
      <w:r>
        <w:rPr>
          <w:rFonts w:hint="eastAsia" w:ascii="宋体" w:hAnsi="宋体" w:eastAsia="宋体" w:cs="宋体"/>
          <w:color w:val="auto"/>
          <w:sz w:val="24"/>
          <w:szCs w:val="22"/>
          <w:highlight w:val="none"/>
        </w:rPr>
        <w:t>37</w:t>
      </w:r>
      <w:r>
        <w:rPr>
          <w:rFonts w:hint="eastAsia" w:ascii="宋体" w:hAnsi="宋体" w:eastAsia="宋体" w:cs="宋体"/>
          <w:color w:val="auto"/>
          <w:sz w:val="24"/>
          <w:szCs w:val="22"/>
          <w:highlight w:val="none"/>
        </w:rPr>
        <w:fldChar w:fldCharType="end"/>
      </w:r>
      <w:r>
        <w:rPr>
          <w:rFonts w:hint="eastAsia" w:ascii="宋体" w:hAnsi="宋体" w:eastAsia="宋体" w:cs="宋体"/>
          <w:bCs/>
          <w:color w:val="auto"/>
          <w:sz w:val="24"/>
          <w:szCs w:val="32"/>
          <w:highlight w:val="none"/>
        </w:rPr>
        <w:fldChar w:fldCharType="end"/>
      </w:r>
    </w:p>
    <w:p w14:paraId="5B31CEF5">
      <w:pPr>
        <w:pStyle w:val="17"/>
        <w:tabs>
          <w:tab w:val="right" w:leader="dot" w:pos="9746"/>
        </w:tabs>
        <w:spacing w:line="360" w:lineRule="auto"/>
        <w:rPr>
          <w:rFonts w:hint="eastAsia" w:ascii="宋体" w:hAnsi="宋体" w:eastAsia="宋体" w:cs="宋体"/>
          <w:color w:val="auto"/>
          <w:sz w:val="24"/>
          <w:szCs w:val="22"/>
          <w:highlight w:val="none"/>
          <w:lang w:val="en-US" w:eastAsia="zh-CN"/>
        </w:rPr>
      </w:pPr>
      <w:r>
        <w:rPr>
          <w:rFonts w:hint="eastAsia" w:ascii="宋体" w:hAnsi="宋体" w:eastAsia="宋体" w:cs="宋体"/>
          <w:bCs/>
          <w:color w:val="auto"/>
          <w:sz w:val="24"/>
          <w:szCs w:val="32"/>
          <w:highlight w:val="none"/>
        </w:rPr>
        <w:fldChar w:fldCharType="begin"/>
      </w:r>
      <w:r>
        <w:rPr>
          <w:rFonts w:hint="eastAsia" w:ascii="宋体" w:hAnsi="宋体" w:eastAsia="宋体" w:cs="宋体"/>
          <w:bCs/>
          <w:color w:val="auto"/>
          <w:sz w:val="24"/>
          <w:szCs w:val="32"/>
          <w:highlight w:val="none"/>
        </w:rPr>
        <w:instrText xml:space="preserve"> HYPERLINK \l _Toc18965 </w:instrText>
      </w:r>
      <w:r>
        <w:rPr>
          <w:rFonts w:hint="eastAsia" w:ascii="宋体" w:hAnsi="宋体" w:eastAsia="宋体" w:cs="宋体"/>
          <w:bCs/>
          <w:color w:val="auto"/>
          <w:sz w:val="24"/>
          <w:szCs w:val="32"/>
          <w:highlight w:val="none"/>
        </w:rPr>
        <w:fldChar w:fldCharType="separate"/>
      </w:r>
      <w:r>
        <w:rPr>
          <w:rFonts w:hint="eastAsia" w:ascii="宋体" w:hAnsi="宋体" w:eastAsia="宋体" w:cs="宋体"/>
          <w:bCs/>
          <w:color w:val="auto"/>
          <w:sz w:val="24"/>
          <w:szCs w:val="22"/>
          <w:highlight w:val="none"/>
        </w:rPr>
        <w:t xml:space="preserve">第七部分 </w:t>
      </w:r>
      <w:r>
        <w:rPr>
          <w:rFonts w:hint="eastAsia" w:ascii="宋体" w:hAnsi="宋体" w:eastAsia="宋体" w:cs="宋体"/>
          <w:bCs/>
          <w:color w:val="auto"/>
          <w:sz w:val="24"/>
          <w:szCs w:val="22"/>
          <w:highlight w:val="none"/>
          <w:lang w:val="en-US" w:eastAsia="zh-CN"/>
        </w:rPr>
        <w:t xml:space="preserve"> </w:t>
      </w:r>
      <w:r>
        <w:rPr>
          <w:rFonts w:hint="eastAsia" w:ascii="宋体" w:hAnsi="宋体" w:eastAsia="宋体" w:cs="宋体"/>
          <w:bCs/>
          <w:color w:val="auto"/>
          <w:sz w:val="24"/>
          <w:szCs w:val="22"/>
          <w:highlight w:val="none"/>
        </w:rPr>
        <w:t>评审方法</w:t>
      </w:r>
      <w:r>
        <w:rPr>
          <w:rFonts w:hint="eastAsia" w:ascii="宋体" w:hAnsi="宋体" w:eastAsia="宋体" w:cs="宋体"/>
          <w:color w:val="auto"/>
          <w:sz w:val="24"/>
          <w:szCs w:val="22"/>
          <w:highlight w:val="none"/>
        </w:rPr>
        <w:tab/>
      </w:r>
      <w:r>
        <w:rPr>
          <w:rFonts w:hint="eastAsia" w:ascii="宋体" w:hAnsi="宋体" w:cs="宋体"/>
          <w:color w:val="auto"/>
          <w:sz w:val="24"/>
          <w:szCs w:val="22"/>
          <w:highlight w:val="none"/>
          <w:lang w:val="en-US" w:eastAsia="zh-CN"/>
        </w:rPr>
        <w:t>4</w:t>
      </w:r>
      <w:r>
        <w:rPr>
          <w:rFonts w:hint="eastAsia" w:ascii="宋体" w:hAnsi="宋体" w:eastAsia="宋体" w:cs="宋体"/>
          <w:bCs/>
          <w:color w:val="auto"/>
          <w:sz w:val="24"/>
          <w:szCs w:val="32"/>
          <w:highlight w:val="none"/>
        </w:rPr>
        <w:fldChar w:fldCharType="end"/>
      </w:r>
      <w:r>
        <w:rPr>
          <w:rFonts w:hint="eastAsia" w:ascii="宋体" w:hAnsi="宋体" w:cs="宋体"/>
          <w:bCs/>
          <w:color w:val="auto"/>
          <w:sz w:val="24"/>
          <w:szCs w:val="32"/>
          <w:highlight w:val="none"/>
          <w:lang w:val="en-US" w:eastAsia="zh-CN"/>
        </w:rPr>
        <w:t>1</w:t>
      </w:r>
    </w:p>
    <w:p w14:paraId="27F195F7">
      <w:pPr>
        <w:pStyle w:val="17"/>
        <w:tabs>
          <w:tab w:val="right" w:leader="dot" w:pos="9746"/>
        </w:tabs>
        <w:spacing w:line="360" w:lineRule="auto"/>
        <w:rPr>
          <w:rFonts w:hint="eastAsia" w:ascii="宋体" w:hAnsi="宋体" w:eastAsia="宋体" w:cs="宋体"/>
          <w:color w:val="auto"/>
          <w:sz w:val="24"/>
          <w:szCs w:val="22"/>
          <w:highlight w:val="none"/>
        </w:rPr>
      </w:pPr>
      <w:r>
        <w:rPr>
          <w:rFonts w:hint="eastAsia" w:ascii="宋体" w:hAnsi="宋体" w:eastAsia="宋体" w:cs="宋体"/>
          <w:bCs/>
          <w:color w:val="auto"/>
          <w:sz w:val="24"/>
          <w:szCs w:val="32"/>
          <w:highlight w:val="none"/>
        </w:rPr>
        <w:fldChar w:fldCharType="begin"/>
      </w:r>
      <w:r>
        <w:rPr>
          <w:rFonts w:hint="eastAsia" w:ascii="宋体" w:hAnsi="宋体" w:eastAsia="宋体" w:cs="宋体"/>
          <w:bCs/>
          <w:color w:val="auto"/>
          <w:sz w:val="24"/>
          <w:szCs w:val="32"/>
          <w:highlight w:val="none"/>
        </w:rPr>
        <w:instrText xml:space="preserve"> HYPERLINK \l _Toc6694 </w:instrText>
      </w:r>
      <w:r>
        <w:rPr>
          <w:rFonts w:hint="eastAsia" w:ascii="宋体" w:hAnsi="宋体" w:eastAsia="宋体" w:cs="宋体"/>
          <w:bCs/>
          <w:color w:val="auto"/>
          <w:sz w:val="24"/>
          <w:szCs w:val="32"/>
          <w:highlight w:val="none"/>
        </w:rPr>
        <w:fldChar w:fldCharType="separate"/>
      </w:r>
      <w:r>
        <w:rPr>
          <w:rFonts w:hint="eastAsia" w:ascii="宋体" w:hAnsi="宋体" w:eastAsia="宋体" w:cs="宋体"/>
          <w:bCs/>
          <w:color w:val="auto"/>
          <w:sz w:val="24"/>
          <w:szCs w:val="21"/>
          <w:highlight w:val="none"/>
        </w:rPr>
        <w:t>第八部分  竞争性谈判响应文件格式</w:t>
      </w:r>
      <w:r>
        <w:rPr>
          <w:rFonts w:hint="eastAsia" w:ascii="宋体" w:hAnsi="宋体" w:eastAsia="宋体" w:cs="宋体"/>
          <w:color w:val="auto"/>
          <w:sz w:val="24"/>
          <w:szCs w:val="22"/>
          <w:highlight w:val="none"/>
        </w:rPr>
        <w:tab/>
      </w:r>
      <w:r>
        <w:rPr>
          <w:rFonts w:hint="eastAsia" w:ascii="宋体" w:hAnsi="宋体" w:eastAsia="宋体" w:cs="宋体"/>
          <w:color w:val="auto"/>
          <w:sz w:val="24"/>
          <w:szCs w:val="22"/>
          <w:highlight w:val="none"/>
        </w:rPr>
        <w:fldChar w:fldCharType="begin"/>
      </w:r>
      <w:r>
        <w:rPr>
          <w:rFonts w:hint="eastAsia" w:ascii="宋体" w:hAnsi="宋体" w:eastAsia="宋体" w:cs="宋体"/>
          <w:color w:val="auto"/>
          <w:sz w:val="24"/>
          <w:szCs w:val="22"/>
          <w:highlight w:val="none"/>
        </w:rPr>
        <w:instrText xml:space="preserve"> PAGEREF _Toc6694 \h </w:instrText>
      </w:r>
      <w:r>
        <w:rPr>
          <w:rFonts w:hint="eastAsia" w:ascii="宋体" w:hAnsi="宋体" w:eastAsia="宋体" w:cs="宋体"/>
          <w:color w:val="auto"/>
          <w:sz w:val="24"/>
          <w:szCs w:val="22"/>
          <w:highlight w:val="none"/>
        </w:rPr>
        <w:fldChar w:fldCharType="separate"/>
      </w:r>
      <w:r>
        <w:rPr>
          <w:rFonts w:hint="eastAsia" w:ascii="宋体" w:hAnsi="宋体" w:eastAsia="宋体" w:cs="宋体"/>
          <w:color w:val="auto"/>
          <w:sz w:val="24"/>
          <w:szCs w:val="22"/>
          <w:highlight w:val="none"/>
        </w:rPr>
        <w:t>46</w:t>
      </w:r>
      <w:r>
        <w:rPr>
          <w:rFonts w:hint="eastAsia" w:ascii="宋体" w:hAnsi="宋体" w:eastAsia="宋体" w:cs="宋体"/>
          <w:color w:val="auto"/>
          <w:sz w:val="24"/>
          <w:szCs w:val="22"/>
          <w:highlight w:val="none"/>
        </w:rPr>
        <w:fldChar w:fldCharType="end"/>
      </w:r>
      <w:r>
        <w:rPr>
          <w:rFonts w:hint="eastAsia" w:ascii="宋体" w:hAnsi="宋体" w:eastAsia="宋体" w:cs="宋体"/>
          <w:bCs/>
          <w:color w:val="auto"/>
          <w:sz w:val="24"/>
          <w:szCs w:val="32"/>
          <w:highlight w:val="none"/>
        </w:rPr>
        <w:fldChar w:fldCharType="end"/>
      </w:r>
    </w:p>
    <w:p w14:paraId="680FA0F7">
      <w:pPr>
        <w:pStyle w:val="17"/>
        <w:tabs>
          <w:tab w:val="right" w:leader="dot" w:pos="9746"/>
        </w:tabs>
        <w:spacing w:line="360" w:lineRule="auto"/>
        <w:rPr>
          <w:rFonts w:hint="eastAsia" w:ascii="宋体" w:hAnsi="宋体" w:eastAsia="宋体" w:cs="宋体"/>
          <w:color w:val="auto"/>
          <w:highlight w:val="none"/>
        </w:rPr>
      </w:pPr>
      <w:r>
        <w:rPr>
          <w:rFonts w:hint="eastAsia" w:ascii="宋体" w:hAnsi="宋体" w:eastAsia="宋体" w:cs="宋体"/>
          <w:bCs/>
          <w:color w:val="auto"/>
          <w:sz w:val="24"/>
          <w:szCs w:val="32"/>
          <w:highlight w:val="none"/>
        </w:rPr>
        <w:fldChar w:fldCharType="begin"/>
      </w:r>
      <w:r>
        <w:rPr>
          <w:rFonts w:hint="eastAsia" w:ascii="宋体" w:hAnsi="宋体" w:eastAsia="宋体" w:cs="宋体"/>
          <w:bCs/>
          <w:color w:val="auto"/>
          <w:sz w:val="24"/>
          <w:szCs w:val="32"/>
          <w:highlight w:val="none"/>
        </w:rPr>
        <w:instrText xml:space="preserve"> HYPERLINK \l _Toc27804 </w:instrText>
      </w:r>
      <w:r>
        <w:rPr>
          <w:rFonts w:hint="eastAsia" w:ascii="宋体" w:hAnsi="宋体" w:eastAsia="宋体" w:cs="宋体"/>
          <w:bCs/>
          <w:color w:val="auto"/>
          <w:sz w:val="24"/>
          <w:szCs w:val="32"/>
          <w:highlight w:val="none"/>
        </w:rPr>
        <w:fldChar w:fldCharType="separate"/>
      </w:r>
      <w:r>
        <w:rPr>
          <w:rFonts w:hint="eastAsia" w:ascii="宋体" w:hAnsi="宋体" w:eastAsia="宋体" w:cs="宋体"/>
          <w:bCs/>
          <w:color w:val="auto"/>
          <w:sz w:val="24"/>
          <w:szCs w:val="20"/>
          <w:highlight w:val="none"/>
        </w:rPr>
        <w:t>第九部分  附件</w:t>
      </w:r>
      <w:r>
        <w:rPr>
          <w:rFonts w:hint="eastAsia" w:ascii="宋体" w:hAnsi="宋体" w:eastAsia="宋体" w:cs="宋体"/>
          <w:color w:val="auto"/>
          <w:sz w:val="24"/>
          <w:szCs w:val="22"/>
          <w:highlight w:val="none"/>
        </w:rPr>
        <w:tab/>
      </w:r>
      <w:r>
        <w:rPr>
          <w:rFonts w:hint="eastAsia" w:ascii="宋体" w:hAnsi="宋体" w:eastAsia="宋体" w:cs="宋体"/>
          <w:color w:val="auto"/>
          <w:sz w:val="24"/>
          <w:szCs w:val="22"/>
          <w:highlight w:val="none"/>
        </w:rPr>
        <w:fldChar w:fldCharType="begin"/>
      </w:r>
      <w:r>
        <w:rPr>
          <w:rFonts w:hint="eastAsia" w:ascii="宋体" w:hAnsi="宋体" w:eastAsia="宋体" w:cs="宋体"/>
          <w:color w:val="auto"/>
          <w:sz w:val="24"/>
          <w:szCs w:val="22"/>
          <w:highlight w:val="none"/>
        </w:rPr>
        <w:instrText xml:space="preserve"> PAGEREF _Toc27804 \h </w:instrText>
      </w:r>
      <w:r>
        <w:rPr>
          <w:rFonts w:hint="eastAsia" w:ascii="宋体" w:hAnsi="宋体" w:eastAsia="宋体" w:cs="宋体"/>
          <w:color w:val="auto"/>
          <w:sz w:val="24"/>
          <w:szCs w:val="22"/>
          <w:highlight w:val="none"/>
        </w:rPr>
        <w:fldChar w:fldCharType="separate"/>
      </w:r>
      <w:r>
        <w:rPr>
          <w:rFonts w:hint="eastAsia" w:ascii="宋体" w:hAnsi="宋体" w:eastAsia="宋体" w:cs="宋体"/>
          <w:color w:val="auto"/>
          <w:sz w:val="24"/>
          <w:szCs w:val="22"/>
          <w:highlight w:val="none"/>
        </w:rPr>
        <w:t>67</w:t>
      </w:r>
      <w:r>
        <w:rPr>
          <w:rFonts w:hint="eastAsia" w:ascii="宋体" w:hAnsi="宋体" w:eastAsia="宋体" w:cs="宋体"/>
          <w:color w:val="auto"/>
          <w:sz w:val="24"/>
          <w:szCs w:val="22"/>
          <w:highlight w:val="none"/>
        </w:rPr>
        <w:fldChar w:fldCharType="end"/>
      </w:r>
      <w:r>
        <w:rPr>
          <w:rFonts w:hint="eastAsia" w:ascii="宋体" w:hAnsi="宋体" w:eastAsia="宋体" w:cs="宋体"/>
          <w:bCs/>
          <w:color w:val="auto"/>
          <w:sz w:val="24"/>
          <w:szCs w:val="32"/>
          <w:highlight w:val="none"/>
        </w:rPr>
        <w:fldChar w:fldCharType="end"/>
      </w:r>
    </w:p>
    <w:p w14:paraId="04E1D4E3">
      <w:pPr>
        <w:pStyle w:val="17"/>
        <w:tabs>
          <w:tab w:val="right" w:leader="dot" w:pos="9746"/>
        </w:tabs>
        <w:rPr>
          <w:rFonts w:hint="eastAsia" w:ascii="宋体" w:hAnsi="宋体" w:eastAsia="宋体" w:cs="宋体"/>
          <w:color w:val="auto"/>
          <w:highlight w:val="none"/>
        </w:rPr>
      </w:pPr>
    </w:p>
    <w:p w14:paraId="6BBC4471">
      <w:pPr>
        <w:spacing w:line="360" w:lineRule="auto"/>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fldChar w:fldCharType="end"/>
      </w:r>
    </w:p>
    <w:p w14:paraId="753C4E7E">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8"/>
          <w:szCs w:val="28"/>
          <w:highlight w:val="none"/>
        </w:rPr>
        <w:t>提示：供应商应认真检查竞争性谈判文件是否完整，若发现缺页或附件不全时，应及时向采购代理机构提出，以便补齐；在获取后2日内未提出，则视为招标文件完整、无误</w:t>
      </w:r>
      <w:r>
        <w:rPr>
          <w:rFonts w:hint="eastAsia" w:ascii="宋体" w:hAnsi="宋体" w:eastAsia="宋体" w:cs="宋体"/>
          <w:bCs/>
          <w:color w:val="auto"/>
          <w:highlight w:val="none"/>
        </w:rPr>
        <w:t>。</w:t>
      </w:r>
    </w:p>
    <w:p w14:paraId="42279488">
      <w:pPr>
        <w:rPr>
          <w:rFonts w:hint="eastAsia" w:ascii="宋体" w:hAnsi="宋体" w:eastAsia="宋体" w:cs="宋体"/>
          <w:bCs/>
          <w:color w:val="auto"/>
          <w:sz w:val="24"/>
          <w:szCs w:val="24"/>
          <w:highlight w:val="none"/>
        </w:rPr>
      </w:pPr>
    </w:p>
    <w:p w14:paraId="39DB7E5F">
      <w:pPr>
        <w:ind w:firstLine="420"/>
        <w:rPr>
          <w:rFonts w:hint="eastAsia" w:ascii="宋体" w:hAnsi="宋体" w:eastAsia="宋体" w:cs="宋体"/>
          <w:bCs/>
          <w:color w:val="auto"/>
          <w:sz w:val="24"/>
          <w:szCs w:val="24"/>
          <w:highlight w:val="none"/>
        </w:rPr>
        <w:sectPr>
          <w:headerReference r:id="rId6" w:type="default"/>
          <w:footerReference r:id="rId7" w:type="default"/>
          <w:footnotePr>
            <w:pos w:val="beneathText"/>
          </w:footnotePr>
          <w:pgSz w:w="11906" w:h="16838"/>
          <w:pgMar w:top="1440" w:right="1080" w:bottom="1440" w:left="1080" w:header="851" w:footer="992" w:gutter="0"/>
          <w:pgNumType w:start="1"/>
          <w:cols w:space="720" w:num="1"/>
          <w:docGrid w:type="lines" w:linePitch="312" w:charSpace="0"/>
        </w:sectPr>
      </w:pPr>
    </w:p>
    <w:p w14:paraId="6CD9BDDF">
      <w:pPr>
        <w:pStyle w:val="2"/>
        <w:adjustRightInd w:val="0"/>
        <w:snapToGrid w:val="0"/>
        <w:spacing w:before="0" w:after="0" w:line="240" w:lineRule="auto"/>
        <w:jc w:val="center"/>
        <w:rPr>
          <w:rFonts w:hint="eastAsia" w:ascii="宋体" w:hAnsi="宋体" w:eastAsia="宋体" w:cs="宋体"/>
          <w:b w:val="0"/>
          <w:bCs/>
          <w:color w:val="auto"/>
          <w:sz w:val="32"/>
          <w:szCs w:val="32"/>
          <w:highlight w:val="none"/>
        </w:rPr>
      </w:pPr>
      <w:bookmarkStart w:id="10" w:name="_Toc21078"/>
      <w:bookmarkStart w:id="11" w:name="_Toc28283"/>
      <w:bookmarkStart w:id="12" w:name="_Toc4933"/>
      <w:bookmarkStart w:id="13" w:name="_Toc10778"/>
      <w:bookmarkStart w:id="14" w:name="_Toc22608"/>
      <w:bookmarkStart w:id="15" w:name="_Toc14990"/>
      <w:bookmarkStart w:id="16" w:name="_Toc18791"/>
      <w:bookmarkStart w:id="17" w:name="_Toc31266"/>
      <w:bookmarkStart w:id="18" w:name="_Toc22118"/>
      <w:r>
        <w:rPr>
          <w:rFonts w:hint="eastAsia" w:ascii="宋体" w:hAnsi="宋体" w:eastAsia="宋体" w:cs="宋体"/>
          <w:b w:val="0"/>
          <w:bCs/>
          <w:color w:val="auto"/>
          <w:sz w:val="32"/>
          <w:szCs w:val="32"/>
          <w:highlight w:val="none"/>
        </w:rPr>
        <w:t>第一部分</w:t>
      </w:r>
      <w:bookmarkEnd w:id="0"/>
      <w:r>
        <w:rPr>
          <w:rFonts w:hint="eastAsia" w:ascii="宋体" w:hAnsi="宋体" w:eastAsia="宋体" w:cs="宋体"/>
          <w:b w:val="0"/>
          <w:bCs/>
          <w:color w:val="auto"/>
          <w:sz w:val="32"/>
          <w:szCs w:val="32"/>
          <w:highlight w:val="none"/>
        </w:rPr>
        <w:t xml:space="preserve">  竞争性谈判公告</w:t>
      </w:r>
      <w:bookmarkEnd w:id="1"/>
      <w:bookmarkEnd w:id="2"/>
      <w:bookmarkEnd w:id="3"/>
      <w:bookmarkEnd w:id="4"/>
      <w:bookmarkEnd w:id="5"/>
      <w:bookmarkEnd w:id="6"/>
      <w:bookmarkEnd w:id="10"/>
      <w:bookmarkEnd w:id="11"/>
      <w:bookmarkEnd w:id="12"/>
      <w:bookmarkEnd w:id="13"/>
      <w:bookmarkEnd w:id="14"/>
      <w:bookmarkEnd w:id="15"/>
      <w:bookmarkEnd w:id="16"/>
      <w:bookmarkEnd w:id="17"/>
      <w:bookmarkEnd w:id="18"/>
    </w:p>
    <w:p w14:paraId="6E59B556">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val="0"/>
        <w:snapToGrid w:val="0"/>
        <w:spacing w:before="0" w:beforeAutospacing="0" w:after="0" w:afterAutospacing="0" w:line="360" w:lineRule="auto"/>
        <w:ind w:left="0" w:right="0" w:firstLine="482" w:firstLineChars="200"/>
        <w:jc w:val="both"/>
        <w:textAlignment w:val="auto"/>
        <w:rPr>
          <w:rFonts w:hint="eastAsia" w:ascii="宋体" w:hAnsi="宋体" w:eastAsia="宋体" w:cs="宋体"/>
          <w:b w:val="0"/>
          <w:bCs w:val="0"/>
          <w:sz w:val="24"/>
          <w:szCs w:val="24"/>
        </w:rPr>
      </w:pPr>
      <w:bookmarkStart w:id="19" w:name="_Toc15149"/>
      <w:bookmarkStart w:id="20" w:name="_Toc11309"/>
      <w:bookmarkStart w:id="21" w:name="_Toc21055"/>
      <w:bookmarkStart w:id="22" w:name="_Toc22488"/>
      <w:bookmarkStart w:id="23" w:name="_Toc6594"/>
      <w:bookmarkStart w:id="24" w:name="_Toc17537"/>
      <w:bookmarkStart w:id="25" w:name="_Toc12632"/>
      <w:bookmarkStart w:id="26" w:name="OLE_LINK15"/>
      <w:bookmarkStart w:id="27" w:name="OLE_LINK5"/>
      <w:bookmarkStart w:id="28" w:name="OLE_LINK6"/>
      <w:bookmarkStart w:id="29" w:name="_Toc246928892"/>
      <w:r>
        <w:rPr>
          <w:rStyle w:val="27"/>
          <w:rFonts w:hint="eastAsia" w:ascii="宋体" w:hAnsi="宋体" w:eastAsia="宋体" w:cs="宋体"/>
          <w:b/>
          <w:bCs/>
          <w:i w:val="0"/>
          <w:iCs w:val="0"/>
          <w:caps w:val="0"/>
          <w:color w:val="333333"/>
          <w:spacing w:val="0"/>
          <w:sz w:val="24"/>
          <w:szCs w:val="24"/>
          <w:shd w:val="clear" w:fill="FFFFFF"/>
        </w:rPr>
        <w:t>项目概况</w:t>
      </w:r>
    </w:p>
    <w:p w14:paraId="58A76153">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中共绥德县委机关灶务承包服务(二次)采购项目的潜在供应商应在</w:t>
      </w:r>
      <w:r>
        <w:rPr>
          <w:rFonts w:hint="eastAsia" w:ascii="宋体" w:hAnsi="宋体" w:eastAsia="宋体" w:cs="宋体"/>
          <w:i w:val="0"/>
          <w:iCs w:val="0"/>
          <w:caps w:val="0"/>
          <w:color w:val="0A82E5"/>
          <w:spacing w:val="0"/>
          <w:sz w:val="24"/>
          <w:szCs w:val="24"/>
          <w:shd w:val="clear" w:fill="FFFFFF"/>
        </w:rPr>
        <w:t>登录全国公共资源交易中心平台（陕西省）使用 CA 锁报名后自行下载</w:t>
      </w:r>
      <w:r>
        <w:rPr>
          <w:rFonts w:hint="eastAsia" w:ascii="宋体" w:hAnsi="宋体" w:eastAsia="宋体" w:cs="宋体"/>
          <w:i w:val="0"/>
          <w:iCs w:val="0"/>
          <w:caps w:val="0"/>
          <w:color w:val="333333"/>
          <w:spacing w:val="0"/>
          <w:sz w:val="24"/>
          <w:szCs w:val="24"/>
          <w:shd w:val="clear" w:fill="FFFFFF"/>
        </w:rPr>
        <w:t>获取采购文件，并于</w:t>
      </w:r>
      <w:r>
        <w:rPr>
          <w:rFonts w:hint="eastAsia" w:ascii="宋体" w:hAnsi="宋体" w:eastAsia="宋体" w:cs="宋体"/>
          <w:i w:val="0"/>
          <w:iCs w:val="0"/>
          <w:caps w:val="0"/>
          <w:color w:val="0A82E5"/>
          <w:spacing w:val="0"/>
          <w:sz w:val="24"/>
          <w:szCs w:val="24"/>
          <w:shd w:val="clear" w:fill="FFFFFF"/>
        </w:rPr>
        <w:t> 2026年10月23日 13时30分 </w:t>
      </w:r>
      <w:r>
        <w:rPr>
          <w:rFonts w:hint="eastAsia" w:ascii="宋体" w:hAnsi="宋体" w:eastAsia="宋体" w:cs="宋体"/>
          <w:i w:val="0"/>
          <w:iCs w:val="0"/>
          <w:caps w:val="0"/>
          <w:color w:val="333333"/>
          <w:spacing w:val="0"/>
          <w:sz w:val="24"/>
          <w:szCs w:val="24"/>
          <w:shd w:val="clear" w:fill="FFFFFF"/>
        </w:rPr>
        <w:t>（北京时间）前提交响应文件。</w:t>
      </w:r>
    </w:p>
    <w:p w14:paraId="1222E7D7">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val="0"/>
        <w:snapToGrid w:val="0"/>
        <w:spacing w:before="0" w:beforeLines="0" w:beforeAutospacing="0" w:after="0" w:afterLines="0" w:afterAutospacing="0" w:line="360" w:lineRule="auto"/>
        <w:ind w:left="0" w:right="0" w:firstLine="482" w:firstLineChars="200"/>
        <w:jc w:val="both"/>
        <w:textAlignment w:val="auto"/>
        <w:rPr>
          <w:rFonts w:hint="eastAsia" w:ascii="宋体" w:hAnsi="宋体" w:eastAsia="宋体" w:cs="宋体"/>
          <w:b w:val="0"/>
          <w:bCs w:val="0"/>
          <w:i w:val="0"/>
          <w:iCs w:val="0"/>
          <w:caps w:val="0"/>
          <w:color w:val="333333"/>
          <w:spacing w:val="0"/>
          <w:sz w:val="24"/>
          <w:szCs w:val="24"/>
        </w:rPr>
      </w:pPr>
      <w:r>
        <w:rPr>
          <w:rStyle w:val="27"/>
          <w:rFonts w:hint="eastAsia" w:ascii="宋体" w:hAnsi="宋体" w:eastAsia="宋体" w:cs="宋体"/>
          <w:b/>
          <w:bCs/>
          <w:i w:val="0"/>
          <w:iCs w:val="0"/>
          <w:caps w:val="0"/>
          <w:color w:val="333333"/>
          <w:spacing w:val="0"/>
          <w:sz w:val="24"/>
          <w:szCs w:val="24"/>
          <w:shd w:val="clear" w:fill="FFFFFF"/>
        </w:rPr>
        <w:t>一、项目基本情况</w:t>
      </w:r>
    </w:p>
    <w:p w14:paraId="696FB0F6">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auto"/>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项目编号：SXCG-PZ-2026006.1B1</w:t>
      </w:r>
    </w:p>
    <w:p w14:paraId="5B2923BD">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auto"/>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项目名称：中共绥德县委机关灶务承包服务(二次)</w:t>
      </w:r>
    </w:p>
    <w:p w14:paraId="4F1C6E33">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auto"/>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采购方式：竞争性谈判</w:t>
      </w:r>
    </w:p>
    <w:p w14:paraId="2238CAAE">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auto"/>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预算金额：680,400.00元</w:t>
      </w:r>
    </w:p>
    <w:p w14:paraId="5BE4D0C2">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auto"/>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采购需求：</w:t>
      </w:r>
    </w:p>
    <w:p w14:paraId="0B50B8EE">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合同包1(中共绥德县委机关灶务承包服务):</w:t>
      </w:r>
    </w:p>
    <w:p w14:paraId="34C45A4C">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合同包预算金额：680,400.00元</w:t>
      </w:r>
    </w:p>
    <w:p w14:paraId="039C3111">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合同包最高限价：680,400.00元</w:t>
      </w:r>
    </w:p>
    <w:tbl>
      <w:tblPr>
        <w:tblStyle w:val="24"/>
        <w:tblW w:w="10118"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689"/>
        <w:gridCol w:w="2363"/>
        <w:gridCol w:w="2512"/>
        <w:gridCol w:w="1439"/>
        <w:gridCol w:w="1675"/>
        <w:gridCol w:w="1440"/>
      </w:tblGrid>
      <w:tr w14:paraId="20E252FB">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1144" w:hRule="atLeast"/>
          <w:tblHeader/>
        </w:trPr>
        <w:tc>
          <w:tcPr>
            <w:tcW w:w="69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4FE5636">
            <w:pPr>
              <w:keepNext w:val="0"/>
              <w:keepLines w:val="0"/>
              <w:pageBreakBefore w:val="0"/>
              <w:widowControl/>
              <w:suppressLineNumbers w:val="0"/>
              <w:kinsoku/>
              <w:wordWrap w:val="0"/>
              <w:overflowPunct/>
              <w:topLinePunct w:val="0"/>
              <w:autoSpaceDE/>
              <w:autoSpaceDN/>
              <w:bidi w:val="0"/>
              <w:adjustRightInd w:val="0"/>
              <w:snapToGrid w:val="0"/>
              <w:spacing w:beforeAutospacing="0" w:afterAutospacing="0" w:line="360" w:lineRule="auto"/>
              <w:ind w:left="0" w:right="0" w:firstLine="0" w:firstLineChars="0"/>
              <w:jc w:val="center"/>
              <w:textAlignment w:val="auto"/>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品目号</w:t>
            </w:r>
          </w:p>
        </w:tc>
        <w:tc>
          <w:tcPr>
            <w:tcW w:w="2373"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0CBE496">
            <w:pPr>
              <w:keepNext w:val="0"/>
              <w:keepLines w:val="0"/>
              <w:pageBreakBefore w:val="0"/>
              <w:widowControl/>
              <w:suppressLineNumbers w:val="0"/>
              <w:kinsoku/>
              <w:wordWrap w:val="0"/>
              <w:overflowPunct/>
              <w:topLinePunct w:val="0"/>
              <w:autoSpaceDE/>
              <w:autoSpaceDN/>
              <w:bidi w:val="0"/>
              <w:adjustRightInd w:val="0"/>
              <w:snapToGrid w:val="0"/>
              <w:spacing w:beforeAutospacing="0" w:afterAutospacing="0" w:line="360" w:lineRule="auto"/>
              <w:ind w:left="0" w:right="0" w:firstLine="0" w:firstLineChars="0"/>
              <w:jc w:val="center"/>
              <w:textAlignment w:val="auto"/>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品目名称</w:t>
            </w:r>
          </w:p>
        </w:tc>
        <w:tc>
          <w:tcPr>
            <w:tcW w:w="2523"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72C1CD3">
            <w:pPr>
              <w:keepNext w:val="0"/>
              <w:keepLines w:val="0"/>
              <w:pageBreakBefore w:val="0"/>
              <w:widowControl/>
              <w:suppressLineNumbers w:val="0"/>
              <w:kinsoku/>
              <w:wordWrap w:val="0"/>
              <w:overflowPunct/>
              <w:topLinePunct w:val="0"/>
              <w:autoSpaceDE/>
              <w:autoSpaceDN/>
              <w:bidi w:val="0"/>
              <w:adjustRightInd w:val="0"/>
              <w:snapToGrid w:val="0"/>
              <w:spacing w:beforeAutospacing="0" w:afterAutospacing="0" w:line="360" w:lineRule="auto"/>
              <w:ind w:left="0" w:right="0" w:firstLine="0" w:firstLineChars="0"/>
              <w:jc w:val="center"/>
              <w:textAlignment w:val="auto"/>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采购标的</w:t>
            </w:r>
          </w:p>
        </w:tc>
        <w:tc>
          <w:tcPr>
            <w:tcW w:w="1443"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034FD51">
            <w:pPr>
              <w:keepNext w:val="0"/>
              <w:keepLines w:val="0"/>
              <w:pageBreakBefore w:val="0"/>
              <w:widowControl/>
              <w:suppressLineNumbers w:val="0"/>
              <w:kinsoku/>
              <w:wordWrap w:val="0"/>
              <w:overflowPunct/>
              <w:topLinePunct w:val="0"/>
              <w:autoSpaceDE/>
              <w:autoSpaceDN/>
              <w:bidi w:val="0"/>
              <w:adjustRightInd w:val="0"/>
              <w:snapToGrid w:val="0"/>
              <w:spacing w:beforeAutospacing="0" w:afterAutospacing="0" w:line="360" w:lineRule="auto"/>
              <w:ind w:left="0" w:right="0" w:firstLine="0" w:firstLineChars="0"/>
              <w:jc w:val="center"/>
              <w:textAlignment w:val="auto"/>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数量（单位）</w:t>
            </w:r>
          </w:p>
        </w:tc>
        <w:tc>
          <w:tcPr>
            <w:tcW w:w="1648"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5B8F552">
            <w:pPr>
              <w:keepNext w:val="0"/>
              <w:keepLines w:val="0"/>
              <w:pageBreakBefore w:val="0"/>
              <w:widowControl/>
              <w:suppressLineNumbers w:val="0"/>
              <w:kinsoku/>
              <w:wordWrap w:val="0"/>
              <w:overflowPunct/>
              <w:topLinePunct w:val="0"/>
              <w:autoSpaceDE/>
              <w:autoSpaceDN/>
              <w:bidi w:val="0"/>
              <w:adjustRightInd w:val="0"/>
              <w:snapToGrid w:val="0"/>
              <w:spacing w:beforeAutospacing="0" w:afterAutospacing="0" w:line="360" w:lineRule="auto"/>
              <w:ind w:left="0" w:right="0" w:firstLine="0" w:firstLineChars="0"/>
              <w:jc w:val="center"/>
              <w:textAlignment w:val="auto"/>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技术规格、参数及要求</w:t>
            </w:r>
          </w:p>
        </w:tc>
        <w:tc>
          <w:tcPr>
            <w:tcW w:w="144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F88020E">
            <w:pPr>
              <w:keepNext w:val="0"/>
              <w:keepLines w:val="0"/>
              <w:pageBreakBefore w:val="0"/>
              <w:widowControl/>
              <w:suppressLineNumbers w:val="0"/>
              <w:kinsoku/>
              <w:wordWrap w:val="0"/>
              <w:overflowPunct/>
              <w:topLinePunct w:val="0"/>
              <w:autoSpaceDE/>
              <w:autoSpaceDN/>
              <w:bidi w:val="0"/>
              <w:adjustRightInd w:val="0"/>
              <w:snapToGrid w:val="0"/>
              <w:spacing w:beforeAutospacing="0" w:afterAutospacing="0" w:line="360" w:lineRule="auto"/>
              <w:ind w:left="0" w:right="0" w:firstLine="0" w:firstLineChars="0"/>
              <w:jc w:val="center"/>
              <w:textAlignment w:val="auto"/>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品目预算(元)</w:t>
            </w:r>
          </w:p>
        </w:tc>
      </w:tr>
      <w:tr w14:paraId="22475BAC">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688" w:hRule="atLeast"/>
        </w:trPr>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4626340">
            <w:pPr>
              <w:keepNext w:val="0"/>
              <w:keepLines w:val="0"/>
              <w:pageBreakBefore w:val="0"/>
              <w:widowControl/>
              <w:suppressLineNumbers w:val="0"/>
              <w:kinsoku/>
              <w:wordWrap w:val="0"/>
              <w:overflowPunct/>
              <w:topLinePunct w:val="0"/>
              <w:autoSpaceDE/>
              <w:autoSpaceDN/>
              <w:bidi w:val="0"/>
              <w:adjustRightInd w:val="0"/>
              <w:snapToGrid w:val="0"/>
              <w:spacing w:beforeAutospacing="0" w:afterAutospacing="0" w:line="360" w:lineRule="auto"/>
              <w:ind w:left="0" w:right="0" w:firstLine="0" w:firstLineChars="0"/>
              <w:jc w:val="center"/>
              <w:textAlignment w:val="auto"/>
              <w:rPr>
                <w:rFonts w:hint="eastAsia" w:ascii="宋体" w:hAnsi="宋体" w:eastAsia="宋体" w:cs="宋体"/>
                <w:sz w:val="24"/>
                <w:szCs w:val="24"/>
              </w:rPr>
            </w:pPr>
            <w:r>
              <w:rPr>
                <w:rFonts w:hint="eastAsia" w:ascii="宋体" w:hAnsi="宋体" w:eastAsia="宋体" w:cs="宋体"/>
                <w:kern w:val="0"/>
                <w:sz w:val="24"/>
                <w:szCs w:val="24"/>
                <w:lang w:val="en-US" w:eastAsia="zh-CN" w:bidi="ar"/>
              </w:rPr>
              <w:t>1-1</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8CED6E5">
            <w:pPr>
              <w:keepNext w:val="0"/>
              <w:keepLines w:val="0"/>
              <w:pageBreakBefore w:val="0"/>
              <w:widowControl/>
              <w:suppressLineNumbers w:val="0"/>
              <w:kinsoku/>
              <w:wordWrap w:val="0"/>
              <w:overflowPunct/>
              <w:topLinePunct w:val="0"/>
              <w:autoSpaceDE/>
              <w:autoSpaceDN/>
              <w:bidi w:val="0"/>
              <w:adjustRightInd w:val="0"/>
              <w:snapToGrid w:val="0"/>
              <w:spacing w:beforeAutospacing="0" w:afterAutospacing="0" w:line="360" w:lineRule="auto"/>
              <w:ind w:left="0" w:right="0" w:firstLine="0" w:firstLineChars="0"/>
              <w:jc w:val="center"/>
              <w:textAlignment w:val="auto"/>
              <w:rPr>
                <w:rFonts w:hint="eastAsia" w:ascii="宋体" w:hAnsi="宋体" w:eastAsia="宋体" w:cs="宋体"/>
                <w:sz w:val="24"/>
                <w:szCs w:val="24"/>
              </w:rPr>
            </w:pPr>
            <w:r>
              <w:rPr>
                <w:rFonts w:hint="eastAsia" w:ascii="宋体" w:hAnsi="宋体" w:eastAsia="宋体" w:cs="宋体"/>
                <w:kern w:val="0"/>
                <w:sz w:val="24"/>
                <w:szCs w:val="24"/>
                <w:lang w:val="en-US" w:eastAsia="zh-CN" w:bidi="ar"/>
              </w:rPr>
              <w:t>餐饮服务</w:t>
            </w:r>
          </w:p>
        </w:tc>
        <w:tc>
          <w:tcPr>
            <w:tcW w:w="2523"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43F3980">
            <w:pPr>
              <w:keepNext w:val="0"/>
              <w:keepLines w:val="0"/>
              <w:pageBreakBefore w:val="0"/>
              <w:widowControl/>
              <w:suppressLineNumbers w:val="0"/>
              <w:kinsoku/>
              <w:wordWrap w:val="0"/>
              <w:overflowPunct/>
              <w:topLinePunct w:val="0"/>
              <w:autoSpaceDE/>
              <w:autoSpaceDN/>
              <w:bidi w:val="0"/>
              <w:adjustRightInd w:val="0"/>
              <w:snapToGrid w:val="0"/>
              <w:spacing w:beforeAutospacing="0" w:afterAutospacing="0" w:line="360" w:lineRule="auto"/>
              <w:ind w:left="0" w:right="0" w:firstLine="0" w:firstLineChars="0"/>
              <w:jc w:val="center"/>
              <w:textAlignment w:val="auto"/>
              <w:rPr>
                <w:rFonts w:hint="eastAsia" w:ascii="宋体" w:hAnsi="宋体" w:eastAsia="宋体" w:cs="宋体"/>
                <w:sz w:val="24"/>
                <w:szCs w:val="24"/>
              </w:rPr>
            </w:pPr>
            <w:r>
              <w:rPr>
                <w:rFonts w:hint="eastAsia" w:ascii="宋体" w:hAnsi="宋体" w:eastAsia="宋体" w:cs="宋体"/>
                <w:kern w:val="0"/>
                <w:sz w:val="24"/>
                <w:szCs w:val="24"/>
                <w:lang w:val="en-US" w:eastAsia="zh-CN" w:bidi="ar"/>
              </w:rPr>
              <w:t>中共绥德县委机关灶务承包服务</w:t>
            </w:r>
          </w:p>
        </w:tc>
        <w:tc>
          <w:tcPr>
            <w:tcW w:w="1443"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13253A0">
            <w:pPr>
              <w:keepNext w:val="0"/>
              <w:keepLines w:val="0"/>
              <w:pageBreakBefore w:val="0"/>
              <w:widowControl/>
              <w:suppressLineNumbers w:val="0"/>
              <w:kinsoku/>
              <w:wordWrap w:val="0"/>
              <w:overflowPunct/>
              <w:topLinePunct w:val="0"/>
              <w:autoSpaceDE/>
              <w:autoSpaceDN/>
              <w:bidi w:val="0"/>
              <w:adjustRightInd w:val="0"/>
              <w:snapToGrid w:val="0"/>
              <w:spacing w:beforeAutospacing="0" w:afterAutospacing="0" w:line="360" w:lineRule="auto"/>
              <w:ind w:left="0" w:right="0" w:firstLine="0" w:firstLineChars="0"/>
              <w:jc w:val="center"/>
              <w:textAlignment w:val="auto"/>
              <w:rPr>
                <w:rFonts w:hint="eastAsia" w:ascii="宋体" w:hAnsi="宋体" w:eastAsia="宋体" w:cs="宋体"/>
                <w:sz w:val="24"/>
                <w:szCs w:val="24"/>
              </w:rPr>
            </w:pPr>
            <w:r>
              <w:rPr>
                <w:rFonts w:hint="eastAsia" w:ascii="宋体" w:hAnsi="宋体" w:eastAsia="宋体" w:cs="宋体"/>
                <w:kern w:val="0"/>
                <w:sz w:val="24"/>
                <w:szCs w:val="24"/>
                <w:lang w:val="en-US" w:eastAsia="zh-CN" w:bidi="ar"/>
              </w:rPr>
              <w:t>1(项)</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31FC00C">
            <w:pPr>
              <w:keepNext w:val="0"/>
              <w:keepLines w:val="0"/>
              <w:pageBreakBefore w:val="0"/>
              <w:widowControl/>
              <w:suppressLineNumbers w:val="0"/>
              <w:kinsoku/>
              <w:wordWrap w:val="0"/>
              <w:overflowPunct/>
              <w:topLinePunct w:val="0"/>
              <w:autoSpaceDE/>
              <w:autoSpaceDN/>
              <w:bidi w:val="0"/>
              <w:adjustRightInd w:val="0"/>
              <w:snapToGrid w:val="0"/>
              <w:spacing w:beforeAutospacing="0" w:afterAutospacing="0" w:line="360" w:lineRule="auto"/>
              <w:ind w:left="0" w:right="0" w:firstLine="0" w:firstLineChars="0"/>
              <w:jc w:val="center"/>
              <w:textAlignment w:val="auto"/>
              <w:rPr>
                <w:rFonts w:hint="eastAsia" w:ascii="宋体" w:hAnsi="宋体" w:eastAsia="宋体" w:cs="宋体"/>
                <w:sz w:val="24"/>
                <w:szCs w:val="24"/>
              </w:rPr>
            </w:pPr>
            <w:r>
              <w:rPr>
                <w:rFonts w:hint="eastAsia" w:ascii="宋体" w:hAnsi="宋体" w:eastAsia="宋体" w:cs="宋体"/>
                <w:kern w:val="0"/>
                <w:sz w:val="24"/>
                <w:szCs w:val="24"/>
                <w:lang w:val="en-US" w:eastAsia="zh-CN" w:bidi="ar"/>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327C814">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360" w:lineRule="auto"/>
              <w:ind w:left="0" w:right="0" w:firstLine="0" w:firstLineChars="0"/>
              <w:jc w:val="center"/>
              <w:textAlignment w:val="auto"/>
              <w:rPr>
                <w:rFonts w:hint="eastAsia" w:ascii="宋体" w:hAnsi="宋体" w:eastAsia="宋体" w:cs="宋体"/>
                <w:sz w:val="24"/>
                <w:szCs w:val="24"/>
              </w:rPr>
            </w:pPr>
            <w:r>
              <w:rPr>
                <w:rFonts w:hint="eastAsia" w:ascii="宋体" w:hAnsi="宋体" w:eastAsia="宋体" w:cs="宋体"/>
                <w:kern w:val="0"/>
                <w:sz w:val="24"/>
                <w:szCs w:val="24"/>
                <w:lang w:val="en-US" w:eastAsia="zh-CN" w:bidi="ar"/>
              </w:rPr>
              <w:t>680,400.00</w:t>
            </w:r>
          </w:p>
        </w:tc>
      </w:tr>
    </w:tbl>
    <w:p w14:paraId="2BE89289">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本合同包不接受联合体投标</w:t>
      </w:r>
    </w:p>
    <w:p w14:paraId="4F12CD03">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合同履行期限：同服务期</w:t>
      </w:r>
    </w:p>
    <w:p w14:paraId="7A5E792B">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val="0"/>
        <w:snapToGrid w:val="0"/>
        <w:spacing w:before="0" w:beforeLines="0" w:beforeAutospacing="0" w:after="0" w:afterLines="0" w:afterAutospacing="0" w:line="360" w:lineRule="auto"/>
        <w:ind w:left="0" w:right="0" w:firstLine="482" w:firstLineChars="200"/>
        <w:jc w:val="both"/>
        <w:textAlignment w:val="auto"/>
        <w:rPr>
          <w:rFonts w:hint="eastAsia" w:ascii="宋体" w:hAnsi="宋体" w:eastAsia="宋体" w:cs="宋体"/>
          <w:b w:val="0"/>
          <w:bCs w:val="0"/>
          <w:i w:val="0"/>
          <w:iCs w:val="0"/>
          <w:caps w:val="0"/>
          <w:color w:val="333333"/>
          <w:spacing w:val="0"/>
          <w:sz w:val="24"/>
          <w:szCs w:val="24"/>
        </w:rPr>
      </w:pPr>
      <w:r>
        <w:rPr>
          <w:rStyle w:val="27"/>
          <w:rFonts w:hint="eastAsia" w:ascii="宋体" w:hAnsi="宋体" w:eastAsia="宋体" w:cs="宋体"/>
          <w:b/>
          <w:bCs/>
          <w:i w:val="0"/>
          <w:iCs w:val="0"/>
          <w:caps w:val="0"/>
          <w:color w:val="333333"/>
          <w:spacing w:val="0"/>
          <w:sz w:val="24"/>
          <w:szCs w:val="24"/>
          <w:shd w:val="clear" w:fill="FFFFFF"/>
        </w:rPr>
        <w:t>二、申请人的资格要求：</w:t>
      </w:r>
    </w:p>
    <w:p w14:paraId="7D486074">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1.满足《中华人民共和国政府采购法》第二十二条规定;</w:t>
      </w:r>
    </w:p>
    <w:p w14:paraId="0DA8D491">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2.落实政府采购政策需满足的资格要求：</w:t>
      </w:r>
    </w:p>
    <w:p w14:paraId="3791EF34">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合同包1(中共绥德县委机关灶务承包服务)落实政府采购政策需满足的资格要求如下:</w:t>
      </w:r>
    </w:p>
    <w:p w14:paraId="1CDCEFCD">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（1）《政府采购促进中小企业发展管理办法》（财库〔2020〕46号）；</w:t>
      </w:r>
      <w:r>
        <w:rPr>
          <w:rFonts w:hint="eastAsia" w:ascii="宋体" w:hAnsi="宋体" w:eastAsia="宋体" w:cs="宋体"/>
          <w:i w:val="0"/>
          <w:iCs w:val="0"/>
          <w:caps w:val="0"/>
          <w:color w:val="333333"/>
          <w:spacing w:val="0"/>
          <w:sz w:val="24"/>
          <w:szCs w:val="24"/>
          <w:shd w:val="clear" w:fill="FFFFFF"/>
        </w:rPr>
        <w:br w:type="textWrapping"/>
      </w:r>
      <w:r>
        <w:rPr>
          <w:rFonts w:hint="eastAsia" w:ascii="宋体" w:hAnsi="宋体" w:eastAsia="宋体" w:cs="宋体"/>
          <w:i w:val="0"/>
          <w:iCs w:val="0"/>
          <w:caps w:val="0"/>
          <w:color w:val="333333"/>
          <w:spacing w:val="0"/>
          <w:sz w:val="24"/>
          <w:szCs w:val="24"/>
          <w:shd w:val="clear" w:fill="FFFFFF"/>
        </w:rPr>
        <w:t>（2）《财政部、司法部关于政府采购支持监狱企业发展有关问题的通知》（财库〔2014〕68号）；</w:t>
      </w:r>
      <w:r>
        <w:rPr>
          <w:rFonts w:hint="eastAsia" w:ascii="宋体" w:hAnsi="宋体" w:eastAsia="宋体" w:cs="宋体"/>
          <w:i w:val="0"/>
          <w:iCs w:val="0"/>
          <w:caps w:val="0"/>
          <w:color w:val="333333"/>
          <w:spacing w:val="0"/>
          <w:sz w:val="24"/>
          <w:szCs w:val="24"/>
          <w:shd w:val="clear" w:fill="FFFFFF"/>
        </w:rPr>
        <w:br w:type="textWrapping"/>
      </w:r>
      <w:r>
        <w:rPr>
          <w:rFonts w:hint="eastAsia" w:ascii="宋体" w:hAnsi="宋体" w:eastAsia="宋体" w:cs="宋体"/>
          <w:i w:val="0"/>
          <w:iCs w:val="0"/>
          <w:caps w:val="0"/>
          <w:color w:val="333333"/>
          <w:spacing w:val="0"/>
          <w:sz w:val="24"/>
          <w:szCs w:val="24"/>
          <w:shd w:val="clear" w:fill="FFFFFF"/>
        </w:rPr>
        <w:t>（3）《财政部、民政部、中国残疾人联合会关于促进残疾人就业政府采购政策的通知》（财库[2017]141号）；</w:t>
      </w:r>
      <w:r>
        <w:rPr>
          <w:rFonts w:hint="eastAsia" w:ascii="宋体" w:hAnsi="宋体" w:eastAsia="宋体" w:cs="宋体"/>
          <w:i w:val="0"/>
          <w:iCs w:val="0"/>
          <w:caps w:val="0"/>
          <w:color w:val="333333"/>
          <w:spacing w:val="0"/>
          <w:sz w:val="24"/>
          <w:szCs w:val="24"/>
          <w:shd w:val="clear" w:fill="FFFFFF"/>
        </w:rPr>
        <w:br w:type="textWrapping"/>
      </w:r>
      <w:r>
        <w:rPr>
          <w:rFonts w:hint="eastAsia" w:ascii="宋体" w:hAnsi="宋体" w:eastAsia="宋体" w:cs="宋体"/>
          <w:i w:val="0"/>
          <w:iCs w:val="0"/>
          <w:caps w:val="0"/>
          <w:color w:val="333333"/>
          <w:spacing w:val="0"/>
          <w:sz w:val="24"/>
          <w:szCs w:val="24"/>
          <w:shd w:val="clear" w:fill="FFFFFF"/>
        </w:rPr>
        <w:t>（4）《财政部关于进一步加大政府采购支持中小企业力度的通知》（财库〔2022〕19号）；</w:t>
      </w:r>
      <w:r>
        <w:rPr>
          <w:rFonts w:hint="eastAsia" w:ascii="宋体" w:hAnsi="宋体" w:eastAsia="宋体" w:cs="宋体"/>
          <w:i w:val="0"/>
          <w:iCs w:val="0"/>
          <w:caps w:val="0"/>
          <w:color w:val="333333"/>
          <w:spacing w:val="0"/>
          <w:sz w:val="24"/>
          <w:szCs w:val="24"/>
          <w:shd w:val="clear" w:fill="FFFFFF"/>
        </w:rPr>
        <w:br w:type="textWrapping"/>
      </w:r>
      <w:r>
        <w:rPr>
          <w:rFonts w:hint="eastAsia" w:ascii="宋体" w:hAnsi="宋体" w:eastAsia="宋体" w:cs="宋体"/>
          <w:i w:val="0"/>
          <w:iCs w:val="0"/>
          <w:caps w:val="0"/>
          <w:color w:val="333333"/>
          <w:spacing w:val="0"/>
          <w:sz w:val="24"/>
          <w:szCs w:val="24"/>
          <w:shd w:val="clear" w:fill="FFFFFF"/>
        </w:rPr>
        <w:t>（5）《陕西省财政厅关于落实政府采购支持中小企业政策有关事项的通知》（陕财办采〔2022〕10号）；</w:t>
      </w:r>
      <w:r>
        <w:rPr>
          <w:rFonts w:hint="eastAsia" w:ascii="宋体" w:hAnsi="宋体" w:eastAsia="宋体" w:cs="宋体"/>
          <w:i w:val="0"/>
          <w:iCs w:val="0"/>
          <w:caps w:val="0"/>
          <w:color w:val="333333"/>
          <w:spacing w:val="0"/>
          <w:sz w:val="24"/>
          <w:szCs w:val="24"/>
          <w:shd w:val="clear" w:fill="FFFFFF"/>
        </w:rPr>
        <w:br w:type="textWrapping"/>
      </w:r>
      <w:r>
        <w:rPr>
          <w:rFonts w:hint="eastAsia" w:ascii="宋体" w:hAnsi="宋体" w:eastAsia="宋体" w:cs="宋体"/>
          <w:i w:val="0"/>
          <w:iCs w:val="0"/>
          <w:caps w:val="0"/>
          <w:color w:val="333333"/>
          <w:spacing w:val="0"/>
          <w:sz w:val="24"/>
          <w:szCs w:val="24"/>
          <w:shd w:val="clear" w:fill="FFFFFF"/>
        </w:rPr>
        <w:t>（6）财政部、国家发展改革委关于印发《节能产品政府采购实施意见》的通知（财库[2004]185号）；</w:t>
      </w:r>
      <w:r>
        <w:rPr>
          <w:rFonts w:hint="eastAsia" w:ascii="宋体" w:hAnsi="宋体" w:eastAsia="宋体" w:cs="宋体"/>
          <w:i w:val="0"/>
          <w:iCs w:val="0"/>
          <w:caps w:val="0"/>
          <w:color w:val="333333"/>
          <w:spacing w:val="0"/>
          <w:sz w:val="24"/>
          <w:szCs w:val="24"/>
          <w:shd w:val="clear" w:fill="FFFFFF"/>
        </w:rPr>
        <w:br w:type="textWrapping"/>
      </w:r>
      <w:r>
        <w:rPr>
          <w:rFonts w:hint="eastAsia" w:ascii="宋体" w:hAnsi="宋体" w:eastAsia="宋体" w:cs="宋体"/>
          <w:i w:val="0"/>
          <w:iCs w:val="0"/>
          <w:caps w:val="0"/>
          <w:color w:val="333333"/>
          <w:spacing w:val="0"/>
          <w:sz w:val="24"/>
          <w:szCs w:val="24"/>
          <w:shd w:val="clear" w:fill="FFFFFF"/>
        </w:rPr>
        <w:t>（7）《国务院办公厅关于建立政府强制采购节能产品制度的通知》（国办发〔2007〕51号）；</w:t>
      </w:r>
      <w:r>
        <w:rPr>
          <w:rFonts w:hint="eastAsia" w:ascii="宋体" w:hAnsi="宋体" w:eastAsia="宋体" w:cs="宋体"/>
          <w:i w:val="0"/>
          <w:iCs w:val="0"/>
          <w:caps w:val="0"/>
          <w:color w:val="333333"/>
          <w:spacing w:val="0"/>
          <w:sz w:val="24"/>
          <w:szCs w:val="24"/>
          <w:shd w:val="clear" w:fill="FFFFFF"/>
        </w:rPr>
        <w:br w:type="textWrapping"/>
      </w:r>
      <w:r>
        <w:rPr>
          <w:rFonts w:hint="eastAsia" w:ascii="宋体" w:hAnsi="宋体" w:eastAsia="宋体" w:cs="宋体"/>
          <w:i w:val="0"/>
          <w:iCs w:val="0"/>
          <w:caps w:val="0"/>
          <w:color w:val="333333"/>
          <w:spacing w:val="0"/>
          <w:sz w:val="24"/>
          <w:szCs w:val="24"/>
          <w:shd w:val="clear" w:fill="FFFFFF"/>
        </w:rPr>
        <w:t>（8）《财政部、国家环保总局关于环境标志产品政府采购实施的意见》（财库[2006]90号）；</w:t>
      </w:r>
      <w:r>
        <w:rPr>
          <w:rFonts w:hint="eastAsia" w:ascii="宋体" w:hAnsi="宋体" w:eastAsia="宋体" w:cs="宋体"/>
          <w:i w:val="0"/>
          <w:iCs w:val="0"/>
          <w:caps w:val="0"/>
          <w:color w:val="333333"/>
          <w:spacing w:val="0"/>
          <w:sz w:val="24"/>
          <w:szCs w:val="24"/>
          <w:shd w:val="clear" w:fill="FFFFFF"/>
        </w:rPr>
        <w:br w:type="textWrapping"/>
      </w:r>
      <w:r>
        <w:rPr>
          <w:rFonts w:hint="eastAsia" w:ascii="宋体" w:hAnsi="宋体" w:eastAsia="宋体" w:cs="宋体"/>
          <w:i w:val="0"/>
          <w:iCs w:val="0"/>
          <w:caps w:val="0"/>
          <w:color w:val="333333"/>
          <w:spacing w:val="0"/>
          <w:sz w:val="24"/>
          <w:szCs w:val="24"/>
          <w:shd w:val="clear" w:fill="FFFFFF"/>
        </w:rPr>
        <w:t>（9）《财政部、发展改革委、生态环境部、市场监管总局关于调整优化节能产品、环境标志产品政府采购执行机制的通知》（财库〔2019〕9号）；</w:t>
      </w:r>
      <w:r>
        <w:rPr>
          <w:rFonts w:hint="eastAsia" w:ascii="宋体" w:hAnsi="宋体" w:eastAsia="宋体" w:cs="宋体"/>
          <w:i w:val="0"/>
          <w:iCs w:val="0"/>
          <w:caps w:val="0"/>
          <w:color w:val="333333"/>
          <w:spacing w:val="0"/>
          <w:sz w:val="24"/>
          <w:szCs w:val="24"/>
          <w:shd w:val="clear" w:fill="FFFFFF"/>
        </w:rPr>
        <w:br w:type="textWrapping"/>
      </w:r>
      <w:r>
        <w:rPr>
          <w:rFonts w:hint="eastAsia" w:ascii="宋体" w:hAnsi="宋体" w:eastAsia="宋体" w:cs="宋体"/>
          <w:i w:val="0"/>
          <w:iCs w:val="0"/>
          <w:caps w:val="0"/>
          <w:color w:val="333333"/>
          <w:spacing w:val="0"/>
          <w:sz w:val="24"/>
          <w:szCs w:val="24"/>
          <w:shd w:val="clear" w:fill="FFFFFF"/>
        </w:rPr>
        <w:t>（10）陕西省财政厅《关于进一步加强政府绿色采购有关问题的通知》（陕财办采〔2021〕29号）；</w:t>
      </w:r>
      <w:r>
        <w:rPr>
          <w:rFonts w:hint="eastAsia" w:ascii="宋体" w:hAnsi="宋体" w:eastAsia="宋体" w:cs="宋体"/>
          <w:i w:val="0"/>
          <w:iCs w:val="0"/>
          <w:caps w:val="0"/>
          <w:color w:val="333333"/>
          <w:spacing w:val="0"/>
          <w:sz w:val="24"/>
          <w:szCs w:val="24"/>
          <w:shd w:val="clear" w:fill="FFFFFF"/>
        </w:rPr>
        <w:br w:type="textWrapping"/>
      </w:r>
      <w:r>
        <w:rPr>
          <w:rFonts w:hint="eastAsia" w:ascii="宋体" w:hAnsi="宋体" w:eastAsia="宋体" w:cs="宋体"/>
          <w:i w:val="0"/>
          <w:iCs w:val="0"/>
          <w:caps w:val="0"/>
          <w:color w:val="333333"/>
          <w:spacing w:val="0"/>
          <w:sz w:val="24"/>
          <w:szCs w:val="24"/>
          <w:shd w:val="clear" w:fill="FFFFFF"/>
        </w:rPr>
        <w:t>（11）《关于扩大政府采购支持绿色建材促进建筑品质提升政策实施范围的通知》财库〔2022〕35号；</w:t>
      </w:r>
      <w:r>
        <w:rPr>
          <w:rFonts w:hint="eastAsia" w:ascii="宋体" w:hAnsi="宋体" w:eastAsia="宋体" w:cs="宋体"/>
          <w:i w:val="0"/>
          <w:iCs w:val="0"/>
          <w:caps w:val="0"/>
          <w:color w:val="333333"/>
          <w:spacing w:val="0"/>
          <w:sz w:val="24"/>
          <w:szCs w:val="24"/>
          <w:shd w:val="clear" w:fill="FFFFFF"/>
        </w:rPr>
        <w:br w:type="textWrapping"/>
      </w:r>
      <w:r>
        <w:rPr>
          <w:rFonts w:hint="eastAsia" w:ascii="宋体" w:hAnsi="宋体" w:eastAsia="宋体" w:cs="宋体"/>
          <w:i w:val="0"/>
          <w:iCs w:val="0"/>
          <w:caps w:val="0"/>
          <w:color w:val="333333"/>
          <w:spacing w:val="0"/>
          <w:sz w:val="24"/>
          <w:szCs w:val="24"/>
          <w:shd w:val="clear" w:fill="FFFFFF"/>
        </w:rPr>
        <w:t>（12）《财政部 农业农村部 国家乡村振兴局关于运用政府采购政策支持乡村产业振兴的通知》(财库〔2021〕19号)；</w:t>
      </w:r>
      <w:r>
        <w:rPr>
          <w:rFonts w:hint="eastAsia" w:ascii="宋体" w:hAnsi="宋体" w:eastAsia="宋体" w:cs="宋体"/>
          <w:i w:val="0"/>
          <w:iCs w:val="0"/>
          <w:caps w:val="0"/>
          <w:color w:val="333333"/>
          <w:spacing w:val="0"/>
          <w:sz w:val="24"/>
          <w:szCs w:val="24"/>
          <w:shd w:val="clear" w:fill="FFFFFF"/>
        </w:rPr>
        <w:br w:type="textWrapping"/>
      </w:r>
      <w:r>
        <w:rPr>
          <w:rFonts w:hint="eastAsia" w:ascii="宋体" w:hAnsi="宋体" w:eastAsia="宋体" w:cs="宋体"/>
          <w:i w:val="0"/>
          <w:iCs w:val="0"/>
          <w:caps w:val="0"/>
          <w:color w:val="333333"/>
          <w:spacing w:val="0"/>
          <w:sz w:val="24"/>
          <w:szCs w:val="24"/>
          <w:shd w:val="clear" w:fill="FFFFFF"/>
        </w:rPr>
        <w:t>（13）关于印发《关于深入开展政府采购脱贫地区农副产品工作推进乡村产业振兴的实施意见》的通知 财库〔2021〕20号；</w:t>
      </w:r>
      <w:r>
        <w:rPr>
          <w:rFonts w:hint="eastAsia" w:ascii="宋体" w:hAnsi="宋体" w:eastAsia="宋体" w:cs="宋体"/>
          <w:i w:val="0"/>
          <w:iCs w:val="0"/>
          <w:caps w:val="0"/>
          <w:color w:val="333333"/>
          <w:spacing w:val="0"/>
          <w:sz w:val="24"/>
          <w:szCs w:val="24"/>
          <w:shd w:val="clear" w:fill="FFFFFF"/>
        </w:rPr>
        <w:br w:type="textWrapping"/>
      </w:r>
      <w:r>
        <w:rPr>
          <w:rFonts w:hint="eastAsia" w:ascii="宋体" w:hAnsi="宋体" w:eastAsia="宋体" w:cs="宋体"/>
          <w:i w:val="0"/>
          <w:iCs w:val="0"/>
          <w:caps w:val="0"/>
          <w:color w:val="333333"/>
          <w:spacing w:val="0"/>
          <w:sz w:val="24"/>
          <w:szCs w:val="24"/>
          <w:shd w:val="clear" w:fill="FFFFFF"/>
        </w:rPr>
        <w:t>（14）陕西省财政厅关于印发《陕西省中小企业政府采购信用融资办法》（陕财办采〔2018〕23号）；</w:t>
      </w:r>
      <w:r>
        <w:rPr>
          <w:rFonts w:hint="eastAsia" w:ascii="宋体" w:hAnsi="宋体" w:eastAsia="宋体" w:cs="宋体"/>
          <w:i w:val="0"/>
          <w:iCs w:val="0"/>
          <w:caps w:val="0"/>
          <w:color w:val="333333"/>
          <w:spacing w:val="0"/>
          <w:sz w:val="24"/>
          <w:szCs w:val="24"/>
          <w:shd w:val="clear" w:fill="FFFFFF"/>
        </w:rPr>
        <w:br w:type="textWrapping"/>
      </w:r>
      <w:r>
        <w:rPr>
          <w:rFonts w:hint="eastAsia" w:ascii="宋体" w:hAnsi="宋体" w:eastAsia="宋体" w:cs="宋体"/>
          <w:i w:val="0"/>
          <w:iCs w:val="0"/>
          <w:caps w:val="0"/>
          <w:color w:val="333333"/>
          <w:spacing w:val="0"/>
          <w:sz w:val="24"/>
          <w:szCs w:val="24"/>
          <w:shd w:val="clear" w:fill="FFFFFF"/>
        </w:rPr>
        <w:t>（15）《国务院办公厅关于在政府采购中实施本国产品标准及相关政策的通知》（国办发〔2025〕34号）；</w:t>
      </w:r>
      <w:r>
        <w:rPr>
          <w:rFonts w:hint="eastAsia" w:ascii="宋体" w:hAnsi="宋体" w:eastAsia="宋体" w:cs="宋体"/>
          <w:i w:val="0"/>
          <w:iCs w:val="0"/>
          <w:caps w:val="0"/>
          <w:color w:val="333333"/>
          <w:spacing w:val="0"/>
          <w:sz w:val="24"/>
          <w:szCs w:val="24"/>
          <w:shd w:val="clear" w:fill="FFFFFF"/>
        </w:rPr>
        <w:br w:type="textWrapping"/>
      </w:r>
      <w:r>
        <w:rPr>
          <w:rFonts w:hint="eastAsia" w:ascii="宋体" w:hAnsi="宋体" w:eastAsia="宋体" w:cs="宋体"/>
          <w:i w:val="0"/>
          <w:iCs w:val="0"/>
          <w:caps w:val="0"/>
          <w:color w:val="333333"/>
          <w:spacing w:val="0"/>
          <w:sz w:val="24"/>
          <w:szCs w:val="24"/>
          <w:shd w:val="clear" w:fill="FFFFFF"/>
        </w:rPr>
        <w:t>（16）《陕西省财政厅关于进一步加大政府采购支持中小企业力度的通知》(陕财采发〔2022〕5号)；</w:t>
      </w:r>
      <w:r>
        <w:rPr>
          <w:rFonts w:hint="eastAsia" w:ascii="宋体" w:hAnsi="宋体" w:eastAsia="宋体" w:cs="宋体"/>
          <w:i w:val="0"/>
          <w:iCs w:val="0"/>
          <w:caps w:val="0"/>
          <w:color w:val="333333"/>
          <w:spacing w:val="0"/>
          <w:sz w:val="24"/>
          <w:szCs w:val="24"/>
          <w:shd w:val="clear" w:fill="FFFFFF"/>
        </w:rPr>
        <w:br w:type="textWrapping"/>
      </w:r>
      <w:r>
        <w:rPr>
          <w:rFonts w:hint="eastAsia" w:ascii="宋体" w:hAnsi="宋体" w:eastAsia="宋体" w:cs="宋体"/>
          <w:i w:val="0"/>
          <w:iCs w:val="0"/>
          <w:caps w:val="0"/>
          <w:color w:val="333333"/>
          <w:spacing w:val="0"/>
          <w:sz w:val="24"/>
          <w:szCs w:val="24"/>
          <w:shd w:val="clear" w:fill="FFFFFF"/>
        </w:rPr>
        <w:t>（17）《榆林市财政局关于进一步加大政府采购支持中小企业力度的通知》（榆政财采发〔2022〕10号)；</w:t>
      </w:r>
      <w:r>
        <w:rPr>
          <w:rFonts w:hint="eastAsia" w:ascii="宋体" w:hAnsi="宋体" w:eastAsia="宋体" w:cs="宋体"/>
          <w:i w:val="0"/>
          <w:iCs w:val="0"/>
          <w:caps w:val="0"/>
          <w:color w:val="333333"/>
          <w:spacing w:val="0"/>
          <w:sz w:val="24"/>
          <w:szCs w:val="24"/>
          <w:shd w:val="clear" w:fill="FFFFFF"/>
        </w:rPr>
        <w:br w:type="textWrapping"/>
      </w:r>
      <w:r>
        <w:rPr>
          <w:rFonts w:hint="eastAsia" w:ascii="宋体" w:hAnsi="宋体" w:eastAsia="宋体" w:cs="宋体"/>
          <w:i w:val="0"/>
          <w:iCs w:val="0"/>
          <w:caps w:val="0"/>
          <w:color w:val="333333"/>
          <w:spacing w:val="0"/>
          <w:sz w:val="24"/>
          <w:szCs w:val="24"/>
          <w:shd w:val="clear" w:fill="FFFFFF"/>
        </w:rPr>
        <w:t>（18）为了进一步推动金融支持政策更好适应市场主体的需要，扎实落实国务院关于支持中小企业发展的政策措施，积极发挥政府釆购政策功能，有效缓解中小企业融资难、融资贵问题，根据中办、国办《关于促进中小企业健康发展的指导意见》、财政部、工信部《政府采购促进中小企业发展管理办法》（财库〔2020〕46号）、《陕西省中小企业政府釆购信用融资办法》（陕财办采[2018]23号）、《陕西省财政厅关于加快推进我省中小企业政府采购信用融资工作的通知》（陕财办釆［2020］15号）等有关规定，按照市场主导、财政引导、银企自愿、风险自担的原则，中标（成交）供应商可根据自身资金需求，登录陕西省政府采购信用融资平台（http://www.ccgp-shaanxi.gov.cn/zcdservice/zcd/shanxi/）在线申请，依法参加政府采购信用融资活动。目前的合作银行有：北京银行、中国建设银行、中信银行、中国平安银行、中国光大银行、浦发银行、兴业银行、中国工商银行、秦农银行、浙商银行、中国银行、西安银行、中国农业银行、中国邮政储蓄银行（排名不分先后）；</w:t>
      </w:r>
    </w:p>
    <w:p w14:paraId="3CCA9CE9">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3.本项目的特定资格要求：</w:t>
      </w:r>
    </w:p>
    <w:p w14:paraId="5796BCE0">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合同包1(中共绥德县委机关灶务承包服务)特定资格要求如下:</w:t>
      </w:r>
    </w:p>
    <w:p w14:paraId="27654E4B">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(1)供应商具有独立承担民事责任能力的法人、其他组织或自然人，并出具合法有效的营业执照或事业单位法人证书等国家规定的相关证明，自然人参与的提供其身份证明；</w:t>
      </w:r>
      <w:r>
        <w:rPr>
          <w:rFonts w:hint="eastAsia" w:ascii="宋体" w:hAnsi="宋体" w:eastAsia="宋体" w:cs="宋体"/>
          <w:i w:val="0"/>
          <w:iCs w:val="0"/>
          <w:caps w:val="0"/>
          <w:color w:val="333333"/>
          <w:spacing w:val="0"/>
          <w:sz w:val="24"/>
          <w:szCs w:val="24"/>
          <w:shd w:val="clear" w:fill="FFFFFF"/>
        </w:rPr>
        <w:br w:type="textWrapping"/>
      </w:r>
      <w:r>
        <w:rPr>
          <w:rFonts w:hint="eastAsia" w:ascii="宋体" w:hAnsi="宋体" w:eastAsia="宋体" w:cs="宋体"/>
          <w:i w:val="0"/>
          <w:iCs w:val="0"/>
          <w:caps w:val="0"/>
          <w:color w:val="333333"/>
          <w:spacing w:val="0"/>
          <w:sz w:val="24"/>
          <w:szCs w:val="24"/>
          <w:shd w:val="clear" w:fill="FFFFFF"/>
        </w:rPr>
        <w:t>  (2)供应商须具有履行合同所必需的设备和专业技术能力（提供相关证明材料或承诺书）；</w:t>
      </w:r>
      <w:r>
        <w:rPr>
          <w:rFonts w:hint="eastAsia" w:ascii="宋体" w:hAnsi="宋体" w:eastAsia="宋体" w:cs="宋体"/>
          <w:i w:val="0"/>
          <w:iCs w:val="0"/>
          <w:caps w:val="0"/>
          <w:color w:val="333333"/>
          <w:spacing w:val="0"/>
          <w:sz w:val="24"/>
          <w:szCs w:val="24"/>
          <w:shd w:val="clear" w:fill="FFFFFF"/>
        </w:rPr>
        <w:br w:type="textWrapping"/>
      </w:r>
      <w:r>
        <w:rPr>
          <w:rFonts w:hint="eastAsia" w:ascii="宋体" w:hAnsi="宋体" w:eastAsia="宋体" w:cs="宋体"/>
          <w:i w:val="0"/>
          <w:iCs w:val="0"/>
          <w:caps w:val="0"/>
          <w:color w:val="333333"/>
          <w:spacing w:val="0"/>
          <w:sz w:val="24"/>
          <w:szCs w:val="24"/>
          <w:shd w:val="clear" w:fill="FFFFFF"/>
        </w:rPr>
        <w:t>  (3)税收缴纳证明：提供2025年09月至今已缴纳的至少一个月的纳税证明或完税证明，依法免税的单位应提供相关证明材料；</w:t>
      </w:r>
      <w:r>
        <w:rPr>
          <w:rFonts w:hint="eastAsia" w:ascii="宋体" w:hAnsi="宋体" w:eastAsia="宋体" w:cs="宋体"/>
          <w:i w:val="0"/>
          <w:iCs w:val="0"/>
          <w:caps w:val="0"/>
          <w:color w:val="333333"/>
          <w:spacing w:val="0"/>
          <w:sz w:val="24"/>
          <w:szCs w:val="24"/>
          <w:shd w:val="clear" w:fill="FFFFFF"/>
        </w:rPr>
        <w:br w:type="textWrapping"/>
      </w:r>
      <w:r>
        <w:rPr>
          <w:rFonts w:hint="eastAsia" w:ascii="宋体" w:hAnsi="宋体" w:eastAsia="宋体" w:cs="宋体"/>
          <w:i w:val="0"/>
          <w:iCs w:val="0"/>
          <w:caps w:val="0"/>
          <w:color w:val="333333"/>
          <w:spacing w:val="0"/>
          <w:sz w:val="24"/>
          <w:szCs w:val="24"/>
          <w:shd w:val="clear" w:fill="FFFFFF"/>
        </w:rPr>
        <w:t>  (4)社会保障资金缴纳证明：提供2025年09月至今已缴存的至少一个月的社会保障资金缴存单据或社保机构开具的社会保险参保缴费情况证明，依法不需要缴纳社会保障资金的单位应提供相关证明材料；</w:t>
      </w:r>
      <w:r>
        <w:rPr>
          <w:rFonts w:hint="eastAsia" w:ascii="宋体" w:hAnsi="宋体" w:eastAsia="宋体" w:cs="宋体"/>
          <w:i w:val="0"/>
          <w:iCs w:val="0"/>
          <w:caps w:val="0"/>
          <w:color w:val="333333"/>
          <w:spacing w:val="0"/>
          <w:sz w:val="24"/>
          <w:szCs w:val="24"/>
          <w:shd w:val="clear" w:fill="FFFFFF"/>
        </w:rPr>
        <w:br w:type="textWrapping"/>
      </w:r>
      <w:r>
        <w:rPr>
          <w:rFonts w:hint="eastAsia" w:ascii="宋体" w:hAnsi="宋体" w:eastAsia="宋体" w:cs="宋体"/>
          <w:i w:val="0"/>
          <w:iCs w:val="0"/>
          <w:caps w:val="0"/>
          <w:color w:val="333333"/>
          <w:spacing w:val="0"/>
          <w:sz w:val="24"/>
          <w:szCs w:val="24"/>
          <w:shd w:val="clear" w:fill="FFFFFF"/>
        </w:rPr>
        <w:t>  (5)财务状况报告：提供经会计事务所或审计机构出具的2025年度赋码财务审计报告；财务审计报告须有注册会计师签字盖章和公司盖章，并附通过注册会计师行业统一监管平台（http://acc.mof.gov.cn）报备并相应取得全国统一的验证码提供查询截图；或其开标前六个月内银行出具的资信证明；成立时间至提交响应文件递交截止时间不足一年的，须提供其基本存款账户开户银行近三个月内出具的银行资信证明或自成立以来的财务报表；其他组织或自然人提供银行出具的资信证明或财务报表；</w:t>
      </w:r>
      <w:r>
        <w:rPr>
          <w:rFonts w:hint="eastAsia" w:ascii="宋体" w:hAnsi="宋体" w:eastAsia="宋体" w:cs="宋体"/>
          <w:i w:val="0"/>
          <w:iCs w:val="0"/>
          <w:caps w:val="0"/>
          <w:color w:val="333333"/>
          <w:spacing w:val="0"/>
          <w:sz w:val="24"/>
          <w:szCs w:val="24"/>
          <w:shd w:val="clear" w:fill="FFFFFF"/>
        </w:rPr>
        <w:br w:type="textWrapping"/>
      </w:r>
      <w:r>
        <w:rPr>
          <w:rFonts w:hint="eastAsia" w:ascii="宋体" w:hAnsi="宋体" w:eastAsia="宋体" w:cs="宋体"/>
          <w:i w:val="0"/>
          <w:iCs w:val="0"/>
          <w:caps w:val="0"/>
          <w:color w:val="333333"/>
          <w:spacing w:val="0"/>
          <w:sz w:val="24"/>
          <w:szCs w:val="24"/>
          <w:shd w:val="clear" w:fill="FFFFFF"/>
        </w:rPr>
        <w:t>  (6)供应商不得为“信用中国”网站（www.creditchina.gov.cn）中列入严重失信主体名单和重大税收违法失信主体名单的供应商，不得为中国政府采购网（www.ccgp.gov.cn）政府采购严重违法失信行为记录名单中被财政部门禁止参加政府采购活动的供应商；（提供查询结果网页截图并加盖供应商公章查询日期为从公告之日起至投标截止日前）有以上不良记录的不得参与评审活动，同时提供供应商信用承诺书；</w:t>
      </w:r>
      <w:r>
        <w:rPr>
          <w:rFonts w:hint="eastAsia" w:ascii="宋体" w:hAnsi="宋体" w:eastAsia="宋体" w:cs="宋体"/>
          <w:i w:val="0"/>
          <w:iCs w:val="0"/>
          <w:caps w:val="0"/>
          <w:color w:val="333333"/>
          <w:spacing w:val="0"/>
          <w:sz w:val="24"/>
          <w:szCs w:val="24"/>
          <w:shd w:val="clear" w:fill="FFFFFF"/>
        </w:rPr>
        <w:br w:type="textWrapping"/>
      </w:r>
      <w:r>
        <w:rPr>
          <w:rFonts w:hint="eastAsia" w:ascii="宋体" w:hAnsi="宋体" w:eastAsia="宋体" w:cs="宋体"/>
          <w:i w:val="0"/>
          <w:iCs w:val="0"/>
          <w:caps w:val="0"/>
          <w:color w:val="333333"/>
          <w:spacing w:val="0"/>
          <w:sz w:val="24"/>
          <w:szCs w:val="24"/>
          <w:shd w:val="clear" w:fill="FFFFFF"/>
        </w:rPr>
        <w:t>  (7)参加政府采购活动前三年内，在经营活动中没有重大违法记录的书面声明；</w:t>
      </w:r>
      <w:r>
        <w:rPr>
          <w:rFonts w:hint="eastAsia" w:ascii="宋体" w:hAnsi="宋体" w:eastAsia="宋体" w:cs="宋体"/>
          <w:i w:val="0"/>
          <w:iCs w:val="0"/>
          <w:caps w:val="0"/>
          <w:color w:val="333333"/>
          <w:spacing w:val="0"/>
          <w:sz w:val="24"/>
          <w:szCs w:val="24"/>
          <w:shd w:val="clear" w:fill="FFFFFF"/>
        </w:rPr>
        <w:br w:type="textWrapping"/>
      </w:r>
      <w:r>
        <w:rPr>
          <w:rFonts w:hint="eastAsia" w:ascii="宋体" w:hAnsi="宋体" w:eastAsia="宋体" w:cs="宋体"/>
          <w:i w:val="0"/>
          <w:iCs w:val="0"/>
          <w:caps w:val="0"/>
          <w:color w:val="333333"/>
          <w:spacing w:val="0"/>
          <w:sz w:val="24"/>
          <w:szCs w:val="24"/>
          <w:shd w:val="clear" w:fill="FFFFFF"/>
        </w:rPr>
        <w:t>  (8)本项目采用投标信用承诺书代替投标保证金，提供信用中国（陕西榆林）承诺网页截图；</w:t>
      </w:r>
      <w:r>
        <w:rPr>
          <w:rFonts w:hint="eastAsia" w:ascii="宋体" w:hAnsi="宋体" w:eastAsia="宋体" w:cs="宋体"/>
          <w:i w:val="0"/>
          <w:iCs w:val="0"/>
          <w:caps w:val="0"/>
          <w:color w:val="333333"/>
          <w:spacing w:val="0"/>
          <w:sz w:val="24"/>
          <w:szCs w:val="24"/>
          <w:shd w:val="clear" w:fill="FFFFFF"/>
        </w:rPr>
        <w:br w:type="textWrapping"/>
      </w:r>
      <w:r>
        <w:rPr>
          <w:rFonts w:hint="eastAsia" w:ascii="宋体" w:hAnsi="宋体" w:eastAsia="宋体" w:cs="宋体"/>
          <w:i w:val="0"/>
          <w:iCs w:val="0"/>
          <w:caps w:val="0"/>
          <w:color w:val="333333"/>
          <w:spacing w:val="0"/>
          <w:sz w:val="24"/>
          <w:szCs w:val="24"/>
          <w:shd w:val="clear" w:fill="FFFFFF"/>
        </w:rPr>
        <w:t>  (9)本项目专门面向中小企业采购（须提供中小企业声明函）；</w:t>
      </w:r>
      <w:r>
        <w:rPr>
          <w:rFonts w:hint="eastAsia" w:ascii="宋体" w:hAnsi="宋体" w:eastAsia="宋体" w:cs="宋体"/>
          <w:i w:val="0"/>
          <w:iCs w:val="0"/>
          <w:caps w:val="0"/>
          <w:color w:val="333333"/>
          <w:spacing w:val="0"/>
          <w:sz w:val="24"/>
          <w:szCs w:val="24"/>
          <w:shd w:val="clear" w:fill="FFFFFF"/>
        </w:rPr>
        <w:br w:type="textWrapping"/>
      </w:r>
      <w:r>
        <w:rPr>
          <w:rFonts w:hint="eastAsia" w:ascii="宋体" w:hAnsi="宋体" w:eastAsia="宋体" w:cs="宋体"/>
          <w:i w:val="0"/>
          <w:iCs w:val="0"/>
          <w:caps w:val="0"/>
          <w:color w:val="333333"/>
          <w:spacing w:val="0"/>
          <w:sz w:val="24"/>
          <w:szCs w:val="24"/>
          <w:shd w:val="clear" w:fill="FFFFFF"/>
        </w:rPr>
        <w:t>注：本项目不接受联合体投标，单位负责人为同一人或者存在直接控股、管理关系的不同供应商，不得参加同一合同项下的政府采购活动。</w:t>
      </w:r>
    </w:p>
    <w:p w14:paraId="1CBD21C2">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val="0"/>
        <w:snapToGrid w:val="0"/>
        <w:spacing w:before="0" w:beforeLines="0" w:beforeAutospacing="0" w:after="0" w:afterLines="0" w:afterAutospacing="0" w:line="360" w:lineRule="auto"/>
        <w:ind w:left="0" w:right="0" w:firstLine="482" w:firstLineChars="200"/>
        <w:jc w:val="both"/>
        <w:textAlignment w:val="auto"/>
        <w:rPr>
          <w:rFonts w:hint="eastAsia" w:ascii="宋体" w:hAnsi="宋体" w:eastAsia="宋体" w:cs="宋体"/>
          <w:b w:val="0"/>
          <w:bCs w:val="0"/>
          <w:i w:val="0"/>
          <w:iCs w:val="0"/>
          <w:caps w:val="0"/>
          <w:color w:val="333333"/>
          <w:spacing w:val="0"/>
          <w:sz w:val="24"/>
          <w:szCs w:val="24"/>
        </w:rPr>
      </w:pPr>
      <w:r>
        <w:rPr>
          <w:rStyle w:val="27"/>
          <w:rFonts w:hint="eastAsia" w:ascii="宋体" w:hAnsi="宋体" w:eastAsia="宋体" w:cs="宋体"/>
          <w:b/>
          <w:bCs/>
          <w:i w:val="0"/>
          <w:iCs w:val="0"/>
          <w:caps w:val="0"/>
          <w:color w:val="333333"/>
          <w:spacing w:val="0"/>
          <w:sz w:val="24"/>
          <w:szCs w:val="24"/>
          <w:shd w:val="clear" w:fill="FFFFFF"/>
        </w:rPr>
        <w:t>三、获取采购文件</w:t>
      </w:r>
    </w:p>
    <w:p w14:paraId="55E7915F">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auto"/>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时间：</w:t>
      </w:r>
      <w:r>
        <w:rPr>
          <w:rFonts w:hint="eastAsia" w:ascii="宋体" w:hAnsi="宋体" w:eastAsia="宋体" w:cs="宋体"/>
          <w:i w:val="0"/>
          <w:iCs w:val="0"/>
          <w:caps w:val="0"/>
          <w:color w:val="0A82E5"/>
          <w:spacing w:val="0"/>
          <w:sz w:val="24"/>
          <w:szCs w:val="24"/>
          <w:shd w:val="clear" w:fill="FFFFFF"/>
        </w:rPr>
        <w:t> 2026年10月20日 至 2026年10月22日 ，每天上午 08:00:00 至 12:00:00 ，下午 12:00:00 至 18:00:00 （北京时间）</w:t>
      </w:r>
    </w:p>
    <w:p w14:paraId="6E7F611E">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auto"/>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途径：</w:t>
      </w:r>
      <w:r>
        <w:rPr>
          <w:rFonts w:hint="eastAsia" w:ascii="宋体" w:hAnsi="宋体" w:eastAsia="宋体" w:cs="宋体"/>
          <w:i w:val="0"/>
          <w:iCs w:val="0"/>
          <w:caps w:val="0"/>
          <w:color w:val="0A82E5"/>
          <w:spacing w:val="0"/>
          <w:sz w:val="24"/>
          <w:szCs w:val="24"/>
          <w:shd w:val="clear" w:fill="FFFFFF"/>
        </w:rPr>
        <w:t>登录全国公共资源交易中心平台（陕西省）使用 CA 锁报名后自行下载</w:t>
      </w:r>
    </w:p>
    <w:p w14:paraId="7802C304">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auto"/>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方式：</w:t>
      </w:r>
      <w:r>
        <w:rPr>
          <w:rFonts w:hint="eastAsia" w:ascii="宋体" w:hAnsi="宋体" w:eastAsia="宋体" w:cs="宋体"/>
          <w:i w:val="0"/>
          <w:iCs w:val="0"/>
          <w:caps w:val="0"/>
          <w:color w:val="0A82E5"/>
          <w:spacing w:val="0"/>
          <w:sz w:val="24"/>
          <w:szCs w:val="24"/>
          <w:shd w:val="clear" w:fill="FFFFFF"/>
        </w:rPr>
        <w:t>在线获取</w:t>
      </w:r>
    </w:p>
    <w:p w14:paraId="26F175F1">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auto"/>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售价：</w:t>
      </w:r>
      <w:r>
        <w:rPr>
          <w:rFonts w:hint="eastAsia" w:ascii="宋体" w:hAnsi="宋体" w:eastAsia="宋体" w:cs="宋体"/>
          <w:i w:val="0"/>
          <w:iCs w:val="0"/>
          <w:caps w:val="0"/>
          <w:color w:val="0A82E5"/>
          <w:spacing w:val="0"/>
          <w:sz w:val="24"/>
          <w:szCs w:val="24"/>
          <w:shd w:val="clear" w:fill="FFFFFF"/>
        </w:rPr>
        <w:t> 0元</w:t>
      </w:r>
    </w:p>
    <w:p w14:paraId="3E229828">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val="0"/>
        <w:snapToGrid w:val="0"/>
        <w:spacing w:before="0" w:beforeLines="0" w:beforeAutospacing="0" w:after="0" w:afterLines="0" w:afterAutospacing="0" w:line="360" w:lineRule="auto"/>
        <w:ind w:left="0" w:right="0" w:firstLine="482" w:firstLineChars="200"/>
        <w:jc w:val="both"/>
        <w:textAlignment w:val="auto"/>
        <w:rPr>
          <w:rFonts w:hint="eastAsia" w:ascii="宋体" w:hAnsi="宋体" w:eastAsia="宋体" w:cs="宋体"/>
          <w:b w:val="0"/>
          <w:bCs w:val="0"/>
          <w:i w:val="0"/>
          <w:iCs w:val="0"/>
          <w:caps w:val="0"/>
          <w:color w:val="333333"/>
          <w:spacing w:val="0"/>
          <w:sz w:val="24"/>
          <w:szCs w:val="24"/>
        </w:rPr>
      </w:pPr>
      <w:r>
        <w:rPr>
          <w:rStyle w:val="27"/>
          <w:rFonts w:hint="eastAsia" w:ascii="宋体" w:hAnsi="宋体" w:eastAsia="宋体" w:cs="宋体"/>
          <w:b/>
          <w:bCs/>
          <w:i w:val="0"/>
          <w:iCs w:val="0"/>
          <w:caps w:val="0"/>
          <w:color w:val="333333"/>
          <w:spacing w:val="0"/>
          <w:sz w:val="24"/>
          <w:szCs w:val="24"/>
          <w:shd w:val="clear" w:fill="FFFFFF"/>
        </w:rPr>
        <w:t>四、响应文件提交</w:t>
      </w:r>
    </w:p>
    <w:p w14:paraId="44D87EF2">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auto"/>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截止时间：</w:t>
      </w:r>
      <w:r>
        <w:rPr>
          <w:rFonts w:hint="eastAsia" w:ascii="宋体" w:hAnsi="宋体" w:eastAsia="宋体" w:cs="宋体"/>
          <w:i w:val="0"/>
          <w:iCs w:val="0"/>
          <w:caps w:val="0"/>
          <w:color w:val="0A82E5"/>
          <w:spacing w:val="0"/>
          <w:sz w:val="24"/>
          <w:szCs w:val="24"/>
          <w:shd w:val="clear" w:fill="FFFFFF"/>
        </w:rPr>
        <w:t> 2026年10月23日 13时30分00秒 </w:t>
      </w:r>
      <w:r>
        <w:rPr>
          <w:rFonts w:hint="eastAsia" w:ascii="宋体" w:hAnsi="宋体" w:eastAsia="宋体" w:cs="宋体"/>
          <w:i w:val="0"/>
          <w:iCs w:val="0"/>
          <w:caps w:val="0"/>
          <w:color w:val="333333"/>
          <w:spacing w:val="0"/>
          <w:sz w:val="24"/>
          <w:szCs w:val="24"/>
          <w:shd w:val="clear" w:fill="FFFFFF"/>
        </w:rPr>
        <w:t>（北京时间）</w:t>
      </w:r>
    </w:p>
    <w:p w14:paraId="51E4DE9B">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auto"/>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地点：</w:t>
      </w:r>
      <w:r>
        <w:rPr>
          <w:rFonts w:hint="eastAsia" w:ascii="宋体" w:hAnsi="宋体" w:eastAsia="宋体" w:cs="宋体"/>
          <w:i w:val="0"/>
          <w:iCs w:val="0"/>
          <w:caps w:val="0"/>
          <w:color w:val="0A82E5"/>
          <w:spacing w:val="0"/>
          <w:sz w:val="24"/>
          <w:szCs w:val="24"/>
          <w:shd w:val="clear" w:fill="FFFFFF"/>
        </w:rPr>
        <w:t>不见面开标，网上递交</w:t>
      </w:r>
    </w:p>
    <w:p w14:paraId="280EB79C">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val="0"/>
        <w:snapToGrid w:val="0"/>
        <w:spacing w:before="0" w:beforeLines="0" w:beforeAutospacing="0" w:after="0" w:afterLines="0" w:afterAutospacing="0" w:line="360" w:lineRule="auto"/>
        <w:ind w:left="0" w:right="0" w:firstLine="482" w:firstLineChars="200"/>
        <w:jc w:val="both"/>
        <w:textAlignment w:val="auto"/>
        <w:rPr>
          <w:rFonts w:hint="eastAsia" w:ascii="宋体" w:hAnsi="宋体" w:eastAsia="宋体" w:cs="宋体"/>
          <w:b w:val="0"/>
          <w:bCs w:val="0"/>
          <w:i w:val="0"/>
          <w:iCs w:val="0"/>
          <w:caps w:val="0"/>
          <w:color w:val="333333"/>
          <w:spacing w:val="0"/>
          <w:sz w:val="24"/>
          <w:szCs w:val="24"/>
        </w:rPr>
      </w:pPr>
      <w:r>
        <w:rPr>
          <w:rStyle w:val="27"/>
          <w:rFonts w:hint="eastAsia" w:ascii="宋体" w:hAnsi="宋体" w:eastAsia="宋体" w:cs="宋体"/>
          <w:b/>
          <w:bCs/>
          <w:i w:val="0"/>
          <w:iCs w:val="0"/>
          <w:caps w:val="0"/>
          <w:color w:val="333333"/>
          <w:spacing w:val="0"/>
          <w:sz w:val="24"/>
          <w:szCs w:val="24"/>
          <w:shd w:val="clear" w:fill="FFFFFF"/>
        </w:rPr>
        <w:t>五、开启</w:t>
      </w:r>
    </w:p>
    <w:p w14:paraId="5084178D">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auto"/>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时间：</w:t>
      </w:r>
      <w:r>
        <w:rPr>
          <w:rFonts w:hint="eastAsia" w:ascii="宋体" w:hAnsi="宋体" w:eastAsia="宋体" w:cs="宋体"/>
          <w:i w:val="0"/>
          <w:iCs w:val="0"/>
          <w:caps w:val="0"/>
          <w:color w:val="0A82E5"/>
          <w:spacing w:val="0"/>
          <w:sz w:val="24"/>
          <w:szCs w:val="24"/>
          <w:shd w:val="clear" w:fill="FFFFFF"/>
        </w:rPr>
        <w:t> 2026年10月23日 13时30分00秒 </w:t>
      </w:r>
      <w:r>
        <w:rPr>
          <w:rFonts w:hint="eastAsia" w:ascii="宋体" w:hAnsi="宋体" w:eastAsia="宋体" w:cs="宋体"/>
          <w:i w:val="0"/>
          <w:iCs w:val="0"/>
          <w:caps w:val="0"/>
          <w:color w:val="333333"/>
          <w:spacing w:val="0"/>
          <w:sz w:val="24"/>
          <w:szCs w:val="24"/>
          <w:shd w:val="clear" w:fill="FFFFFF"/>
        </w:rPr>
        <w:t>（北京时间）</w:t>
      </w:r>
    </w:p>
    <w:p w14:paraId="264CED5D">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auto"/>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地点：</w:t>
      </w:r>
      <w:r>
        <w:rPr>
          <w:rFonts w:hint="eastAsia" w:ascii="宋体" w:hAnsi="宋体" w:eastAsia="宋体" w:cs="宋体"/>
          <w:i w:val="0"/>
          <w:iCs w:val="0"/>
          <w:caps w:val="0"/>
          <w:color w:val="0A82E5"/>
          <w:spacing w:val="0"/>
          <w:sz w:val="24"/>
          <w:szCs w:val="24"/>
          <w:shd w:val="clear" w:fill="FFFFFF"/>
        </w:rPr>
        <w:t>不见面开标，网上递交</w:t>
      </w:r>
    </w:p>
    <w:p w14:paraId="4F4B4318">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val="0"/>
        <w:snapToGrid w:val="0"/>
        <w:spacing w:before="0" w:beforeLines="0" w:beforeAutospacing="0" w:after="0" w:afterLines="0" w:afterAutospacing="0" w:line="360" w:lineRule="auto"/>
        <w:ind w:left="0" w:right="0" w:firstLine="482" w:firstLineChars="200"/>
        <w:jc w:val="both"/>
        <w:textAlignment w:val="auto"/>
        <w:rPr>
          <w:rFonts w:hint="eastAsia" w:ascii="宋体" w:hAnsi="宋体" w:eastAsia="宋体" w:cs="宋体"/>
          <w:b w:val="0"/>
          <w:bCs w:val="0"/>
          <w:i w:val="0"/>
          <w:iCs w:val="0"/>
          <w:caps w:val="0"/>
          <w:color w:val="333333"/>
          <w:spacing w:val="0"/>
          <w:sz w:val="24"/>
          <w:szCs w:val="24"/>
        </w:rPr>
      </w:pPr>
      <w:r>
        <w:rPr>
          <w:rStyle w:val="27"/>
          <w:rFonts w:hint="eastAsia" w:ascii="宋体" w:hAnsi="宋体" w:eastAsia="宋体" w:cs="宋体"/>
          <w:b/>
          <w:bCs/>
          <w:i w:val="0"/>
          <w:iCs w:val="0"/>
          <w:caps w:val="0"/>
          <w:color w:val="333333"/>
          <w:spacing w:val="0"/>
          <w:sz w:val="24"/>
          <w:szCs w:val="24"/>
          <w:shd w:val="clear" w:fill="FFFFFF"/>
        </w:rPr>
        <w:t>六、公告期限</w:t>
      </w:r>
    </w:p>
    <w:p w14:paraId="336DF3B0">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auto"/>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自本公告发布之日起</w:t>
      </w:r>
      <w:r>
        <w:rPr>
          <w:rFonts w:hint="eastAsia" w:ascii="宋体" w:hAnsi="宋体" w:eastAsia="宋体" w:cs="宋体"/>
          <w:i w:val="0"/>
          <w:iCs w:val="0"/>
          <w:caps w:val="0"/>
          <w:color w:val="0A82E5"/>
          <w:spacing w:val="0"/>
          <w:sz w:val="24"/>
          <w:szCs w:val="24"/>
          <w:shd w:val="clear" w:fill="FFFFFF"/>
        </w:rPr>
        <w:t>3</w:t>
      </w:r>
      <w:r>
        <w:rPr>
          <w:rFonts w:hint="eastAsia" w:ascii="宋体" w:hAnsi="宋体" w:eastAsia="宋体" w:cs="宋体"/>
          <w:i w:val="0"/>
          <w:iCs w:val="0"/>
          <w:caps w:val="0"/>
          <w:color w:val="333333"/>
          <w:spacing w:val="0"/>
          <w:sz w:val="24"/>
          <w:szCs w:val="24"/>
          <w:shd w:val="clear" w:fill="FFFFFF"/>
        </w:rPr>
        <w:t>个工作日。</w:t>
      </w:r>
    </w:p>
    <w:p w14:paraId="30E6FEA5">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val="0"/>
        <w:snapToGrid w:val="0"/>
        <w:spacing w:before="0" w:beforeLines="0" w:beforeAutospacing="0" w:after="0" w:afterLines="0" w:afterAutospacing="0" w:line="360" w:lineRule="auto"/>
        <w:ind w:left="0" w:right="0" w:firstLine="482" w:firstLineChars="200"/>
        <w:jc w:val="both"/>
        <w:textAlignment w:val="auto"/>
        <w:rPr>
          <w:rFonts w:hint="eastAsia" w:ascii="宋体" w:hAnsi="宋体" w:eastAsia="宋体" w:cs="宋体"/>
          <w:b w:val="0"/>
          <w:bCs w:val="0"/>
          <w:i w:val="0"/>
          <w:iCs w:val="0"/>
          <w:caps w:val="0"/>
          <w:color w:val="333333"/>
          <w:spacing w:val="0"/>
          <w:sz w:val="24"/>
          <w:szCs w:val="24"/>
        </w:rPr>
      </w:pPr>
      <w:r>
        <w:rPr>
          <w:rStyle w:val="27"/>
          <w:rFonts w:hint="eastAsia" w:ascii="宋体" w:hAnsi="宋体" w:eastAsia="宋体" w:cs="宋体"/>
          <w:b/>
          <w:bCs/>
          <w:i w:val="0"/>
          <w:iCs w:val="0"/>
          <w:caps w:val="0"/>
          <w:color w:val="333333"/>
          <w:spacing w:val="0"/>
          <w:sz w:val="24"/>
          <w:szCs w:val="24"/>
          <w:shd w:val="clear" w:fill="FFFFFF"/>
        </w:rPr>
        <w:t>七、其他补充事宜</w:t>
      </w:r>
    </w:p>
    <w:p w14:paraId="50146667">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0A82E5"/>
          <w:spacing w:val="0"/>
          <w:sz w:val="24"/>
          <w:szCs w:val="24"/>
          <w:shd w:val="clear" w:fill="FFFFFF"/>
        </w:rPr>
        <w:t>1.供应商可登录全国公共资源交易中心平台(陕西省) (http://www.sxggzyjy.cn/) ,选择“电子交易平台-陕西 政府采购交易系统-陕西 省公共资源交易平台-供应商”进行登录，登录后选择“交易乙方”身份进入供应商界面进行报名并免费下载竞争性谈判文件。</w:t>
      </w:r>
    </w:p>
    <w:p w14:paraId="15D4E194">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0A82E5"/>
          <w:spacing w:val="0"/>
          <w:sz w:val="24"/>
          <w:szCs w:val="24"/>
          <w:shd w:val="clear" w:fill="FFFFFF"/>
        </w:rPr>
        <w:t>2.本项目采用电子化招投标的方式，供应商使用数字认证证书 (CA锁) 对投标文件进行签章、加密、递交及开标时解密等相关招投标事宜。</w:t>
      </w:r>
    </w:p>
    <w:p w14:paraId="0D1BAD23">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0A82E5"/>
          <w:spacing w:val="0"/>
          <w:sz w:val="24"/>
          <w:szCs w:val="24"/>
          <w:shd w:val="clear" w:fill="FFFFFF"/>
        </w:rPr>
        <w:t>3.电子谈判响应文件制作软件技术支持热线：400-998-0000  ，CA 锁购买：榆林市市民大厦三楼窗口,电话：0912-3515031。</w:t>
      </w:r>
    </w:p>
    <w:p w14:paraId="7249154B">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0A82E5"/>
          <w:spacing w:val="0"/>
          <w:sz w:val="24"/>
          <w:szCs w:val="24"/>
          <w:shd w:val="clear" w:fill="FFFFFF"/>
        </w:rPr>
        <w:t>4.请各供应商获取竞争性谈判文件后，按照陕西省财政厅《关于政府采购投标供应商注册登记有关事项的通知》要求，通过陕西省政府采购 (http://www.ccgp-shaanxi.gov.cn/) 注册登记加入陕西省政府采购投标供应商库。</w:t>
      </w:r>
    </w:p>
    <w:p w14:paraId="035D0FAF">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0A82E5"/>
          <w:spacing w:val="0"/>
          <w:sz w:val="24"/>
          <w:szCs w:val="24"/>
          <w:shd w:val="clear" w:fill="FFFFFF"/>
        </w:rPr>
        <w:t>5.本项目采用“不见面”开标形式，不见面开标系统操作手册下载方式：登录【全国公共资源交易平台(陕西省)】 网站首页选择【服务指南】-【下载专区】 -点击【关于陕西省公共资源交易平台多CA 互认系统正式上线运行的通知】进行下载。</w:t>
      </w:r>
    </w:p>
    <w:p w14:paraId="2175EB26">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val="0"/>
        <w:snapToGrid w:val="0"/>
        <w:spacing w:before="0" w:beforeLines="0" w:beforeAutospacing="0" w:after="0" w:afterLines="0" w:afterAutospacing="0" w:line="360" w:lineRule="auto"/>
        <w:ind w:left="0" w:right="0" w:firstLine="482" w:firstLineChars="200"/>
        <w:jc w:val="both"/>
        <w:textAlignment w:val="auto"/>
        <w:rPr>
          <w:rFonts w:hint="eastAsia" w:ascii="宋体" w:hAnsi="宋体" w:eastAsia="宋体" w:cs="宋体"/>
          <w:b w:val="0"/>
          <w:bCs w:val="0"/>
          <w:i w:val="0"/>
          <w:iCs w:val="0"/>
          <w:caps w:val="0"/>
          <w:color w:val="333333"/>
          <w:spacing w:val="0"/>
          <w:sz w:val="24"/>
          <w:szCs w:val="24"/>
        </w:rPr>
      </w:pPr>
      <w:r>
        <w:rPr>
          <w:rStyle w:val="27"/>
          <w:rFonts w:hint="eastAsia" w:ascii="宋体" w:hAnsi="宋体" w:eastAsia="宋体" w:cs="宋体"/>
          <w:b/>
          <w:bCs/>
          <w:i w:val="0"/>
          <w:iCs w:val="0"/>
          <w:caps w:val="0"/>
          <w:color w:val="333333"/>
          <w:spacing w:val="0"/>
          <w:sz w:val="24"/>
          <w:szCs w:val="24"/>
          <w:shd w:val="clear" w:fill="FFFFFF"/>
        </w:rPr>
        <w:t>八、对本次招标提出询问，请按以下方式联系。</w:t>
      </w:r>
    </w:p>
    <w:p w14:paraId="01CD0994">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auto"/>
        <w:rPr>
          <w:rFonts w:hint="eastAsia" w:ascii="宋体" w:hAnsi="宋体" w:eastAsia="宋体" w:cs="宋体"/>
          <w:b w:val="0"/>
          <w:bCs w:val="0"/>
          <w:sz w:val="24"/>
          <w:szCs w:val="24"/>
        </w:rPr>
      </w:pPr>
      <w:r>
        <w:rPr>
          <w:rFonts w:hint="eastAsia" w:ascii="宋体" w:hAnsi="宋体" w:eastAsia="宋体" w:cs="宋体"/>
          <w:b w:val="0"/>
          <w:bCs w:val="0"/>
          <w:i w:val="0"/>
          <w:iCs w:val="0"/>
          <w:caps w:val="0"/>
          <w:color w:val="333333"/>
          <w:spacing w:val="0"/>
          <w:sz w:val="24"/>
          <w:szCs w:val="24"/>
          <w:shd w:val="clear" w:fill="FFFFFF"/>
        </w:rPr>
        <w:t>1.采购人信息</w:t>
      </w:r>
    </w:p>
    <w:p w14:paraId="4689AEEB">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名称：</w:t>
      </w:r>
      <w:r>
        <w:rPr>
          <w:rFonts w:hint="eastAsia" w:ascii="宋体" w:hAnsi="宋体" w:eastAsia="宋体" w:cs="宋体"/>
          <w:i w:val="0"/>
          <w:iCs w:val="0"/>
          <w:caps w:val="0"/>
          <w:color w:val="0A82E5"/>
          <w:spacing w:val="0"/>
          <w:sz w:val="24"/>
          <w:szCs w:val="24"/>
          <w:shd w:val="clear" w:fill="FFFFFF"/>
        </w:rPr>
        <w:t>中共绥德县委办公室</w:t>
      </w:r>
    </w:p>
    <w:p w14:paraId="535CA347">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地址：</w:t>
      </w:r>
      <w:r>
        <w:rPr>
          <w:rFonts w:hint="eastAsia" w:ascii="宋体" w:hAnsi="宋体" w:eastAsia="宋体" w:cs="宋体"/>
          <w:i w:val="0"/>
          <w:iCs w:val="0"/>
          <w:caps w:val="0"/>
          <w:color w:val="0A82E5"/>
          <w:spacing w:val="0"/>
          <w:sz w:val="24"/>
          <w:szCs w:val="24"/>
          <w:shd w:val="clear" w:fill="FFFFFF"/>
        </w:rPr>
        <w:t>绥德县名州镇千狮路89号</w:t>
      </w:r>
    </w:p>
    <w:p w14:paraId="7ABD532F">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联系方式：</w:t>
      </w:r>
      <w:r>
        <w:rPr>
          <w:rFonts w:hint="eastAsia" w:ascii="宋体" w:hAnsi="宋体" w:eastAsia="宋体" w:cs="宋体"/>
          <w:i w:val="0"/>
          <w:iCs w:val="0"/>
          <w:caps w:val="0"/>
          <w:color w:val="0A82E5"/>
          <w:spacing w:val="0"/>
          <w:sz w:val="24"/>
          <w:szCs w:val="24"/>
          <w:shd w:val="clear" w:fill="FFFFFF"/>
        </w:rPr>
        <w:t>13309125523</w:t>
      </w:r>
    </w:p>
    <w:p w14:paraId="3A8D53BA">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auto"/>
        <w:rPr>
          <w:rFonts w:hint="eastAsia" w:ascii="宋体" w:hAnsi="宋体" w:eastAsia="宋体" w:cs="宋体"/>
          <w:b w:val="0"/>
          <w:bCs w:val="0"/>
          <w:sz w:val="24"/>
          <w:szCs w:val="24"/>
        </w:rPr>
      </w:pPr>
      <w:r>
        <w:rPr>
          <w:rFonts w:hint="eastAsia" w:ascii="宋体" w:hAnsi="宋体" w:eastAsia="宋体" w:cs="宋体"/>
          <w:b w:val="0"/>
          <w:bCs w:val="0"/>
          <w:i w:val="0"/>
          <w:iCs w:val="0"/>
          <w:caps w:val="0"/>
          <w:color w:val="333333"/>
          <w:spacing w:val="0"/>
          <w:sz w:val="24"/>
          <w:szCs w:val="24"/>
          <w:shd w:val="clear" w:fill="FFFFFF"/>
        </w:rPr>
        <w:t>2.采购代理机构信息</w:t>
      </w:r>
    </w:p>
    <w:p w14:paraId="08510A56">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名称：</w:t>
      </w:r>
      <w:r>
        <w:rPr>
          <w:rFonts w:hint="eastAsia" w:ascii="宋体" w:hAnsi="宋体" w:eastAsia="宋体" w:cs="宋体"/>
          <w:i w:val="0"/>
          <w:iCs w:val="0"/>
          <w:caps w:val="0"/>
          <w:color w:val="0A82E5"/>
          <w:spacing w:val="0"/>
          <w:sz w:val="24"/>
          <w:szCs w:val="24"/>
          <w:shd w:val="clear" w:fill="FFFFFF"/>
        </w:rPr>
        <w:t>鹏泽项目管理有限公司</w:t>
      </w:r>
    </w:p>
    <w:p w14:paraId="13055A10">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地址：</w:t>
      </w:r>
      <w:r>
        <w:rPr>
          <w:rFonts w:hint="eastAsia" w:ascii="宋体" w:hAnsi="宋体" w:eastAsia="宋体" w:cs="宋体"/>
          <w:i w:val="0"/>
          <w:iCs w:val="0"/>
          <w:caps w:val="0"/>
          <w:color w:val="0A82E5"/>
          <w:spacing w:val="0"/>
          <w:sz w:val="24"/>
          <w:szCs w:val="24"/>
          <w:shd w:val="clear" w:fill="FFFFFF"/>
        </w:rPr>
        <w:t>陕西省汉中市南郑区陕西省汉中市南郑区中所营街道办董家营村一组（董家营十字）</w:t>
      </w:r>
    </w:p>
    <w:p w14:paraId="7530A7C9">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联系方式：</w:t>
      </w:r>
      <w:r>
        <w:rPr>
          <w:rFonts w:hint="eastAsia" w:ascii="宋体" w:hAnsi="宋体" w:eastAsia="宋体" w:cs="宋体"/>
          <w:i w:val="0"/>
          <w:iCs w:val="0"/>
          <w:caps w:val="0"/>
          <w:color w:val="0A82E5"/>
          <w:spacing w:val="0"/>
          <w:sz w:val="24"/>
          <w:szCs w:val="24"/>
          <w:shd w:val="clear" w:fill="FFFFFF"/>
        </w:rPr>
        <w:t>18009160592</w:t>
      </w:r>
    </w:p>
    <w:p w14:paraId="12A1FDF4">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auto"/>
        <w:rPr>
          <w:rFonts w:hint="eastAsia" w:ascii="宋体" w:hAnsi="宋体" w:eastAsia="宋体" w:cs="宋体"/>
          <w:b w:val="0"/>
          <w:bCs w:val="0"/>
          <w:sz w:val="24"/>
          <w:szCs w:val="24"/>
        </w:rPr>
      </w:pPr>
      <w:r>
        <w:rPr>
          <w:rFonts w:hint="eastAsia" w:ascii="宋体" w:hAnsi="宋体" w:eastAsia="宋体" w:cs="宋体"/>
          <w:b w:val="0"/>
          <w:bCs w:val="0"/>
          <w:i w:val="0"/>
          <w:iCs w:val="0"/>
          <w:caps w:val="0"/>
          <w:color w:val="333333"/>
          <w:spacing w:val="0"/>
          <w:sz w:val="24"/>
          <w:szCs w:val="24"/>
          <w:shd w:val="clear" w:fill="FFFFFF"/>
        </w:rPr>
        <w:t>3.项目联系方式</w:t>
      </w:r>
    </w:p>
    <w:p w14:paraId="4300B78A">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项目联系人：</w:t>
      </w:r>
      <w:r>
        <w:rPr>
          <w:rFonts w:hint="eastAsia" w:ascii="宋体" w:hAnsi="宋体" w:eastAsia="宋体" w:cs="宋体"/>
          <w:i w:val="0"/>
          <w:iCs w:val="0"/>
          <w:caps w:val="0"/>
          <w:color w:val="0A82E5"/>
          <w:spacing w:val="0"/>
          <w:sz w:val="24"/>
          <w:szCs w:val="24"/>
          <w:shd w:val="clear" w:fill="FFFFFF"/>
        </w:rPr>
        <w:t>高工</w:t>
      </w:r>
    </w:p>
    <w:p w14:paraId="1A7B0B91">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电话：</w:t>
      </w:r>
      <w:r>
        <w:rPr>
          <w:rFonts w:hint="eastAsia" w:ascii="宋体" w:hAnsi="宋体" w:eastAsia="宋体" w:cs="宋体"/>
          <w:i w:val="0"/>
          <w:iCs w:val="0"/>
          <w:caps w:val="0"/>
          <w:color w:val="0A82E5"/>
          <w:spacing w:val="0"/>
          <w:sz w:val="24"/>
          <w:szCs w:val="24"/>
          <w:shd w:val="clear" w:fill="FFFFFF"/>
        </w:rPr>
        <w:t>18392098590</w:t>
      </w:r>
    </w:p>
    <w:p w14:paraId="32FFC4C1">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auto"/>
        <w:rPr>
          <w:rFonts w:hint="eastAsia" w:ascii="宋体" w:hAnsi="宋体" w:eastAsia="宋体" w:cs="宋体"/>
          <w:i w:val="0"/>
          <w:iCs w:val="0"/>
          <w:caps w:val="0"/>
          <w:color w:val="333333"/>
          <w:spacing w:val="0"/>
          <w:sz w:val="24"/>
          <w:szCs w:val="24"/>
          <w:shd w:val="clear" w:fill="FFFFFF"/>
        </w:rPr>
      </w:pPr>
    </w:p>
    <w:p w14:paraId="75274A9C">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auto"/>
        <w:rPr>
          <w:rFonts w:hint="eastAsia" w:ascii="宋体" w:hAnsi="宋体" w:eastAsia="宋体" w:cs="宋体"/>
          <w:i w:val="0"/>
          <w:iCs w:val="0"/>
          <w:caps w:val="0"/>
          <w:color w:val="333333"/>
          <w:spacing w:val="0"/>
          <w:sz w:val="24"/>
          <w:szCs w:val="24"/>
          <w:shd w:val="clear" w:fill="FFFFFF"/>
        </w:rPr>
      </w:pPr>
    </w:p>
    <w:p w14:paraId="46597B3B">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val="0"/>
        <w:snapToGrid w:val="0"/>
        <w:spacing w:before="0" w:beforeAutospacing="0" w:after="0" w:afterAutospacing="0" w:line="360" w:lineRule="auto"/>
        <w:ind w:left="0" w:right="0" w:firstLine="560" w:firstLineChars="200"/>
        <w:jc w:val="both"/>
        <w:textAlignment w:val="auto"/>
        <w:rPr>
          <w:rFonts w:hint="eastAsia" w:ascii="宋体" w:hAnsi="宋体" w:eastAsia="宋体" w:cs="宋体"/>
          <w:i w:val="0"/>
          <w:iCs w:val="0"/>
          <w:caps w:val="0"/>
          <w:color w:val="333333"/>
          <w:spacing w:val="0"/>
          <w:sz w:val="28"/>
          <w:szCs w:val="28"/>
          <w:shd w:val="clear" w:fill="FFFFFF"/>
        </w:rPr>
      </w:pPr>
    </w:p>
    <w:p w14:paraId="2632A40C">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val="0"/>
        <w:snapToGrid w:val="0"/>
        <w:spacing w:before="0" w:beforeAutospacing="0" w:after="0" w:afterAutospacing="0" w:line="360" w:lineRule="auto"/>
        <w:ind w:left="0" w:right="0" w:firstLine="560" w:firstLineChars="200"/>
        <w:jc w:val="right"/>
        <w:textAlignment w:val="auto"/>
        <w:rPr>
          <w:rFonts w:hint="eastAsia" w:ascii="宋体" w:hAnsi="宋体" w:eastAsia="宋体" w:cs="宋体"/>
          <w:i w:val="0"/>
          <w:iCs w:val="0"/>
          <w:caps w:val="0"/>
          <w:color w:val="333333"/>
          <w:spacing w:val="0"/>
          <w:sz w:val="28"/>
          <w:szCs w:val="28"/>
        </w:rPr>
      </w:pPr>
      <w:r>
        <w:rPr>
          <w:rFonts w:hint="eastAsia" w:ascii="宋体" w:hAnsi="宋体" w:eastAsia="宋体" w:cs="宋体"/>
          <w:i w:val="0"/>
          <w:iCs w:val="0"/>
          <w:caps w:val="0"/>
          <w:color w:val="333333"/>
          <w:spacing w:val="0"/>
          <w:sz w:val="28"/>
          <w:szCs w:val="28"/>
          <w:shd w:val="clear" w:fill="FFFFFF"/>
        </w:rPr>
        <w:t>鹏泽项目管理有限公司</w:t>
      </w:r>
    </w:p>
    <w:p w14:paraId="0F84DF66">
      <w:pPr>
        <w:pStyle w:val="21"/>
        <w:widowControl/>
        <w:spacing w:before="0" w:beforeAutospacing="0" w:after="0" w:afterAutospacing="0" w:line="360" w:lineRule="auto"/>
        <w:ind w:firstLine="480"/>
        <w:jc w:val="right"/>
        <w:rPr>
          <w:rFonts w:hint="eastAsia" w:ascii="宋体" w:hAnsi="宋体" w:eastAsia="宋体" w:cs="宋体"/>
          <w:color w:val="auto"/>
          <w:sz w:val="28"/>
          <w:szCs w:val="28"/>
          <w:highlight w:val="none"/>
          <w:shd w:val="clear" w:color="auto" w:fill="FFFFFF"/>
        </w:rPr>
      </w:pPr>
      <w:r>
        <w:rPr>
          <w:rFonts w:hint="eastAsia" w:ascii="宋体" w:hAnsi="宋体" w:eastAsia="宋体" w:cs="宋体"/>
          <w:color w:val="auto"/>
          <w:sz w:val="28"/>
          <w:szCs w:val="28"/>
          <w:highlight w:val="none"/>
          <w:shd w:val="clear" w:color="auto" w:fill="FFFFFF"/>
        </w:rPr>
        <w:t>202</w:t>
      </w:r>
      <w:r>
        <w:rPr>
          <w:rFonts w:hint="eastAsia" w:ascii="宋体" w:hAnsi="宋体" w:eastAsia="宋体" w:cs="宋体"/>
          <w:color w:val="auto"/>
          <w:sz w:val="28"/>
          <w:szCs w:val="28"/>
          <w:highlight w:val="none"/>
          <w:shd w:val="clear" w:color="auto" w:fill="FFFFFF"/>
          <w:lang w:val="en-US" w:eastAsia="zh-CN"/>
        </w:rPr>
        <w:t>6</w:t>
      </w:r>
      <w:r>
        <w:rPr>
          <w:rFonts w:hint="eastAsia" w:ascii="宋体" w:hAnsi="宋体" w:eastAsia="宋体" w:cs="宋体"/>
          <w:color w:val="auto"/>
          <w:sz w:val="28"/>
          <w:szCs w:val="28"/>
          <w:highlight w:val="none"/>
          <w:shd w:val="clear" w:color="auto" w:fill="FFFFFF"/>
        </w:rPr>
        <w:t>年</w:t>
      </w:r>
      <w:r>
        <w:rPr>
          <w:rFonts w:hint="eastAsia" w:ascii="宋体" w:hAnsi="宋体" w:cs="宋体"/>
          <w:color w:val="auto"/>
          <w:sz w:val="28"/>
          <w:szCs w:val="28"/>
          <w:highlight w:val="none"/>
          <w:shd w:val="clear" w:color="auto" w:fill="FFFFFF"/>
          <w:lang w:val="en-US" w:eastAsia="zh-CN"/>
        </w:rPr>
        <w:t>10</w:t>
      </w:r>
      <w:r>
        <w:rPr>
          <w:rFonts w:hint="eastAsia" w:ascii="宋体" w:hAnsi="宋体" w:eastAsia="宋体" w:cs="宋体"/>
          <w:color w:val="auto"/>
          <w:sz w:val="28"/>
          <w:szCs w:val="28"/>
          <w:highlight w:val="none"/>
          <w:shd w:val="clear" w:color="auto" w:fill="FFFFFF"/>
        </w:rPr>
        <w:t>月</w:t>
      </w:r>
      <w:r>
        <w:rPr>
          <w:rFonts w:hint="eastAsia" w:ascii="宋体" w:hAnsi="宋体" w:cs="宋体"/>
          <w:color w:val="auto"/>
          <w:sz w:val="28"/>
          <w:szCs w:val="28"/>
          <w:highlight w:val="none"/>
          <w:shd w:val="clear" w:color="auto" w:fill="FFFFFF"/>
          <w:lang w:val="en-US" w:eastAsia="zh-CN"/>
        </w:rPr>
        <w:t>19</w:t>
      </w:r>
      <w:r>
        <w:rPr>
          <w:rFonts w:hint="eastAsia" w:ascii="宋体" w:hAnsi="宋体" w:eastAsia="宋体" w:cs="宋体"/>
          <w:color w:val="auto"/>
          <w:sz w:val="28"/>
          <w:szCs w:val="28"/>
          <w:highlight w:val="none"/>
          <w:shd w:val="clear" w:color="auto" w:fill="FFFFFF"/>
        </w:rPr>
        <w:t>日</w:t>
      </w:r>
    </w:p>
    <w:p w14:paraId="13064B61">
      <w:pPr>
        <w:pStyle w:val="2"/>
        <w:snapToGrid w:val="0"/>
        <w:spacing w:line="360" w:lineRule="auto"/>
        <w:jc w:val="right"/>
        <w:rPr>
          <w:rFonts w:hint="eastAsia" w:ascii="宋体" w:hAnsi="宋体" w:eastAsia="宋体" w:cs="宋体"/>
          <w:b w:val="0"/>
          <w:bCs/>
          <w:color w:val="auto"/>
          <w:sz w:val="28"/>
          <w:szCs w:val="28"/>
          <w:highlight w:val="none"/>
        </w:rPr>
        <w:sectPr>
          <w:headerReference r:id="rId8" w:type="default"/>
          <w:footerReference r:id="rId9" w:type="default"/>
          <w:footnotePr>
            <w:pos w:val="beneathText"/>
          </w:footnotePr>
          <w:pgSz w:w="11906" w:h="16838"/>
          <w:pgMar w:top="1440" w:right="1080" w:bottom="1440" w:left="1080" w:header="964" w:footer="1134" w:gutter="0"/>
          <w:pgNumType w:fmt="decimal" w:start="1"/>
          <w:cols w:space="720" w:num="1"/>
          <w:docGrid w:type="lines" w:linePitch="312" w:charSpace="0"/>
        </w:sectPr>
      </w:pPr>
    </w:p>
    <w:p w14:paraId="213C3011">
      <w:pPr>
        <w:pStyle w:val="2"/>
        <w:snapToGrid w:val="0"/>
        <w:spacing w:line="460" w:lineRule="exact"/>
        <w:jc w:val="center"/>
        <w:rPr>
          <w:rFonts w:hint="eastAsia" w:ascii="宋体" w:hAnsi="宋体" w:eastAsia="宋体" w:cs="宋体"/>
          <w:b w:val="0"/>
          <w:bCs/>
          <w:color w:val="auto"/>
          <w:sz w:val="32"/>
          <w:szCs w:val="32"/>
          <w:highlight w:val="none"/>
          <w:lang w:val="en-US" w:eastAsia="zh-CN"/>
        </w:rPr>
      </w:pPr>
      <w:bookmarkStart w:id="30" w:name="_Toc31218"/>
      <w:bookmarkStart w:id="31" w:name="_Toc25408"/>
      <w:r>
        <w:rPr>
          <w:rFonts w:hint="eastAsia" w:ascii="宋体" w:hAnsi="宋体" w:eastAsia="宋体" w:cs="宋体"/>
          <w:b w:val="0"/>
          <w:bCs/>
          <w:color w:val="auto"/>
          <w:sz w:val="32"/>
          <w:szCs w:val="32"/>
          <w:highlight w:val="none"/>
        </w:rPr>
        <w:t>第</w:t>
      </w:r>
      <w:r>
        <w:rPr>
          <w:rFonts w:hint="eastAsia" w:ascii="宋体" w:hAnsi="宋体" w:eastAsia="宋体" w:cs="宋体"/>
          <w:b w:val="0"/>
          <w:bCs/>
          <w:color w:val="auto"/>
          <w:sz w:val="32"/>
          <w:szCs w:val="32"/>
          <w:highlight w:val="none"/>
          <w:lang w:val="en-US" w:eastAsia="zh-CN"/>
        </w:rPr>
        <w:t>二</w:t>
      </w:r>
      <w:r>
        <w:rPr>
          <w:rFonts w:hint="eastAsia" w:ascii="宋体" w:hAnsi="宋体" w:eastAsia="宋体" w:cs="宋体"/>
          <w:b w:val="0"/>
          <w:bCs/>
          <w:color w:val="auto"/>
          <w:sz w:val="32"/>
          <w:szCs w:val="32"/>
          <w:highlight w:val="none"/>
        </w:rPr>
        <w:t xml:space="preserve">部分  </w:t>
      </w:r>
      <w:r>
        <w:rPr>
          <w:rFonts w:hint="eastAsia" w:ascii="宋体" w:hAnsi="宋体" w:eastAsia="宋体" w:cs="宋体"/>
          <w:b w:val="0"/>
          <w:bCs/>
          <w:color w:val="auto"/>
          <w:sz w:val="32"/>
          <w:szCs w:val="32"/>
          <w:highlight w:val="none"/>
          <w:lang w:val="en-US" w:eastAsia="zh-CN"/>
        </w:rPr>
        <w:t>供应商须知前附表</w:t>
      </w:r>
      <w:bookmarkEnd w:id="19"/>
      <w:bookmarkEnd w:id="20"/>
      <w:bookmarkEnd w:id="21"/>
      <w:bookmarkEnd w:id="22"/>
      <w:bookmarkEnd w:id="23"/>
      <w:bookmarkEnd w:id="24"/>
      <w:bookmarkEnd w:id="25"/>
      <w:bookmarkEnd w:id="30"/>
      <w:bookmarkEnd w:id="31"/>
    </w:p>
    <w:tbl>
      <w:tblPr>
        <w:tblStyle w:val="24"/>
        <w:tblW w:w="97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8"/>
        <w:gridCol w:w="9088"/>
      </w:tblGrid>
      <w:tr w14:paraId="32869C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blHeader/>
          <w:jc w:val="center"/>
        </w:trPr>
        <w:tc>
          <w:tcPr>
            <w:tcW w:w="698" w:type="dxa"/>
            <w:noWrap w:val="0"/>
            <w:vAlign w:val="center"/>
          </w:tcPr>
          <w:p w14:paraId="5C314979">
            <w:pPr>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项号</w:t>
            </w:r>
          </w:p>
        </w:tc>
        <w:tc>
          <w:tcPr>
            <w:tcW w:w="9088" w:type="dxa"/>
            <w:noWrap w:val="0"/>
            <w:vAlign w:val="center"/>
          </w:tcPr>
          <w:p w14:paraId="27339528">
            <w:pPr>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编列内容</w:t>
            </w:r>
          </w:p>
        </w:tc>
      </w:tr>
      <w:tr w14:paraId="2EAACE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5" w:hRule="atLeast"/>
          <w:jc w:val="center"/>
        </w:trPr>
        <w:tc>
          <w:tcPr>
            <w:tcW w:w="698" w:type="dxa"/>
            <w:noWrap w:val="0"/>
            <w:vAlign w:val="center"/>
          </w:tcPr>
          <w:p w14:paraId="09DE28DD">
            <w:pPr>
              <w:numPr>
                <w:ilvl w:val="0"/>
                <w:numId w:val="1"/>
              </w:numPr>
              <w:spacing w:line="360" w:lineRule="auto"/>
              <w:jc w:val="center"/>
              <w:rPr>
                <w:rFonts w:hint="eastAsia" w:ascii="宋体" w:hAnsi="宋体" w:eastAsia="宋体" w:cs="宋体"/>
                <w:bCs/>
                <w:color w:val="auto"/>
                <w:sz w:val="24"/>
                <w:szCs w:val="24"/>
                <w:highlight w:val="none"/>
              </w:rPr>
            </w:pPr>
          </w:p>
        </w:tc>
        <w:tc>
          <w:tcPr>
            <w:tcW w:w="9088" w:type="dxa"/>
            <w:noWrap w:val="0"/>
            <w:vAlign w:val="center"/>
          </w:tcPr>
          <w:p w14:paraId="6793E342">
            <w:pPr>
              <w:spacing w:line="360" w:lineRule="auto"/>
              <w:ind w:leftChars="-9" w:hanging="19" w:hangingChars="8"/>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采购项目名称：</w:t>
            </w:r>
            <w:r>
              <w:rPr>
                <w:rFonts w:hint="eastAsia" w:ascii="宋体" w:hAnsi="宋体" w:cs="宋体"/>
                <w:bCs/>
                <w:color w:val="auto"/>
                <w:sz w:val="24"/>
                <w:szCs w:val="24"/>
                <w:highlight w:val="none"/>
                <w:lang w:eastAsia="zh-CN"/>
              </w:rPr>
              <w:t>中共绥德县委机关灶务承包服务(二次)</w:t>
            </w:r>
          </w:p>
          <w:p w14:paraId="265CBE62">
            <w:pPr>
              <w:spacing w:line="360" w:lineRule="auto"/>
              <w:ind w:leftChars="-9" w:hanging="19" w:hangingChars="8"/>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采购项目编号：</w:t>
            </w:r>
            <w:r>
              <w:rPr>
                <w:rFonts w:hint="eastAsia" w:ascii="宋体" w:hAnsi="宋体" w:cs="宋体"/>
                <w:bCs/>
                <w:color w:val="auto"/>
                <w:sz w:val="24"/>
                <w:szCs w:val="24"/>
                <w:highlight w:val="none"/>
                <w:lang w:eastAsia="zh-CN"/>
              </w:rPr>
              <w:t>SXCG-PZ-2026006.1B1</w:t>
            </w:r>
          </w:p>
        </w:tc>
      </w:tr>
      <w:tr w14:paraId="24ED08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1" w:hRule="atLeast"/>
          <w:jc w:val="center"/>
        </w:trPr>
        <w:tc>
          <w:tcPr>
            <w:tcW w:w="698" w:type="dxa"/>
            <w:noWrap w:val="0"/>
            <w:vAlign w:val="center"/>
          </w:tcPr>
          <w:p w14:paraId="4FC7D4A2">
            <w:pPr>
              <w:numPr>
                <w:ilvl w:val="0"/>
                <w:numId w:val="1"/>
              </w:numPr>
              <w:spacing w:line="360" w:lineRule="auto"/>
              <w:jc w:val="center"/>
              <w:rPr>
                <w:rFonts w:hint="eastAsia" w:ascii="宋体" w:hAnsi="宋体" w:eastAsia="宋体" w:cs="宋体"/>
                <w:bCs/>
                <w:color w:val="auto"/>
                <w:sz w:val="24"/>
                <w:szCs w:val="24"/>
                <w:highlight w:val="none"/>
              </w:rPr>
            </w:pPr>
          </w:p>
        </w:tc>
        <w:tc>
          <w:tcPr>
            <w:tcW w:w="9088" w:type="dxa"/>
            <w:noWrap w:val="0"/>
            <w:vAlign w:val="center"/>
          </w:tcPr>
          <w:p w14:paraId="13F3CFF2">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项目性质：财政拨款</w:t>
            </w:r>
          </w:p>
          <w:p w14:paraId="1FA7CD11">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本项目采购预算：</w:t>
            </w:r>
            <w:r>
              <w:rPr>
                <w:rFonts w:hint="eastAsia" w:ascii="宋体" w:hAnsi="宋体" w:cs="宋体"/>
                <w:bCs/>
                <w:color w:val="auto"/>
                <w:sz w:val="24"/>
                <w:szCs w:val="24"/>
                <w:highlight w:val="none"/>
                <w:lang w:eastAsia="zh-CN"/>
              </w:rPr>
              <w:t>680,400.00</w:t>
            </w:r>
            <w:r>
              <w:rPr>
                <w:rFonts w:hint="eastAsia" w:ascii="宋体" w:hAnsi="宋体" w:eastAsia="宋体" w:cs="宋体"/>
                <w:bCs/>
                <w:color w:val="auto"/>
                <w:sz w:val="24"/>
                <w:szCs w:val="24"/>
                <w:highlight w:val="none"/>
              </w:rPr>
              <w:t>元。</w:t>
            </w:r>
          </w:p>
          <w:p w14:paraId="3D309C64">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供应商报价超出采购预算，作为不实质响应竞争性谈判文件，按无谈判响应文件处理。</w:t>
            </w:r>
          </w:p>
        </w:tc>
      </w:tr>
      <w:tr w14:paraId="4A6C17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1" w:hRule="atLeast"/>
          <w:jc w:val="center"/>
        </w:trPr>
        <w:tc>
          <w:tcPr>
            <w:tcW w:w="698" w:type="dxa"/>
            <w:noWrap w:val="0"/>
            <w:vAlign w:val="center"/>
          </w:tcPr>
          <w:p w14:paraId="5CCFA5A6">
            <w:pPr>
              <w:numPr>
                <w:ilvl w:val="0"/>
                <w:numId w:val="1"/>
              </w:numPr>
              <w:spacing w:line="360" w:lineRule="auto"/>
              <w:jc w:val="center"/>
              <w:rPr>
                <w:rFonts w:hint="eastAsia" w:ascii="宋体" w:hAnsi="宋体" w:eastAsia="宋体" w:cs="宋体"/>
                <w:bCs/>
                <w:color w:val="auto"/>
                <w:sz w:val="24"/>
                <w:szCs w:val="24"/>
                <w:highlight w:val="none"/>
              </w:rPr>
            </w:pPr>
          </w:p>
        </w:tc>
        <w:tc>
          <w:tcPr>
            <w:tcW w:w="9088" w:type="dxa"/>
            <w:noWrap w:val="0"/>
            <w:vAlign w:val="center"/>
          </w:tcPr>
          <w:p w14:paraId="4D1D4C59">
            <w:pPr>
              <w:spacing w:line="360" w:lineRule="auto"/>
              <w:ind w:left="960" w:hanging="960" w:hangingChars="400"/>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采购人：</w:t>
            </w:r>
            <w:r>
              <w:rPr>
                <w:rFonts w:hint="eastAsia" w:ascii="宋体" w:hAnsi="宋体" w:cs="宋体"/>
                <w:bCs/>
                <w:color w:val="auto"/>
                <w:sz w:val="24"/>
                <w:szCs w:val="24"/>
                <w:highlight w:val="none"/>
                <w:lang w:eastAsia="zh-CN"/>
              </w:rPr>
              <w:t>中共绥德县委办公室</w:t>
            </w:r>
          </w:p>
          <w:p w14:paraId="60F73772">
            <w:pPr>
              <w:spacing w:line="360" w:lineRule="auto"/>
              <w:ind w:left="960" w:hanging="960" w:hangingChars="400"/>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采购代理机构：</w:t>
            </w:r>
            <w:r>
              <w:rPr>
                <w:rFonts w:hint="eastAsia" w:ascii="宋体" w:hAnsi="宋体" w:cs="宋体"/>
                <w:bCs/>
                <w:color w:val="auto"/>
                <w:sz w:val="24"/>
                <w:szCs w:val="24"/>
                <w:highlight w:val="none"/>
                <w:lang w:eastAsia="zh-CN"/>
              </w:rPr>
              <w:t>鹏泽项目管理有限公司</w:t>
            </w:r>
          </w:p>
        </w:tc>
      </w:tr>
      <w:tr w14:paraId="478167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9" w:hRule="atLeast"/>
          <w:jc w:val="center"/>
        </w:trPr>
        <w:tc>
          <w:tcPr>
            <w:tcW w:w="698" w:type="dxa"/>
            <w:noWrap w:val="0"/>
            <w:vAlign w:val="center"/>
          </w:tcPr>
          <w:p w14:paraId="2601264F">
            <w:pPr>
              <w:numPr>
                <w:ilvl w:val="0"/>
                <w:numId w:val="1"/>
              </w:numPr>
              <w:spacing w:line="360" w:lineRule="auto"/>
              <w:jc w:val="center"/>
              <w:rPr>
                <w:rFonts w:hint="eastAsia" w:ascii="宋体" w:hAnsi="宋体" w:eastAsia="宋体" w:cs="宋体"/>
                <w:bCs/>
                <w:color w:val="auto"/>
                <w:sz w:val="24"/>
                <w:szCs w:val="24"/>
                <w:highlight w:val="none"/>
              </w:rPr>
            </w:pPr>
          </w:p>
        </w:tc>
        <w:tc>
          <w:tcPr>
            <w:tcW w:w="9088" w:type="dxa"/>
            <w:noWrap w:val="0"/>
            <w:vAlign w:val="center"/>
          </w:tcPr>
          <w:p w14:paraId="06E08FD5">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采购内容具体见竞争性谈判文件第六部分采购内容及要求</w:t>
            </w:r>
          </w:p>
          <w:p w14:paraId="64E02FA8">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本次采购、报价、谈判、评审和合同授予均以项目为单位，供应商必须就整个项目进行响应。</w:t>
            </w:r>
          </w:p>
        </w:tc>
      </w:tr>
      <w:tr w14:paraId="4FAA05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jc w:val="center"/>
        </w:trPr>
        <w:tc>
          <w:tcPr>
            <w:tcW w:w="698" w:type="dxa"/>
            <w:noWrap w:val="0"/>
            <w:vAlign w:val="center"/>
          </w:tcPr>
          <w:p w14:paraId="4675AFDD">
            <w:pPr>
              <w:numPr>
                <w:ilvl w:val="0"/>
                <w:numId w:val="1"/>
              </w:numPr>
              <w:spacing w:line="360" w:lineRule="auto"/>
              <w:jc w:val="center"/>
              <w:rPr>
                <w:rFonts w:hint="eastAsia" w:ascii="宋体" w:hAnsi="宋体" w:eastAsia="宋体" w:cs="宋体"/>
                <w:bCs/>
                <w:color w:val="auto"/>
                <w:sz w:val="24"/>
                <w:szCs w:val="24"/>
                <w:highlight w:val="none"/>
              </w:rPr>
            </w:pPr>
          </w:p>
        </w:tc>
        <w:tc>
          <w:tcPr>
            <w:tcW w:w="9088" w:type="dxa"/>
            <w:noWrap w:val="0"/>
            <w:vAlign w:val="center"/>
          </w:tcPr>
          <w:p w14:paraId="1D1A5928">
            <w:pPr>
              <w:spacing w:line="360" w:lineRule="auto"/>
              <w:rPr>
                <w:rFonts w:hint="eastAsia" w:ascii="宋体" w:hAnsi="宋体" w:eastAsia="宋体" w:cs="宋体"/>
                <w:bCs/>
                <w:color w:val="auto"/>
                <w:highlight w:val="none"/>
              </w:rPr>
            </w:pPr>
            <w:r>
              <w:rPr>
                <w:rFonts w:hint="eastAsia" w:ascii="宋体" w:hAnsi="宋体" w:eastAsia="宋体" w:cs="宋体"/>
                <w:bCs/>
                <w:color w:val="auto"/>
                <w:sz w:val="24"/>
                <w:szCs w:val="24"/>
                <w:highlight w:val="none"/>
              </w:rPr>
              <w:t>投标报价：报价包含完成本次投标项目所包含的一切相关费用。</w:t>
            </w:r>
          </w:p>
        </w:tc>
      </w:tr>
      <w:tr w14:paraId="5FB886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3" w:hRule="atLeast"/>
          <w:jc w:val="center"/>
        </w:trPr>
        <w:tc>
          <w:tcPr>
            <w:tcW w:w="698" w:type="dxa"/>
            <w:noWrap w:val="0"/>
            <w:vAlign w:val="center"/>
          </w:tcPr>
          <w:p w14:paraId="1810F9FA">
            <w:pPr>
              <w:numPr>
                <w:ilvl w:val="0"/>
                <w:numId w:val="1"/>
              </w:numPr>
              <w:spacing w:line="360" w:lineRule="auto"/>
              <w:jc w:val="center"/>
              <w:rPr>
                <w:rFonts w:hint="eastAsia" w:ascii="宋体" w:hAnsi="宋体" w:eastAsia="宋体" w:cs="宋体"/>
                <w:bCs/>
                <w:color w:val="auto"/>
                <w:sz w:val="24"/>
                <w:szCs w:val="24"/>
                <w:highlight w:val="none"/>
              </w:rPr>
            </w:pPr>
          </w:p>
        </w:tc>
        <w:tc>
          <w:tcPr>
            <w:tcW w:w="9088" w:type="dxa"/>
            <w:noWrap w:val="0"/>
            <w:vAlign w:val="center"/>
          </w:tcPr>
          <w:p w14:paraId="1491A2CC">
            <w:pPr>
              <w:adjustRightInd w:val="0"/>
              <w:snapToGrid w:val="0"/>
              <w:spacing w:line="450" w:lineRule="exact"/>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竞争性谈判响应文件递交截止时间：</w:t>
            </w:r>
            <w:r>
              <w:rPr>
                <w:rFonts w:hint="eastAsia" w:ascii="宋体" w:hAnsi="宋体" w:cs="宋体"/>
                <w:bCs/>
                <w:color w:val="auto"/>
                <w:sz w:val="24"/>
                <w:szCs w:val="24"/>
                <w:highlight w:val="none"/>
                <w:lang w:eastAsia="zh-CN"/>
              </w:rPr>
              <w:t xml:space="preserve">2026年10月23日 13时30分00秒 </w:t>
            </w:r>
            <w:r>
              <w:rPr>
                <w:rFonts w:hint="eastAsia" w:ascii="宋体" w:hAnsi="宋体" w:eastAsia="宋体" w:cs="宋体"/>
                <w:bCs/>
                <w:color w:val="auto"/>
                <w:sz w:val="24"/>
                <w:szCs w:val="24"/>
                <w:highlight w:val="none"/>
              </w:rPr>
              <w:t>（北京时间）</w:t>
            </w:r>
          </w:p>
          <w:p w14:paraId="1D374C12">
            <w:pPr>
              <w:adjustRightInd w:val="0"/>
              <w:snapToGrid w:val="0"/>
              <w:spacing w:line="450" w:lineRule="exact"/>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谈判时间：</w:t>
            </w:r>
            <w:r>
              <w:rPr>
                <w:rFonts w:hint="eastAsia" w:ascii="宋体" w:hAnsi="宋体" w:cs="宋体"/>
                <w:bCs/>
                <w:color w:val="auto"/>
                <w:sz w:val="24"/>
                <w:szCs w:val="24"/>
                <w:highlight w:val="none"/>
                <w:lang w:eastAsia="zh-CN"/>
              </w:rPr>
              <w:t>  2026年10月23日 13时30分00秒  </w:t>
            </w:r>
            <w:r>
              <w:rPr>
                <w:rFonts w:hint="eastAsia" w:ascii="宋体" w:hAnsi="宋体" w:eastAsia="宋体" w:cs="宋体"/>
                <w:bCs/>
                <w:color w:val="auto"/>
                <w:sz w:val="24"/>
                <w:szCs w:val="24"/>
                <w:highlight w:val="none"/>
                <w:lang w:eastAsia="zh-CN"/>
              </w:rPr>
              <w:t xml:space="preserve">   </w:t>
            </w:r>
            <w:r>
              <w:rPr>
                <w:rFonts w:hint="eastAsia" w:ascii="宋体" w:hAnsi="宋体" w:eastAsia="宋体" w:cs="宋体"/>
                <w:bCs/>
                <w:color w:val="auto"/>
                <w:sz w:val="24"/>
                <w:szCs w:val="24"/>
                <w:highlight w:val="none"/>
              </w:rPr>
              <w:t xml:space="preserve"> （北京时间）       </w:t>
            </w:r>
          </w:p>
          <w:p w14:paraId="6438382A">
            <w:pPr>
              <w:spacing w:line="360" w:lineRule="auto"/>
              <w:rPr>
                <w:rFonts w:hint="eastAsia" w:ascii="宋体" w:hAnsi="宋体" w:eastAsia="宋体" w:cs="宋体"/>
                <w:bCs/>
                <w:color w:val="auto"/>
                <w:sz w:val="24"/>
                <w:szCs w:val="24"/>
                <w:highlight w:val="none"/>
                <w:u w:val="single"/>
                <w:lang w:eastAsia="zh-CN"/>
              </w:rPr>
            </w:pPr>
            <w:r>
              <w:rPr>
                <w:rFonts w:hint="eastAsia" w:ascii="宋体" w:hAnsi="宋体" w:eastAsia="宋体" w:cs="宋体"/>
                <w:bCs/>
                <w:color w:val="auto"/>
                <w:sz w:val="24"/>
                <w:szCs w:val="24"/>
                <w:highlight w:val="none"/>
              </w:rPr>
              <w:t>谈判地点：</w:t>
            </w:r>
            <w:r>
              <w:rPr>
                <w:rFonts w:hint="eastAsia" w:ascii="宋体" w:hAnsi="宋体" w:cs="宋体"/>
                <w:bCs/>
                <w:color w:val="0000FF"/>
                <w:sz w:val="24"/>
                <w:szCs w:val="24"/>
                <w:highlight w:val="none"/>
                <w:lang w:eastAsia="zh-CN"/>
              </w:rPr>
              <w:t>榆林市公共资源交易中心18楼开标室1820-2。</w:t>
            </w:r>
          </w:p>
        </w:tc>
      </w:tr>
      <w:tr w14:paraId="699110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3" w:hRule="atLeast"/>
          <w:jc w:val="center"/>
        </w:trPr>
        <w:tc>
          <w:tcPr>
            <w:tcW w:w="698" w:type="dxa"/>
            <w:noWrap w:val="0"/>
            <w:vAlign w:val="center"/>
          </w:tcPr>
          <w:p w14:paraId="222E931F">
            <w:pPr>
              <w:numPr>
                <w:ilvl w:val="0"/>
                <w:numId w:val="1"/>
              </w:numPr>
              <w:spacing w:line="360" w:lineRule="auto"/>
              <w:jc w:val="center"/>
              <w:rPr>
                <w:rFonts w:hint="eastAsia" w:ascii="宋体" w:hAnsi="宋体" w:eastAsia="宋体" w:cs="宋体"/>
                <w:bCs/>
                <w:color w:val="auto"/>
                <w:sz w:val="24"/>
                <w:szCs w:val="24"/>
                <w:highlight w:val="none"/>
              </w:rPr>
            </w:pPr>
          </w:p>
        </w:tc>
        <w:tc>
          <w:tcPr>
            <w:tcW w:w="9088" w:type="dxa"/>
            <w:noWrap w:val="0"/>
            <w:vAlign w:val="center"/>
          </w:tcPr>
          <w:p w14:paraId="2F799129">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是否退还谈判响应文件:</w:t>
            </w: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 eq \o\ac(□,</w:instrText>
            </w:r>
            <w:r>
              <w:rPr>
                <w:rFonts w:hint="eastAsia" w:ascii="宋体" w:hAnsi="宋体" w:eastAsia="宋体" w:cs="宋体"/>
                <w:bCs/>
                <w:color w:val="auto"/>
                <w:position w:val="2"/>
                <w:sz w:val="16"/>
                <w:szCs w:val="24"/>
                <w:highlight w:val="none"/>
              </w:rPr>
              <w:instrText xml:space="preserve">√</w:instrText>
            </w:r>
            <w:r>
              <w:rPr>
                <w:rFonts w:hint="eastAsia" w:ascii="宋体" w:hAnsi="宋体" w:eastAsia="宋体" w:cs="宋体"/>
                <w:bCs/>
                <w:color w:val="auto"/>
                <w:sz w:val="24"/>
                <w:szCs w:val="24"/>
                <w:highlight w:val="none"/>
              </w:rPr>
              <w:instrText xml:space="preserve">)</w:instrText>
            </w:r>
            <w:r>
              <w:rPr>
                <w:rFonts w:hint="eastAsia" w:ascii="宋体" w:hAnsi="宋体" w:eastAsia="宋体" w:cs="宋体"/>
                <w:bCs/>
                <w:color w:val="auto"/>
                <w:sz w:val="24"/>
                <w:szCs w:val="24"/>
                <w:highlight w:val="none"/>
              </w:rPr>
              <w:fldChar w:fldCharType="end"/>
            </w:r>
            <w:r>
              <w:rPr>
                <w:rFonts w:hint="eastAsia" w:ascii="宋体" w:hAnsi="宋体" w:eastAsia="宋体" w:cs="宋体"/>
                <w:bCs/>
                <w:color w:val="auto"/>
                <w:sz w:val="24"/>
                <w:szCs w:val="24"/>
                <w:highlight w:val="none"/>
              </w:rPr>
              <w:t>否</w:t>
            </w: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 eq \o\ac(□)</w:instrText>
            </w:r>
            <w:r>
              <w:rPr>
                <w:rFonts w:hint="eastAsia" w:ascii="宋体" w:hAnsi="宋体" w:eastAsia="宋体" w:cs="宋体"/>
                <w:bCs/>
                <w:color w:val="auto"/>
                <w:sz w:val="24"/>
                <w:szCs w:val="24"/>
                <w:highlight w:val="none"/>
              </w:rPr>
              <w:fldChar w:fldCharType="end"/>
            </w:r>
            <w:r>
              <w:rPr>
                <w:rFonts w:hint="eastAsia" w:ascii="宋体" w:hAnsi="宋体" w:eastAsia="宋体" w:cs="宋体"/>
                <w:bCs/>
                <w:color w:val="auto"/>
                <w:sz w:val="24"/>
                <w:szCs w:val="24"/>
                <w:highlight w:val="none"/>
              </w:rPr>
              <w:t>是</w:t>
            </w:r>
          </w:p>
        </w:tc>
      </w:tr>
      <w:tr w14:paraId="0737B6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3" w:hRule="atLeast"/>
          <w:jc w:val="center"/>
        </w:trPr>
        <w:tc>
          <w:tcPr>
            <w:tcW w:w="698" w:type="dxa"/>
            <w:noWrap w:val="0"/>
            <w:vAlign w:val="center"/>
          </w:tcPr>
          <w:p w14:paraId="466BF06A">
            <w:pPr>
              <w:numPr>
                <w:ilvl w:val="0"/>
                <w:numId w:val="1"/>
              </w:numPr>
              <w:spacing w:line="360" w:lineRule="auto"/>
              <w:jc w:val="center"/>
              <w:rPr>
                <w:rFonts w:hint="eastAsia" w:ascii="宋体" w:hAnsi="宋体" w:eastAsia="宋体" w:cs="宋体"/>
                <w:bCs/>
                <w:color w:val="auto"/>
                <w:sz w:val="24"/>
                <w:szCs w:val="24"/>
                <w:highlight w:val="none"/>
              </w:rPr>
            </w:pPr>
          </w:p>
        </w:tc>
        <w:tc>
          <w:tcPr>
            <w:tcW w:w="9088" w:type="dxa"/>
            <w:noWrap w:val="0"/>
            <w:vAlign w:val="center"/>
          </w:tcPr>
          <w:p w14:paraId="24DD7BA0">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不允许提供备选方案。</w:t>
            </w:r>
          </w:p>
        </w:tc>
      </w:tr>
      <w:tr w14:paraId="1F37FF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3" w:hRule="atLeast"/>
          <w:jc w:val="center"/>
        </w:trPr>
        <w:tc>
          <w:tcPr>
            <w:tcW w:w="698" w:type="dxa"/>
            <w:noWrap w:val="0"/>
            <w:vAlign w:val="center"/>
          </w:tcPr>
          <w:p w14:paraId="5458BA22">
            <w:pPr>
              <w:numPr>
                <w:ilvl w:val="0"/>
                <w:numId w:val="1"/>
              </w:numPr>
              <w:spacing w:line="360" w:lineRule="auto"/>
              <w:jc w:val="center"/>
              <w:rPr>
                <w:rFonts w:hint="eastAsia" w:ascii="宋体" w:hAnsi="宋体" w:eastAsia="宋体" w:cs="宋体"/>
                <w:bCs/>
                <w:color w:val="auto"/>
                <w:sz w:val="24"/>
                <w:szCs w:val="24"/>
                <w:highlight w:val="none"/>
              </w:rPr>
            </w:pPr>
          </w:p>
        </w:tc>
        <w:tc>
          <w:tcPr>
            <w:tcW w:w="9088" w:type="dxa"/>
            <w:noWrap w:val="0"/>
            <w:vAlign w:val="center"/>
          </w:tcPr>
          <w:p w14:paraId="2773B3CA">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本次招标采用项目整体打包方式，</w:t>
            </w:r>
            <w:r>
              <w:rPr>
                <w:rFonts w:hint="eastAsia" w:ascii="宋体" w:hAnsi="宋体" w:eastAsia="宋体" w:cs="宋体"/>
                <w:bCs/>
                <w:color w:val="auto"/>
                <w:sz w:val="24"/>
                <w:szCs w:val="24"/>
                <w:highlight w:val="none"/>
                <w:lang w:eastAsia="zh-CN"/>
              </w:rPr>
              <w:t>供应商</w:t>
            </w:r>
            <w:r>
              <w:rPr>
                <w:rFonts w:hint="eastAsia" w:ascii="宋体" w:hAnsi="宋体" w:eastAsia="宋体" w:cs="宋体"/>
                <w:bCs/>
                <w:color w:val="auto"/>
                <w:sz w:val="24"/>
                <w:szCs w:val="24"/>
                <w:highlight w:val="none"/>
              </w:rPr>
              <w:t>可根据自身的资质情况和经营范围进行投标，但不得将其自行分解或只对本次项目中的品目进行不完全投标，任何不完全的投标将按无效投标处理。</w:t>
            </w:r>
          </w:p>
        </w:tc>
      </w:tr>
      <w:tr w14:paraId="08CEE0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jc w:val="center"/>
        </w:trPr>
        <w:tc>
          <w:tcPr>
            <w:tcW w:w="698" w:type="dxa"/>
            <w:noWrap w:val="0"/>
            <w:vAlign w:val="center"/>
          </w:tcPr>
          <w:p w14:paraId="3DB54B02">
            <w:pPr>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10</w:t>
            </w:r>
          </w:p>
        </w:tc>
        <w:tc>
          <w:tcPr>
            <w:tcW w:w="9088" w:type="dxa"/>
            <w:noWrap w:val="0"/>
            <w:vAlign w:val="center"/>
          </w:tcPr>
          <w:p w14:paraId="13B8A0EE">
            <w:pPr>
              <w:spacing w:line="360" w:lineRule="auto"/>
              <w:rPr>
                <w:rFonts w:hint="eastAsia" w:ascii="宋体" w:hAnsi="宋体" w:cs="宋体"/>
                <w:bCs/>
                <w:color w:val="auto"/>
                <w:sz w:val="24"/>
                <w:szCs w:val="24"/>
                <w:highlight w:val="none"/>
                <w:lang w:eastAsia="zh-CN"/>
              </w:rPr>
            </w:pPr>
            <w:r>
              <w:rPr>
                <w:rFonts w:hint="eastAsia" w:ascii="宋体" w:hAnsi="宋体" w:eastAsia="宋体" w:cs="宋体"/>
                <w:bCs/>
                <w:color w:val="auto"/>
                <w:sz w:val="24"/>
                <w:szCs w:val="24"/>
                <w:highlight w:val="none"/>
              </w:rPr>
              <w:t>服务期：</w:t>
            </w:r>
            <w:r>
              <w:rPr>
                <w:rFonts w:hint="eastAsia" w:ascii="宋体" w:hAnsi="宋体" w:cs="宋体"/>
                <w:bCs/>
                <w:color w:val="auto"/>
                <w:sz w:val="24"/>
                <w:szCs w:val="24"/>
                <w:highlight w:val="none"/>
                <w:lang w:eastAsia="zh-CN"/>
              </w:rPr>
              <w:t>自合同签订生效之日起一年</w:t>
            </w:r>
          </w:p>
          <w:p w14:paraId="66985902">
            <w:pPr>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color w:val="auto"/>
                <w:kern w:val="0"/>
                <w:sz w:val="24"/>
                <w:lang w:eastAsia="zh-CN"/>
              </w:rPr>
              <w:t>（</w:t>
            </w:r>
            <w:r>
              <w:rPr>
                <w:rFonts w:hint="eastAsia" w:ascii="宋体" w:hAnsi="宋体" w:eastAsia="宋体" w:cs="宋体"/>
                <w:color w:val="auto"/>
                <w:kern w:val="0"/>
                <w:sz w:val="24"/>
              </w:rPr>
              <w:t>服务期满后如双方同意可续约，续约最多不超过一年</w:t>
            </w:r>
            <w:r>
              <w:rPr>
                <w:rFonts w:hint="eastAsia" w:ascii="宋体" w:hAnsi="宋体" w:eastAsia="宋体" w:cs="宋体"/>
                <w:color w:val="auto"/>
                <w:kern w:val="0"/>
                <w:sz w:val="24"/>
                <w:lang w:eastAsia="zh-CN"/>
              </w:rPr>
              <w:t>）</w:t>
            </w:r>
          </w:p>
        </w:tc>
      </w:tr>
      <w:tr w14:paraId="4465C3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3" w:hRule="atLeast"/>
          <w:jc w:val="center"/>
        </w:trPr>
        <w:tc>
          <w:tcPr>
            <w:tcW w:w="698" w:type="dxa"/>
            <w:noWrap w:val="0"/>
            <w:vAlign w:val="center"/>
          </w:tcPr>
          <w:p w14:paraId="778A5468">
            <w:pPr>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11</w:t>
            </w:r>
          </w:p>
        </w:tc>
        <w:tc>
          <w:tcPr>
            <w:tcW w:w="9088" w:type="dxa"/>
            <w:noWrap w:val="0"/>
            <w:vAlign w:val="center"/>
          </w:tcPr>
          <w:p w14:paraId="2749EB84">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服务地点：采购人指定地点</w:t>
            </w:r>
          </w:p>
        </w:tc>
      </w:tr>
      <w:tr w14:paraId="39E4C8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8" w:hRule="atLeast"/>
          <w:jc w:val="center"/>
        </w:trPr>
        <w:tc>
          <w:tcPr>
            <w:tcW w:w="698" w:type="dxa"/>
            <w:noWrap w:val="0"/>
            <w:vAlign w:val="center"/>
          </w:tcPr>
          <w:p w14:paraId="02F532DB">
            <w:pPr>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12</w:t>
            </w:r>
          </w:p>
        </w:tc>
        <w:tc>
          <w:tcPr>
            <w:tcW w:w="9088" w:type="dxa"/>
            <w:noWrap w:val="0"/>
            <w:vAlign w:val="center"/>
          </w:tcPr>
          <w:p w14:paraId="0E445D38">
            <w:pPr>
              <w:pStyle w:val="3"/>
              <w:spacing w:line="360" w:lineRule="auto"/>
              <w:rPr>
                <w:rFonts w:hint="eastAsia" w:ascii="宋体" w:hAnsi="宋体" w:eastAsia="宋体" w:cs="宋体"/>
                <w:b w:val="0"/>
                <w:bCs/>
                <w:color w:val="auto"/>
                <w:kern w:val="2"/>
                <w:sz w:val="24"/>
                <w:szCs w:val="24"/>
                <w:highlight w:val="none"/>
                <w:lang w:val="en-US" w:eastAsia="zh-CN" w:bidi="ar-SA"/>
              </w:rPr>
            </w:pPr>
            <w:bookmarkStart w:id="32" w:name="_Toc5325"/>
            <w:r>
              <w:rPr>
                <w:rFonts w:hint="eastAsia" w:ascii="宋体" w:hAnsi="宋体" w:eastAsia="宋体" w:cs="宋体"/>
                <w:b w:val="0"/>
                <w:bCs/>
                <w:color w:val="auto"/>
                <w:kern w:val="2"/>
                <w:sz w:val="24"/>
                <w:szCs w:val="24"/>
                <w:highlight w:val="none"/>
                <w:lang w:val="en-US" w:eastAsia="zh-CN" w:bidi="ar-SA"/>
              </w:rPr>
              <w:t>付款方式：</w:t>
            </w:r>
            <w:bookmarkEnd w:id="32"/>
            <w:bookmarkStart w:id="33" w:name="_Toc31524"/>
            <w:r>
              <w:rPr>
                <w:rFonts w:hint="eastAsia" w:ascii="宋体" w:hAnsi="宋体" w:eastAsia="宋体" w:cs="宋体"/>
                <w:b w:val="0"/>
                <w:bCs/>
                <w:color w:val="auto"/>
                <w:kern w:val="2"/>
                <w:sz w:val="24"/>
                <w:szCs w:val="24"/>
                <w:highlight w:val="none"/>
                <w:lang w:val="en-US" w:eastAsia="zh-CN" w:bidi="ar-SA"/>
              </w:rPr>
              <w:t>每月支付合同总价的8%，剩余服务期满一次性付清。</w:t>
            </w:r>
          </w:p>
          <w:p w14:paraId="4191555A">
            <w:pPr>
              <w:pStyle w:val="3"/>
              <w:spacing w:line="360" w:lineRule="auto"/>
              <w:rPr>
                <w:rFonts w:hint="eastAsia" w:ascii="宋体" w:hAnsi="宋体" w:eastAsia="宋体" w:cs="宋体"/>
                <w:b w:val="0"/>
                <w:bCs/>
                <w:color w:val="auto"/>
                <w:kern w:val="2"/>
                <w:highlight w:val="none"/>
                <w:lang w:val="en-US" w:eastAsia="zh-CN"/>
              </w:rPr>
            </w:pPr>
            <w:bookmarkStart w:id="34" w:name="_Toc20666"/>
            <w:r>
              <w:rPr>
                <w:rFonts w:hint="eastAsia" w:ascii="宋体" w:hAnsi="宋体" w:eastAsia="宋体" w:cs="宋体"/>
                <w:b w:val="0"/>
                <w:bCs/>
                <w:color w:val="auto"/>
                <w:kern w:val="2"/>
                <w:sz w:val="24"/>
                <w:szCs w:val="24"/>
                <w:highlight w:val="none"/>
                <w:lang w:val="en-US" w:eastAsia="zh-CN" w:bidi="ar-SA"/>
              </w:rPr>
              <w:t>注：付款前乙方须提供符合甲方财务要求的增值税发票，否则甲方有权拒付款项且不承担迟延付款的违约责任。</w:t>
            </w:r>
            <w:bookmarkEnd w:id="33"/>
            <w:bookmarkEnd w:id="34"/>
          </w:p>
        </w:tc>
      </w:tr>
      <w:tr w14:paraId="713DBA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atLeast"/>
          <w:jc w:val="center"/>
        </w:trPr>
        <w:tc>
          <w:tcPr>
            <w:tcW w:w="698" w:type="dxa"/>
            <w:noWrap w:val="0"/>
            <w:vAlign w:val="center"/>
          </w:tcPr>
          <w:p w14:paraId="072B1619">
            <w:pPr>
              <w:spacing w:line="360" w:lineRule="auto"/>
              <w:ind w:left="21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13</w:t>
            </w:r>
          </w:p>
        </w:tc>
        <w:tc>
          <w:tcPr>
            <w:tcW w:w="9088" w:type="dxa"/>
            <w:noWrap w:val="0"/>
            <w:vAlign w:val="center"/>
          </w:tcPr>
          <w:p w14:paraId="683D9138">
            <w:pPr>
              <w:pStyle w:val="51"/>
              <w:spacing w:before="90" w:line="360" w:lineRule="auto"/>
              <w:rPr>
                <w:rFonts w:hint="eastAsia" w:ascii="宋体" w:hAnsi="宋体" w:eastAsia="宋体" w:cs="宋体"/>
                <w:bCs/>
                <w:color w:val="auto"/>
                <w:sz w:val="24"/>
                <w:szCs w:val="24"/>
                <w:highlight w:val="none"/>
                <w:lang w:val="en-US" w:bidi="ar-SA"/>
              </w:rPr>
            </w:pPr>
            <w:r>
              <w:rPr>
                <w:rFonts w:hint="eastAsia" w:ascii="宋体" w:hAnsi="宋体" w:eastAsia="宋体" w:cs="宋体"/>
                <w:bCs/>
                <w:color w:val="auto"/>
                <w:sz w:val="24"/>
                <w:szCs w:val="24"/>
                <w:highlight w:val="none"/>
                <w:lang w:val="en-US" w:bidi="ar-SA"/>
              </w:rPr>
              <w:t>是否要求</w:t>
            </w:r>
            <w:r>
              <w:rPr>
                <w:rFonts w:hint="eastAsia" w:ascii="宋体" w:hAnsi="宋体" w:eastAsia="宋体" w:cs="宋体"/>
                <w:bCs/>
                <w:color w:val="auto"/>
                <w:sz w:val="24"/>
                <w:szCs w:val="24"/>
                <w:highlight w:val="none"/>
                <w:lang w:val="en-US" w:eastAsia="zh-CN" w:bidi="ar-SA"/>
              </w:rPr>
              <w:t>供应商</w:t>
            </w:r>
            <w:r>
              <w:rPr>
                <w:rFonts w:hint="eastAsia" w:ascii="宋体" w:hAnsi="宋体" w:eastAsia="宋体" w:cs="宋体"/>
                <w:bCs/>
                <w:color w:val="auto"/>
                <w:sz w:val="24"/>
                <w:szCs w:val="24"/>
                <w:highlight w:val="none"/>
                <w:lang w:val="en-US" w:bidi="ar-SA"/>
              </w:rPr>
              <w:t>递交投标保证金：</w:t>
            </w:r>
          </w:p>
          <w:p w14:paraId="3F29C448">
            <w:pPr>
              <w:pStyle w:val="51"/>
              <w:spacing w:line="360" w:lineRule="auto"/>
              <w:jc w:val="left"/>
              <w:rPr>
                <w:rFonts w:hint="eastAsia" w:ascii="宋体" w:hAnsi="宋体" w:eastAsia="宋体" w:cs="宋体"/>
                <w:bCs/>
                <w:color w:val="auto"/>
                <w:sz w:val="24"/>
                <w:szCs w:val="24"/>
                <w:highlight w:val="none"/>
                <w:lang w:val="en-US" w:bidi="ar-SA"/>
              </w:rPr>
            </w:pPr>
            <w:r>
              <w:rPr>
                <w:rFonts w:hint="eastAsia" w:ascii="宋体" w:hAnsi="宋体" w:eastAsia="宋体" w:cs="宋体"/>
                <w:bCs/>
                <w:color w:val="auto"/>
                <w:sz w:val="24"/>
                <w:szCs w:val="24"/>
                <w:highlight w:val="none"/>
                <w:lang w:val="en-US" w:bidi="ar-SA"/>
              </w:rPr>
              <w:t>□要求，投标保证金的金额：/</w:t>
            </w:r>
          </w:p>
          <w:p w14:paraId="55FCE479">
            <w:pPr>
              <w:spacing w:line="360" w:lineRule="auto"/>
              <w:jc w:val="left"/>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☑不要求</w:t>
            </w:r>
          </w:p>
          <w:p w14:paraId="49D30817">
            <w:pPr>
              <w:spacing w:line="360" w:lineRule="auto"/>
              <w:ind w:firstLine="480" w:firstLineChars="200"/>
              <w:rPr>
                <w:rFonts w:hint="eastAsia" w:ascii="宋体" w:hAnsi="宋体" w:eastAsia="宋体" w:cs="宋体"/>
                <w:bCs/>
                <w:color w:val="auto"/>
                <w:highlight w:val="none"/>
              </w:rPr>
            </w:pPr>
            <w:r>
              <w:rPr>
                <w:rFonts w:hint="eastAsia" w:ascii="宋体" w:hAnsi="宋体" w:eastAsia="宋体" w:cs="宋体"/>
                <w:bCs/>
                <w:color w:val="auto"/>
                <w:sz w:val="24"/>
                <w:szCs w:val="24"/>
                <w:highlight w:val="none"/>
              </w:rPr>
              <w:t>根据榆林市财政局下发的榆政财采发【2023】8号文件规定，各</w:t>
            </w:r>
            <w:r>
              <w:rPr>
                <w:rFonts w:hint="eastAsia" w:ascii="宋体" w:hAnsi="宋体" w:eastAsia="宋体" w:cs="宋体"/>
                <w:bCs/>
                <w:color w:val="auto"/>
                <w:sz w:val="24"/>
                <w:szCs w:val="24"/>
                <w:highlight w:val="none"/>
                <w:lang w:eastAsia="zh-CN"/>
              </w:rPr>
              <w:t>供应商</w:t>
            </w:r>
            <w:r>
              <w:rPr>
                <w:rFonts w:hint="eastAsia" w:ascii="宋体" w:hAnsi="宋体" w:eastAsia="宋体" w:cs="宋体"/>
                <w:bCs/>
                <w:color w:val="auto"/>
                <w:sz w:val="24"/>
                <w:szCs w:val="24"/>
                <w:highlight w:val="none"/>
              </w:rPr>
              <w:t>采用“投标信用承诺书”代替保证金。</w:t>
            </w:r>
            <w:r>
              <w:rPr>
                <w:rFonts w:hint="eastAsia" w:ascii="宋体" w:hAnsi="宋体" w:eastAsia="宋体" w:cs="宋体"/>
                <w:bCs/>
                <w:color w:val="auto"/>
                <w:sz w:val="24"/>
                <w:szCs w:val="24"/>
                <w:highlight w:val="none"/>
                <w:lang w:eastAsia="zh-CN"/>
              </w:rPr>
              <w:t>供应商</w:t>
            </w:r>
            <w:r>
              <w:rPr>
                <w:rFonts w:hint="eastAsia" w:ascii="宋体" w:hAnsi="宋体" w:eastAsia="宋体" w:cs="宋体"/>
                <w:bCs/>
                <w:color w:val="auto"/>
                <w:sz w:val="24"/>
                <w:szCs w:val="24"/>
                <w:highlight w:val="none"/>
              </w:rPr>
              <w:t>须将“投标信用承诺书”按要求签字盖章后上传至信用中国（陕西榆林）进行承诺公示，将公示后的截图附在谈判响应文件中（截图须体现项目名称）。（格式详见招标文件第九部分附件3）</w:t>
            </w:r>
          </w:p>
        </w:tc>
      </w:tr>
      <w:tr w14:paraId="5BF89C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3" w:hRule="atLeast"/>
          <w:jc w:val="center"/>
        </w:trPr>
        <w:tc>
          <w:tcPr>
            <w:tcW w:w="698" w:type="dxa"/>
            <w:noWrap w:val="0"/>
            <w:vAlign w:val="center"/>
          </w:tcPr>
          <w:p w14:paraId="7912385A">
            <w:pPr>
              <w:spacing w:line="360" w:lineRule="auto"/>
              <w:ind w:left="21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14</w:t>
            </w:r>
          </w:p>
        </w:tc>
        <w:tc>
          <w:tcPr>
            <w:tcW w:w="9088" w:type="dxa"/>
            <w:noWrap w:val="0"/>
            <w:vAlign w:val="center"/>
          </w:tcPr>
          <w:p w14:paraId="2F4F9A7E">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谈判有效期：</w:t>
            </w:r>
            <w:bookmarkStart w:id="35" w:name="OLE_LINK9"/>
            <w:bookmarkStart w:id="36" w:name="OLE_LINK10"/>
            <w:r>
              <w:rPr>
                <w:rFonts w:hint="eastAsia" w:ascii="宋体" w:hAnsi="宋体" w:eastAsia="宋体" w:cs="宋体"/>
                <w:bCs/>
                <w:color w:val="auto"/>
                <w:sz w:val="24"/>
                <w:szCs w:val="24"/>
                <w:highlight w:val="none"/>
              </w:rPr>
              <w:t>谈判响应文件从谈判截止日起，</w:t>
            </w:r>
            <w:bookmarkEnd w:id="35"/>
            <w:bookmarkEnd w:id="36"/>
            <w:r>
              <w:rPr>
                <w:rFonts w:hint="eastAsia" w:ascii="宋体" w:hAnsi="宋体" w:eastAsia="宋体" w:cs="宋体"/>
                <w:bCs/>
                <w:color w:val="auto"/>
                <w:sz w:val="24"/>
                <w:szCs w:val="24"/>
                <w:highlight w:val="none"/>
              </w:rPr>
              <w:t>谈判有效期为</w:t>
            </w:r>
            <w:r>
              <w:rPr>
                <w:rFonts w:hint="eastAsia" w:ascii="宋体" w:hAnsi="宋体" w:eastAsia="宋体" w:cs="宋体"/>
                <w:bCs/>
                <w:color w:val="auto"/>
                <w:sz w:val="24"/>
                <w:szCs w:val="24"/>
                <w:highlight w:val="none"/>
                <w:lang w:eastAsia="zh-CN"/>
              </w:rPr>
              <w:t>90日历天</w:t>
            </w:r>
            <w:r>
              <w:rPr>
                <w:rFonts w:hint="eastAsia" w:ascii="宋体" w:hAnsi="宋体" w:eastAsia="宋体" w:cs="宋体"/>
                <w:bCs/>
                <w:color w:val="auto"/>
                <w:sz w:val="24"/>
                <w:szCs w:val="24"/>
                <w:highlight w:val="none"/>
              </w:rPr>
              <w:t>，谈判有效期短于此规定期限的谈判响应文件，视为无效文件。成交供应商的谈判响应文件有效期延长至合同执行完毕。</w:t>
            </w:r>
          </w:p>
        </w:tc>
      </w:tr>
      <w:tr w14:paraId="27FC21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3" w:hRule="atLeast"/>
          <w:jc w:val="center"/>
        </w:trPr>
        <w:tc>
          <w:tcPr>
            <w:tcW w:w="698" w:type="dxa"/>
            <w:noWrap w:val="0"/>
            <w:vAlign w:val="center"/>
          </w:tcPr>
          <w:p w14:paraId="77C2E051">
            <w:pPr>
              <w:spacing w:line="360" w:lineRule="auto"/>
              <w:ind w:left="21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15</w:t>
            </w:r>
          </w:p>
        </w:tc>
        <w:tc>
          <w:tcPr>
            <w:tcW w:w="9088" w:type="dxa"/>
            <w:noWrap w:val="0"/>
            <w:vAlign w:val="center"/>
          </w:tcPr>
          <w:p w14:paraId="113216E7">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不见面开标</w:t>
            </w:r>
          </w:p>
          <w:p w14:paraId="243197DB">
            <w:pPr>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该项目将采取“不见面”开标的形式，</w:t>
            </w:r>
            <w:r>
              <w:rPr>
                <w:rFonts w:hint="eastAsia" w:ascii="宋体" w:hAnsi="宋体" w:eastAsia="宋体" w:cs="宋体"/>
                <w:bCs/>
                <w:color w:val="auto"/>
                <w:sz w:val="24"/>
                <w:szCs w:val="24"/>
                <w:highlight w:val="none"/>
                <w:lang w:eastAsia="zh-CN"/>
              </w:rPr>
              <w:t>供应商</w:t>
            </w:r>
            <w:r>
              <w:rPr>
                <w:rFonts w:hint="eastAsia" w:ascii="宋体" w:hAnsi="宋体" w:eastAsia="宋体" w:cs="宋体"/>
                <w:bCs/>
                <w:color w:val="auto"/>
                <w:sz w:val="24"/>
                <w:szCs w:val="24"/>
                <w:highlight w:val="none"/>
              </w:rPr>
              <w:t>无须到达开标现场，即可在网上直接参与开标活动。相关注意事项如下：</w:t>
            </w:r>
          </w:p>
          <w:p w14:paraId="2A3BF372">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1、开标当日，请各供应商在开标截止时间前至少提前半小时登录“不见面”开标系统登录方式有以下几种：</w:t>
            </w:r>
          </w:p>
          <w:p w14:paraId="4E3C22B5">
            <w:pPr>
              <w:numPr>
                <w:ilvl w:val="0"/>
                <w:numId w:val="2"/>
              </w:num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IE浏览器输入网址：</w:t>
            </w:r>
          </w:p>
          <w:p w14:paraId="38EC6105">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highlight w:val="none"/>
              </w:rPr>
              <w:fldChar w:fldCharType="begin"/>
            </w:r>
            <w:r>
              <w:rPr>
                <w:rFonts w:hint="eastAsia" w:ascii="宋体" w:hAnsi="宋体" w:eastAsia="宋体" w:cs="宋体"/>
                <w:bCs/>
                <w:color w:val="auto"/>
                <w:highlight w:val="none"/>
              </w:rPr>
              <w:instrText xml:space="preserve"> HYPERLINK "http://219.145.120.168:8082/BidOpeningHall/bidhall/default/login），" </w:instrText>
            </w:r>
            <w:r>
              <w:rPr>
                <w:rFonts w:hint="eastAsia" w:ascii="宋体" w:hAnsi="宋体" w:eastAsia="宋体" w:cs="宋体"/>
                <w:bCs/>
                <w:color w:val="auto"/>
                <w:highlight w:val="none"/>
              </w:rPr>
              <w:fldChar w:fldCharType="separate"/>
            </w:r>
            <w:r>
              <w:rPr>
                <w:rStyle w:val="34"/>
                <w:rFonts w:hint="eastAsia" w:ascii="宋体" w:hAnsi="宋体" w:eastAsia="宋体" w:cs="宋体"/>
                <w:bCs/>
                <w:color w:val="auto"/>
                <w:sz w:val="24"/>
                <w:szCs w:val="24"/>
                <w:highlight w:val="none"/>
              </w:rPr>
              <w:t>http://111.20.184.126:8081/BidOpeningHallCS/bidhall/default/login；</w:t>
            </w:r>
            <w:r>
              <w:rPr>
                <w:rStyle w:val="34"/>
                <w:rFonts w:hint="eastAsia" w:ascii="宋体" w:hAnsi="宋体" w:eastAsia="宋体" w:cs="宋体"/>
                <w:bCs/>
                <w:color w:val="auto"/>
                <w:sz w:val="24"/>
                <w:szCs w:val="24"/>
                <w:highlight w:val="none"/>
              </w:rPr>
              <w:fldChar w:fldCharType="end"/>
            </w:r>
          </w:p>
          <w:p w14:paraId="188D683B">
            <w:pPr>
              <w:numPr>
                <w:ilvl w:val="0"/>
                <w:numId w:val="2"/>
              </w:num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在【全国公共资源交易平台（陕西省·榆林市）】网站首页点击不见面开标模块进入；</w:t>
            </w:r>
          </w:p>
          <w:p w14:paraId="11E255DA">
            <w:pPr>
              <w:numPr>
                <w:ilvl w:val="0"/>
                <w:numId w:val="2"/>
              </w:num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在【全国公共资源交易平台（陕西省）】网站首页点击不见面开标模块选择榆林市进入。</w:t>
            </w:r>
          </w:p>
          <w:p w14:paraId="358C8F0F">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注：登录不见面开标系统请选择IE11浏览器</w:t>
            </w:r>
          </w:p>
          <w:p w14:paraId="687E570F">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2、供应商应按要求及时签到（签到时间为投标截止时间前1小时内，如果未签到将视为放弃投标资格），评审过程中，谈判小组可能会就某些问题要求供应商进行在线澄清，请供应商保持在线直到评审结束；</w:t>
            </w:r>
          </w:p>
          <w:p w14:paraId="0CFDBB7B">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供应商在开标时无需提交纸质谈判响应文件，待开标结束后，需邮寄补交一正两幅纸质谈判响应文件及谈判文件要求需要单独邮寄的资料（公示结果公告及备案用）特别提醒：纸质谈判响应文件及谈判文件要求需要单独邮寄的资料收到的时间直接影响结果公告时间）。</w:t>
            </w:r>
          </w:p>
          <w:p w14:paraId="25B2B8F2">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开标过程中，供应商在收到工作人员“开始解密”指令后，请及时使用CA对电子谈判响应文件进行解密。解密时所用CA应与加密谈判响应文件时所用CA相同；注：解密时间为30分钟，在解密时间内供应商全部解密完成后，可提前进入开标下一阶段。</w:t>
            </w:r>
          </w:p>
          <w:p w14:paraId="1322A566">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5、相关技术问题，请咨询软件开发商：</w:t>
            </w:r>
          </w:p>
          <w:p w14:paraId="1C9C312A">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（1）技术支持热线：400-998-0000/400-928-0095</w:t>
            </w:r>
          </w:p>
          <w:p w14:paraId="355F9E42">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6、榆林不见面开标系统操作手册下载方式：登录【全国公共资源交易平台（陕西省·榆林市）】网站首页选择【服务指南】-【下载专区】-点击【</w:t>
            </w:r>
            <w:r>
              <w:rPr>
                <w:rFonts w:hint="eastAsia" w:ascii="宋体" w:hAnsi="宋体" w:eastAsia="宋体" w:cs="宋体"/>
                <w:bCs/>
                <w:color w:val="auto"/>
                <w:highlight w:val="none"/>
              </w:rPr>
              <w:fldChar w:fldCharType="begin"/>
            </w:r>
            <w:r>
              <w:rPr>
                <w:rFonts w:hint="eastAsia" w:ascii="宋体" w:hAnsi="宋体" w:eastAsia="宋体" w:cs="宋体"/>
                <w:bCs/>
                <w:color w:val="auto"/>
                <w:highlight w:val="none"/>
              </w:rPr>
              <w:instrText xml:space="preserve"> HYPERLINK "http://yl.sxggzyjy.cn/BigFileUpLoadStorage/temp/2021-12-10/2583610f-1c5d-49b2-a314-0c1c4faeec6a/%E6%A6%86%E6%9E%97%E4%B8%8D%E8%A7%81%E9%9D%A2%E5%BC%80%E6%A0%87%E5%A4%A7%E5%8E%85%E6%93%8D%E4%BD%9C%E6%89%8B%E5%86%8C%EF%BC%88%E6%8A%95%E6%A0%87%E4%BA%BA%EF%BC%89.docx" \t "http://yl.sxggzyjy.cn/fwzn/_blank" \o "榆林不见面开标系统操作手册（投标人）" </w:instrText>
            </w:r>
            <w:r>
              <w:rPr>
                <w:rFonts w:hint="eastAsia" w:ascii="宋体" w:hAnsi="宋体" w:eastAsia="宋体" w:cs="宋体"/>
                <w:bCs/>
                <w:color w:val="auto"/>
                <w:highlight w:val="none"/>
              </w:rPr>
              <w:fldChar w:fldCharType="separate"/>
            </w:r>
            <w:r>
              <w:rPr>
                <w:rFonts w:hint="eastAsia" w:ascii="宋体" w:hAnsi="宋体" w:eastAsia="宋体" w:cs="宋体"/>
                <w:bCs/>
                <w:color w:val="auto"/>
                <w:sz w:val="24"/>
                <w:szCs w:val="24"/>
                <w:highlight w:val="none"/>
              </w:rPr>
              <w:t>榆林不见面开标系统操作手册（</w:t>
            </w:r>
            <w:r>
              <w:rPr>
                <w:rFonts w:hint="eastAsia" w:ascii="宋体" w:hAnsi="宋体" w:eastAsia="宋体" w:cs="宋体"/>
                <w:bCs/>
                <w:color w:val="auto"/>
                <w:sz w:val="24"/>
                <w:szCs w:val="24"/>
                <w:highlight w:val="none"/>
                <w:lang w:val="en-US" w:eastAsia="zh-CN"/>
              </w:rPr>
              <w:t>投标人</w:t>
            </w:r>
            <w:r>
              <w:rPr>
                <w:rFonts w:hint="eastAsia" w:ascii="宋体" w:hAnsi="宋体" w:eastAsia="宋体" w:cs="宋体"/>
                <w:bCs/>
                <w:color w:val="auto"/>
                <w:sz w:val="24"/>
                <w:szCs w:val="24"/>
                <w:highlight w:val="none"/>
              </w:rPr>
              <w:t>）</w:t>
            </w:r>
            <w:r>
              <w:rPr>
                <w:rFonts w:hint="eastAsia" w:ascii="宋体" w:hAnsi="宋体" w:eastAsia="宋体" w:cs="宋体"/>
                <w:bCs/>
                <w:color w:val="auto"/>
                <w:sz w:val="24"/>
                <w:szCs w:val="24"/>
                <w:highlight w:val="none"/>
              </w:rPr>
              <w:fldChar w:fldCharType="end"/>
            </w:r>
            <w:r>
              <w:rPr>
                <w:rFonts w:hint="eastAsia" w:ascii="宋体" w:hAnsi="宋体" w:eastAsia="宋体" w:cs="宋体"/>
                <w:bCs/>
                <w:color w:val="auto"/>
                <w:sz w:val="24"/>
                <w:szCs w:val="24"/>
                <w:highlight w:val="none"/>
              </w:rPr>
              <w:t>】进行下载。</w:t>
            </w:r>
          </w:p>
        </w:tc>
      </w:tr>
      <w:tr w14:paraId="02ECD9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5" w:hRule="atLeast"/>
          <w:jc w:val="center"/>
        </w:trPr>
        <w:tc>
          <w:tcPr>
            <w:tcW w:w="698" w:type="dxa"/>
            <w:noWrap w:val="0"/>
            <w:vAlign w:val="center"/>
          </w:tcPr>
          <w:p w14:paraId="74D356EA">
            <w:pPr>
              <w:spacing w:line="360" w:lineRule="auto"/>
              <w:ind w:left="21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16</w:t>
            </w:r>
          </w:p>
        </w:tc>
        <w:tc>
          <w:tcPr>
            <w:tcW w:w="9088" w:type="dxa"/>
            <w:noWrap w:val="0"/>
            <w:vAlign w:val="center"/>
          </w:tcPr>
          <w:p w14:paraId="14E059E7">
            <w:pPr>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电子</w:t>
            </w:r>
            <w:r>
              <w:rPr>
                <w:rFonts w:hint="eastAsia" w:ascii="宋体" w:hAnsi="宋体" w:eastAsia="宋体" w:cs="宋体"/>
                <w:bCs/>
                <w:color w:val="auto"/>
                <w:sz w:val="24"/>
                <w:szCs w:val="24"/>
                <w:highlight w:val="none"/>
                <w:lang w:eastAsia="zh-CN"/>
              </w:rPr>
              <w:t>响应文件</w:t>
            </w:r>
            <w:r>
              <w:rPr>
                <w:rFonts w:hint="eastAsia" w:ascii="宋体" w:hAnsi="宋体" w:eastAsia="宋体" w:cs="宋体"/>
                <w:bCs/>
                <w:color w:val="auto"/>
                <w:sz w:val="24"/>
                <w:szCs w:val="24"/>
                <w:highlight w:val="none"/>
              </w:rPr>
              <w:t>的制作与签名</w:t>
            </w:r>
            <w:r>
              <w:rPr>
                <w:rFonts w:hint="eastAsia" w:ascii="宋体" w:hAnsi="宋体" w:eastAsia="宋体" w:cs="宋体"/>
                <w:bCs/>
                <w:color w:val="auto"/>
                <w:sz w:val="24"/>
                <w:szCs w:val="24"/>
                <w:highlight w:val="none"/>
                <w:lang w:eastAsia="zh-CN"/>
              </w:rPr>
              <w:t>：</w:t>
            </w:r>
          </w:p>
          <w:p w14:paraId="3949C3F5">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w:t>
            </w:r>
            <w:r>
              <w:rPr>
                <w:rFonts w:hint="eastAsia" w:ascii="宋体" w:hAnsi="宋体" w:eastAsia="宋体" w:cs="宋体"/>
                <w:bCs/>
                <w:color w:val="auto"/>
                <w:sz w:val="24"/>
                <w:szCs w:val="24"/>
                <w:highlight w:val="none"/>
                <w:lang w:eastAsia="zh-CN"/>
              </w:rPr>
              <w:t>供应商</w:t>
            </w:r>
            <w:r>
              <w:rPr>
                <w:rFonts w:hint="eastAsia" w:ascii="宋体" w:hAnsi="宋体" w:eastAsia="宋体" w:cs="宋体"/>
                <w:bCs/>
                <w:color w:val="auto"/>
                <w:sz w:val="24"/>
                <w:szCs w:val="24"/>
                <w:highlight w:val="none"/>
              </w:rPr>
              <w:t>须使用数字认证证书对电子</w:t>
            </w:r>
            <w:r>
              <w:rPr>
                <w:rFonts w:hint="eastAsia" w:ascii="宋体" w:hAnsi="宋体" w:eastAsia="宋体" w:cs="宋体"/>
                <w:bCs/>
                <w:color w:val="auto"/>
                <w:sz w:val="24"/>
                <w:szCs w:val="24"/>
                <w:highlight w:val="none"/>
                <w:lang w:eastAsia="zh-CN"/>
              </w:rPr>
              <w:t>响应文件</w:t>
            </w:r>
            <w:r>
              <w:rPr>
                <w:rFonts w:hint="eastAsia" w:ascii="宋体" w:hAnsi="宋体" w:eastAsia="宋体" w:cs="宋体"/>
                <w:bCs/>
                <w:color w:val="auto"/>
                <w:sz w:val="24"/>
                <w:szCs w:val="24"/>
                <w:highlight w:val="none"/>
              </w:rPr>
              <w:t>进行签章、加密、递交及开标时解密等相关招投标事宜。如开标时</w:t>
            </w:r>
            <w:r>
              <w:rPr>
                <w:rFonts w:hint="eastAsia" w:ascii="宋体" w:hAnsi="宋体" w:eastAsia="宋体" w:cs="宋体"/>
                <w:bCs/>
                <w:color w:val="auto"/>
                <w:sz w:val="24"/>
                <w:szCs w:val="24"/>
                <w:highlight w:val="none"/>
                <w:lang w:eastAsia="zh-CN"/>
              </w:rPr>
              <w:t>供应商</w:t>
            </w:r>
            <w:r>
              <w:rPr>
                <w:rFonts w:hint="eastAsia" w:ascii="宋体" w:hAnsi="宋体" w:eastAsia="宋体" w:cs="宋体"/>
                <w:bCs/>
                <w:color w:val="auto"/>
                <w:sz w:val="24"/>
                <w:szCs w:val="24"/>
                <w:highlight w:val="none"/>
              </w:rPr>
              <w:t>无法解密</w:t>
            </w:r>
            <w:r>
              <w:rPr>
                <w:rFonts w:hint="eastAsia" w:ascii="宋体" w:hAnsi="宋体" w:eastAsia="宋体" w:cs="宋体"/>
                <w:bCs/>
                <w:color w:val="auto"/>
                <w:sz w:val="24"/>
                <w:szCs w:val="24"/>
                <w:highlight w:val="none"/>
                <w:lang w:eastAsia="zh-CN"/>
              </w:rPr>
              <w:t>响应文件</w:t>
            </w:r>
            <w:r>
              <w:rPr>
                <w:rFonts w:hint="eastAsia" w:ascii="宋体" w:hAnsi="宋体" w:eastAsia="宋体" w:cs="宋体"/>
                <w:bCs/>
                <w:color w:val="auto"/>
                <w:sz w:val="24"/>
                <w:szCs w:val="24"/>
                <w:highlight w:val="none"/>
              </w:rPr>
              <w:t xml:space="preserve">，按无效投标对待。 </w:t>
            </w:r>
          </w:p>
          <w:p w14:paraId="20FDA865">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2、制作电子</w:t>
            </w:r>
            <w:r>
              <w:rPr>
                <w:rFonts w:hint="eastAsia" w:ascii="宋体" w:hAnsi="宋体" w:eastAsia="宋体" w:cs="宋体"/>
                <w:bCs/>
                <w:color w:val="auto"/>
                <w:sz w:val="24"/>
                <w:szCs w:val="24"/>
                <w:highlight w:val="none"/>
                <w:lang w:eastAsia="zh-CN"/>
              </w:rPr>
              <w:t>响应文件</w:t>
            </w:r>
            <w:r>
              <w:rPr>
                <w:rFonts w:hint="eastAsia" w:ascii="宋体" w:hAnsi="宋体" w:eastAsia="宋体" w:cs="宋体"/>
                <w:bCs/>
                <w:color w:val="auto"/>
                <w:sz w:val="24"/>
                <w:szCs w:val="24"/>
                <w:highlight w:val="none"/>
              </w:rPr>
              <w:t>。</w:t>
            </w:r>
            <w:r>
              <w:rPr>
                <w:rFonts w:hint="eastAsia" w:ascii="宋体" w:hAnsi="宋体" w:eastAsia="宋体" w:cs="宋体"/>
                <w:bCs/>
                <w:color w:val="auto"/>
                <w:sz w:val="24"/>
                <w:szCs w:val="24"/>
                <w:highlight w:val="none"/>
                <w:lang w:eastAsia="zh-CN"/>
              </w:rPr>
              <w:t>供应商</w:t>
            </w:r>
            <w:r>
              <w:rPr>
                <w:rFonts w:hint="eastAsia" w:ascii="宋体" w:hAnsi="宋体" w:eastAsia="宋体" w:cs="宋体"/>
                <w:bCs/>
                <w:color w:val="auto"/>
                <w:sz w:val="24"/>
                <w:szCs w:val="24"/>
                <w:highlight w:val="none"/>
              </w:rPr>
              <w:t>须在“全国公共资源交易中心平台（陕西省）（http://www.sxggzyjy.cn/）”的“服务指南”栏目“下载专区”中，免费下载“陕西省公共资源交易平台政府采购电子标书制作工具”及“政府采购投标单位操作手册”，并使用该客户端制作电子</w:t>
            </w:r>
            <w:r>
              <w:rPr>
                <w:rFonts w:hint="eastAsia" w:ascii="宋体" w:hAnsi="宋体" w:eastAsia="宋体" w:cs="宋体"/>
                <w:bCs/>
                <w:color w:val="auto"/>
                <w:sz w:val="24"/>
                <w:szCs w:val="24"/>
                <w:highlight w:val="none"/>
                <w:lang w:eastAsia="zh-CN"/>
              </w:rPr>
              <w:t>响应文件</w:t>
            </w:r>
            <w:r>
              <w:rPr>
                <w:rFonts w:hint="eastAsia" w:ascii="宋体" w:hAnsi="宋体" w:eastAsia="宋体" w:cs="宋体"/>
                <w:bCs/>
                <w:color w:val="auto"/>
                <w:sz w:val="24"/>
                <w:szCs w:val="24"/>
                <w:highlight w:val="none"/>
              </w:rPr>
              <w:t>，制作扩展名为“</w:t>
            </w:r>
            <w:r>
              <w:rPr>
                <w:rFonts w:hint="eastAsia" w:ascii="宋体" w:hAnsi="宋体" w:cs="宋体"/>
                <w:bCs/>
                <w:color w:val="auto"/>
                <w:sz w:val="24"/>
                <w:szCs w:val="24"/>
                <w:highlight w:val="none"/>
                <w:lang w:eastAsia="zh-CN"/>
              </w:rPr>
              <w:t>.SXSCF</w:t>
            </w:r>
            <w:r>
              <w:rPr>
                <w:rFonts w:hint="eastAsia" w:ascii="宋体" w:hAnsi="宋体" w:eastAsia="宋体" w:cs="宋体"/>
                <w:bCs/>
                <w:color w:val="auto"/>
                <w:sz w:val="24"/>
                <w:szCs w:val="24"/>
                <w:highlight w:val="none"/>
              </w:rPr>
              <w:t>”的电子</w:t>
            </w:r>
            <w:r>
              <w:rPr>
                <w:rFonts w:hint="eastAsia" w:ascii="宋体" w:hAnsi="宋体" w:eastAsia="宋体" w:cs="宋体"/>
                <w:bCs/>
                <w:color w:val="auto"/>
                <w:sz w:val="24"/>
                <w:szCs w:val="24"/>
                <w:highlight w:val="none"/>
                <w:lang w:eastAsia="zh-CN"/>
              </w:rPr>
              <w:t>响应文件</w:t>
            </w:r>
            <w:r>
              <w:rPr>
                <w:rFonts w:hint="eastAsia" w:ascii="宋体" w:hAnsi="宋体" w:eastAsia="宋体" w:cs="宋体"/>
                <w:bCs/>
                <w:color w:val="auto"/>
                <w:sz w:val="24"/>
                <w:szCs w:val="24"/>
                <w:highlight w:val="none"/>
              </w:rPr>
              <w:t xml:space="preserve">。 </w:t>
            </w:r>
          </w:p>
          <w:p w14:paraId="1D003EE4">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3、递交电子</w:t>
            </w:r>
            <w:r>
              <w:rPr>
                <w:rFonts w:hint="eastAsia" w:ascii="宋体" w:hAnsi="宋体" w:eastAsia="宋体" w:cs="宋体"/>
                <w:bCs/>
                <w:color w:val="auto"/>
                <w:sz w:val="24"/>
                <w:szCs w:val="24"/>
                <w:highlight w:val="none"/>
                <w:lang w:eastAsia="zh-CN"/>
              </w:rPr>
              <w:t>响应文件</w:t>
            </w:r>
            <w:r>
              <w:rPr>
                <w:rFonts w:hint="eastAsia" w:ascii="宋体" w:hAnsi="宋体" w:eastAsia="宋体" w:cs="宋体"/>
                <w:bCs/>
                <w:color w:val="auto"/>
                <w:sz w:val="24"/>
                <w:szCs w:val="24"/>
                <w:highlight w:val="none"/>
              </w:rPr>
              <w:t>。登录陕西省公共资源交易中心平台（http://xxxq.sxggzyjy.cn/），选择“电子交易平台-陕西政府采购交易系统-陕西省公共资源交易平台-</w:t>
            </w:r>
            <w:r>
              <w:rPr>
                <w:rFonts w:hint="eastAsia" w:ascii="宋体" w:hAnsi="宋体" w:eastAsia="宋体" w:cs="宋体"/>
                <w:bCs/>
                <w:color w:val="auto"/>
                <w:sz w:val="24"/>
                <w:szCs w:val="24"/>
                <w:highlight w:val="none"/>
                <w:lang w:val="en-US" w:eastAsia="zh-CN"/>
              </w:rPr>
              <w:t>企业端</w:t>
            </w:r>
            <w:r>
              <w:rPr>
                <w:rFonts w:hint="eastAsia" w:ascii="宋体" w:hAnsi="宋体" w:eastAsia="宋体" w:cs="宋体"/>
                <w:bCs/>
                <w:color w:val="auto"/>
                <w:sz w:val="24"/>
                <w:szCs w:val="24"/>
                <w:highlight w:val="none"/>
              </w:rPr>
              <w:t>”进行登录，登录后选择“交易乙方”身份进入，选择“上传</w:t>
            </w:r>
            <w:r>
              <w:rPr>
                <w:rFonts w:hint="eastAsia" w:ascii="宋体" w:hAnsi="宋体" w:eastAsia="宋体" w:cs="宋体"/>
                <w:bCs/>
                <w:color w:val="auto"/>
                <w:sz w:val="24"/>
                <w:szCs w:val="24"/>
                <w:highlight w:val="none"/>
                <w:lang w:eastAsia="zh-CN"/>
              </w:rPr>
              <w:t>响应文件</w:t>
            </w:r>
            <w:r>
              <w:rPr>
                <w:rFonts w:hint="eastAsia" w:ascii="宋体" w:hAnsi="宋体" w:eastAsia="宋体" w:cs="宋体"/>
                <w:bCs/>
                <w:color w:val="auto"/>
                <w:sz w:val="24"/>
                <w:szCs w:val="24"/>
                <w:highlight w:val="none"/>
              </w:rPr>
              <w:t>”菜单页面，上传加密的电子</w:t>
            </w:r>
            <w:r>
              <w:rPr>
                <w:rFonts w:hint="eastAsia" w:ascii="宋体" w:hAnsi="宋体" w:eastAsia="宋体" w:cs="宋体"/>
                <w:bCs/>
                <w:color w:val="auto"/>
                <w:sz w:val="24"/>
                <w:szCs w:val="24"/>
                <w:highlight w:val="none"/>
                <w:lang w:eastAsia="zh-CN"/>
              </w:rPr>
              <w:t>响应文件</w:t>
            </w:r>
            <w:r>
              <w:rPr>
                <w:rFonts w:hint="eastAsia" w:ascii="宋体" w:hAnsi="宋体" w:eastAsia="宋体" w:cs="宋体"/>
                <w:bCs/>
                <w:color w:val="auto"/>
                <w:sz w:val="24"/>
                <w:szCs w:val="24"/>
                <w:highlight w:val="none"/>
              </w:rPr>
              <w:t xml:space="preserve">。上传成功后，电子化平台将予以记录。 </w:t>
            </w:r>
          </w:p>
          <w:p w14:paraId="43A668F2">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w:t>
            </w:r>
            <w:r>
              <w:rPr>
                <w:rFonts w:hint="eastAsia" w:ascii="宋体" w:hAnsi="宋体" w:eastAsia="宋体" w:cs="宋体"/>
                <w:bCs/>
                <w:color w:val="auto"/>
                <w:sz w:val="24"/>
                <w:szCs w:val="24"/>
                <w:highlight w:val="none"/>
                <w:lang w:eastAsia="zh-CN"/>
              </w:rPr>
              <w:t>响应文件</w:t>
            </w:r>
            <w:r>
              <w:rPr>
                <w:rFonts w:hint="eastAsia" w:ascii="宋体" w:hAnsi="宋体" w:eastAsia="宋体" w:cs="宋体"/>
                <w:bCs/>
                <w:color w:val="auto"/>
                <w:sz w:val="24"/>
                <w:szCs w:val="24"/>
                <w:highlight w:val="none"/>
              </w:rPr>
              <w:t>中所有涉及签字、盖章的，各</w:t>
            </w:r>
            <w:r>
              <w:rPr>
                <w:rFonts w:hint="eastAsia" w:ascii="宋体" w:hAnsi="宋体" w:eastAsia="宋体" w:cs="宋体"/>
                <w:bCs/>
                <w:color w:val="auto"/>
                <w:sz w:val="24"/>
                <w:szCs w:val="24"/>
                <w:highlight w:val="none"/>
                <w:lang w:val="en-US" w:eastAsia="zh-CN"/>
              </w:rPr>
              <w:t>供应商</w:t>
            </w:r>
            <w:r>
              <w:rPr>
                <w:rFonts w:hint="eastAsia" w:ascii="宋体" w:hAnsi="宋体" w:eastAsia="宋体" w:cs="宋体"/>
                <w:bCs/>
                <w:color w:val="auto"/>
                <w:sz w:val="24"/>
                <w:szCs w:val="24"/>
                <w:highlight w:val="none"/>
              </w:rPr>
              <w:t>单位须将所有签字盖章完成后上传。</w:t>
            </w:r>
          </w:p>
          <w:p w14:paraId="259152F4">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5、当澄清或修改的内容影响</w:t>
            </w:r>
            <w:r>
              <w:rPr>
                <w:rFonts w:hint="eastAsia" w:ascii="宋体" w:hAnsi="宋体" w:eastAsia="宋体" w:cs="宋体"/>
                <w:bCs/>
                <w:color w:val="auto"/>
                <w:sz w:val="24"/>
                <w:szCs w:val="24"/>
                <w:highlight w:val="none"/>
                <w:lang w:eastAsia="zh-CN"/>
              </w:rPr>
              <w:t>响应文件</w:t>
            </w:r>
            <w:r>
              <w:rPr>
                <w:rFonts w:hint="eastAsia" w:ascii="宋体" w:hAnsi="宋体" w:eastAsia="宋体" w:cs="宋体"/>
                <w:bCs/>
                <w:color w:val="auto"/>
                <w:sz w:val="24"/>
                <w:szCs w:val="24"/>
                <w:highlight w:val="none"/>
              </w:rPr>
              <w:t>编制时，</w:t>
            </w:r>
            <w:r>
              <w:rPr>
                <w:rFonts w:hint="eastAsia" w:ascii="宋体" w:hAnsi="宋体" w:eastAsia="宋体" w:cs="宋体"/>
                <w:bCs/>
                <w:color w:val="auto"/>
                <w:sz w:val="24"/>
                <w:szCs w:val="24"/>
                <w:highlight w:val="none"/>
                <w:lang w:eastAsia="zh-CN"/>
              </w:rPr>
              <w:t>采购人</w:t>
            </w:r>
            <w:r>
              <w:rPr>
                <w:rFonts w:hint="eastAsia" w:ascii="宋体" w:hAnsi="宋体" w:eastAsia="宋体" w:cs="宋体"/>
                <w:bCs/>
                <w:color w:val="auto"/>
                <w:sz w:val="24"/>
                <w:szCs w:val="24"/>
                <w:highlight w:val="none"/>
              </w:rPr>
              <w:t>将在交易平台上发布答疑文件，</w:t>
            </w:r>
            <w:r>
              <w:rPr>
                <w:rFonts w:hint="eastAsia" w:ascii="宋体" w:hAnsi="宋体" w:eastAsia="宋体" w:cs="宋体"/>
                <w:bCs/>
                <w:color w:val="auto"/>
                <w:sz w:val="24"/>
                <w:szCs w:val="24"/>
                <w:highlight w:val="none"/>
                <w:lang w:eastAsia="zh-CN"/>
              </w:rPr>
              <w:t>供应商</w:t>
            </w:r>
            <w:r>
              <w:rPr>
                <w:rFonts w:hint="eastAsia" w:ascii="宋体" w:hAnsi="宋体" w:eastAsia="宋体" w:cs="宋体"/>
                <w:bCs/>
                <w:color w:val="auto"/>
                <w:sz w:val="24"/>
                <w:szCs w:val="24"/>
                <w:highlight w:val="none"/>
              </w:rPr>
              <w:t>应随时关注项目信息，如有答疑文件，</w:t>
            </w:r>
            <w:r>
              <w:rPr>
                <w:rFonts w:hint="eastAsia" w:ascii="宋体" w:hAnsi="宋体" w:eastAsia="宋体" w:cs="宋体"/>
                <w:bCs/>
                <w:color w:val="auto"/>
                <w:sz w:val="24"/>
                <w:szCs w:val="24"/>
                <w:highlight w:val="none"/>
                <w:lang w:eastAsia="zh-CN"/>
              </w:rPr>
              <w:t>供应商</w:t>
            </w:r>
            <w:r>
              <w:rPr>
                <w:rFonts w:hint="eastAsia" w:ascii="宋体" w:hAnsi="宋体" w:eastAsia="宋体" w:cs="宋体"/>
                <w:bCs/>
                <w:color w:val="auto"/>
                <w:sz w:val="24"/>
                <w:szCs w:val="24"/>
                <w:highlight w:val="none"/>
              </w:rPr>
              <w:t>应使用最新发布的答疑文件（*.SXSCF格式）制做电子</w:t>
            </w:r>
            <w:r>
              <w:rPr>
                <w:rFonts w:hint="eastAsia" w:ascii="宋体" w:hAnsi="宋体" w:eastAsia="宋体" w:cs="宋体"/>
                <w:bCs/>
                <w:color w:val="auto"/>
                <w:sz w:val="24"/>
                <w:szCs w:val="24"/>
                <w:highlight w:val="none"/>
                <w:lang w:eastAsia="zh-CN"/>
              </w:rPr>
              <w:t>响应文件</w:t>
            </w:r>
            <w:r>
              <w:rPr>
                <w:rFonts w:hint="eastAsia" w:ascii="宋体" w:hAnsi="宋体" w:eastAsia="宋体" w:cs="宋体"/>
                <w:bCs/>
                <w:color w:val="auto"/>
                <w:sz w:val="24"/>
                <w:szCs w:val="24"/>
                <w:highlight w:val="none"/>
              </w:rPr>
              <w:t>（*</w:t>
            </w:r>
            <w:r>
              <w:rPr>
                <w:rFonts w:hint="eastAsia" w:ascii="宋体" w:hAnsi="宋体" w:cs="宋体"/>
                <w:bCs/>
                <w:color w:val="auto"/>
                <w:sz w:val="24"/>
                <w:szCs w:val="24"/>
                <w:highlight w:val="none"/>
                <w:lang w:eastAsia="zh-CN"/>
              </w:rPr>
              <w:t>.SXSCF</w:t>
            </w:r>
            <w:r>
              <w:rPr>
                <w:rFonts w:hint="eastAsia" w:ascii="宋体" w:hAnsi="宋体" w:eastAsia="宋体" w:cs="宋体"/>
                <w:bCs/>
                <w:color w:val="auto"/>
                <w:sz w:val="24"/>
                <w:szCs w:val="24"/>
                <w:highlight w:val="none"/>
              </w:rPr>
              <w:t>格式），使用旧版电子招标文件或旧版答疑文件制作的电子</w:t>
            </w:r>
            <w:r>
              <w:rPr>
                <w:rFonts w:hint="eastAsia" w:ascii="宋体" w:hAnsi="宋体" w:eastAsia="宋体" w:cs="宋体"/>
                <w:bCs/>
                <w:color w:val="auto"/>
                <w:sz w:val="24"/>
                <w:szCs w:val="24"/>
                <w:highlight w:val="none"/>
                <w:lang w:eastAsia="zh-CN"/>
              </w:rPr>
              <w:t>响应文件</w:t>
            </w:r>
            <w:r>
              <w:rPr>
                <w:rFonts w:hint="eastAsia" w:ascii="宋体" w:hAnsi="宋体" w:eastAsia="宋体" w:cs="宋体"/>
                <w:bCs/>
                <w:color w:val="auto"/>
                <w:sz w:val="24"/>
                <w:szCs w:val="24"/>
                <w:highlight w:val="none"/>
              </w:rPr>
              <w:t>，系统将拒绝接收，因</w:t>
            </w:r>
            <w:r>
              <w:rPr>
                <w:rFonts w:hint="eastAsia" w:ascii="宋体" w:hAnsi="宋体" w:eastAsia="宋体" w:cs="宋体"/>
                <w:bCs/>
                <w:color w:val="auto"/>
                <w:sz w:val="24"/>
                <w:szCs w:val="24"/>
                <w:highlight w:val="none"/>
                <w:lang w:eastAsia="zh-CN"/>
              </w:rPr>
              <w:t>供应商</w:t>
            </w:r>
            <w:r>
              <w:rPr>
                <w:rFonts w:hint="eastAsia" w:ascii="宋体" w:hAnsi="宋体" w:eastAsia="宋体" w:cs="宋体"/>
                <w:bCs/>
                <w:color w:val="auto"/>
                <w:sz w:val="24"/>
                <w:szCs w:val="24"/>
                <w:highlight w:val="none"/>
              </w:rPr>
              <w:t>未及时关注项目信息造成的后果</w:t>
            </w:r>
            <w:r>
              <w:rPr>
                <w:rFonts w:hint="eastAsia" w:ascii="宋体" w:hAnsi="宋体" w:eastAsia="宋体" w:cs="宋体"/>
                <w:bCs/>
                <w:color w:val="auto"/>
                <w:sz w:val="24"/>
                <w:szCs w:val="24"/>
                <w:highlight w:val="none"/>
                <w:lang w:eastAsia="zh-CN"/>
              </w:rPr>
              <w:t>供应商</w:t>
            </w:r>
            <w:r>
              <w:rPr>
                <w:rFonts w:hint="eastAsia" w:ascii="宋体" w:hAnsi="宋体" w:eastAsia="宋体" w:cs="宋体"/>
                <w:bCs/>
                <w:color w:val="auto"/>
                <w:sz w:val="24"/>
                <w:szCs w:val="24"/>
                <w:highlight w:val="none"/>
              </w:rPr>
              <w:t>自行承担</w:t>
            </w:r>
          </w:p>
        </w:tc>
      </w:tr>
      <w:tr w14:paraId="377177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698" w:type="dxa"/>
            <w:noWrap w:val="0"/>
            <w:vAlign w:val="center"/>
          </w:tcPr>
          <w:p w14:paraId="409D662C">
            <w:pPr>
              <w:spacing w:line="360" w:lineRule="auto"/>
              <w:ind w:left="21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17</w:t>
            </w:r>
          </w:p>
        </w:tc>
        <w:tc>
          <w:tcPr>
            <w:tcW w:w="9088" w:type="dxa"/>
            <w:noWrap w:val="0"/>
            <w:vAlign w:val="center"/>
          </w:tcPr>
          <w:p w14:paraId="5E925A73">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1、本项目采用电子化谈判响应文件与纸质谈判响应文件并行的方式。供应商须使用数字认证证书对电子化谈判响应文件进行签章、加密、递交及开标时解密等相关投标事宜。</w:t>
            </w:r>
          </w:p>
          <w:p w14:paraId="162F8E9E">
            <w:pPr>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纸质谈判响应文件：为便于采购人归档和向监管部门备案，成交人须提交正本壹份、副本贰份、电子版（word版U盘）壹份。谈判响应文件可采用系统上传的电子谈判响应文件的打印件，谈判响应文件正、副本须各自装订成册，统一编码（要求胶装、不得出现活页）。每份谈判响应文件封皮须清楚地标明“正本”或“副本”成交人须邮寄正本壹份、副本贰份、电子版（word版U盘）壹份；</w:t>
            </w:r>
          </w:p>
          <w:p w14:paraId="1883C1A6">
            <w:pPr>
              <w:spacing w:line="360" w:lineRule="auto"/>
              <w:ind w:firstLine="480" w:firstLineChars="200"/>
              <w:rPr>
                <w:rFonts w:hint="eastAsia" w:ascii="宋体" w:hAnsi="宋体" w:eastAsia="宋体" w:cs="宋体"/>
                <w:bCs/>
                <w:color w:val="auto"/>
                <w:highlight w:val="none"/>
              </w:rPr>
            </w:pPr>
            <w:r>
              <w:rPr>
                <w:rFonts w:hint="eastAsia" w:ascii="宋体" w:hAnsi="宋体" w:eastAsia="宋体" w:cs="宋体"/>
                <w:bCs/>
                <w:color w:val="auto"/>
                <w:sz w:val="24"/>
                <w:szCs w:val="24"/>
                <w:highlight w:val="none"/>
              </w:rPr>
              <w:t>以电报、传真、电子邮件形式递交的谈判响应文件将不予接受。</w:t>
            </w:r>
          </w:p>
          <w:p w14:paraId="67FF486A">
            <w:pPr>
              <w:spacing w:line="360" w:lineRule="auto"/>
              <w:rPr>
                <w:rFonts w:hint="eastAsia" w:ascii="宋体" w:hAnsi="宋体" w:eastAsia="宋体" w:cs="宋体"/>
                <w:bCs/>
                <w:color w:val="auto"/>
                <w:highlight w:val="none"/>
              </w:rPr>
            </w:pPr>
            <w:r>
              <w:rPr>
                <w:rFonts w:hint="eastAsia" w:ascii="宋体" w:hAnsi="宋体" w:eastAsia="宋体" w:cs="宋体"/>
                <w:bCs/>
                <w:color w:val="auto"/>
                <w:sz w:val="24"/>
                <w:szCs w:val="24"/>
                <w:highlight w:val="none"/>
              </w:rPr>
              <w:t xml:space="preserve">   特别提醒：纸质谈判响应文件及电子版U盘1份（Word版谈判响应文件）邮寄的资料收到的时间直接影响结果公告时间）。</w:t>
            </w:r>
          </w:p>
          <w:p w14:paraId="27A96306">
            <w:pPr>
              <w:spacing w:line="360" w:lineRule="auto"/>
              <w:ind w:firstLine="480" w:firstLineChars="200"/>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收件人：</w:t>
            </w:r>
            <w:r>
              <w:rPr>
                <w:rFonts w:hint="eastAsia" w:ascii="宋体" w:hAnsi="宋体" w:cs="宋体"/>
                <w:bCs/>
                <w:color w:val="auto"/>
                <w:sz w:val="24"/>
                <w:szCs w:val="22"/>
                <w:highlight w:val="none"/>
                <w:lang w:eastAsia="zh-CN"/>
              </w:rPr>
              <w:t>鹏泽项目管理有限公司</w:t>
            </w:r>
            <w:r>
              <w:rPr>
                <w:rFonts w:hint="eastAsia" w:ascii="宋体" w:hAnsi="宋体" w:eastAsia="宋体" w:cs="宋体"/>
                <w:bCs/>
                <w:color w:val="auto"/>
                <w:sz w:val="24"/>
                <w:szCs w:val="22"/>
                <w:highlight w:val="none"/>
              </w:rPr>
              <w:t xml:space="preserve">                       </w:t>
            </w:r>
          </w:p>
          <w:p w14:paraId="7406CE3B">
            <w:pPr>
              <w:spacing w:line="360" w:lineRule="auto"/>
              <w:ind w:firstLine="480" w:firstLineChars="200"/>
              <w:rPr>
                <w:rFonts w:hint="eastAsia" w:ascii="宋体" w:hAnsi="宋体" w:eastAsia="宋体" w:cs="宋体"/>
                <w:bCs/>
                <w:color w:val="auto"/>
                <w:sz w:val="24"/>
                <w:szCs w:val="22"/>
                <w:highlight w:val="none"/>
                <w:lang w:eastAsia="zh-CN"/>
              </w:rPr>
            </w:pPr>
            <w:r>
              <w:rPr>
                <w:rFonts w:hint="eastAsia" w:ascii="宋体" w:hAnsi="宋体" w:eastAsia="宋体" w:cs="宋体"/>
                <w:bCs/>
                <w:color w:val="auto"/>
                <w:sz w:val="24"/>
                <w:szCs w:val="22"/>
                <w:highlight w:val="none"/>
              </w:rPr>
              <w:t>收件电话：</w:t>
            </w:r>
            <w:r>
              <w:rPr>
                <w:rFonts w:hint="eastAsia" w:ascii="宋体" w:hAnsi="宋体" w:cs="宋体"/>
                <w:bCs/>
                <w:color w:val="auto"/>
                <w:sz w:val="24"/>
                <w:szCs w:val="22"/>
                <w:highlight w:val="none"/>
                <w:lang w:eastAsia="zh-CN"/>
              </w:rPr>
              <w:t>18392098590</w:t>
            </w:r>
          </w:p>
          <w:p w14:paraId="7DCC413F">
            <w:pPr>
              <w:pStyle w:val="20"/>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kern w:val="2"/>
                <w:sz w:val="24"/>
                <w:szCs w:val="22"/>
                <w:highlight w:val="none"/>
              </w:rPr>
              <w:t>收件地址：</w:t>
            </w:r>
            <w:r>
              <w:rPr>
                <w:rFonts w:hint="eastAsia" w:ascii="宋体" w:hAnsi="宋体" w:eastAsia="宋体" w:cs="宋体"/>
                <w:bCs/>
                <w:color w:val="auto"/>
                <w:kern w:val="2"/>
                <w:sz w:val="24"/>
                <w:szCs w:val="22"/>
                <w:highlight w:val="none"/>
                <w:lang w:eastAsia="zh-CN"/>
              </w:rPr>
              <w:t>陕西省汉中市南郑区陕西省汉中市南郑区中所营街道办董家营村一组（董家营十字）</w:t>
            </w:r>
            <w:r>
              <w:rPr>
                <w:rFonts w:hint="eastAsia" w:ascii="宋体" w:hAnsi="宋体" w:eastAsia="宋体" w:cs="宋体"/>
                <w:bCs/>
                <w:color w:val="auto"/>
                <w:sz w:val="24"/>
                <w:szCs w:val="24"/>
                <w:highlight w:val="none"/>
              </w:rPr>
              <w:t xml:space="preserve"> </w:t>
            </w:r>
          </w:p>
        </w:tc>
      </w:tr>
      <w:tr w14:paraId="3B520D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98" w:type="dxa"/>
            <w:noWrap w:val="0"/>
            <w:vAlign w:val="center"/>
          </w:tcPr>
          <w:p w14:paraId="4AC8B242">
            <w:pPr>
              <w:spacing w:line="360" w:lineRule="auto"/>
              <w:ind w:left="21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18</w:t>
            </w:r>
          </w:p>
        </w:tc>
        <w:tc>
          <w:tcPr>
            <w:tcW w:w="9088" w:type="dxa"/>
            <w:noWrap w:val="0"/>
            <w:vAlign w:val="center"/>
          </w:tcPr>
          <w:p w14:paraId="7582D19E">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供应商的法定代表人或其授权人应当参加谈判，须提交以下资质及竞争性谈判文件要求的其他证明材料。</w:t>
            </w:r>
          </w:p>
          <w:p w14:paraId="3604A76E">
            <w:pPr>
              <w:adjustRightInd w:val="0"/>
              <w:snapToGrid w:val="0"/>
              <w:spacing w:line="360" w:lineRule="auto"/>
              <w:ind w:left="8" w:firstLine="410" w:firstLineChars="171"/>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（一）基本资格条件：符合《中华人民共和国政府采购法》第二十二条的规定。</w:t>
            </w:r>
          </w:p>
          <w:p w14:paraId="745DBBE3">
            <w:pPr>
              <w:pStyle w:val="8"/>
              <w:adjustRightInd w:val="0"/>
              <w:snapToGrid w:val="0"/>
              <w:spacing w:after="0" w:line="360" w:lineRule="auto"/>
              <w:ind w:firstLine="420" w:firstLineChars="175"/>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（二）特定资格条件：</w:t>
            </w:r>
          </w:p>
          <w:p w14:paraId="5F1026FA">
            <w:pPr>
              <w:adjustRightInd w:val="0"/>
              <w:snapToGrid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(1)供应商具有独立承担民事责任能力的法人、其他组织或自然人，并出具合法有效的营业执照或事业单位法人证书等国家规定的相关证明，自然人参与的提供其身份证明；</w:t>
            </w:r>
          </w:p>
          <w:p w14:paraId="0DF737B6">
            <w:pPr>
              <w:adjustRightInd w:val="0"/>
              <w:snapToGrid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(2)供应商须具有履行合同所必需的设备和专业技术能力（提供相关证明材料或承诺书）；</w:t>
            </w:r>
          </w:p>
          <w:p w14:paraId="01C43D2D">
            <w:pPr>
              <w:adjustRightInd w:val="0"/>
              <w:snapToGrid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(3)税收缴纳证明：提供2025年09月至今已缴纳的至少一个月的纳税证明或完税证明，依法免税的单位应提供相关证明材料；</w:t>
            </w:r>
          </w:p>
          <w:p w14:paraId="73400326">
            <w:pPr>
              <w:adjustRightInd w:val="0"/>
              <w:snapToGrid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(4)社会保障资金缴纳证明：提供2025年09月至今已缴存的至少一个月的社会保障资金缴存单据或社保机构开具的社会保险参保缴费情况证明，依法不需要缴纳社会保障资金的单位应提供相关证明材料；</w:t>
            </w:r>
          </w:p>
          <w:p w14:paraId="3AAA374E">
            <w:pPr>
              <w:adjustRightInd w:val="0"/>
              <w:snapToGrid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(5)财务状况报告：提供经会计事务所或审计机构出具的2025年度赋码财务审计报告；财务审计报告须有注册会计师签字盖章和公司盖章，并附通过注册会计师行业统一监管平台（http://acc.mof.gov.cn）报备并相应取得全国统一的验证码提供查询截图；或其开标前六个月内银行出具的资信证明；成立时间至提交响应文件递交截止时间不足一年的，须提供其基本存款账户开户银行近三个月内出具的银行资信证明或自成立以来的财务报表；其他组织或自然人提供银行出具的资信证明或财务报表；</w:t>
            </w:r>
          </w:p>
          <w:p w14:paraId="3D62CFA0">
            <w:pPr>
              <w:adjustRightInd w:val="0"/>
              <w:snapToGrid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(6)供应商不得为“信用中国”网站（www.creditchina.gov.cn）中列入严重失信主体名单和重大税收违法失信主体名单的供应商，不得为中国政府采购网（www.ccgp.gov.cn）政府采购严重违法失信行为记录名单中被财政部门禁止参加政府采购活动的供应商；（提供查询结果网页截图并加盖供应商公章查询日期为从公告之日起至投标截止日前）有以上不良记录的不得参与评审活动，同时提供供应商信用承诺书；</w:t>
            </w:r>
          </w:p>
          <w:p w14:paraId="758C3056">
            <w:pPr>
              <w:adjustRightInd w:val="0"/>
              <w:snapToGrid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(7)参加政府采购活动前三年内，在经营活动中没有重大违法记录的书面声明；</w:t>
            </w:r>
          </w:p>
          <w:p w14:paraId="6ABE6FAB">
            <w:pPr>
              <w:adjustRightInd w:val="0"/>
              <w:snapToGrid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(8)本项目采用投标信用承诺书代替投标保证金，提供信用中国（陕西榆林）承诺网页截图；</w:t>
            </w:r>
          </w:p>
          <w:p w14:paraId="2FC7D063">
            <w:pPr>
              <w:adjustRightInd w:val="0"/>
              <w:snapToGrid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(9)本项目专门面向中小企业采购（须提供中小企业声明函）；</w:t>
            </w:r>
          </w:p>
          <w:p w14:paraId="41B9F3FB">
            <w:pPr>
              <w:adjustRightInd w:val="0"/>
              <w:snapToGrid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注：本项目不接受联合体投标，单位负责人为同一人或者存在直接控股、管理关系的不同供应商，不得参加同一合同项下的政府采购活动。</w:t>
            </w:r>
          </w:p>
          <w:p w14:paraId="2270267A">
            <w:pPr>
              <w:adjustRightInd w:val="0"/>
              <w:snapToGrid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highlight w:val="none"/>
              </w:rPr>
              <w:t>注：上述资质为必备资质，欠缺其中任何一项按无效响应文件处理。</w:t>
            </w:r>
          </w:p>
        </w:tc>
      </w:tr>
      <w:tr w14:paraId="0F94DF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98" w:type="dxa"/>
            <w:noWrap w:val="0"/>
            <w:vAlign w:val="center"/>
          </w:tcPr>
          <w:p w14:paraId="3D7B8840">
            <w:pPr>
              <w:spacing w:line="360" w:lineRule="auto"/>
              <w:ind w:left="21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19</w:t>
            </w:r>
          </w:p>
        </w:tc>
        <w:tc>
          <w:tcPr>
            <w:tcW w:w="9088" w:type="dxa"/>
            <w:noWrap w:val="0"/>
            <w:vAlign w:val="center"/>
          </w:tcPr>
          <w:p w14:paraId="57FE3708">
            <w:pPr>
              <w:spacing w:line="360" w:lineRule="auto"/>
              <w:textAlignment w:val="baseline"/>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支持中小企业发展：</w:t>
            </w:r>
          </w:p>
          <w:p w14:paraId="091CF9F0">
            <w:pPr>
              <w:snapToGrid w:val="0"/>
              <w:spacing w:line="360" w:lineRule="auto"/>
              <w:textAlignment w:val="baseline"/>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 eq \o\ac(□</w:instrText>
            </w:r>
            <w:r>
              <w:rPr>
                <w:rFonts w:hint="eastAsia" w:ascii="宋体" w:hAnsi="宋体" w:eastAsia="宋体" w:cs="宋体"/>
                <w:bCs/>
                <w:color w:val="auto"/>
                <w:sz w:val="24"/>
                <w:szCs w:val="24"/>
                <w:highlight w:val="none"/>
                <w:lang w:eastAsia="zh-CN"/>
              </w:rPr>
              <w:instrText xml:space="preserve">,</w:instrText>
            </w:r>
            <w:r>
              <w:rPr>
                <w:rFonts w:hint="eastAsia" w:ascii="宋体" w:hAnsi="宋体" w:eastAsia="宋体" w:cs="宋体"/>
                <w:bCs/>
                <w:color w:val="auto"/>
                <w:position w:val="2"/>
                <w:sz w:val="16"/>
                <w:szCs w:val="24"/>
                <w:highlight w:val="none"/>
                <w:lang w:eastAsia="zh-CN"/>
              </w:rPr>
              <w:instrText xml:space="preserve">√</w:instrText>
            </w:r>
            <w:r>
              <w:rPr>
                <w:rFonts w:hint="eastAsia" w:ascii="宋体" w:hAnsi="宋体" w:eastAsia="宋体" w:cs="宋体"/>
                <w:bCs/>
                <w:color w:val="auto"/>
                <w:sz w:val="24"/>
                <w:szCs w:val="24"/>
                <w:highlight w:val="none"/>
              </w:rPr>
              <w:instrText xml:space="preserve">)</w:instrText>
            </w:r>
            <w:r>
              <w:rPr>
                <w:rFonts w:hint="eastAsia" w:ascii="宋体" w:hAnsi="宋体" w:eastAsia="宋体" w:cs="宋体"/>
                <w:bCs/>
                <w:color w:val="auto"/>
                <w:sz w:val="24"/>
                <w:szCs w:val="24"/>
                <w:highlight w:val="none"/>
              </w:rPr>
              <w:fldChar w:fldCharType="end"/>
            </w:r>
            <w:r>
              <w:rPr>
                <w:rFonts w:hint="eastAsia" w:ascii="宋体" w:hAnsi="宋体" w:eastAsia="宋体" w:cs="宋体"/>
                <w:bCs/>
                <w:color w:val="auto"/>
                <w:sz w:val="24"/>
                <w:szCs w:val="24"/>
                <w:highlight w:val="none"/>
              </w:rPr>
              <w:t>专门面向中小企业采购项目</w:t>
            </w:r>
          </w:p>
          <w:p w14:paraId="56F3F6E1">
            <w:pPr>
              <w:snapToGrid w:val="0"/>
              <w:spacing w:line="360" w:lineRule="auto"/>
              <w:textAlignment w:val="baseline"/>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 eq \o\ac(□)</w:instrText>
            </w:r>
            <w:r>
              <w:rPr>
                <w:rFonts w:hint="eastAsia" w:ascii="宋体" w:hAnsi="宋体" w:eastAsia="宋体" w:cs="宋体"/>
                <w:bCs/>
                <w:color w:val="auto"/>
                <w:sz w:val="24"/>
                <w:szCs w:val="24"/>
                <w:highlight w:val="none"/>
              </w:rPr>
              <w:fldChar w:fldCharType="end"/>
            </w:r>
            <w:r>
              <w:rPr>
                <w:rFonts w:hint="eastAsia" w:ascii="宋体" w:hAnsi="宋体" w:eastAsia="宋体" w:cs="宋体"/>
                <w:bCs/>
                <w:color w:val="auto"/>
                <w:sz w:val="24"/>
                <w:szCs w:val="24"/>
                <w:highlight w:val="none"/>
              </w:rPr>
              <w:t>非专门面向中小企业采购项目（价格扣除）：</w:t>
            </w:r>
          </w:p>
          <w:p w14:paraId="307FC92A">
            <w:pPr>
              <w:snapToGrid w:val="0"/>
              <w:spacing w:line="360" w:lineRule="auto"/>
              <w:textAlignment w:val="baseline"/>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sym w:font="Wingdings" w:char="F081"/>
            </w:r>
            <w:r>
              <w:rPr>
                <w:rFonts w:hint="eastAsia" w:ascii="宋体" w:hAnsi="宋体" w:eastAsia="宋体" w:cs="宋体"/>
                <w:bCs/>
                <w:color w:val="auto"/>
                <w:sz w:val="24"/>
                <w:szCs w:val="24"/>
                <w:highlight w:val="none"/>
              </w:rPr>
              <w:t>对小型和微型企业产品的价格给与10%~20%的扣除，用扣除后的价格参与评审。本项目的扣除比例为：小型企业扣除20%，微型企业扣除20%。</w:t>
            </w:r>
          </w:p>
          <w:p w14:paraId="1CADF10F">
            <w:pPr>
              <w:snapToGrid w:val="0"/>
              <w:spacing w:line="360" w:lineRule="auto"/>
              <w:textAlignment w:val="baseline"/>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sym w:font="Wingdings" w:char="F082"/>
            </w:r>
            <w:r>
              <w:rPr>
                <w:rFonts w:hint="eastAsia" w:ascii="宋体" w:hAnsi="宋体" w:eastAsia="宋体" w:cs="宋体"/>
                <w:bCs/>
                <w:color w:val="auto"/>
                <w:sz w:val="24"/>
                <w:szCs w:val="24"/>
                <w:highlight w:val="none"/>
              </w:rPr>
              <w:t>本项目接收受联合体投标的，若小型和微型企业的协议合同金额占到联合体协议合同金额30%以上的，可给予联合体 4% ~6%的扣除，用扣除后的价格参与评审。本项目的扣除比例为：6%。</w:t>
            </w:r>
          </w:p>
          <w:p w14:paraId="7544374F">
            <w:pPr>
              <w:pStyle w:val="17"/>
              <w:rPr>
                <w:rFonts w:hint="eastAsia" w:ascii="宋体" w:hAnsi="宋体" w:eastAsia="宋体" w:cs="宋体"/>
                <w:bCs/>
                <w:color w:val="auto"/>
                <w:highlight w:val="none"/>
              </w:rPr>
            </w:pP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 eq \o\ac(□)</w:instrText>
            </w:r>
            <w:r>
              <w:rPr>
                <w:rFonts w:hint="eastAsia" w:ascii="宋体" w:hAnsi="宋体" w:eastAsia="宋体" w:cs="宋体"/>
                <w:bCs/>
                <w:color w:val="auto"/>
                <w:sz w:val="24"/>
                <w:szCs w:val="24"/>
                <w:highlight w:val="none"/>
              </w:rPr>
              <w:fldChar w:fldCharType="end"/>
            </w:r>
            <w:r>
              <w:rPr>
                <w:rFonts w:hint="eastAsia" w:ascii="宋体" w:hAnsi="宋体" w:eastAsia="宋体" w:cs="宋体"/>
                <w:bCs/>
                <w:color w:val="auto"/>
                <w:sz w:val="24"/>
                <w:szCs w:val="24"/>
                <w:highlight w:val="none"/>
              </w:rPr>
              <w:t>非专门面向中小企业采购项目</w:t>
            </w:r>
          </w:p>
        </w:tc>
      </w:tr>
      <w:tr w14:paraId="4FEF35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98" w:type="dxa"/>
            <w:noWrap w:val="0"/>
            <w:vAlign w:val="center"/>
          </w:tcPr>
          <w:p w14:paraId="6F13D0AC">
            <w:pPr>
              <w:spacing w:line="360" w:lineRule="auto"/>
              <w:ind w:left="21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20</w:t>
            </w:r>
          </w:p>
        </w:tc>
        <w:tc>
          <w:tcPr>
            <w:tcW w:w="9088" w:type="dxa"/>
            <w:noWrap w:val="0"/>
            <w:vAlign w:val="center"/>
          </w:tcPr>
          <w:p w14:paraId="53206A08">
            <w:pPr>
              <w:adjustRightInd w:val="0"/>
              <w:snapToGrid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各行业划分标准具体为</w:t>
            </w:r>
          </w:p>
          <w:p w14:paraId="331FD174">
            <w:pPr>
              <w:adjustRightInd w:val="0"/>
              <w:snapToGrid w:val="0"/>
              <w:spacing w:line="360" w:lineRule="auto"/>
              <w:rPr>
                <w:rFonts w:hint="eastAsia" w:ascii="宋体" w:hAnsi="宋体" w:eastAsia="宋体" w:cs="宋体"/>
                <w:bCs/>
                <w:color w:val="auto"/>
                <w:sz w:val="24"/>
                <w:highlight w:val="none"/>
                <w:lang w:eastAsia="zh-CN"/>
              </w:rPr>
            </w:pPr>
            <w:r>
              <w:rPr>
                <w:rFonts w:hint="eastAsia" w:ascii="宋体" w:hAnsi="宋体" w:eastAsia="宋体" w:cs="宋体"/>
                <w:bCs/>
                <w:color w:val="auto"/>
                <w:sz w:val="24"/>
                <w:szCs w:val="24"/>
                <w:highlight w:val="none"/>
              </w:rPr>
              <w:t>本项目属于：餐饮业</w:t>
            </w:r>
            <w:r>
              <w:rPr>
                <w:rFonts w:hint="eastAsia" w:ascii="宋体" w:hAnsi="宋体" w:eastAsia="宋体" w:cs="宋体"/>
                <w:bCs/>
                <w:color w:val="auto"/>
                <w:sz w:val="24"/>
                <w:szCs w:val="24"/>
                <w:highlight w:val="none"/>
                <w:lang w:eastAsia="zh-CN"/>
              </w:rPr>
              <w:t>。</w:t>
            </w:r>
          </w:p>
        </w:tc>
      </w:tr>
      <w:tr w14:paraId="67720F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98" w:type="dxa"/>
            <w:noWrap w:val="0"/>
            <w:vAlign w:val="center"/>
          </w:tcPr>
          <w:p w14:paraId="697D4BC4">
            <w:pPr>
              <w:spacing w:line="360" w:lineRule="auto"/>
              <w:ind w:left="21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21</w:t>
            </w:r>
          </w:p>
        </w:tc>
        <w:tc>
          <w:tcPr>
            <w:tcW w:w="9088" w:type="dxa"/>
            <w:noWrap w:val="0"/>
            <w:vAlign w:val="center"/>
          </w:tcPr>
          <w:p w14:paraId="4EF12C3B">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支持监狱企业发展：</w:t>
            </w:r>
          </w:p>
          <w:p w14:paraId="7EF9D249">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 eq \o\ac(</w:instrText>
            </w:r>
            <w:r>
              <w:rPr>
                <w:rFonts w:hint="eastAsia" w:ascii="宋体" w:hAnsi="宋体" w:eastAsia="宋体" w:cs="宋体"/>
                <w:bCs/>
                <w:color w:val="auto"/>
                <w:position w:val="-4"/>
                <w:sz w:val="36"/>
                <w:szCs w:val="24"/>
                <w:highlight w:val="none"/>
              </w:rPr>
              <w:instrText xml:space="preserve">□</w:instrText>
            </w:r>
            <w:r>
              <w:rPr>
                <w:rFonts w:hint="eastAsia" w:ascii="宋体" w:hAnsi="宋体" w:eastAsia="宋体" w:cs="宋体"/>
                <w:bCs/>
                <w:color w:val="auto"/>
                <w:sz w:val="24"/>
                <w:szCs w:val="24"/>
                <w:highlight w:val="none"/>
              </w:rPr>
              <w:instrText xml:space="preserve">)</w:instrText>
            </w:r>
            <w:r>
              <w:rPr>
                <w:rFonts w:hint="eastAsia" w:ascii="宋体" w:hAnsi="宋体" w:eastAsia="宋体" w:cs="宋体"/>
                <w:bCs/>
                <w:color w:val="auto"/>
                <w:sz w:val="24"/>
                <w:szCs w:val="24"/>
                <w:highlight w:val="none"/>
              </w:rPr>
              <w:fldChar w:fldCharType="end"/>
            </w:r>
            <w:r>
              <w:rPr>
                <w:rFonts w:hint="eastAsia" w:ascii="宋体" w:hAnsi="宋体" w:eastAsia="宋体" w:cs="宋体"/>
                <w:bCs/>
                <w:color w:val="auto"/>
                <w:sz w:val="24"/>
                <w:szCs w:val="24"/>
                <w:highlight w:val="none"/>
              </w:rPr>
              <w:t>专门面向监狱企业采购项目</w:t>
            </w:r>
          </w:p>
          <w:p w14:paraId="69E1EE02">
            <w:pPr>
              <w:adjustRightInd w:val="0"/>
              <w:snapToGrid w:val="0"/>
              <w:spacing w:line="360" w:lineRule="auto"/>
              <w:rPr>
                <w:rFonts w:hint="eastAsia" w:ascii="宋体" w:hAnsi="宋体" w:eastAsia="宋体" w:cs="宋体"/>
                <w:bCs/>
                <w:color w:val="auto"/>
                <w:highlight w:val="none"/>
              </w:rPr>
            </w:pP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 eq \o\ac(</w:instrText>
            </w:r>
            <w:r>
              <w:rPr>
                <w:rFonts w:hint="eastAsia" w:ascii="宋体" w:hAnsi="宋体" w:eastAsia="宋体" w:cs="宋体"/>
                <w:bCs/>
                <w:color w:val="auto"/>
                <w:position w:val="-4"/>
                <w:sz w:val="36"/>
                <w:szCs w:val="24"/>
                <w:highlight w:val="none"/>
              </w:rPr>
              <w:instrText xml:space="preserve">□,</w:instrText>
            </w:r>
            <w:r>
              <w:rPr>
                <w:rFonts w:hint="eastAsia" w:ascii="宋体" w:hAnsi="宋体" w:eastAsia="宋体" w:cs="宋体"/>
                <w:bCs/>
                <w:color w:val="auto"/>
                <w:sz w:val="25"/>
                <w:szCs w:val="24"/>
                <w:highlight w:val="none"/>
              </w:rPr>
              <w:instrText xml:space="preserve">√</w:instrText>
            </w:r>
            <w:r>
              <w:rPr>
                <w:rFonts w:hint="eastAsia" w:ascii="宋体" w:hAnsi="宋体" w:eastAsia="宋体" w:cs="宋体"/>
                <w:bCs/>
                <w:color w:val="auto"/>
                <w:sz w:val="24"/>
                <w:szCs w:val="24"/>
                <w:highlight w:val="none"/>
              </w:rPr>
              <w:instrText xml:space="preserve">)</w:instrText>
            </w:r>
            <w:r>
              <w:rPr>
                <w:rFonts w:hint="eastAsia" w:ascii="宋体" w:hAnsi="宋体" w:eastAsia="宋体" w:cs="宋体"/>
                <w:bCs/>
                <w:color w:val="auto"/>
                <w:sz w:val="24"/>
                <w:szCs w:val="24"/>
                <w:highlight w:val="none"/>
              </w:rPr>
              <w:fldChar w:fldCharType="end"/>
            </w:r>
            <w:r>
              <w:rPr>
                <w:rFonts w:hint="eastAsia" w:ascii="宋体" w:hAnsi="宋体" w:eastAsia="宋体" w:cs="宋体"/>
                <w:bCs/>
                <w:color w:val="auto"/>
                <w:sz w:val="24"/>
                <w:szCs w:val="24"/>
                <w:highlight w:val="none"/>
              </w:rPr>
              <w:t>非专门面向监狱企业采购项目（价格扣除）：视同小微企业</w:t>
            </w:r>
          </w:p>
        </w:tc>
      </w:tr>
      <w:tr w14:paraId="250DDC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98" w:type="dxa"/>
            <w:noWrap w:val="0"/>
            <w:vAlign w:val="center"/>
          </w:tcPr>
          <w:p w14:paraId="5DACED7F">
            <w:pPr>
              <w:spacing w:line="360" w:lineRule="auto"/>
              <w:ind w:left="21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22</w:t>
            </w:r>
          </w:p>
        </w:tc>
        <w:tc>
          <w:tcPr>
            <w:tcW w:w="9088" w:type="dxa"/>
            <w:noWrap w:val="0"/>
            <w:vAlign w:val="center"/>
          </w:tcPr>
          <w:p w14:paraId="4A3319E0">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踏勘现场:</w:t>
            </w: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 eq \o\ac(□,√)</w:instrText>
            </w:r>
            <w:r>
              <w:rPr>
                <w:rFonts w:hint="eastAsia" w:ascii="宋体" w:hAnsi="宋体" w:eastAsia="宋体" w:cs="宋体"/>
                <w:bCs/>
                <w:color w:val="auto"/>
                <w:sz w:val="24"/>
                <w:szCs w:val="24"/>
                <w:highlight w:val="none"/>
              </w:rPr>
              <w:fldChar w:fldCharType="end"/>
            </w:r>
            <w:r>
              <w:rPr>
                <w:rFonts w:hint="eastAsia" w:ascii="宋体" w:hAnsi="宋体" w:eastAsia="宋体" w:cs="宋体"/>
                <w:bCs/>
                <w:color w:val="auto"/>
                <w:sz w:val="24"/>
                <w:szCs w:val="24"/>
                <w:highlight w:val="none"/>
              </w:rPr>
              <w:t>不组织</w:t>
            </w: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 eq \o\ac(□)</w:instrText>
            </w:r>
            <w:r>
              <w:rPr>
                <w:rFonts w:hint="eastAsia" w:ascii="宋体" w:hAnsi="宋体" w:eastAsia="宋体" w:cs="宋体"/>
                <w:bCs/>
                <w:color w:val="auto"/>
                <w:sz w:val="24"/>
                <w:szCs w:val="24"/>
                <w:highlight w:val="none"/>
              </w:rPr>
              <w:fldChar w:fldCharType="end"/>
            </w:r>
            <w:r>
              <w:rPr>
                <w:rFonts w:hint="eastAsia" w:ascii="宋体" w:hAnsi="宋体" w:eastAsia="宋体" w:cs="宋体"/>
                <w:bCs/>
                <w:color w:val="auto"/>
                <w:sz w:val="24"/>
                <w:szCs w:val="24"/>
                <w:highlight w:val="none"/>
              </w:rPr>
              <w:t>组织，本项目采购人及代理机构不集中组织踏勘现场；需要现场踏勘的，由</w:t>
            </w:r>
            <w:r>
              <w:rPr>
                <w:rFonts w:hint="eastAsia" w:ascii="宋体" w:hAnsi="宋体" w:eastAsia="宋体" w:cs="宋体"/>
                <w:bCs/>
                <w:color w:val="auto"/>
                <w:sz w:val="24"/>
                <w:szCs w:val="24"/>
                <w:highlight w:val="none"/>
                <w:lang w:eastAsia="zh-CN"/>
              </w:rPr>
              <w:t>供应商</w:t>
            </w:r>
            <w:r>
              <w:rPr>
                <w:rFonts w:hint="eastAsia" w:ascii="宋体" w:hAnsi="宋体" w:eastAsia="宋体" w:cs="宋体"/>
                <w:bCs/>
                <w:color w:val="auto"/>
                <w:sz w:val="24"/>
                <w:szCs w:val="24"/>
                <w:highlight w:val="none"/>
              </w:rPr>
              <w:t>自行踏勘，安全责任由</w:t>
            </w:r>
            <w:r>
              <w:rPr>
                <w:rFonts w:hint="eastAsia" w:ascii="宋体" w:hAnsi="宋体" w:eastAsia="宋体" w:cs="宋体"/>
                <w:bCs/>
                <w:color w:val="auto"/>
                <w:sz w:val="24"/>
                <w:szCs w:val="24"/>
                <w:highlight w:val="none"/>
                <w:lang w:eastAsia="zh-CN"/>
              </w:rPr>
              <w:t>供应商</w:t>
            </w:r>
            <w:r>
              <w:rPr>
                <w:rFonts w:hint="eastAsia" w:ascii="宋体" w:hAnsi="宋体" w:eastAsia="宋体" w:cs="宋体"/>
                <w:bCs/>
                <w:color w:val="auto"/>
                <w:sz w:val="24"/>
                <w:szCs w:val="24"/>
                <w:highlight w:val="none"/>
              </w:rPr>
              <w:t>自负，费用自理。如需踏勘，请按招标公告中的联系方式联系采购人。</w:t>
            </w:r>
          </w:p>
        </w:tc>
      </w:tr>
      <w:tr w14:paraId="796499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98" w:type="dxa"/>
            <w:noWrap w:val="0"/>
            <w:vAlign w:val="center"/>
          </w:tcPr>
          <w:p w14:paraId="09148BD4">
            <w:pPr>
              <w:spacing w:line="360" w:lineRule="auto"/>
              <w:ind w:left="21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23</w:t>
            </w:r>
          </w:p>
        </w:tc>
        <w:tc>
          <w:tcPr>
            <w:tcW w:w="9088" w:type="dxa"/>
            <w:noWrap w:val="0"/>
            <w:vAlign w:val="center"/>
          </w:tcPr>
          <w:p w14:paraId="33A2A18C">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投标答疑会:</w:t>
            </w: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 eq \o\ac(□,√)</w:instrText>
            </w:r>
            <w:r>
              <w:rPr>
                <w:rFonts w:hint="eastAsia" w:ascii="宋体" w:hAnsi="宋体" w:eastAsia="宋体" w:cs="宋体"/>
                <w:bCs/>
                <w:color w:val="auto"/>
                <w:sz w:val="24"/>
                <w:szCs w:val="24"/>
                <w:highlight w:val="none"/>
              </w:rPr>
              <w:fldChar w:fldCharType="end"/>
            </w:r>
            <w:r>
              <w:rPr>
                <w:rFonts w:hint="eastAsia" w:ascii="宋体" w:hAnsi="宋体" w:eastAsia="宋体" w:cs="宋体"/>
                <w:bCs/>
                <w:color w:val="auto"/>
                <w:sz w:val="24"/>
                <w:szCs w:val="24"/>
                <w:highlight w:val="none"/>
              </w:rPr>
              <w:t>不召开</w:t>
            </w: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 eq \o\ac(□)</w:instrText>
            </w:r>
            <w:r>
              <w:rPr>
                <w:rFonts w:hint="eastAsia" w:ascii="宋体" w:hAnsi="宋体" w:eastAsia="宋体" w:cs="宋体"/>
                <w:bCs/>
                <w:color w:val="auto"/>
                <w:sz w:val="24"/>
                <w:szCs w:val="24"/>
                <w:highlight w:val="none"/>
              </w:rPr>
              <w:fldChar w:fldCharType="end"/>
            </w:r>
            <w:r>
              <w:rPr>
                <w:rFonts w:hint="eastAsia" w:ascii="宋体" w:hAnsi="宋体" w:eastAsia="宋体" w:cs="宋体"/>
                <w:bCs/>
                <w:color w:val="auto"/>
                <w:sz w:val="24"/>
                <w:szCs w:val="24"/>
                <w:highlight w:val="none"/>
              </w:rPr>
              <w:t>召开，招标代理机构将对供应商所提出的问题予以解答，并出具书面答疑纪要。答疑纪要为招标文件的组成部分，与招标文件具有同等法律效力。</w:t>
            </w:r>
          </w:p>
        </w:tc>
      </w:tr>
      <w:tr w14:paraId="5ADDC2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8" w:type="dxa"/>
            <w:noWrap w:val="0"/>
            <w:vAlign w:val="center"/>
          </w:tcPr>
          <w:p w14:paraId="44EC0EFF">
            <w:pPr>
              <w:spacing w:line="360" w:lineRule="auto"/>
              <w:ind w:left="21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24</w:t>
            </w:r>
          </w:p>
        </w:tc>
        <w:tc>
          <w:tcPr>
            <w:tcW w:w="9088" w:type="dxa"/>
            <w:noWrap w:val="0"/>
            <w:vAlign w:val="center"/>
          </w:tcPr>
          <w:p w14:paraId="753C510B">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分包：</w:t>
            </w: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 eq \o\ac(□,</w:instrText>
            </w:r>
            <w:r>
              <w:rPr>
                <w:rFonts w:hint="eastAsia" w:ascii="宋体" w:hAnsi="宋体" w:eastAsia="宋体" w:cs="宋体"/>
                <w:bCs/>
                <w:color w:val="auto"/>
                <w:position w:val="2"/>
                <w:sz w:val="16"/>
                <w:szCs w:val="24"/>
                <w:highlight w:val="none"/>
              </w:rPr>
              <w:instrText xml:space="preserve">√</w:instrText>
            </w:r>
            <w:r>
              <w:rPr>
                <w:rFonts w:hint="eastAsia" w:ascii="宋体" w:hAnsi="宋体" w:eastAsia="宋体" w:cs="宋体"/>
                <w:bCs/>
                <w:color w:val="auto"/>
                <w:sz w:val="24"/>
                <w:szCs w:val="24"/>
                <w:highlight w:val="none"/>
              </w:rPr>
              <w:instrText xml:space="preserve">)</w:instrText>
            </w:r>
            <w:r>
              <w:rPr>
                <w:rFonts w:hint="eastAsia" w:ascii="宋体" w:hAnsi="宋体" w:eastAsia="宋体" w:cs="宋体"/>
                <w:bCs/>
                <w:color w:val="auto"/>
                <w:sz w:val="24"/>
                <w:szCs w:val="24"/>
                <w:highlight w:val="none"/>
              </w:rPr>
              <w:fldChar w:fldCharType="end"/>
            </w:r>
            <w:r>
              <w:rPr>
                <w:rFonts w:hint="eastAsia" w:ascii="宋体" w:hAnsi="宋体" w:eastAsia="宋体" w:cs="宋体"/>
                <w:bCs/>
                <w:color w:val="auto"/>
                <w:sz w:val="24"/>
                <w:szCs w:val="24"/>
                <w:highlight w:val="none"/>
              </w:rPr>
              <w:t>不允许:</w:t>
            </w: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 eq \o\ac(□)</w:instrText>
            </w:r>
            <w:r>
              <w:rPr>
                <w:rFonts w:hint="eastAsia" w:ascii="宋体" w:hAnsi="宋体" w:eastAsia="宋体" w:cs="宋体"/>
                <w:bCs/>
                <w:color w:val="auto"/>
                <w:sz w:val="24"/>
                <w:szCs w:val="24"/>
                <w:highlight w:val="none"/>
              </w:rPr>
              <w:fldChar w:fldCharType="end"/>
            </w:r>
            <w:r>
              <w:rPr>
                <w:rFonts w:hint="eastAsia" w:ascii="宋体" w:hAnsi="宋体" w:eastAsia="宋体" w:cs="宋体"/>
                <w:bCs/>
                <w:color w:val="auto"/>
                <w:sz w:val="24"/>
                <w:szCs w:val="24"/>
                <w:highlight w:val="none"/>
              </w:rPr>
              <w:t>允许</w:t>
            </w:r>
          </w:p>
        </w:tc>
      </w:tr>
      <w:tr w14:paraId="0A6A12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jc w:val="center"/>
        </w:trPr>
        <w:tc>
          <w:tcPr>
            <w:tcW w:w="698" w:type="dxa"/>
            <w:noWrap w:val="0"/>
            <w:vAlign w:val="center"/>
          </w:tcPr>
          <w:p w14:paraId="097CB2F7">
            <w:pPr>
              <w:spacing w:line="360" w:lineRule="auto"/>
              <w:ind w:left="21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25</w:t>
            </w:r>
          </w:p>
        </w:tc>
        <w:tc>
          <w:tcPr>
            <w:tcW w:w="9088" w:type="dxa"/>
            <w:noWrap w:val="0"/>
            <w:vAlign w:val="center"/>
          </w:tcPr>
          <w:p w14:paraId="21D4AF42">
            <w:pPr>
              <w:widowControl/>
              <w:wordWrap w:val="0"/>
              <w:topLinePunct/>
              <w:adjustRightInd w:val="0"/>
              <w:snapToGrid w:val="0"/>
              <w:spacing w:line="360" w:lineRule="auto"/>
              <w:jc w:val="left"/>
              <w:textAlignment w:val="center"/>
              <w:rPr>
                <w:rFonts w:hint="eastAsia" w:ascii="宋体" w:hAnsi="宋体" w:eastAsia="宋体" w:cs="宋体"/>
                <w:bCs/>
                <w:color w:val="auto"/>
                <w:sz w:val="24"/>
                <w:szCs w:val="24"/>
                <w:highlight w:val="none"/>
                <w:lang w:val="zh-TW"/>
              </w:rPr>
            </w:pPr>
            <w:r>
              <w:rPr>
                <w:rFonts w:hint="eastAsia" w:ascii="宋体" w:hAnsi="宋体" w:eastAsia="宋体" w:cs="宋体"/>
                <w:bCs/>
                <w:color w:val="auto"/>
                <w:sz w:val="24"/>
                <w:szCs w:val="24"/>
                <w:highlight w:val="none"/>
              </w:rPr>
              <w:t>公共资源信用承诺:</w:t>
            </w:r>
            <w:r>
              <w:rPr>
                <w:rFonts w:hint="eastAsia" w:ascii="宋体" w:hAnsi="宋体" w:eastAsia="宋体" w:cs="宋体"/>
                <w:bCs/>
                <w:color w:val="auto"/>
                <w:sz w:val="24"/>
                <w:szCs w:val="24"/>
                <w:highlight w:val="none"/>
                <w:lang w:val="zh-TW"/>
              </w:rPr>
              <w:t>进入公共资源交易平台的各</w:t>
            </w:r>
            <w:r>
              <w:rPr>
                <w:rFonts w:hint="eastAsia" w:ascii="宋体" w:hAnsi="宋体" w:eastAsia="宋体" w:cs="宋体"/>
                <w:bCs/>
                <w:color w:val="auto"/>
                <w:sz w:val="24"/>
                <w:szCs w:val="24"/>
                <w:highlight w:val="none"/>
                <w:lang w:val="zh-TW" w:eastAsia="zh-CN"/>
              </w:rPr>
              <w:t>供应商</w:t>
            </w:r>
            <w:r>
              <w:rPr>
                <w:rFonts w:hint="eastAsia" w:ascii="宋体" w:hAnsi="宋体" w:eastAsia="宋体" w:cs="宋体"/>
                <w:bCs/>
                <w:color w:val="auto"/>
                <w:sz w:val="24"/>
                <w:szCs w:val="24"/>
                <w:highlight w:val="none"/>
                <w:lang w:val="zh-TW"/>
              </w:rPr>
              <w:t>，均应在“信用中国（陕西榆林）”网站进行注册、登录、自主上报信用承诺书（网址：</w:t>
            </w:r>
            <w:r>
              <w:rPr>
                <w:rFonts w:hint="eastAsia" w:ascii="宋体" w:hAnsi="宋体" w:eastAsia="宋体" w:cs="宋体"/>
                <w:bCs/>
                <w:color w:val="auto"/>
                <w:highlight w:val="none"/>
              </w:rPr>
              <w:fldChar w:fldCharType="begin"/>
            </w:r>
            <w:r>
              <w:rPr>
                <w:rFonts w:hint="eastAsia" w:ascii="宋体" w:hAnsi="宋体" w:eastAsia="宋体" w:cs="宋体"/>
                <w:bCs/>
                <w:color w:val="auto"/>
                <w:highlight w:val="none"/>
              </w:rPr>
              <w:instrText xml:space="preserve"> HYPERLINK "https://credit.yl.gov.cn/）。各投标人注册、登录后根据承诺事项选择相应的模板填写《信用承诺书》，并载明承诺事由，投标人、投标人委托代理人员、投标信用的承诺事由为“项目名称及标段”。操作指南见附件。" </w:instrText>
            </w:r>
            <w:r>
              <w:rPr>
                <w:rFonts w:hint="eastAsia" w:ascii="宋体" w:hAnsi="宋体" w:eastAsia="宋体" w:cs="宋体"/>
                <w:bCs/>
                <w:color w:val="auto"/>
                <w:highlight w:val="none"/>
              </w:rPr>
              <w:fldChar w:fldCharType="separate"/>
            </w:r>
            <w:r>
              <w:rPr>
                <w:rFonts w:hint="eastAsia" w:ascii="宋体" w:hAnsi="宋体" w:eastAsia="宋体" w:cs="宋体"/>
                <w:bCs/>
                <w:color w:val="auto"/>
                <w:sz w:val="24"/>
                <w:szCs w:val="24"/>
                <w:highlight w:val="none"/>
              </w:rPr>
              <w:t>https://credit.yl.gov.cn/</w:t>
            </w:r>
            <w:r>
              <w:rPr>
                <w:rFonts w:hint="eastAsia" w:ascii="宋体" w:hAnsi="宋体" w:eastAsia="宋体" w:cs="宋体"/>
                <w:bCs/>
                <w:color w:val="auto"/>
                <w:sz w:val="24"/>
                <w:szCs w:val="24"/>
                <w:highlight w:val="none"/>
                <w:lang w:val="zh-TW"/>
              </w:rPr>
              <w:t>）。各</w:t>
            </w:r>
            <w:r>
              <w:rPr>
                <w:rFonts w:hint="eastAsia" w:ascii="宋体" w:hAnsi="宋体" w:eastAsia="宋体" w:cs="宋体"/>
                <w:bCs/>
                <w:color w:val="auto"/>
                <w:sz w:val="24"/>
                <w:szCs w:val="24"/>
                <w:highlight w:val="none"/>
                <w:lang w:val="zh-TW" w:eastAsia="zh-CN"/>
              </w:rPr>
              <w:t>供应商</w:t>
            </w:r>
            <w:r>
              <w:rPr>
                <w:rFonts w:hint="eastAsia" w:ascii="宋体" w:hAnsi="宋体" w:eastAsia="宋体" w:cs="宋体"/>
                <w:bCs/>
                <w:color w:val="auto"/>
                <w:sz w:val="24"/>
                <w:szCs w:val="24"/>
                <w:highlight w:val="none"/>
                <w:lang w:val="zh-TW"/>
              </w:rPr>
              <w:t>注册、登录后根据承诺事项选择相应的模板填写《信用承诺书》，并载明承诺事由，</w:t>
            </w:r>
            <w:r>
              <w:rPr>
                <w:rFonts w:hint="eastAsia" w:ascii="宋体" w:hAnsi="宋体" w:eastAsia="宋体" w:cs="宋体"/>
                <w:bCs/>
                <w:color w:val="auto"/>
                <w:sz w:val="24"/>
                <w:szCs w:val="24"/>
                <w:highlight w:val="none"/>
                <w:lang w:val="zh-TW" w:eastAsia="zh-CN"/>
              </w:rPr>
              <w:t>供应商</w:t>
            </w:r>
            <w:r>
              <w:rPr>
                <w:rFonts w:hint="eastAsia" w:ascii="宋体" w:hAnsi="宋体" w:eastAsia="宋体" w:cs="宋体"/>
                <w:bCs/>
                <w:color w:val="auto"/>
                <w:sz w:val="24"/>
                <w:szCs w:val="24"/>
                <w:highlight w:val="none"/>
                <w:lang w:val="zh-TW"/>
              </w:rPr>
              <w:t>、</w:t>
            </w:r>
            <w:r>
              <w:rPr>
                <w:rFonts w:hint="eastAsia" w:ascii="宋体" w:hAnsi="宋体" w:eastAsia="宋体" w:cs="宋体"/>
                <w:bCs/>
                <w:color w:val="auto"/>
                <w:sz w:val="24"/>
                <w:szCs w:val="24"/>
                <w:highlight w:val="none"/>
                <w:lang w:val="zh-TW" w:eastAsia="zh-CN"/>
              </w:rPr>
              <w:t>供应商</w:t>
            </w:r>
            <w:r>
              <w:rPr>
                <w:rFonts w:hint="eastAsia" w:ascii="宋体" w:hAnsi="宋体" w:eastAsia="宋体" w:cs="宋体"/>
                <w:bCs/>
                <w:color w:val="auto"/>
                <w:sz w:val="24"/>
                <w:szCs w:val="24"/>
                <w:highlight w:val="none"/>
                <w:lang w:val="zh-TW"/>
              </w:rPr>
              <w:t>委托代理人员、投标信用的承诺事由为“项目名称”。操作指南见附件。</w:t>
            </w:r>
            <w:r>
              <w:rPr>
                <w:rFonts w:hint="eastAsia" w:ascii="宋体" w:hAnsi="宋体" w:eastAsia="宋体" w:cs="宋体"/>
                <w:bCs/>
                <w:color w:val="auto"/>
                <w:sz w:val="24"/>
                <w:szCs w:val="24"/>
                <w:highlight w:val="none"/>
                <w:lang w:val="zh-TW"/>
              </w:rPr>
              <w:fldChar w:fldCharType="end"/>
            </w:r>
          </w:p>
          <w:p w14:paraId="51DF590B">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供应商</w:t>
            </w:r>
            <w:r>
              <w:rPr>
                <w:rFonts w:hint="eastAsia" w:ascii="宋体" w:hAnsi="宋体" w:eastAsia="宋体" w:cs="宋体"/>
                <w:bCs/>
                <w:color w:val="auto"/>
                <w:sz w:val="24"/>
                <w:szCs w:val="24"/>
                <w:highlight w:val="none"/>
              </w:rPr>
              <w:t>（供应商）请将申报截图附在谈判响应文件中。</w:t>
            </w:r>
          </w:p>
        </w:tc>
      </w:tr>
      <w:tr w14:paraId="626F90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98" w:type="dxa"/>
            <w:noWrap w:val="0"/>
            <w:vAlign w:val="center"/>
          </w:tcPr>
          <w:p w14:paraId="5986E4B0">
            <w:pPr>
              <w:spacing w:line="360" w:lineRule="auto"/>
              <w:ind w:left="21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26</w:t>
            </w:r>
          </w:p>
        </w:tc>
        <w:tc>
          <w:tcPr>
            <w:tcW w:w="9088" w:type="dxa"/>
            <w:noWrap w:val="0"/>
            <w:vAlign w:val="center"/>
          </w:tcPr>
          <w:p w14:paraId="61818E48">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谈判响应文件中的复印件（含扫描件）必须加盖供应商公章（鲜章），否则按无效文件处理。所有复印件应是最新、有效、清晰的。因复印件不清晰而可能导致资料无效，由投标供应商自行负责。</w:t>
            </w:r>
          </w:p>
        </w:tc>
      </w:tr>
      <w:tr w14:paraId="536F6A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jc w:val="center"/>
        </w:trPr>
        <w:tc>
          <w:tcPr>
            <w:tcW w:w="698" w:type="dxa"/>
            <w:noWrap w:val="0"/>
            <w:vAlign w:val="center"/>
          </w:tcPr>
          <w:p w14:paraId="45E025A9">
            <w:pPr>
              <w:spacing w:line="360" w:lineRule="auto"/>
              <w:ind w:left="21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27</w:t>
            </w:r>
          </w:p>
        </w:tc>
        <w:tc>
          <w:tcPr>
            <w:tcW w:w="9088" w:type="dxa"/>
            <w:noWrap w:val="0"/>
            <w:vAlign w:val="center"/>
          </w:tcPr>
          <w:p w14:paraId="5505E15D">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合同签订：成交供应商和采购人签订合同。</w:t>
            </w:r>
          </w:p>
        </w:tc>
      </w:tr>
      <w:tr w14:paraId="78DDF8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8" w:type="dxa"/>
            <w:noWrap w:val="0"/>
            <w:vAlign w:val="center"/>
          </w:tcPr>
          <w:p w14:paraId="6BC4AF3A">
            <w:pPr>
              <w:spacing w:line="360" w:lineRule="auto"/>
              <w:ind w:left="21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28</w:t>
            </w:r>
          </w:p>
        </w:tc>
        <w:tc>
          <w:tcPr>
            <w:tcW w:w="9088" w:type="dxa"/>
            <w:noWrap w:val="0"/>
            <w:vAlign w:val="center"/>
          </w:tcPr>
          <w:p w14:paraId="3ABBD106">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招标代理服务费：</w:t>
            </w:r>
          </w:p>
          <w:p w14:paraId="5BC97CAD">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1、代理机构参照国家计委关于印发《招标代理服务收费管理暂行办法》的通知（计价格〔2002〕1980号）、《国家发展和改革委员会办公厅关于招标代理服务收费有关问题的通知》（发改办价格〔2003〕857号）</w:t>
            </w:r>
            <w:r>
              <w:rPr>
                <w:rFonts w:hint="eastAsia" w:ascii="宋体" w:hAnsi="宋体" w:cs="宋体"/>
                <w:bCs/>
                <w:color w:val="auto"/>
                <w:sz w:val="24"/>
                <w:szCs w:val="24"/>
                <w:highlight w:val="none"/>
                <w:lang w:val="en-US" w:eastAsia="zh-CN"/>
              </w:rPr>
              <w:t>及绥政发（2026）5号</w:t>
            </w:r>
            <w:r>
              <w:rPr>
                <w:rFonts w:hint="eastAsia" w:ascii="宋体" w:hAnsi="宋体" w:eastAsia="宋体" w:cs="宋体"/>
                <w:bCs/>
                <w:color w:val="auto"/>
                <w:sz w:val="24"/>
                <w:szCs w:val="24"/>
                <w:highlight w:val="none"/>
              </w:rPr>
              <w:t>规定向</w:t>
            </w:r>
            <w:r>
              <w:rPr>
                <w:rFonts w:hint="eastAsia" w:ascii="宋体" w:hAnsi="宋体" w:cs="宋体"/>
                <w:bCs/>
                <w:color w:val="auto"/>
                <w:sz w:val="24"/>
                <w:szCs w:val="24"/>
                <w:highlight w:val="none"/>
                <w:lang w:val="en-US" w:eastAsia="zh-CN"/>
              </w:rPr>
              <w:t>采购人</w:t>
            </w:r>
            <w:r>
              <w:rPr>
                <w:rFonts w:hint="eastAsia" w:ascii="宋体" w:hAnsi="宋体" w:eastAsia="宋体" w:cs="宋体"/>
                <w:bCs/>
                <w:color w:val="auto"/>
                <w:sz w:val="24"/>
                <w:szCs w:val="24"/>
                <w:highlight w:val="none"/>
              </w:rPr>
              <w:t>收取代理服务费</w:t>
            </w:r>
            <w:r>
              <w:rPr>
                <w:rFonts w:hint="eastAsia" w:ascii="宋体" w:hAnsi="宋体" w:eastAsia="宋体" w:cs="宋体"/>
                <w:bCs/>
                <w:color w:val="auto"/>
                <w:sz w:val="24"/>
                <w:highlight w:val="none"/>
              </w:rPr>
              <w:t>。</w:t>
            </w:r>
          </w:p>
          <w:p w14:paraId="04CAD3B9">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2、支付方式：</w:t>
            </w:r>
            <w:r>
              <w:rPr>
                <w:rFonts w:hint="eastAsia" w:ascii="宋体" w:hAnsi="宋体" w:cs="宋体"/>
                <w:bCs/>
                <w:color w:val="auto"/>
                <w:sz w:val="24"/>
                <w:szCs w:val="24"/>
                <w:highlight w:val="none"/>
                <w:lang w:val="en-US" w:eastAsia="zh-CN"/>
              </w:rPr>
              <w:t>银行转账</w:t>
            </w:r>
            <w:r>
              <w:rPr>
                <w:rFonts w:hint="eastAsia" w:ascii="宋体" w:hAnsi="宋体" w:eastAsia="宋体" w:cs="宋体"/>
                <w:bCs/>
                <w:color w:val="auto"/>
                <w:sz w:val="24"/>
                <w:szCs w:val="24"/>
                <w:highlight w:val="none"/>
              </w:rPr>
              <w:t>。</w:t>
            </w:r>
          </w:p>
          <w:p w14:paraId="5320648F">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3、采购代理服务费按差额定率累进法计算：</w:t>
            </w:r>
          </w:p>
          <w:tbl>
            <w:tblPr>
              <w:tblStyle w:val="2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751"/>
              <w:gridCol w:w="1630"/>
              <w:gridCol w:w="1938"/>
              <w:gridCol w:w="1939"/>
            </w:tblGrid>
            <w:tr w14:paraId="5DC762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5" w:hRule="atLeast"/>
                <w:jc w:val="center"/>
              </w:trPr>
              <w:tc>
                <w:tcPr>
                  <w:tcW w:w="2751" w:type="dxa"/>
                  <w:noWrap w:val="0"/>
                  <w:vAlign w:val="top"/>
                </w:tcPr>
                <w:p w14:paraId="17F4830D">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服务类型/费率/中标金额（万元）</w:t>
                  </w:r>
                </w:p>
              </w:tc>
              <w:tc>
                <w:tcPr>
                  <w:tcW w:w="1630" w:type="dxa"/>
                  <w:noWrap w:val="0"/>
                  <w:vAlign w:val="center"/>
                </w:tcPr>
                <w:p w14:paraId="43BDE15B">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货物招标</w:t>
                  </w:r>
                </w:p>
              </w:tc>
              <w:tc>
                <w:tcPr>
                  <w:tcW w:w="1938" w:type="dxa"/>
                  <w:noWrap w:val="0"/>
                  <w:vAlign w:val="center"/>
                </w:tcPr>
                <w:p w14:paraId="0B7EF6DB">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服务招标</w:t>
                  </w:r>
                </w:p>
              </w:tc>
              <w:tc>
                <w:tcPr>
                  <w:tcW w:w="1939" w:type="dxa"/>
                  <w:noWrap w:val="0"/>
                  <w:vAlign w:val="center"/>
                </w:tcPr>
                <w:p w14:paraId="425D84DB">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工程招标</w:t>
                  </w:r>
                </w:p>
              </w:tc>
            </w:tr>
            <w:tr w14:paraId="6241E3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jc w:val="center"/>
              </w:trPr>
              <w:tc>
                <w:tcPr>
                  <w:tcW w:w="2751" w:type="dxa"/>
                  <w:noWrap w:val="0"/>
                  <w:vAlign w:val="top"/>
                </w:tcPr>
                <w:p w14:paraId="6DCC9C6F">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100以下</w:t>
                  </w:r>
                </w:p>
              </w:tc>
              <w:tc>
                <w:tcPr>
                  <w:tcW w:w="1630" w:type="dxa"/>
                  <w:noWrap w:val="0"/>
                  <w:vAlign w:val="top"/>
                </w:tcPr>
                <w:p w14:paraId="0AF9F603">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1.5%</w:t>
                  </w:r>
                </w:p>
              </w:tc>
              <w:tc>
                <w:tcPr>
                  <w:tcW w:w="1938" w:type="dxa"/>
                  <w:noWrap w:val="0"/>
                  <w:vAlign w:val="top"/>
                </w:tcPr>
                <w:p w14:paraId="3D3A14D0">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1.5%</w:t>
                  </w:r>
                </w:p>
              </w:tc>
              <w:tc>
                <w:tcPr>
                  <w:tcW w:w="1939" w:type="dxa"/>
                  <w:noWrap w:val="0"/>
                  <w:vAlign w:val="top"/>
                </w:tcPr>
                <w:p w14:paraId="0CE2A6C5">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1.0%</w:t>
                  </w:r>
                </w:p>
              </w:tc>
            </w:tr>
            <w:tr w14:paraId="0A3BDD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jc w:val="center"/>
              </w:trPr>
              <w:tc>
                <w:tcPr>
                  <w:tcW w:w="2751" w:type="dxa"/>
                  <w:noWrap w:val="0"/>
                  <w:vAlign w:val="top"/>
                </w:tcPr>
                <w:p w14:paraId="4EE8E75F">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100-500</w:t>
                  </w:r>
                </w:p>
              </w:tc>
              <w:tc>
                <w:tcPr>
                  <w:tcW w:w="1630" w:type="dxa"/>
                  <w:noWrap w:val="0"/>
                  <w:vAlign w:val="top"/>
                </w:tcPr>
                <w:p w14:paraId="779BD22D">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1.1%</w:t>
                  </w:r>
                </w:p>
              </w:tc>
              <w:tc>
                <w:tcPr>
                  <w:tcW w:w="1938" w:type="dxa"/>
                  <w:noWrap w:val="0"/>
                  <w:vAlign w:val="top"/>
                </w:tcPr>
                <w:p w14:paraId="08814BC4">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0.8%</w:t>
                  </w:r>
                </w:p>
              </w:tc>
              <w:tc>
                <w:tcPr>
                  <w:tcW w:w="1939" w:type="dxa"/>
                  <w:noWrap w:val="0"/>
                  <w:vAlign w:val="top"/>
                </w:tcPr>
                <w:p w14:paraId="7C79D733">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0.7%</w:t>
                  </w:r>
                </w:p>
              </w:tc>
            </w:tr>
            <w:tr w14:paraId="33C486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jc w:val="center"/>
              </w:trPr>
              <w:tc>
                <w:tcPr>
                  <w:tcW w:w="2751" w:type="dxa"/>
                  <w:noWrap w:val="0"/>
                  <w:vAlign w:val="top"/>
                </w:tcPr>
                <w:p w14:paraId="0C5DBB27">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500-1000</w:t>
                  </w:r>
                </w:p>
              </w:tc>
              <w:tc>
                <w:tcPr>
                  <w:tcW w:w="1630" w:type="dxa"/>
                  <w:noWrap w:val="0"/>
                  <w:vAlign w:val="top"/>
                </w:tcPr>
                <w:p w14:paraId="42A6D3BC">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0.8%</w:t>
                  </w:r>
                </w:p>
              </w:tc>
              <w:tc>
                <w:tcPr>
                  <w:tcW w:w="1938" w:type="dxa"/>
                  <w:noWrap w:val="0"/>
                  <w:vAlign w:val="top"/>
                </w:tcPr>
                <w:p w14:paraId="6BECFB28">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0.45%</w:t>
                  </w:r>
                </w:p>
              </w:tc>
              <w:tc>
                <w:tcPr>
                  <w:tcW w:w="1939" w:type="dxa"/>
                  <w:noWrap w:val="0"/>
                  <w:vAlign w:val="top"/>
                </w:tcPr>
                <w:p w14:paraId="02E4CC27">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0.55%</w:t>
                  </w:r>
                </w:p>
              </w:tc>
            </w:tr>
            <w:tr w14:paraId="01A2C8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jc w:val="center"/>
              </w:trPr>
              <w:tc>
                <w:tcPr>
                  <w:tcW w:w="2751" w:type="dxa"/>
                  <w:noWrap w:val="0"/>
                  <w:vAlign w:val="top"/>
                </w:tcPr>
                <w:p w14:paraId="62CF0495">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1000-5000</w:t>
                  </w:r>
                </w:p>
              </w:tc>
              <w:tc>
                <w:tcPr>
                  <w:tcW w:w="1630" w:type="dxa"/>
                  <w:noWrap w:val="0"/>
                  <w:vAlign w:val="top"/>
                </w:tcPr>
                <w:p w14:paraId="03F3AA98">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0.5%</w:t>
                  </w:r>
                </w:p>
              </w:tc>
              <w:tc>
                <w:tcPr>
                  <w:tcW w:w="1938" w:type="dxa"/>
                  <w:noWrap w:val="0"/>
                  <w:vAlign w:val="top"/>
                </w:tcPr>
                <w:p w14:paraId="5A4F75AE">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0.25%</w:t>
                  </w:r>
                </w:p>
              </w:tc>
              <w:tc>
                <w:tcPr>
                  <w:tcW w:w="1939" w:type="dxa"/>
                  <w:noWrap w:val="0"/>
                  <w:vAlign w:val="top"/>
                </w:tcPr>
                <w:p w14:paraId="734A5C4A">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0.35%</w:t>
                  </w:r>
                </w:p>
              </w:tc>
            </w:tr>
            <w:tr w14:paraId="054B1A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jc w:val="center"/>
              </w:trPr>
              <w:tc>
                <w:tcPr>
                  <w:tcW w:w="2751" w:type="dxa"/>
                  <w:noWrap w:val="0"/>
                  <w:vAlign w:val="top"/>
                </w:tcPr>
                <w:p w14:paraId="7C627442">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5000-10000</w:t>
                  </w:r>
                </w:p>
              </w:tc>
              <w:tc>
                <w:tcPr>
                  <w:tcW w:w="1630" w:type="dxa"/>
                  <w:noWrap w:val="0"/>
                  <w:vAlign w:val="top"/>
                </w:tcPr>
                <w:p w14:paraId="4670F2C5">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0.25%</w:t>
                  </w:r>
                </w:p>
              </w:tc>
              <w:tc>
                <w:tcPr>
                  <w:tcW w:w="1938" w:type="dxa"/>
                  <w:noWrap w:val="0"/>
                  <w:vAlign w:val="top"/>
                </w:tcPr>
                <w:p w14:paraId="3E0BBEAF">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0.1%</w:t>
                  </w:r>
                </w:p>
              </w:tc>
              <w:tc>
                <w:tcPr>
                  <w:tcW w:w="1939" w:type="dxa"/>
                  <w:noWrap w:val="0"/>
                  <w:vAlign w:val="top"/>
                </w:tcPr>
                <w:p w14:paraId="2C8AC685">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0.2%</w:t>
                  </w:r>
                </w:p>
              </w:tc>
            </w:tr>
            <w:tr w14:paraId="3D8462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jc w:val="center"/>
              </w:trPr>
              <w:tc>
                <w:tcPr>
                  <w:tcW w:w="2751" w:type="dxa"/>
                  <w:noWrap w:val="0"/>
                  <w:vAlign w:val="top"/>
                </w:tcPr>
                <w:p w14:paraId="70DED2F5">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10000-100000</w:t>
                  </w:r>
                </w:p>
              </w:tc>
              <w:tc>
                <w:tcPr>
                  <w:tcW w:w="1630" w:type="dxa"/>
                  <w:noWrap w:val="0"/>
                  <w:vAlign w:val="top"/>
                </w:tcPr>
                <w:p w14:paraId="159FE4DB">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0.05%</w:t>
                  </w:r>
                </w:p>
              </w:tc>
              <w:tc>
                <w:tcPr>
                  <w:tcW w:w="1938" w:type="dxa"/>
                  <w:noWrap w:val="0"/>
                  <w:vAlign w:val="top"/>
                </w:tcPr>
                <w:p w14:paraId="3EEE070C">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0.05%</w:t>
                  </w:r>
                </w:p>
              </w:tc>
              <w:tc>
                <w:tcPr>
                  <w:tcW w:w="1939" w:type="dxa"/>
                  <w:noWrap w:val="0"/>
                  <w:vAlign w:val="top"/>
                </w:tcPr>
                <w:p w14:paraId="6E1EEAF2">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0.05%</w:t>
                  </w:r>
                </w:p>
              </w:tc>
            </w:tr>
            <w:tr w14:paraId="58B036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jc w:val="center"/>
              </w:trPr>
              <w:tc>
                <w:tcPr>
                  <w:tcW w:w="2751" w:type="dxa"/>
                  <w:noWrap w:val="0"/>
                  <w:vAlign w:val="top"/>
                </w:tcPr>
                <w:p w14:paraId="3E7AE05F">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1000000以上</w:t>
                  </w:r>
                </w:p>
              </w:tc>
              <w:tc>
                <w:tcPr>
                  <w:tcW w:w="1630" w:type="dxa"/>
                  <w:noWrap w:val="0"/>
                  <w:vAlign w:val="top"/>
                </w:tcPr>
                <w:p w14:paraId="4272823A">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0.01%</w:t>
                  </w:r>
                </w:p>
              </w:tc>
              <w:tc>
                <w:tcPr>
                  <w:tcW w:w="1938" w:type="dxa"/>
                  <w:noWrap w:val="0"/>
                  <w:vAlign w:val="top"/>
                </w:tcPr>
                <w:p w14:paraId="201A9E6C">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0.01%</w:t>
                  </w:r>
                </w:p>
              </w:tc>
              <w:tc>
                <w:tcPr>
                  <w:tcW w:w="1939" w:type="dxa"/>
                  <w:noWrap w:val="0"/>
                  <w:vAlign w:val="top"/>
                </w:tcPr>
                <w:p w14:paraId="20AA5D40">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0.01%</w:t>
                  </w:r>
                </w:p>
              </w:tc>
            </w:tr>
          </w:tbl>
          <w:p w14:paraId="186A9A2D">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例如：某工程招标项目成交金额为678.2万元，采购代理服务费计算如下：</w:t>
            </w:r>
          </w:p>
          <w:p w14:paraId="547462F5">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100万元*1.0%=1.00万元 </w:t>
            </w:r>
          </w:p>
          <w:p w14:paraId="10E7709B">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(500-100)*0.7%=2.80万元</w:t>
            </w:r>
          </w:p>
          <w:p w14:paraId="51BB1F31">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(678.2-500)*0.55%=0.9801万元</w:t>
            </w:r>
          </w:p>
          <w:p w14:paraId="68C579F6">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服务费=1.00+2.80+0.9801=4.7801万元。</w:t>
            </w:r>
          </w:p>
          <w:p w14:paraId="08DC4A30">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（4）本项目项目属性：服务招标。</w:t>
            </w:r>
          </w:p>
        </w:tc>
      </w:tr>
      <w:tr w14:paraId="23863B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jc w:val="center"/>
        </w:trPr>
        <w:tc>
          <w:tcPr>
            <w:tcW w:w="698" w:type="dxa"/>
            <w:noWrap w:val="0"/>
            <w:vAlign w:val="center"/>
          </w:tcPr>
          <w:p w14:paraId="497BC3C0">
            <w:pPr>
              <w:spacing w:line="360" w:lineRule="auto"/>
              <w:jc w:val="center"/>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29</w:t>
            </w:r>
          </w:p>
        </w:tc>
        <w:tc>
          <w:tcPr>
            <w:tcW w:w="9088" w:type="dxa"/>
            <w:noWrap w:val="0"/>
            <w:vAlign w:val="center"/>
          </w:tcPr>
          <w:p w14:paraId="2C69F744">
            <w:pPr>
              <w:pageBreakBefore w:val="0"/>
              <w:numPr>
                <w:ilvl w:val="0"/>
                <w:numId w:val="0"/>
              </w:numPr>
              <w:kinsoku/>
              <w:overflowPunct/>
              <w:topLinePunct w:val="0"/>
              <w:bidi w:val="0"/>
              <w:spacing w:line="360" w:lineRule="auto"/>
              <w:rPr>
                <w:rFonts w:hint="eastAsia" w:ascii="宋体" w:hAnsi="宋体" w:eastAsia="宋体" w:cs="宋体"/>
                <w:b w:val="0"/>
                <w:bCs w:val="0"/>
                <w:i w:val="0"/>
                <w:iCs w:val="0"/>
                <w:caps w:val="0"/>
                <w:color w:val="auto"/>
                <w:spacing w:val="0"/>
                <w:kern w:val="0"/>
                <w:sz w:val="24"/>
                <w:szCs w:val="24"/>
                <w:shd w:val="clear" w:fill="FFFFFF"/>
                <w:lang w:val="en-US" w:eastAsia="zh-CN" w:bidi="ar-SA"/>
              </w:rPr>
            </w:pPr>
            <w:r>
              <w:rPr>
                <w:rFonts w:hint="eastAsia" w:ascii="宋体" w:hAnsi="宋体" w:eastAsia="宋体" w:cs="宋体"/>
                <w:b w:val="0"/>
                <w:bCs w:val="0"/>
                <w:i w:val="0"/>
                <w:iCs w:val="0"/>
                <w:caps w:val="0"/>
                <w:color w:val="auto"/>
                <w:spacing w:val="0"/>
                <w:kern w:val="0"/>
                <w:sz w:val="24"/>
                <w:szCs w:val="24"/>
                <w:shd w:val="clear" w:fill="FFFFFF"/>
                <w:lang w:val="en-US" w:eastAsia="zh-CN" w:bidi="ar-SA"/>
              </w:rPr>
              <w:t>多轮（报价文件中报价为第一轮，谈判现场为第二轮）</w:t>
            </w:r>
          </w:p>
          <w:p w14:paraId="029234BC">
            <w:pPr>
              <w:pageBreakBefore w:val="0"/>
              <w:numPr>
                <w:ilvl w:val="0"/>
                <w:numId w:val="0"/>
              </w:numPr>
              <w:kinsoku/>
              <w:overflowPunct/>
              <w:topLinePunct w:val="0"/>
              <w:bidi w:val="0"/>
              <w:spacing w:line="360" w:lineRule="auto"/>
              <w:ind w:leftChars="0" w:firstLine="480" w:firstLineChars="200"/>
              <w:rPr>
                <w:rFonts w:hint="eastAsia" w:ascii="宋体" w:hAnsi="宋体" w:eastAsia="宋体" w:cs="宋体"/>
                <w:b w:val="0"/>
                <w:bCs w:val="0"/>
                <w:i w:val="0"/>
                <w:iCs w:val="0"/>
                <w:caps w:val="0"/>
                <w:color w:val="auto"/>
                <w:spacing w:val="0"/>
                <w:kern w:val="0"/>
                <w:sz w:val="24"/>
                <w:szCs w:val="24"/>
                <w:shd w:val="clear" w:fill="FFFFFF"/>
                <w:lang w:val="en-US" w:eastAsia="zh-CN" w:bidi="ar-SA"/>
              </w:rPr>
            </w:pPr>
            <w:r>
              <w:rPr>
                <w:rFonts w:hint="eastAsia" w:ascii="宋体" w:hAnsi="宋体" w:eastAsia="宋体" w:cs="宋体"/>
                <w:b w:val="0"/>
                <w:bCs w:val="0"/>
                <w:i w:val="0"/>
                <w:iCs w:val="0"/>
                <w:caps w:val="0"/>
                <w:color w:val="auto"/>
                <w:spacing w:val="0"/>
                <w:kern w:val="0"/>
                <w:sz w:val="24"/>
                <w:szCs w:val="24"/>
                <w:shd w:val="clear" w:fill="FFFFFF"/>
                <w:lang w:val="en-US" w:eastAsia="zh-CN" w:bidi="ar-SA"/>
              </w:rPr>
              <w:t>供应商保持在线直到评审结束多轮（谈判响应文件中报价为第一轮，谈判不见面开标会议为第二轮）不见面开标结束后，通过资格审查和符合性审查的供应商才有机会进入一对一谈判环节。依据财政部关于印发《政府采购竞争性谈判采购方式管理暂行办法》第十九条规定，谈判小组所有成员应当集中与单一供应商分别进行谈判，并给予所有参加谈判的供应商平等的谈判机会。已提交响应文件的供应商，在提交最后报价之前，可以根据谈判情况退出谈判。具体谈判流程如下:</w:t>
            </w:r>
          </w:p>
          <w:p w14:paraId="268A8BA1">
            <w:pPr>
              <w:pageBreakBefore w:val="0"/>
              <w:numPr>
                <w:ilvl w:val="0"/>
                <w:numId w:val="0"/>
              </w:numPr>
              <w:kinsoku/>
              <w:overflowPunct/>
              <w:topLinePunct w:val="0"/>
              <w:bidi w:val="0"/>
              <w:spacing w:line="360" w:lineRule="auto"/>
              <w:ind w:leftChars="0"/>
              <w:rPr>
                <w:rFonts w:hint="eastAsia" w:ascii="宋体" w:hAnsi="宋体" w:eastAsia="宋体" w:cs="宋体"/>
                <w:b w:val="0"/>
                <w:bCs w:val="0"/>
                <w:i w:val="0"/>
                <w:iCs w:val="0"/>
                <w:caps w:val="0"/>
                <w:color w:val="auto"/>
                <w:spacing w:val="0"/>
                <w:kern w:val="0"/>
                <w:sz w:val="24"/>
                <w:szCs w:val="24"/>
                <w:shd w:val="clear" w:fill="FFFFFF"/>
                <w:lang w:val="en-US" w:eastAsia="zh-CN" w:bidi="ar-SA"/>
              </w:rPr>
            </w:pPr>
            <w:r>
              <w:rPr>
                <w:rFonts w:hint="eastAsia" w:ascii="宋体" w:hAnsi="宋体" w:eastAsia="宋体" w:cs="宋体"/>
                <w:b w:val="0"/>
                <w:bCs w:val="0"/>
                <w:i w:val="0"/>
                <w:iCs w:val="0"/>
                <w:caps w:val="0"/>
                <w:color w:val="auto"/>
                <w:spacing w:val="0"/>
                <w:kern w:val="0"/>
                <w:sz w:val="24"/>
                <w:szCs w:val="24"/>
                <w:shd w:val="clear" w:fill="FFFFFF"/>
                <w:lang w:val="en-US" w:eastAsia="zh-CN" w:bidi="ar-SA"/>
              </w:rPr>
              <w:t>1.一对一谈判将通过腾讯视频会议的方式进行，供应商应提前在手机或电脑终端上下载“腾讯会议”软件，开标现场由代理机构通知进入并告知腾讯视频会议号及会议密码。</w:t>
            </w:r>
          </w:p>
          <w:p w14:paraId="7CF972BD">
            <w:pPr>
              <w:pageBreakBefore w:val="0"/>
              <w:numPr>
                <w:ilvl w:val="0"/>
                <w:numId w:val="0"/>
              </w:numPr>
              <w:kinsoku/>
              <w:overflowPunct/>
              <w:topLinePunct w:val="0"/>
              <w:bidi w:val="0"/>
              <w:spacing w:line="360" w:lineRule="auto"/>
              <w:ind w:leftChars="0"/>
              <w:rPr>
                <w:rFonts w:hint="eastAsia" w:ascii="宋体" w:hAnsi="宋体" w:eastAsia="宋体" w:cs="宋体"/>
                <w:b w:val="0"/>
                <w:bCs w:val="0"/>
                <w:i w:val="0"/>
                <w:iCs w:val="0"/>
                <w:caps w:val="0"/>
                <w:color w:val="auto"/>
                <w:spacing w:val="0"/>
                <w:kern w:val="0"/>
                <w:sz w:val="24"/>
                <w:szCs w:val="24"/>
                <w:shd w:val="clear" w:fill="FFFFFF"/>
                <w:lang w:val="en-US" w:eastAsia="zh-CN" w:bidi="ar-SA"/>
              </w:rPr>
            </w:pPr>
            <w:r>
              <w:rPr>
                <w:rFonts w:hint="eastAsia" w:ascii="宋体" w:hAnsi="宋体" w:eastAsia="宋体" w:cs="宋体"/>
                <w:b w:val="0"/>
                <w:bCs w:val="0"/>
                <w:i w:val="0"/>
                <w:iCs w:val="0"/>
                <w:caps w:val="0"/>
                <w:color w:val="auto"/>
                <w:spacing w:val="0"/>
                <w:kern w:val="0"/>
                <w:sz w:val="24"/>
                <w:szCs w:val="24"/>
                <w:shd w:val="clear" w:fill="FFFFFF"/>
                <w:lang w:val="en-US" w:eastAsia="zh-CN" w:bidi="ar-SA"/>
              </w:rPr>
              <w:t>2.加入会议室的同时将各参与谈判的人员姓名修改为“供应商简称”，</w:t>
            </w:r>
          </w:p>
          <w:p w14:paraId="45731CD9">
            <w:pPr>
              <w:pageBreakBefore w:val="0"/>
              <w:numPr>
                <w:ilvl w:val="0"/>
                <w:numId w:val="0"/>
              </w:numPr>
              <w:kinsoku/>
              <w:overflowPunct/>
              <w:topLinePunct w:val="0"/>
              <w:bidi w:val="0"/>
              <w:spacing w:line="360" w:lineRule="auto"/>
              <w:ind w:leftChars="0"/>
              <w:rPr>
                <w:rFonts w:hint="eastAsia" w:ascii="宋体" w:hAnsi="宋体" w:eastAsia="宋体" w:cs="宋体"/>
                <w:b w:val="0"/>
                <w:bCs w:val="0"/>
                <w:i w:val="0"/>
                <w:iCs w:val="0"/>
                <w:caps w:val="0"/>
                <w:color w:val="auto"/>
                <w:spacing w:val="0"/>
                <w:kern w:val="0"/>
                <w:sz w:val="24"/>
                <w:szCs w:val="24"/>
                <w:shd w:val="clear" w:fill="FFFFFF"/>
                <w:lang w:val="en-US" w:eastAsia="zh-CN" w:bidi="ar-SA"/>
              </w:rPr>
            </w:pPr>
            <w:r>
              <w:rPr>
                <w:rFonts w:hint="eastAsia" w:ascii="宋体" w:hAnsi="宋体" w:eastAsia="宋体" w:cs="宋体"/>
                <w:b w:val="0"/>
                <w:bCs w:val="0"/>
                <w:i w:val="0"/>
                <w:iCs w:val="0"/>
                <w:caps w:val="0"/>
                <w:color w:val="auto"/>
                <w:spacing w:val="0"/>
                <w:kern w:val="0"/>
                <w:sz w:val="24"/>
                <w:szCs w:val="24"/>
                <w:shd w:val="clear" w:fill="FFFFFF"/>
                <w:lang w:val="en-US" w:eastAsia="zh-CN" w:bidi="ar-SA"/>
              </w:rPr>
              <w:t>3.谈判结束后，将进行提交最终报价的环节，各供应商应及时关注全国公共资源交易平台(陕西省·榆林市)(http://y1.sxggzyjy.cn/)的网上报价情况，应当在谈判小组规定的时间内提交最终报价。</w:t>
            </w:r>
          </w:p>
          <w:p w14:paraId="63D36A83">
            <w:pPr>
              <w:spacing w:line="360" w:lineRule="auto"/>
              <w:rPr>
                <w:rFonts w:hint="eastAsia" w:ascii="宋体" w:hAnsi="宋体" w:eastAsia="宋体" w:cs="宋体"/>
                <w:bCs/>
                <w:color w:val="auto"/>
                <w:sz w:val="24"/>
                <w:szCs w:val="24"/>
                <w:highlight w:val="none"/>
              </w:rPr>
            </w:pPr>
            <w:r>
              <w:rPr>
                <w:rFonts w:hint="eastAsia" w:ascii="宋体" w:hAnsi="宋体" w:eastAsia="宋体" w:cs="宋体"/>
                <w:b w:val="0"/>
                <w:bCs w:val="0"/>
                <w:i w:val="0"/>
                <w:iCs w:val="0"/>
                <w:caps w:val="0"/>
                <w:color w:val="auto"/>
                <w:spacing w:val="0"/>
                <w:kern w:val="0"/>
                <w:sz w:val="24"/>
                <w:szCs w:val="24"/>
                <w:shd w:val="clear" w:fill="FFFFFF"/>
                <w:lang w:val="en-US" w:eastAsia="zh-CN" w:bidi="ar-SA"/>
              </w:rPr>
              <w:t>注:供应商未在规定时间内提交最终报价的将视为自动退出谈判，该供应商响应无效。</w:t>
            </w:r>
          </w:p>
        </w:tc>
      </w:tr>
      <w:tr w14:paraId="0F1990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8" w:type="dxa"/>
            <w:noWrap w:val="0"/>
            <w:vAlign w:val="center"/>
          </w:tcPr>
          <w:p w14:paraId="24F56B77">
            <w:pPr>
              <w:spacing w:line="360" w:lineRule="auto"/>
              <w:jc w:val="center"/>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30</w:t>
            </w:r>
          </w:p>
        </w:tc>
        <w:tc>
          <w:tcPr>
            <w:tcW w:w="9088" w:type="dxa"/>
            <w:noWrap w:val="0"/>
            <w:vAlign w:val="center"/>
          </w:tcPr>
          <w:p w14:paraId="60362AD6">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为了进一步推动金融支持政策更好适应市场主体的需要，扎实落实国务院关于支持中小企业发展的政策措施，积极发挥政府采购政策功能，有效缓解中小企业融资难、融资贵问题，根据中办、国办《关于促进中小企业健康发展的指导意见》、财政部、工信部《政府采购促进中小企业发展管理办法》（财库〔2020〕46 号）、《陕西省中小企业政府采购信用融资办法》（陕财办采[2018]23 号）、《陕西省财政厅关于加快推进我省中小企业政府采购信用融资工作的通知》（陕财办采[2020]15号）等有关规定，按照市场主导、财政引导、银企自愿、风险自担的原则，中标（成交 ） 供 应 商 可 根 据 自 身 资 金 需 求 ， 登 录 陕 西 省 政 府 采 购 信 用 融 资 平 台（http://www.ccgp-shaanxi.gov.cn/zcdservice/zcd/shanxi/）在线申请，依法参加政府采购信用融资活动。目前的合作银行有：北京银行、中国建设银行、中信银行、中国平安银行、中国光大银行、浦发银行、兴业银行、中国工商银行、秦农银行、浙商银行、中国银行、西安银行、中国农业银行、中国邮政储蓄银行（排名不分先后）。</w:t>
            </w:r>
          </w:p>
        </w:tc>
      </w:tr>
      <w:tr w14:paraId="6AC39D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8" w:type="dxa"/>
            <w:noWrap w:val="0"/>
            <w:vAlign w:val="center"/>
          </w:tcPr>
          <w:p w14:paraId="455088E0">
            <w:pPr>
              <w:spacing w:line="360" w:lineRule="auto"/>
              <w:jc w:val="center"/>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31</w:t>
            </w:r>
          </w:p>
        </w:tc>
        <w:tc>
          <w:tcPr>
            <w:tcW w:w="9088" w:type="dxa"/>
            <w:noWrap w:val="0"/>
            <w:vAlign w:val="center"/>
          </w:tcPr>
          <w:p w14:paraId="716AB358">
            <w:pPr>
              <w:widowControl/>
              <w:spacing w:line="360" w:lineRule="auto"/>
              <w:jc w:val="left"/>
              <w:rPr>
                <w:rFonts w:hint="eastAsia" w:ascii="宋体" w:hAnsi="宋体" w:eastAsia="宋体" w:cs="宋体"/>
                <w:bCs/>
                <w:color w:val="auto"/>
                <w:highlight w:val="none"/>
              </w:rPr>
            </w:pPr>
            <w:r>
              <w:rPr>
                <w:rFonts w:hint="eastAsia" w:ascii="宋体" w:hAnsi="宋体" w:eastAsia="宋体" w:cs="宋体"/>
                <w:bCs/>
                <w:color w:val="auto"/>
                <w:kern w:val="0"/>
                <w:sz w:val="24"/>
                <w:szCs w:val="24"/>
                <w:highlight w:val="none"/>
                <w:lang w:bidi="ar"/>
              </w:rPr>
              <w:t>特别提醒：本项目采用电子化谈判响应文件与纸质谈判响应文件并行的方式。</w:t>
            </w:r>
          </w:p>
          <w:p w14:paraId="39939268">
            <w:pPr>
              <w:widowControl/>
              <w:spacing w:line="360" w:lineRule="auto"/>
              <w:ind w:firstLine="480" w:firstLineChars="200"/>
              <w:jc w:val="left"/>
              <w:rPr>
                <w:rFonts w:hint="eastAsia" w:ascii="宋体" w:hAnsi="宋体" w:eastAsia="宋体" w:cs="宋体"/>
                <w:bCs/>
                <w:color w:val="auto"/>
                <w:highlight w:val="none"/>
              </w:rPr>
            </w:pPr>
            <w:r>
              <w:rPr>
                <w:rFonts w:hint="eastAsia" w:ascii="宋体" w:hAnsi="宋体" w:eastAsia="宋体" w:cs="宋体"/>
                <w:bCs/>
                <w:color w:val="auto"/>
                <w:kern w:val="0"/>
                <w:sz w:val="24"/>
                <w:szCs w:val="24"/>
                <w:highlight w:val="none"/>
                <w:lang w:bidi="ar"/>
              </w:rPr>
              <w:t>1、</w:t>
            </w:r>
            <w:r>
              <w:rPr>
                <w:rFonts w:hint="eastAsia" w:ascii="宋体" w:hAnsi="宋体" w:eastAsia="宋体" w:cs="宋体"/>
                <w:bCs/>
                <w:color w:val="auto"/>
                <w:kern w:val="0"/>
                <w:sz w:val="24"/>
                <w:szCs w:val="24"/>
                <w:highlight w:val="none"/>
                <w:lang w:eastAsia="zh-CN" w:bidi="ar"/>
              </w:rPr>
              <w:t>供应商</w:t>
            </w:r>
            <w:r>
              <w:rPr>
                <w:rFonts w:hint="eastAsia" w:ascii="宋体" w:hAnsi="宋体" w:eastAsia="宋体" w:cs="宋体"/>
                <w:bCs/>
                <w:color w:val="auto"/>
                <w:kern w:val="0"/>
                <w:sz w:val="24"/>
                <w:szCs w:val="24"/>
                <w:highlight w:val="none"/>
                <w:lang w:bidi="ar"/>
              </w:rPr>
              <w:t>须使用数字认证证书对电子谈判响应文件进行签章、加密、递交及开标时解密等相关招投标事宜。如</w:t>
            </w:r>
            <w:r>
              <w:rPr>
                <w:rFonts w:hint="eastAsia" w:ascii="宋体" w:hAnsi="宋体" w:eastAsia="宋体" w:cs="宋体"/>
                <w:bCs/>
                <w:color w:val="auto"/>
                <w:kern w:val="0"/>
                <w:sz w:val="24"/>
                <w:szCs w:val="24"/>
                <w:highlight w:val="none"/>
                <w:lang w:eastAsia="zh-CN" w:bidi="ar"/>
              </w:rPr>
              <w:t>供应商</w:t>
            </w:r>
            <w:r>
              <w:rPr>
                <w:rFonts w:hint="eastAsia" w:ascii="宋体" w:hAnsi="宋体" w:eastAsia="宋体" w:cs="宋体"/>
                <w:bCs/>
                <w:color w:val="auto"/>
                <w:kern w:val="0"/>
                <w:sz w:val="24"/>
                <w:szCs w:val="24"/>
                <w:highlight w:val="none"/>
                <w:lang w:bidi="ar"/>
              </w:rPr>
              <w:t xml:space="preserve">数字认证证书无法解密谈判响应文件，按无效投标对待。 </w:t>
            </w:r>
          </w:p>
          <w:p w14:paraId="06515E67">
            <w:pPr>
              <w:widowControl/>
              <w:spacing w:line="360" w:lineRule="auto"/>
              <w:ind w:firstLine="480" w:firstLineChars="200"/>
              <w:jc w:val="left"/>
              <w:rPr>
                <w:rFonts w:hint="eastAsia" w:ascii="宋体" w:hAnsi="宋体" w:eastAsia="宋体" w:cs="宋体"/>
                <w:bCs/>
                <w:color w:val="auto"/>
                <w:highlight w:val="none"/>
              </w:rPr>
            </w:pPr>
            <w:r>
              <w:rPr>
                <w:rFonts w:hint="eastAsia" w:ascii="宋体" w:hAnsi="宋体" w:eastAsia="宋体" w:cs="宋体"/>
                <w:bCs/>
                <w:color w:val="auto"/>
                <w:kern w:val="0"/>
                <w:sz w:val="24"/>
                <w:szCs w:val="24"/>
                <w:highlight w:val="none"/>
                <w:lang w:bidi="ar"/>
              </w:rPr>
              <w:t>2、制作电子谈判响应文件。</w:t>
            </w:r>
            <w:r>
              <w:rPr>
                <w:rFonts w:hint="eastAsia" w:ascii="宋体" w:hAnsi="宋体" w:eastAsia="宋体" w:cs="宋体"/>
                <w:bCs/>
                <w:color w:val="auto"/>
                <w:kern w:val="0"/>
                <w:sz w:val="24"/>
                <w:szCs w:val="24"/>
                <w:highlight w:val="none"/>
                <w:lang w:eastAsia="zh-CN" w:bidi="ar"/>
              </w:rPr>
              <w:t>供应商</w:t>
            </w:r>
            <w:r>
              <w:rPr>
                <w:rFonts w:hint="eastAsia" w:ascii="宋体" w:hAnsi="宋体" w:eastAsia="宋体" w:cs="宋体"/>
                <w:bCs/>
                <w:color w:val="auto"/>
                <w:kern w:val="0"/>
                <w:sz w:val="24"/>
                <w:szCs w:val="24"/>
                <w:highlight w:val="none"/>
                <w:lang w:bidi="ar"/>
              </w:rPr>
              <w:t>须在“全国公共资源交易中心平台（陕西省）（http://www.sxggzyjy.cn/）”的“服务指南”栏目“下载专区”中，免费下载“陕西省公共资源交易平台政府采购电子标书制作工具”及“政府采购投标单位操作手册”，并使用该客户端制作电子谈判响应文件，制作扩展名为“</w:t>
            </w:r>
            <w:r>
              <w:rPr>
                <w:rFonts w:hint="eastAsia" w:ascii="宋体" w:hAnsi="宋体" w:cs="宋体"/>
                <w:bCs/>
                <w:color w:val="auto"/>
                <w:kern w:val="0"/>
                <w:sz w:val="24"/>
                <w:szCs w:val="24"/>
                <w:highlight w:val="none"/>
                <w:lang w:eastAsia="zh-CN" w:bidi="ar"/>
              </w:rPr>
              <w:t>.SXSCF</w:t>
            </w:r>
            <w:r>
              <w:rPr>
                <w:rFonts w:hint="eastAsia" w:ascii="宋体" w:hAnsi="宋体" w:eastAsia="宋体" w:cs="宋体"/>
                <w:bCs/>
                <w:color w:val="auto"/>
                <w:kern w:val="0"/>
                <w:sz w:val="24"/>
                <w:szCs w:val="24"/>
                <w:highlight w:val="none"/>
                <w:lang w:bidi="ar"/>
              </w:rPr>
              <w:t xml:space="preserve">”的电子谈判响应文件。 </w:t>
            </w:r>
          </w:p>
          <w:p w14:paraId="4D0F5B73">
            <w:pPr>
              <w:widowControl/>
              <w:spacing w:line="360" w:lineRule="auto"/>
              <w:ind w:firstLine="480" w:firstLineChars="200"/>
              <w:rPr>
                <w:rFonts w:hint="eastAsia" w:ascii="宋体" w:hAnsi="宋体" w:eastAsia="宋体" w:cs="宋体"/>
                <w:bCs/>
                <w:color w:val="auto"/>
                <w:highlight w:val="none"/>
              </w:rPr>
            </w:pPr>
            <w:r>
              <w:rPr>
                <w:rFonts w:hint="eastAsia" w:ascii="宋体" w:hAnsi="宋体" w:eastAsia="宋体" w:cs="宋体"/>
                <w:bCs/>
                <w:color w:val="auto"/>
                <w:kern w:val="0"/>
                <w:sz w:val="24"/>
                <w:szCs w:val="24"/>
                <w:highlight w:val="none"/>
                <w:lang w:bidi="ar"/>
              </w:rPr>
              <w:t xml:space="preserve">3、递交电子谈判响应文件。登录陕西省公共资源交易中心平台（http://xxxq.sxggzyjy.cn/），选择“电子交易平台-陕西政府采购交易系统-陕西省公共资源交易平台-供应商”进行登录，登录后选择“交易乙方”身份进入，选择“上传谈判响应文件”菜单页面，上传加密的电子谈判响应文件。上传成功后，电子化平台将予以记录。 </w:t>
            </w:r>
          </w:p>
          <w:p w14:paraId="5B253CEA">
            <w:pPr>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kern w:val="0"/>
                <w:sz w:val="24"/>
                <w:szCs w:val="24"/>
                <w:highlight w:val="none"/>
                <w:lang w:bidi="ar"/>
              </w:rPr>
              <w:t>4、谈判响应文件中所有涉及签字、盖章的，各投标单位须将所有签字盖章完成后上传。</w:t>
            </w:r>
          </w:p>
        </w:tc>
      </w:tr>
    </w:tbl>
    <w:p w14:paraId="290389E4">
      <w:pPr>
        <w:rPr>
          <w:rFonts w:hint="eastAsia" w:ascii="宋体" w:hAnsi="宋体" w:eastAsia="宋体" w:cs="宋体"/>
          <w:bCs/>
          <w:color w:val="auto"/>
          <w:sz w:val="24"/>
          <w:szCs w:val="24"/>
          <w:highlight w:val="none"/>
        </w:rPr>
        <w:sectPr>
          <w:footnotePr>
            <w:pos w:val="beneathText"/>
          </w:footnotePr>
          <w:pgSz w:w="11906" w:h="16838"/>
          <w:pgMar w:top="1440" w:right="1080" w:bottom="1440" w:left="1080" w:header="851" w:footer="1361" w:gutter="0"/>
          <w:pgNumType w:fmt="decimal"/>
          <w:cols w:space="720" w:num="1"/>
          <w:docGrid w:type="lines" w:linePitch="312" w:charSpace="0"/>
        </w:sectPr>
      </w:pPr>
    </w:p>
    <w:bookmarkEnd w:id="7"/>
    <w:bookmarkEnd w:id="26"/>
    <w:bookmarkEnd w:id="27"/>
    <w:bookmarkEnd w:id="28"/>
    <w:bookmarkEnd w:id="29"/>
    <w:p w14:paraId="0E6CFA23">
      <w:pPr>
        <w:pStyle w:val="2"/>
        <w:spacing w:line="460" w:lineRule="exact"/>
        <w:jc w:val="center"/>
        <w:rPr>
          <w:rFonts w:hint="eastAsia" w:ascii="宋体" w:hAnsi="宋体" w:eastAsia="宋体" w:cs="宋体"/>
          <w:b w:val="0"/>
          <w:bCs/>
          <w:color w:val="auto"/>
          <w:sz w:val="32"/>
          <w:szCs w:val="32"/>
          <w:highlight w:val="none"/>
        </w:rPr>
      </w:pPr>
      <w:bookmarkStart w:id="37" w:name="_Toc4754"/>
      <w:bookmarkStart w:id="38" w:name="_Toc31369"/>
      <w:bookmarkStart w:id="39" w:name="_Toc29457"/>
      <w:bookmarkStart w:id="40" w:name="_Toc12300"/>
      <w:bookmarkStart w:id="41" w:name="_Toc428"/>
      <w:bookmarkStart w:id="42" w:name="_Toc465958087"/>
      <w:bookmarkStart w:id="43" w:name="_Toc16531"/>
      <w:bookmarkStart w:id="44" w:name="_Toc11351"/>
      <w:bookmarkStart w:id="45" w:name="_Toc246928894"/>
      <w:bookmarkStart w:id="46" w:name="_Toc30436"/>
      <w:bookmarkStart w:id="47" w:name="_Toc27457"/>
      <w:bookmarkStart w:id="48" w:name="_Toc23518"/>
      <w:bookmarkStart w:id="49" w:name="_Toc17129"/>
      <w:bookmarkStart w:id="50" w:name="_Toc8259"/>
      <w:bookmarkStart w:id="51" w:name="_Toc7404"/>
      <w:r>
        <w:rPr>
          <w:rFonts w:hint="eastAsia" w:ascii="宋体" w:hAnsi="宋体" w:eastAsia="宋体" w:cs="宋体"/>
          <w:b w:val="0"/>
          <w:bCs/>
          <w:color w:val="auto"/>
          <w:sz w:val="32"/>
          <w:szCs w:val="32"/>
          <w:highlight w:val="none"/>
        </w:rPr>
        <w:t>第三部分  供应商须知</w:t>
      </w:r>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p>
    <w:p w14:paraId="0AB9A401">
      <w:pPr>
        <w:pStyle w:val="3"/>
        <w:spacing w:before="0" w:after="0" w:line="460" w:lineRule="exact"/>
        <w:jc w:val="center"/>
        <w:rPr>
          <w:rFonts w:hint="eastAsia" w:ascii="宋体" w:hAnsi="宋体" w:eastAsia="宋体" w:cs="宋体"/>
          <w:b w:val="0"/>
          <w:bCs/>
          <w:color w:val="auto"/>
          <w:sz w:val="36"/>
          <w:szCs w:val="24"/>
          <w:highlight w:val="none"/>
        </w:rPr>
      </w:pPr>
      <w:bookmarkStart w:id="52" w:name="_Toc31058"/>
      <w:bookmarkStart w:id="53" w:name="_Toc30345"/>
      <w:bookmarkStart w:id="54" w:name="_Toc3174"/>
      <w:bookmarkStart w:id="55" w:name="_Toc1381"/>
      <w:bookmarkStart w:id="56" w:name="_Toc25114"/>
      <w:bookmarkStart w:id="57" w:name="_Toc465958088"/>
      <w:bookmarkStart w:id="58" w:name="_Toc246928895"/>
      <w:bookmarkStart w:id="59" w:name="_Toc23623"/>
      <w:bookmarkStart w:id="60" w:name="_Toc27773"/>
      <w:bookmarkStart w:id="61" w:name="_Toc10690"/>
      <w:bookmarkStart w:id="62" w:name="_Toc32198"/>
      <w:r>
        <w:rPr>
          <w:rFonts w:hint="eastAsia" w:ascii="宋体" w:hAnsi="宋体" w:eastAsia="宋体" w:cs="宋体"/>
          <w:b w:val="0"/>
          <w:bCs/>
          <w:color w:val="auto"/>
          <w:sz w:val="36"/>
          <w:szCs w:val="24"/>
          <w:highlight w:val="none"/>
        </w:rPr>
        <w:t>A 总则</w:t>
      </w:r>
      <w:bookmarkEnd w:id="52"/>
      <w:bookmarkEnd w:id="53"/>
      <w:bookmarkEnd w:id="54"/>
      <w:bookmarkEnd w:id="55"/>
      <w:bookmarkEnd w:id="56"/>
      <w:bookmarkEnd w:id="57"/>
      <w:bookmarkEnd w:id="58"/>
      <w:bookmarkEnd w:id="59"/>
      <w:bookmarkEnd w:id="60"/>
      <w:bookmarkEnd w:id="61"/>
      <w:bookmarkEnd w:id="62"/>
    </w:p>
    <w:p w14:paraId="6C8ECDBB">
      <w:pPr>
        <w:pStyle w:val="4"/>
        <w:spacing w:before="156" w:beforeLines="50" w:after="156" w:afterLines="50" w:line="460" w:lineRule="exact"/>
        <w:rPr>
          <w:rFonts w:hint="eastAsia" w:ascii="宋体" w:hAnsi="宋体" w:eastAsia="宋体" w:cs="宋体"/>
          <w:b w:val="0"/>
          <w:bCs/>
          <w:color w:val="auto"/>
          <w:szCs w:val="24"/>
          <w:highlight w:val="none"/>
        </w:rPr>
      </w:pPr>
      <w:bookmarkStart w:id="63" w:name="_Toc7587"/>
      <w:bookmarkStart w:id="64" w:name="_Toc21639"/>
      <w:bookmarkStart w:id="65" w:name="_Toc13194"/>
      <w:bookmarkStart w:id="66" w:name="_Toc465958089"/>
      <w:bookmarkStart w:id="67" w:name="_Toc15325"/>
      <w:bookmarkStart w:id="68" w:name="_Toc4811"/>
      <w:bookmarkStart w:id="69" w:name="_Toc246928896"/>
      <w:bookmarkStart w:id="70" w:name="_Toc30424"/>
      <w:bookmarkStart w:id="71" w:name="_Toc31417"/>
      <w:bookmarkStart w:id="72" w:name="_Toc18752"/>
      <w:r>
        <w:rPr>
          <w:rFonts w:hint="eastAsia" w:ascii="宋体" w:hAnsi="宋体" w:eastAsia="宋体" w:cs="宋体"/>
          <w:b w:val="0"/>
          <w:bCs/>
          <w:color w:val="auto"/>
          <w:szCs w:val="24"/>
          <w:highlight w:val="none"/>
        </w:rPr>
        <w:t>1 适用范围</w:t>
      </w:r>
      <w:bookmarkEnd w:id="63"/>
      <w:bookmarkEnd w:id="64"/>
      <w:bookmarkEnd w:id="65"/>
      <w:bookmarkEnd w:id="66"/>
      <w:bookmarkEnd w:id="67"/>
      <w:bookmarkEnd w:id="68"/>
      <w:bookmarkEnd w:id="69"/>
      <w:bookmarkEnd w:id="70"/>
      <w:bookmarkEnd w:id="71"/>
      <w:bookmarkEnd w:id="72"/>
    </w:p>
    <w:p w14:paraId="378DCC77">
      <w:pPr>
        <w:spacing w:line="460" w:lineRule="exact"/>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1.1本竞争性谈判文件仅适用于本谈判公告中所叙述项目的</w:t>
      </w:r>
      <w:r>
        <w:rPr>
          <w:rFonts w:hint="eastAsia" w:ascii="宋体" w:hAnsi="宋体" w:eastAsia="宋体" w:cs="宋体"/>
          <w:bCs/>
          <w:color w:val="auto"/>
          <w:sz w:val="24"/>
          <w:highlight w:val="none"/>
        </w:rPr>
        <w:t>服务采购</w:t>
      </w:r>
      <w:r>
        <w:rPr>
          <w:rFonts w:hint="eastAsia" w:ascii="宋体" w:hAnsi="宋体" w:eastAsia="宋体" w:cs="宋体"/>
          <w:bCs/>
          <w:color w:val="auto"/>
          <w:sz w:val="24"/>
          <w:szCs w:val="24"/>
          <w:highlight w:val="none"/>
        </w:rPr>
        <w:t>。</w:t>
      </w:r>
    </w:p>
    <w:p w14:paraId="501F0A89">
      <w:pPr>
        <w:spacing w:line="460" w:lineRule="exact"/>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1.2本次采购属政府采购，采购人，代理机构、供应商、谈判小组的相关行为均受《中华人民共和国政府采购法》、财政部规章及政府采购项目所在地有关法规、规章的约束，其权利受到上述法律法规的保护。</w:t>
      </w:r>
    </w:p>
    <w:p w14:paraId="5A0132EA">
      <w:pPr>
        <w:pStyle w:val="4"/>
        <w:spacing w:before="156" w:beforeLines="50" w:after="156" w:afterLines="50" w:line="460" w:lineRule="exact"/>
        <w:rPr>
          <w:rFonts w:hint="eastAsia" w:ascii="宋体" w:hAnsi="宋体" w:eastAsia="宋体" w:cs="宋体"/>
          <w:b w:val="0"/>
          <w:bCs/>
          <w:color w:val="auto"/>
          <w:szCs w:val="24"/>
          <w:highlight w:val="none"/>
        </w:rPr>
      </w:pPr>
      <w:bookmarkStart w:id="73" w:name="_Toc14299"/>
      <w:bookmarkStart w:id="74" w:name="_Toc465958090"/>
      <w:bookmarkStart w:id="75" w:name="_Toc20999"/>
      <w:bookmarkStart w:id="76" w:name="_Toc10329"/>
      <w:bookmarkStart w:id="77" w:name="_Toc28727"/>
      <w:bookmarkStart w:id="78" w:name="_Toc9614"/>
      <w:bookmarkStart w:id="79" w:name="_Toc31636"/>
      <w:bookmarkStart w:id="80" w:name="_Toc18894"/>
      <w:bookmarkStart w:id="81" w:name="_Toc246928897"/>
      <w:bookmarkStart w:id="82" w:name="_Toc6698"/>
      <w:r>
        <w:rPr>
          <w:rFonts w:hint="eastAsia" w:ascii="宋体" w:hAnsi="宋体" w:eastAsia="宋体" w:cs="宋体"/>
          <w:b w:val="0"/>
          <w:bCs/>
          <w:color w:val="auto"/>
          <w:szCs w:val="24"/>
          <w:highlight w:val="none"/>
        </w:rPr>
        <w:t>2 定义</w:t>
      </w:r>
      <w:bookmarkEnd w:id="73"/>
      <w:bookmarkEnd w:id="74"/>
      <w:bookmarkEnd w:id="75"/>
      <w:bookmarkEnd w:id="76"/>
      <w:bookmarkEnd w:id="77"/>
      <w:bookmarkEnd w:id="78"/>
      <w:bookmarkEnd w:id="79"/>
      <w:bookmarkEnd w:id="80"/>
      <w:bookmarkEnd w:id="81"/>
      <w:bookmarkEnd w:id="82"/>
      <w:r>
        <w:rPr>
          <w:rFonts w:hint="eastAsia" w:ascii="宋体" w:hAnsi="宋体" w:eastAsia="宋体" w:cs="宋体"/>
          <w:b w:val="0"/>
          <w:bCs/>
          <w:color w:val="auto"/>
          <w:szCs w:val="24"/>
          <w:highlight w:val="none"/>
        </w:rPr>
        <w:t xml:space="preserve"> </w:t>
      </w:r>
    </w:p>
    <w:p w14:paraId="475B8677">
      <w:pPr>
        <w:spacing w:line="360" w:lineRule="auto"/>
        <w:ind w:firstLine="480" w:firstLineChars="200"/>
        <w:rPr>
          <w:rFonts w:hint="eastAsia" w:ascii="宋体" w:hAnsi="宋体" w:eastAsia="宋体" w:cs="宋体"/>
          <w:bCs/>
          <w:color w:val="auto"/>
          <w:sz w:val="24"/>
          <w:szCs w:val="24"/>
          <w:highlight w:val="none"/>
        </w:rPr>
      </w:pPr>
      <w:bookmarkStart w:id="83" w:name="_Toc16727"/>
      <w:bookmarkStart w:id="84" w:name="_Toc20739"/>
      <w:bookmarkStart w:id="85" w:name="_Toc27989"/>
      <w:bookmarkStart w:id="86" w:name="_Toc465958091"/>
      <w:bookmarkStart w:id="87" w:name="_Toc19646"/>
      <w:bookmarkStart w:id="88" w:name="_Toc26952"/>
      <w:bookmarkStart w:id="89" w:name="_Toc875"/>
      <w:bookmarkStart w:id="90" w:name="_Toc5419"/>
      <w:r>
        <w:rPr>
          <w:rFonts w:hint="eastAsia" w:ascii="宋体" w:hAnsi="宋体" w:eastAsia="宋体" w:cs="宋体"/>
          <w:bCs/>
          <w:color w:val="auto"/>
          <w:sz w:val="24"/>
          <w:szCs w:val="24"/>
          <w:highlight w:val="none"/>
        </w:rPr>
        <w:t>2.1 “采购人”系指依法进行政府采购的国家机关、事业单位、团体组织。本采购项目的采购人名称、地址、电话、联系人见供应商须知前附表。</w:t>
      </w:r>
    </w:p>
    <w:p w14:paraId="16AC7563">
      <w:pPr>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2.2 “采购代理机构”系指接受采购人委托，代理采购项目的集中采购机构和经财政部门认定资格的其他采购代理机构。本采购项目的采购代理机构名称、地址、电话、联系人见供应商须知前附表。</w:t>
      </w:r>
    </w:p>
    <w:p w14:paraId="2DA5EA0A">
      <w:pPr>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2.3 “供应商”系指响应招标、参加投标竞争的法人、其他组织或自然人。</w:t>
      </w:r>
    </w:p>
    <w:p w14:paraId="5C477B05">
      <w:pPr>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2.4 “谈判小组” 是指依据《中华人民共和国政府采购法》、《政府采购非招标采购方式管理办法》（财政部令第 74 号）有关规定组建，依法依规履行其职责和义务的评审机构。</w:t>
      </w:r>
    </w:p>
    <w:p w14:paraId="2821B6E4">
      <w:pPr>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2.5 “货物”系指供应商按竞争性谈判文件要求,向采购人提供的各种形态和种类的物品，包括原材料、设备、产品(包括软件)及相关的其备品备件、工具、手册及其它技术资料和材料。</w:t>
      </w:r>
    </w:p>
    <w:p w14:paraId="0856B6B8">
      <w:pPr>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2.6 “工程”是指建设工程，包括建筑物和构筑物的新建、改建、扩建、装修、拆除、修缮等，详见《政府采购品目分类目录》。</w:t>
      </w:r>
    </w:p>
    <w:p w14:paraId="652528E3">
      <w:pPr>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2.7 “服务”是政府自身需要的服务和政府向社会公众提供的服务，详见《政府采购品目分类目录》。</w:t>
      </w:r>
    </w:p>
    <w:p w14:paraId="142B2045">
      <w:pPr>
        <w:pStyle w:val="4"/>
        <w:spacing w:before="156" w:beforeLines="50" w:after="156" w:afterLines="50" w:line="460" w:lineRule="exact"/>
        <w:rPr>
          <w:rFonts w:hint="eastAsia" w:ascii="宋体" w:hAnsi="宋体" w:eastAsia="宋体" w:cs="宋体"/>
          <w:b w:val="0"/>
          <w:bCs/>
          <w:color w:val="auto"/>
          <w:szCs w:val="24"/>
          <w:highlight w:val="none"/>
        </w:rPr>
      </w:pPr>
      <w:bookmarkStart w:id="91" w:name="_Toc22833"/>
      <w:r>
        <w:rPr>
          <w:rFonts w:hint="eastAsia" w:ascii="宋体" w:hAnsi="宋体" w:eastAsia="宋体" w:cs="宋体"/>
          <w:b w:val="0"/>
          <w:bCs/>
          <w:color w:val="auto"/>
          <w:szCs w:val="24"/>
          <w:highlight w:val="none"/>
        </w:rPr>
        <w:t>3 合格的</w:t>
      </w:r>
      <w:bookmarkEnd w:id="83"/>
      <w:bookmarkEnd w:id="84"/>
      <w:bookmarkEnd w:id="85"/>
      <w:bookmarkEnd w:id="86"/>
      <w:bookmarkEnd w:id="87"/>
      <w:bookmarkEnd w:id="88"/>
      <w:r>
        <w:rPr>
          <w:rFonts w:hint="eastAsia" w:ascii="宋体" w:hAnsi="宋体" w:eastAsia="宋体" w:cs="宋体"/>
          <w:b w:val="0"/>
          <w:bCs/>
          <w:color w:val="auto"/>
          <w:szCs w:val="24"/>
          <w:highlight w:val="none"/>
        </w:rPr>
        <w:t>供应商</w:t>
      </w:r>
      <w:bookmarkEnd w:id="89"/>
      <w:bookmarkEnd w:id="90"/>
      <w:bookmarkEnd w:id="91"/>
    </w:p>
    <w:p w14:paraId="5336831E">
      <w:pPr>
        <w:adjustRightInd w:val="0"/>
        <w:snapToGrid w:val="0"/>
        <w:spacing w:line="360" w:lineRule="auto"/>
        <w:ind w:firstLine="480" w:firstLineChars="200"/>
        <w:jc w:val="left"/>
        <w:rPr>
          <w:rFonts w:hint="eastAsia" w:ascii="宋体" w:hAnsi="宋体" w:eastAsia="宋体" w:cs="宋体"/>
          <w:bCs/>
          <w:color w:val="auto"/>
          <w:sz w:val="24"/>
          <w:highlight w:val="none"/>
        </w:rPr>
      </w:pPr>
      <w:bookmarkStart w:id="92" w:name="_Toc18683"/>
      <w:bookmarkStart w:id="93" w:name="_Toc3389"/>
      <w:bookmarkStart w:id="94" w:name="_Toc246928899"/>
      <w:bookmarkStart w:id="95" w:name="_Toc9563"/>
      <w:bookmarkStart w:id="96" w:name="_Toc21286"/>
      <w:bookmarkStart w:id="97" w:name="_Toc465958092"/>
      <w:bookmarkStart w:id="98" w:name="_Toc18171"/>
      <w:r>
        <w:rPr>
          <w:rFonts w:hint="eastAsia" w:ascii="宋体" w:hAnsi="宋体" w:eastAsia="宋体" w:cs="宋体"/>
          <w:bCs/>
          <w:color w:val="auto"/>
          <w:sz w:val="24"/>
          <w:highlight w:val="none"/>
        </w:rPr>
        <w:t>3.1 合格的供应商：满足下列资格条件且有能力提供项目所需服务的供应商。</w:t>
      </w:r>
    </w:p>
    <w:p w14:paraId="575DCCE4">
      <w:pPr>
        <w:adjustRightInd w:val="0"/>
        <w:snapToGrid w:val="0"/>
        <w:spacing w:line="360" w:lineRule="auto"/>
        <w:ind w:firstLine="480" w:firstLineChars="200"/>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3.2资格条件</w:t>
      </w:r>
    </w:p>
    <w:p w14:paraId="1C2CF232">
      <w:pPr>
        <w:adjustRightInd w:val="0"/>
        <w:snapToGrid w:val="0"/>
        <w:spacing w:line="360" w:lineRule="auto"/>
        <w:ind w:firstLine="480" w:firstLineChars="200"/>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3.2.1供应商应当符合《中华人民共和国政府采购法》第二十二条第一款规定的</w:t>
      </w:r>
      <w:r>
        <w:rPr>
          <w:rFonts w:hint="eastAsia" w:ascii="宋体" w:hAnsi="宋体" w:eastAsia="宋体" w:cs="宋体"/>
          <w:bCs/>
          <w:color w:val="auto"/>
          <w:sz w:val="24"/>
          <w:highlight w:val="none"/>
          <w:lang w:eastAsia="zh-CN"/>
        </w:rPr>
        <w:t>供应商</w:t>
      </w:r>
      <w:r>
        <w:rPr>
          <w:rFonts w:hint="eastAsia" w:ascii="宋体" w:hAnsi="宋体" w:eastAsia="宋体" w:cs="宋体"/>
          <w:bCs/>
          <w:color w:val="auto"/>
          <w:sz w:val="24"/>
          <w:highlight w:val="none"/>
        </w:rPr>
        <w:t>基本资格条件；以及竞争性谈判文件规定的供应商特定资格条件。</w:t>
      </w:r>
    </w:p>
    <w:p w14:paraId="1DF307B2">
      <w:pPr>
        <w:adjustRightInd w:val="0"/>
        <w:snapToGrid w:val="0"/>
        <w:spacing w:line="360" w:lineRule="auto"/>
        <w:ind w:firstLine="480" w:firstLineChars="200"/>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3.3供应商必须从陕西省公共资源交易平台获取竞争性谈判文件，供应商自行转让或复制的竞争性谈判文件视为无效文件，此文件仅作为本次谈判使用。</w:t>
      </w:r>
    </w:p>
    <w:p w14:paraId="2A900E10">
      <w:pPr>
        <w:adjustRightInd w:val="0"/>
        <w:snapToGrid w:val="0"/>
        <w:spacing w:line="360" w:lineRule="auto"/>
        <w:ind w:firstLine="480" w:firstLineChars="200"/>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3.4法定代表人或者负责人为同一人或者存在控股、管理关系的两个以上供应商，不得参加同一政府采购项目投标。</w:t>
      </w:r>
    </w:p>
    <w:p w14:paraId="0CBFA315">
      <w:pPr>
        <w:adjustRightInd w:val="0"/>
        <w:snapToGrid w:val="0"/>
        <w:spacing w:line="360" w:lineRule="auto"/>
        <w:ind w:firstLine="480" w:firstLineChars="200"/>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3.5是否接受联合体投标：见</w:t>
      </w:r>
      <w:r>
        <w:rPr>
          <w:rFonts w:hint="eastAsia" w:ascii="宋体" w:hAnsi="宋体" w:eastAsia="宋体" w:cs="宋体"/>
          <w:bCs/>
          <w:color w:val="auto"/>
          <w:sz w:val="24"/>
          <w:highlight w:val="none"/>
          <w:lang w:eastAsia="zh-CN"/>
        </w:rPr>
        <w:t>供应商</w:t>
      </w:r>
      <w:r>
        <w:rPr>
          <w:rFonts w:hint="eastAsia" w:ascii="宋体" w:hAnsi="宋体" w:eastAsia="宋体" w:cs="宋体"/>
          <w:bCs/>
          <w:color w:val="auto"/>
          <w:sz w:val="24"/>
          <w:highlight w:val="none"/>
        </w:rPr>
        <w:t>须知前附表。</w:t>
      </w:r>
    </w:p>
    <w:p w14:paraId="4A696669">
      <w:pPr>
        <w:adjustRightInd w:val="0"/>
        <w:snapToGrid w:val="0"/>
        <w:spacing w:line="360" w:lineRule="auto"/>
        <w:ind w:firstLine="480" w:firstLineChars="200"/>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3.6供应商应参照《中华人民共和国政府采购法》及其它有关的中国法律和法规。</w:t>
      </w:r>
    </w:p>
    <w:p w14:paraId="01701E13">
      <w:pPr>
        <w:pStyle w:val="4"/>
        <w:spacing w:line="460" w:lineRule="exact"/>
        <w:rPr>
          <w:rFonts w:hint="eastAsia" w:ascii="宋体" w:hAnsi="宋体" w:eastAsia="宋体" w:cs="宋体"/>
          <w:b w:val="0"/>
          <w:bCs/>
          <w:color w:val="auto"/>
          <w:highlight w:val="none"/>
        </w:rPr>
      </w:pPr>
      <w:bookmarkStart w:id="99" w:name="_Toc15074"/>
      <w:bookmarkStart w:id="100" w:name="_Toc13775"/>
      <w:bookmarkStart w:id="101" w:name="_Toc8995"/>
      <w:r>
        <w:rPr>
          <w:rFonts w:hint="eastAsia" w:ascii="宋体" w:hAnsi="宋体" w:eastAsia="宋体" w:cs="宋体"/>
          <w:b w:val="0"/>
          <w:bCs/>
          <w:color w:val="auto"/>
          <w:highlight w:val="none"/>
        </w:rPr>
        <w:t>4 费用</w:t>
      </w:r>
      <w:bookmarkEnd w:id="92"/>
      <w:bookmarkEnd w:id="93"/>
      <w:bookmarkEnd w:id="94"/>
      <w:bookmarkEnd w:id="95"/>
      <w:bookmarkEnd w:id="96"/>
      <w:bookmarkEnd w:id="97"/>
      <w:bookmarkEnd w:id="98"/>
      <w:bookmarkEnd w:id="99"/>
      <w:bookmarkEnd w:id="100"/>
      <w:bookmarkEnd w:id="101"/>
    </w:p>
    <w:p w14:paraId="3B6EE458">
      <w:pPr>
        <w:spacing w:line="460" w:lineRule="exact"/>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4.1 供应商应承担所有与编写和提交竞争性谈判响应文件有关的费用，无论谈判过程中的做法和结果如何，供应商自行承担参加谈判相关的全部费用。</w:t>
      </w:r>
    </w:p>
    <w:p w14:paraId="1942CA69">
      <w:pPr>
        <w:pStyle w:val="3"/>
        <w:spacing w:line="460" w:lineRule="exact"/>
        <w:jc w:val="center"/>
        <w:rPr>
          <w:rFonts w:hint="eastAsia" w:ascii="宋体" w:hAnsi="宋体" w:eastAsia="宋体" w:cs="宋体"/>
          <w:b w:val="0"/>
          <w:bCs/>
          <w:color w:val="auto"/>
          <w:sz w:val="44"/>
          <w:highlight w:val="none"/>
        </w:rPr>
      </w:pPr>
      <w:bookmarkStart w:id="102" w:name="_Toc9289"/>
      <w:bookmarkStart w:id="103" w:name="_Toc17078"/>
      <w:bookmarkStart w:id="104" w:name="_Toc1383"/>
      <w:bookmarkStart w:id="105" w:name="_Toc29877"/>
      <w:bookmarkStart w:id="106" w:name="_Toc3331"/>
      <w:bookmarkStart w:id="107" w:name="_Toc26140"/>
      <w:bookmarkStart w:id="108" w:name="_Toc465958093"/>
      <w:bookmarkStart w:id="109" w:name="_Toc24227"/>
      <w:bookmarkStart w:id="110" w:name="_Toc6958"/>
      <w:bookmarkStart w:id="111" w:name="_Toc246928900"/>
      <w:bookmarkStart w:id="112" w:name="_Toc4175"/>
      <w:r>
        <w:rPr>
          <w:rFonts w:hint="eastAsia" w:ascii="宋体" w:hAnsi="宋体" w:eastAsia="宋体" w:cs="宋体"/>
          <w:b w:val="0"/>
          <w:bCs/>
          <w:color w:val="auto"/>
          <w:sz w:val="44"/>
          <w:highlight w:val="none"/>
        </w:rPr>
        <w:t>B 竞争性谈判文件说明</w:t>
      </w:r>
      <w:bookmarkEnd w:id="102"/>
      <w:bookmarkEnd w:id="103"/>
      <w:bookmarkEnd w:id="104"/>
      <w:bookmarkEnd w:id="105"/>
      <w:bookmarkEnd w:id="106"/>
      <w:bookmarkEnd w:id="107"/>
      <w:bookmarkEnd w:id="108"/>
      <w:bookmarkEnd w:id="109"/>
      <w:bookmarkEnd w:id="110"/>
      <w:bookmarkEnd w:id="111"/>
      <w:bookmarkEnd w:id="112"/>
    </w:p>
    <w:p w14:paraId="365CC356">
      <w:pPr>
        <w:pStyle w:val="4"/>
        <w:spacing w:line="460" w:lineRule="exact"/>
        <w:rPr>
          <w:rFonts w:hint="eastAsia" w:ascii="宋体" w:hAnsi="宋体" w:eastAsia="宋体" w:cs="宋体"/>
          <w:b w:val="0"/>
          <w:bCs/>
          <w:color w:val="auto"/>
          <w:highlight w:val="none"/>
        </w:rPr>
      </w:pPr>
      <w:bookmarkStart w:id="113" w:name="_Toc6287"/>
      <w:bookmarkStart w:id="114" w:name="_Toc246928901"/>
      <w:bookmarkStart w:id="115" w:name="_Toc23175"/>
      <w:bookmarkStart w:id="116" w:name="_Toc16142"/>
      <w:bookmarkStart w:id="117" w:name="_Toc5791"/>
      <w:bookmarkStart w:id="118" w:name="_Toc5335"/>
      <w:bookmarkStart w:id="119" w:name="_Toc7327"/>
      <w:bookmarkStart w:id="120" w:name="_Toc15639"/>
      <w:bookmarkStart w:id="121" w:name="_Toc21132"/>
      <w:bookmarkStart w:id="122" w:name="_Toc465958094"/>
      <w:r>
        <w:rPr>
          <w:rFonts w:hint="eastAsia" w:ascii="宋体" w:hAnsi="宋体" w:eastAsia="宋体" w:cs="宋体"/>
          <w:b w:val="0"/>
          <w:bCs/>
          <w:color w:val="auto"/>
          <w:highlight w:val="none"/>
        </w:rPr>
        <w:t>5 竞争性谈判文件的构成</w:t>
      </w:r>
      <w:bookmarkEnd w:id="113"/>
      <w:bookmarkEnd w:id="114"/>
      <w:bookmarkEnd w:id="115"/>
      <w:bookmarkEnd w:id="116"/>
      <w:bookmarkEnd w:id="117"/>
      <w:bookmarkEnd w:id="118"/>
      <w:bookmarkEnd w:id="119"/>
      <w:bookmarkEnd w:id="120"/>
      <w:bookmarkEnd w:id="121"/>
      <w:bookmarkEnd w:id="122"/>
    </w:p>
    <w:p w14:paraId="0A8B3933">
      <w:pPr>
        <w:adjustRightInd w:val="0"/>
        <w:snapToGrid w:val="0"/>
        <w:spacing w:line="360" w:lineRule="auto"/>
        <w:ind w:firstLine="480" w:firstLineChars="200"/>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5.1 竞争性谈判文件以阐明所需提供的采购、谈判程序和合同条件。竞争性谈判文件包括：</w:t>
      </w:r>
    </w:p>
    <w:p w14:paraId="66BA67DF">
      <w:pPr>
        <w:adjustRightInd w:val="0"/>
        <w:snapToGrid w:val="0"/>
        <w:spacing w:line="360" w:lineRule="auto"/>
        <w:ind w:firstLine="480" w:firstLineChars="200"/>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5.1.1 竞争性谈判公告；</w:t>
      </w:r>
    </w:p>
    <w:p w14:paraId="5E8830CB">
      <w:pPr>
        <w:adjustRightInd w:val="0"/>
        <w:snapToGrid w:val="0"/>
        <w:spacing w:line="360" w:lineRule="auto"/>
        <w:ind w:firstLine="480" w:firstLineChars="200"/>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5.1.2 供应商须知前附表；</w:t>
      </w:r>
    </w:p>
    <w:p w14:paraId="4EE75A1B">
      <w:pPr>
        <w:adjustRightInd w:val="0"/>
        <w:snapToGrid w:val="0"/>
        <w:spacing w:line="360" w:lineRule="auto"/>
        <w:ind w:firstLine="480" w:firstLineChars="200"/>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5.1.3 供应商须知；</w:t>
      </w:r>
    </w:p>
    <w:p w14:paraId="2266194E">
      <w:pPr>
        <w:adjustRightInd w:val="0"/>
        <w:snapToGrid w:val="0"/>
        <w:spacing w:line="360" w:lineRule="auto"/>
        <w:ind w:firstLine="480" w:firstLineChars="200"/>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5.1.4 政府采购合同；</w:t>
      </w:r>
      <w:r>
        <w:rPr>
          <w:rFonts w:hint="eastAsia" w:ascii="宋体" w:hAnsi="宋体" w:eastAsia="宋体" w:cs="宋体"/>
          <w:bCs/>
          <w:color w:val="auto"/>
          <w:sz w:val="24"/>
          <w:highlight w:val="none"/>
        </w:rPr>
        <w:tab/>
      </w:r>
    </w:p>
    <w:p w14:paraId="48B34C50">
      <w:pPr>
        <w:adjustRightInd w:val="0"/>
        <w:snapToGrid w:val="0"/>
        <w:spacing w:line="360" w:lineRule="auto"/>
        <w:ind w:firstLine="480" w:firstLineChars="200"/>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5.1.5 商务要求；</w:t>
      </w:r>
    </w:p>
    <w:p w14:paraId="62CE4B65">
      <w:pPr>
        <w:adjustRightInd w:val="0"/>
        <w:snapToGrid w:val="0"/>
        <w:spacing w:line="360" w:lineRule="auto"/>
        <w:ind w:firstLine="480" w:firstLineChars="200"/>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5.1.6 采购内容及要求； </w:t>
      </w:r>
    </w:p>
    <w:p w14:paraId="62A0B301">
      <w:pPr>
        <w:adjustRightInd w:val="0"/>
        <w:snapToGrid w:val="0"/>
        <w:spacing w:line="360" w:lineRule="auto"/>
        <w:ind w:firstLine="480" w:firstLineChars="200"/>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5.1.7 评审方法；</w:t>
      </w:r>
    </w:p>
    <w:p w14:paraId="68A67866">
      <w:pPr>
        <w:adjustRightInd w:val="0"/>
        <w:snapToGrid w:val="0"/>
        <w:spacing w:line="360" w:lineRule="auto"/>
        <w:ind w:firstLine="480" w:firstLineChars="200"/>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5.1.8 竞争性谈判响应文件格式；</w:t>
      </w:r>
    </w:p>
    <w:p w14:paraId="46F35841">
      <w:pPr>
        <w:adjustRightInd w:val="0"/>
        <w:snapToGrid w:val="0"/>
        <w:spacing w:line="360" w:lineRule="auto"/>
        <w:ind w:firstLine="480" w:firstLineChars="200"/>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5.1.9 附件；</w:t>
      </w:r>
    </w:p>
    <w:p w14:paraId="2C59A947">
      <w:pPr>
        <w:adjustRightInd w:val="0"/>
        <w:snapToGrid w:val="0"/>
        <w:spacing w:line="360" w:lineRule="auto"/>
        <w:ind w:firstLine="480" w:firstLineChars="200"/>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5.2 供应商应认真阅读竞争性谈判文件中所有的事项、格式、条款和规范要求等。</w:t>
      </w:r>
    </w:p>
    <w:p w14:paraId="0978F6E2">
      <w:pPr>
        <w:adjustRightInd w:val="0"/>
        <w:snapToGrid w:val="0"/>
        <w:spacing w:line="360" w:lineRule="auto"/>
        <w:ind w:firstLine="480" w:firstLineChars="200"/>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5.2.1 供应商下载竞争性谈判文件后应仔细阅读检查竞争性谈判文件中的所有内容，按照竞争性谈判文件中所列事项、条款、规范要求及格式，在谈判响应文件中对竞争性谈判文件做出全面的响应，并按竞争性谈判文件的要求提交全部资料。如果供应商没有按照竞争性谈判文件要求提交全部资料，或者谈判响应文件没有对竞争性谈判文件在各方面都做出实质性响应，由此带来不利于供应商的谈判结果，其风险由供应商承担。</w:t>
      </w:r>
    </w:p>
    <w:p w14:paraId="557AA3E4">
      <w:pPr>
        <w:adjustRightInd w:val="0"/>
        <w:snapToGrid w:val="0"/>
        <w:spacing w:line="360" w:lineRule="auto"/>
        <w:ind w:firstLine="480" w:firstLineChars="200"/>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5.4采购项目需要落实的政府采购政策：国务院财政部门会同有关部门制定的采购需求标准、预留采购份额、价格评审优惠、优先采购等措施，实现节约能源、保护环境、扶持不发达地区和少数民族地区、促进中小企业发展等目标的政府采购政策。</w:t>
      </w:r>
    </w:p>
    <w:p w14:paraId="255A9434">
      <w:pPr>
        <w:adjustRightInd w:val="0"/>
        <w:snapToGrid w:val="0"/>
        <w:spacing w:line="360" w:lineRule="auto"/>
        <w:ind w:firstLine="480" w:firstLineChars="200"/>
        <w:jc w:val="left"/>
        <w:rPr>
          <w:rFonts w:hint="eastAsia" w:ascii="宋体" w:hAnsi="宋体" w:eastAsia="宋体" w:cs="宋体"/>
          <w:bCs/>
          <w:color w:val="auto"/>
          <w:sz w:val="24"/>
          <w:highlight w:val="none"/>
        </w:rPr>
      </w:pPr>
      <w:bookmarkStart w:id="123" w:name="_Toc246928902"/>
      <w:bookmarkStart w:id="124" w:name="_Toc7858"/>
      <w:bookmarkStart w:id="125" w:name="_Toc29090"/>
      <w:bookmarkStart w:id="126" w:name="_Toc23102"/>
      <w:bookmarkStart w:id="127" w:name="_Toc29347"/>
      <w:bookmarkStart w:id="128" w:name="_Toc32248"/>
      <w:bookmarkStart w:id="129" w:name="_Toc2275"/>
      <w:bookmarkStart w:id="130" w:name="_Toc9452"/>
      <w:bookmarkStart w:id="131" w:name="_Toc465958095"/>
      <w:r>
        <w:rPr>
          <w:rFonts w:hint="eastAsia" w:ascii="宋体" w:hAnsi="宋体" w:eastAsia="宋体" w:cs="宋体"/>
          <w:bCs/>
          <w:color w:val="auto"/>
          <w:sz w:val="24"/>
          <w:highlight w:val="none"/>
        </w:rPr>
        <w:t>5.4.1 根据《政府采购促进中小企业发展管理办法》（财库〔2020〕46号）、《财政部关于进一步加大政府采购支持中小企业力度的通知》（财库〔2022〕19号），本项目严格落实中小企业扶持政策，对符合规定的小微企业给予相应价格扣除。</w:t>
      </w:r>
    </w:p>
    <w:p w14:paraId="1E30715C">
      <w:pPr>
        <w:adjustRightInd w:val="0"/>
        <w:snapToGrid w:val="0"/>
        <w:spacing w:line="360" w:lineRule="auto"/>
        <w:ind w:firstLine="480" w:firstLineChars="200"/>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5.4.2 根据《陕西省财政厅关于进一步加大政府采购支持中小企业力度的通知》（陕财办采〔2022〕5号），加大对本省中小企业扶持力度，优化中小企业参与政府采购活动营商环境。</w:t>
      </w:r>
    </w:p>
    <w:p w14:paraId="6992AB44">
      <w:pPr>
        <w:adjustRightInd w:val="0"/>
        <w:snapToGrid w:val="0"/>
        <w:spacing w:line="360" w:lineRule="auto"/>
        <w:ind w:firstLine="480" w:firstLineChars="200"/>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5.4.3 根据《榆林市财政局关于进一步加大政府采购支持中小企业力度的通知》（榆政财采发〔2022〕10号），落实本市中小企业价格扣除、合同预付款、信用融资等惠企政策。</w:t>
      </w:r>
    </w:p>
    <w:p w14:paraId="1AD6A936">
      <w:pPr>
        <w:adjustRightInd w:val="0"/>
        <w:snapToGrid w:val="0"/>
        <w:spacing w:line="360" w:lineRule="auto"/>
        <w:ind w:firstLine="480" w:firstLineChars="200"/>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5.4.4 根据《财政部 司法部关于政府采购支持监狱企业发展有关问题的通知》（财库〔2014〕68号），监狱企业参与政府采购活动视同小型、微型企业，享受同等扶持政策。</w:t>
      </w:r>
    </w:p>
    <w:p w14:paraId="256421BB">
      <w:pPr>
        <w:adjustRightInd w:val="0"/>
        <w:snapToGrid w:val="0"/>
        <w:spacing w:line="360" w:lineRule="auto"/>
        <w:ind w:firstLine="480" w:firstLineChars="200"/>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5.4.5 根据《国务院办公厅关于建立政府强制采购节能产品制度的通知》（国办发〔2007〕51号）、《财政部 发展改革委 生态环境部 市场监管总局关于调整优化节能产品、环境标志产品政府采购执行机制的通知》（财库〔2019〕9号），本项目涉及节能产品应当优先采购、清单内产品实行强制采购。</w:t>
      </w:r>
    </w:p>
    <w:p w14:paraId="755BD3ED">
      <w:pPr>
        <w:adjustRightInd w:val="0"/>
        <w:snapToGrid w:val="0"/>
        <w:spacing w:line="360" w:lineRule="auto"/>
        <w:ind w:firstLine="480" w:firstLineChars="200"/>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5.4.6 根据《财政部 发展改革委 生态环境部 市场监管总局关于调整优化节能产品、环境标志产品政府采购执行机制的通知》（财库〔2019〕9号）及《节能产品政府采购品目清单》，供应商所投节能产品须符合国家节能认证要求。</w:t>
      </w:r>
    </w:p>
    <w:p w14:paraId="5924BB26">
      <w:pPr>
        <w:adjustRightInd w:val="0"/>
        <w:snapToGrid w:val="0"/>
        <w:spacing w:line="360" w:lineRule="auto"/>
        <w:ind w:firstLine="480" w:firstLineChars="200"/>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5.4.7 根据《财政部 发展改革委 生态环境部 市场监管总局关于调整优化节能产品、环境标志产品政府采购执行机制的通知》（财库〔2019〕9号）及《环境标志产品政府采购品目清单》，供应商所投产品应优先选择财政部公布的环境标志产品政府采购清单目录内的产品（须提供节能、环保认证证书复印件并加盖公章）。</w:t>
      </w:r>
    </w:p>
    <w:p w14:paraId="5D6C3799">
      <w:pPr>
        <w:adjustRightInd w:val="0"/>
        <w:snapToGrid w:val="0"/>
        <w:spacing w:line="360" w:lineRule="auto"/>
        <w:ind w:firstLine="480" w:firstLineChars="200"/>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5.4.8 根据《财政部 民政部 中国残疾人联合会关于促进残疾人就业政府采购政策的通知》（财库〔2017〕141号），符合条件的残疾人集中就业企业享受政府采购扶持优惠政策。</w:t>
      </w:r>
    </w:p>
    <w:p w14:paraId="7A22F8E0">
      <w:pPr>
        <w:adjustRightInd w:val="0"/>
        <w:snapToGrid w:val="0"/>
        <w:spacing w:line="360" w:lineRule="auto"/>
        <w:ind w:firstLine="480" w:firstLineChars="200"/>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5.4.9 根据《财政部 农业农村部 国家乡村振兴局 中华全国供销合作总社关于深入开展政府采购脱贫地区农副产品工作推进乡村产业振兴的实施意见》（财库〔2021〕20号），采购人优先采购脱贫地区农副产品，落实乡村振兴采购政策。</w:t>
      </w:r>
    </w:p>
    <w:p w14:paraId="1187E74C">
      <w:pPr>
        <w:adjustRightInd w:val="0"/>
        <w:snapToGrid w:val="0"/>
        <w:spacing w:line="360" w:lineRule="auto"/>
        <w:ind w:firstLine="480" w:firstLineChars="200"/>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5.4.10 根据《关于在政府采购活动中查询及使用信用记录有关问题的通知》（财库〔2016〕125号），采购人、采购代理机构将在开标前查询供应商信用记录，存在失信记录的供应商不得参与本次采购活动。</w:t>
      </w:r>
    </w:p>
    <w:p w14:paraId="0C147975">
      <w:pPr>
        <w:adjustRightInd w:val="0"/>
        <w:snapToGrid w:val="0"/>
        <w:spacing w:line="360" w:lineRule="auto"/>
        <w:ind w:firstLine="480" w:firstLineChars="200"/>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5.4.11 为了进一步推动金融支持政策更好适应市场主体的需要，扎实落实国务院关于支持中小企业发展的政策措施，积极发挥政府采购政策功能，有效缓解中小企业融资难、融资贵问题，根据中办、国办《关于促进中小企业健康发展的指导意见》、《政府采购促进中小企业发展管理办法》（财库〔2020〕46号）、《陕西省中小企业政府采购信用融资办法》（陕财办采〔2018〕23号）、《陕西省财政厅关于加快推进我省中小企业政府采购信用融资工作的通知》（陕财办采〔2020〕15号）、《陕西省财政厅 中国人民银行西安分行关于深入推进政府采购信用融资业务的通知》（陕财办采〔2023〕5号）等有关规定，按照市场主导、财政引导、银企自愿、风险自担的原则，中标（成交）供应商可根据自身资金需求，登录陕西省政府采购信用融资平台（http://www.ccgp-shaanxi.gov.cn/zcdservice/zcd/shanxi/）在线申请，依法参加政府采购信用融资活动，可办理纯信用贷款、电子投标保函、电子履约保函，降低企业资金占用成本。</w:t>
      </w:r>
    </w:p>
    <w:p w14:paraId="1AEFBE5B">
      <w:pPr>
        <w:adjustRightInd w:val="0"/>
        <w:snapToGrid w:val="0"/>
        <w:spacing w:line="360" w:lineRule="auto"/>
        <w:ind w:firstLine="480" w:firstLineChars="200"/>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目前的合作银行有：北京银行、中国建设银行、中信银行、中国平安银行、中国光大银行、浦发银行、兴业银行、中国工商银行、秦农银行、浙商银行、中国银行、西安银行、中国农业银行、中国邮政储蓄银行（排名不分先后）。</w:t>
      </w:r>
    </w:p>
    <w:p w14:paraId="1C4BC2A2">
      <w:pPr>
        <w:adjustRightInd w:val="0"/>
        <w:snapToGrid w:val="0"/>
        <w:spacing w:line="360" w:lineRule="auto"/>
        <w:ind w:firstLine="480" w:firstLineChars="200"/>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5</w:t>
      </w:r>
      <w:r>
        <w:rPr>
          <w:rFonts w:hint="eastAsia" w:ascii="宋体" w:hAnsi="宋体" w:eastAsia="宋体" w:cs="宋体"/>
          <w:bCs/>
          <w:color w:val="auto"/>
          <w:sz w:val="24"/>
          <w:highlight w:val="none"/>
        </w:rPr>
        <w:t>.</w:t>
      </w:r>
      <w:r>
        <w:rPr>
          <w:rFonts w:hint="eastAsia" w:ascii="宋体" w:hAnsi="宋体" w:eastAsia="宋体" w:cs="宋体"/>
          <w:bCs/>
          <w:color w:val="auto"/>
          <w:sz w:val="24"/>
          <w:highlight w:val="none"/>
          <w:lang w:val="en-US" w:eastAsia="zh-CN"/>
        </w:rPr>
        <w:t>5</w:t>
      </w:r>
      <w:r>
        <w:rPr>
          <w:rFonts w:hint="eastAsia" w:ascii="宋体" w:hAnsi="宋体" w:eastAsia="宋体" w:cs="宋体"/>
          <w:bCs/>
          <w:color w:val="auto"/>
          <w:sz w:val="24"/>
          <w:highlight w:val="none"/>
        </w:rPr>
        <w:t xml:space="preserve"> 如本项目废标后需重新组织招标，采购代理机构将重新编制、发布新版谈判文件，供应商应按新版竞争性谈判文件重新编制谈判响应文件。原竞争性谈判文件及谈判响应文件失效。</w:t>
      </w:r>
    </w:p>
    <w:p w14:paraId="13A1ADC6">
      <w:pPr>
        <w:adjustRightInd w:val="0"/>
        <w:snapToGrid w:val="0"/>
        <w:spacing w:line="360" w:lineRule="auto"/>
        <w:ind w:firstLine="480" w:firstLineChars="200"/>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5</w:t>
      </w:r>
      <w:r>
        <w:rPr>
          <w:rFonts w:hint="eastAsia" w:ascii="宋体" w:hAnsi="宋体" w:eastAsia="宋体" w:cs="宋体"/>
          <w:bCs/>
          <w:color w:val="auto"/>
          <w:sz w:val="24"/>
          <w:highlight w:val="none"/>
        </w:rPr>
        <w:t>.</w:t>
      </w:r>
      <w:r>
        <w:rPr>
          <w:rFonts w:hint="eastAsia" w:ascii="宋体" w:hAnsi="宋体" w:eastAsia="宋体" w:cs="宋体"/>
          <w:bCs/>
          <w:color w:val="auto"/>
          <w:sz w:val="24"/>
          <w:highlight w:val="none"/>
          <w:lang w:val="en-US" w:eastAsia="zh-CN"/>
        </w:rPr>
        <w:t>6</w:t>
      </w:r>
      <w:r>
        <w:rPr>
          <w:rFonts w:hint="eastAsia" w:ascii="宋体" w:hAnsi="宋体" w:eastAsia="宋体" w:cs="宋体"/>
          <w:bCs/>
          <w:color w:val="auto"/>
          <w:sz w:val="24"/>
          <w:highlight w:val="none"/>
        </w:rPr>
        <w:t xml:space="preserve"> 谈判响应文件封面、响应函以及法定代表人授权委托书三处的项目名称、项目编号、标段(如有)应当与最新发布的竞争性谈判文件保持一致，否则将被视为无效谈判响应文件。</w:t>
      </w:r>
    </w:p>
    <w:p w14:paraId="333015FF">
      <w:pPr>
        <w:pStyle w:val="4"/>
        <w:spacing w:line="460" w:lineRule="exact"/>
        <w:rPr>
          <w:rFonts w:hint="eastAsia" w:ascii="宋体" w:hAnsi="宋体" w:eastAsia="宋体" w:cs="宋体"/>
          <w:b w:val="0"/>
          <w:bCs/>
          <w:color w:val="auto"/>
          <w:highlight w:val="none"/>
        </w:rPr>
      </w:pPr>
      <w:bookmarkStart w:id="132" w:name="_Toc6190"/>
      <w:r>
        <w:rPr>
          <w:rFonts w:hint="eastAsia" w:ascii="宋体" w:hAnsi="宋体" w:eastAsia="宋体" w:cs="宋体"/>
          <w:b w:val="0"/>
          <w:bCs/>
          <w:color w:val="auto"/>
          <w:highlight w:val="none"/>
        </w:rPr>
        <w:t>6 竞争性谈判文件的澄清</w:t>
      </w:r>
      <w:bookmarkEnd w:id="123"/>
      <w:bookmarkEnd w:id="124"/>
      <w:bookmarkEnd w:id="125"/>
      <w:bookmarkEnd w:id="126"/>
      <w:bookmarkEnd w:id="127"/>
      <w:bookmarkEnd w:id="128"/>
      <w:bookmarkEnd w:id="129"/>
      <w:bookmarkEnd w:id="130"/>
      <w:bookmarkEnd w:id="131"/>
      <w:bookmarkEnd w:id="132"/>
    </w:p>
    <w:p w14:paraId="16A48546">
      <w:pPr>
        <w:adjustRightInd w:val="0"/>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6.1 任何要求对竞争性谈判文件澄清的供应商，均应以书面形式在谈判截止时间2日前通知代理机构。代理机构将以书面形式予以答复，并在其认为必要时，将不标明查询来源的书面答复通知竞争性谈判文件收受人。</w:t>
      </w:r>
    </w:p>
    <w:p w14:paraId="549D5E3C">
      <w:pPr>
        <w:adjustRightInd w:val="0"/>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6.2 供应商收到上述通知后，应当立即向代理机构发出回函予以确认。</w:t>
      </w:r>
    </w:p>
    <w:p w14:paraId="63D46D21">
      <w:pPr>
        <w:adjustRightInd w:val="0"/>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6.3 该澄清的内容为竞争性谈判文件的组成部分。</w:t>
      </w:r>
    </w:p>
    <w:p w14:paraId="20E634A9">
      <w:pPr>
        <w:adjustRightInd w:val="0"/>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6.4当澄清或修改的内容影响谈判响应文件编制时，将在交易平台上同步发布答疑文件，此时供应商应从“项目流程·〉答疑文件下载”下载最新发布的答疑文件（*.SXSCF格式），并使用该文件重新编制电子谈判响应文件（*</w:t>
      </w:r>
      <w:r>
        <w:rPr>
          <w:rFonts w:hint="eastAsia" w:ascii="宋体" w:hAnsi="宋体" w:cs="宋体"/>
          <w:bCs/>
          <w:color w:val="auto"/>
          <w:sz w:val="24"/>
          <w:highlight w:val="none"/>
          <w:lang w:eastAsia="zh-CN"/>
        </w:rPr>
        <w:t>.SXSCF</w:t>
      </w:r>
      <w:r>
        <w:rPr>
          <w:rFonts w:hint="eastAsia" w:ascii="宋体" w:hAnsi="宋体" w:eastAsia="宋体" w:cs="宋体"/>
          <w:bCs/>
          <w:color w:val="auto"/>
          <w:sz w:val="24"/>
          <w:highlight w:val="none"/>
        </w:rPr>
        <w:t>格式），使用旧版电子招标文件或旧版答疑文件制作的电子谈判响应文件，系统将拒绝接收。</w:t>
      </w:r>
    </w:p>
    <w:p w14:paraId="481FB613">
      <w:pPr>
        <w:pStyle w:val="4"/>
        <w:spacing w:line="460" w:lineRule="exact"/>
        <w:rPr>
          <w:rFonts w:hint="eastAsia" w:ascii="宋体" w:hAnsi="宋体" w:eastAsia="宋体" w:cs="宋体"/>
          <w:b w:val="0"/>
          <w:bCs/>
          <w:color w:val="auto"/>
          <w:highlight w:val="none"/>
        </w:rPr>
      </w:pPr>
      <w:bookmarkStart w:id="133" w:name="_Toc465958096"/>
      <w:bookmarkStart w:id="134" w:name="_Toc15394"/>
      <w:bookmarkStart w:id="135" w:name="_Toc11107"/>
      <w:bookmarkStart w:id="136" w:name="_Toc29244"/>
      <w:bookmarkStart w:id="137" w:name="_Toc843"/>
      <w:bookmarkStart w:id="138" w:name="_Toc25100"/>
      <w:bookmarkStart w:id="139" w:name="_Toc936"/>
      <w:bookmarkStart w:id="140" w:name="_Toc30004"/>
      <w:bookmarkStart w:id="141" w:name="_Toc246928903"/>
      <w:bookmarkStart w:id="142" w:name="_Toc28323"/>
      <w:r>
        <w:rPr>
          <w:rFonts w:hint="eastAsia" w:ascii="宋体" w:hAnsi="宋体" w:eastAsia="宋体" w:cs="宋体"/>
          <w:b w:val="0"/>
          <w:bCs/>
          <w:color w:val="auto"/>
          <w:highlight w:val="none"/>
        </w:rPr>
        <w:t>7 竞争性谈判文件的修改</w:t>
      </w:r>
      <w:bookmarkEnd w:id="133"/>
      <w:bookmarkEnd w:id="134"/>
      <w:bookmarkEnd w:id="135"/>
      <w:bookmarkEnd w:id="136"/>
      <w:bookmarkEnd w:id="137"/>
      <w:bookmarkEnd w:id="138"/>
      <w:bookmarkEnd w:id="139"/>
      <w:bookmarkEnd w:id="140"/>
      <w:bookmarkEnd w:id="141"/>
      <w:bookmarkEnd w:id="142"/>
    </w:p>
    <w:p w14:paraId="18E4FD51">
      <w:pPr>
        <w:adjustRightInd w:val="0"/>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7.1 在竞争性谈判截止期前，无论出于何种原因，采购人可主动地或在解答供应商要求澄清的问题时对竞争性谈判文件进行修改。</w:t>
      </w:r>
    </w:p>
    <w:p w14:paraId="6A418201">
      <w:pPr>
        <w:adjustRightInd w:val="0"/>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7.2 竞争性谈判文件的修改将以书面形式通知所有竞争性谈判文件的收受人，供应商在收到该通知后应立即以书面形式予以确认。</w:t>
      </w:r>
    </w:p>
    <w:p w14:paraId="3FFABE78">
      <w:pPr>
        <w:adjustRightInd w:val="0"/>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7.3 为使供应商在准备竞争性谈判响应文件时，有充分的时间对竞争性谈判文件的修改进行研究考虑，采购人可自行决定，酌情推迟竞争性谈判响应文件截止日期和谈判时间，并以书面形式通知所有已领取竞争性谈判文件的供应商。</w:t>
      </w:r>
    </w:p>
    <w:p w14:paraId="692B985C">
      <w:pPr>
        <w:adjustRightInd w:val="0"/>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7.4 竞争性谈判文件修改书将构成竞争性谈判文件的一部分，对采购人和供应商都具有约束力。</w:t>
      </w:r>
    </w:p>
    <w:p w14:paraId="63C96B15">
      <w:pPr>
        <w:pStyle w:val="4"/>
        <w:spacing w:line="460" w:lineRule="exact"/>
        <w:rPr>
          <w:rFonts w:hint="eastAsia" w:ascii="宋体" w:hAnsi="宋体" w:eastAsia="宋体" w:cs="宋体"/>
          <w:b w:val="0"/>
          <w:bCs/>
          <w:color w:val="auto"/>
          <w:szCs w:val="24"/>
          <w:highlight w:val="none"/>
        </w:rPr>
      </w:pPr>
      <w:bookmarkStart w:id="143" w:name="_Toc2447"/>
      <w:bookmarkStart w:id="144" w:name="_Toc25938"/>
      <w:bookmarkStart w:id="145" w:name="_Toc7688"/>
      <w:r>
        <w:rPr>
          <w:rFonts w:hint="eastAsia" w:ascii="宋体" w:hAnsi="宋体" w:eastAsia="宋体" w:cs="宋体"/>
          <w:b w:val="0"/>
          <w:bCs/>
          <w:color w:val="auto"/>
          <w:szCs w:val="32"/>
          <w:highlight w:val="none"/>
        </w:rPr>
        <w:t>8 竞争性谈判文件的获取</w:t>
      </w:r>
      <w:bookmarkEnd w:id="143"/>
      <w:bookmarkEnd w:id="144"/>
      <w:bookmarkEnd w:id="145"/>
    </w:p>
    <w:p w14:paraId="09657256">
      <w:pPr>
        <w:spacing w:line="460" w:lineRule="exact"/>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招标采购公告发布后，有意向的</w:t>
      </w:r>
      <w:r>
        <w:rPr>
          <w:rFonts w:hint="eastAsia" w:ascii="宋体" w:hAnsi="宋体" w:eastAsia="宋体" w:cs="宋体"/>
          <w:bCs/>
          <w:color w:val="auto"/>
          <w:sz w:val="24"/>
          <w:szCs w:val="24"/>
          <w:highlight w:val="none"/>
          <w:lang w:eastAsia="zh-CN"/>
        </w:rPr>
        <w:t>供应商</w:t>
      </w:r>
      <w:r>
        <w:rPr>
          <w:rFonts w:hint="eastAsia" w:ascii="宋体" w:hAnsi="宋体" w:eastAsia="宋体" w:cs="宋体"/>
          <w:bCs/>
          <w:color w:val="auto"/>
          <w:sz w:val="24"/>
          <w:szCs w:val="24"/>
          <w:highlight w:val="none"/>
        </w:rPr>
        <w:t>应从陕西省公共资源交易平台获取竞争性谈判文件并下载谈判文件，仅作为本次招标使用。投标单位自行转让或复制的竞争性谈判文件视为无效文件。</w:t>
      </w:r>
    </w:p>
    <w:p w14:paraId="727986E0">
      <w:pPr>
        <w:pStyle w:val="4"/>
        <w:spacing w:line="460" w:lineRule="exact"/>
        <w:rPr>
          <w:rFonts w:hint="eastAsia" w:ascii="宋体" w:hAnsi="宋体" w:eastAsia="宋体" w:cs="宋体"/>
          <w:b w:val="0"/>
          <w:bCs/>
          <w:color w:val="auto"/>
          <w:sz w:val="24"/>
          <w:szCs w:val="24"/>
          <w:highlight w:val="none"/>
        </w:rPr>
      </w:pPr>
      <w:bookmarkStart w:id="146" w:name="_Toc27608"/>
      <w:bookmarkStart w:id="147" w:name="_Toc26223"/>
      <w:bookmarkStart w:id="148" w:name="_Toc28863"/>
      <w:r>
        <w:rPr>
          <w:rFonts w:hint="eastAsia" w:ascii="宋体" w:hAnsi="宋体" w:eastAsia="宋体" w:cs="宋体"/>
          <w:b w:val="0"/>
          <w:bCs/>
          <w:color w:val="auto"/>
          <w:szCs w:val="32"/>
          <w:highlight w:val="none"/>
        </w:rPr>
        <w:t>9 解释权归属</w:t>
      </w:r>
      <w:bookmarkEnd w:id="146"/>
      <w:bookmarkEnd w:id="147"/>
      <w:bookmarkEnd w:id="148"/>
    </w:p>
    <w:p w14:paraId="14B6D3CE">
      <w:pPr>
        <w:spacing w:line="460" w:lineRule="exact"/>
        <w:ind w:firstLine="566" w:firstLineChars="236"/>
        <w:rPr>
          <w:rFonts w:hint="eastAsia" w:ascii="宋体" w:hAnsi="宋体" w:eastAsia="宋体" w:cs="宋体"/>
          <w:bCs/>
          <w:color w:val="auto"/>
          <w:highlight w:val="none"/>
        </w:rPr>
      </w:pPr>
      <w:r>
        <w:rPr>
          <w:rFonts w:hint="eastAsia" w:ascii="宋体" w:hAnsi="宋体" w:eastAsia="宋体" w:cs="宋体"/>
          <w:bCs/>
          <w:color w:val="auto"/>
          <w:sz w:val="24"/>
          <w:szCs w:val="24"/>
          <w:highlight w:val="none"/>
        </w:rPr>
        <w:t xml:space="preserve">本次竞争性谈判文件的解释权归代理机构。 </w:t>
      </w:r>
    </w:p>
    <w:p w14:paraId="54C8C9CE">
      <w:pPr>
        <w:pStyle w:val="3"/>
        <w:spacing w:line="460" w:lineRule="exact"/>
        <w:jc w:val="center"/>
        <w:rPr>
          <w:rFonts w:hint="eastAsia" w:ascii="宋体" w:hAnsi="宋体" w:eastAsia="宋体" w:cs="宋体"/>
          <w:b w:val="0"/>
          <w:bCs/>
          <w:color w:val="auto"/>
          <w:sz w:val="36"/>
          <w:highlight w:val="none"/>
        </w:rPr>
      </w:pPr>
      <w:bookmarkStart w:id="149" w:name="_Toc30501"/>
      <w:bookmarkStart w:id="150" w:name="_Toc16894"/>
      <w:bookmarkStart w:id="151" w:name="_Toc465958097"/>
      <w:bookmarkStart w:id="152" w:name="_Toc246928904"/>
      <w:bookmarkStart w:id="153" w:name="_Toc18461"/>
      <w:bookmarkStart w:id="154" w:name="_Toc19669"/>
      <w:bookmarkStart w:id="155" w:name="_Toc585"/>
      <w:bookmarkStart w:id="156" w:name="_Toc28020"/>
      <w:bookmarkStart w:id="157" w:name="_Toc30520"/>
      <w:bookmarkStart w:id="158" w:name="_Toc8710"/>
      <w:bookmarkStart w:id="159" w:name="_Toc1006"/>
      <w:r>
        <w:rPr>
          <w:rFonts w:hint="eastAsia" w:ascii="宋体" w:hAnsi="宋体" w:eastAsia="宋体" w:cs="宋体"/>
          <w:b w:val="0"/>
          <w:bCs/>
          <w:color w:val="auto"/>
          <w:sz w:val="36"/>
          <w:highlight w:val="none"/>
        </w:rPr>
        <w:t>C 竞争性谈判响应文件的编写</w:t>
      </w:r>
      <w:bookmarkEnd w:id="149"/>
      <w:bookmarkEnd w:id="150"/>
      <w:bookmarkEnd w:id="151"/>
      <w:bookmarkEnd w:id="152"/>
      <w:bookmarkEnd w:id="153"/>
      <w:bookmarkEnd w:id="154"/>
      <w:bookmarkEnd w:id="155"/>
      <w:bookmarkEnd w:id="156"/>
      <w:bookmarkEnd w:id="157"/>
      <w:bookmarkEnd w:id="158"/>
      <w:bookmarkEnd w:id="159"/>
    </w:p>
    <w:p w14:paraId="033CDFA9">
      <w:pPr>
        <w:pStyle w:val="4"/>
        <w:spacing w:line="460" w:lineRule="exact"/>
        <w:rPr>
          <w:rFonts w:hint="eastAsia" w:ascii="宋体" w:hAnsi="宋体" w:eastAsia="宋体" w:cs="宋体"/>
          <w:b w:val="0"/>
          <w:bCs/>
          <w:color w:val="auto"/>
          <w:highlight w:val="none"/>
        </w:rPr>
      </w:pPr>
      <w:bookmarkStart w:id="160" w:name="_Toc465958098"/>
      <w:bookmarkStart w:id="161" w:name="_Toc20725"/>
      <w:bookmarkStart w:id="162" w:name="_Toc246928905"/>
      <w:bookmarkStart w:id="163" w:name="_Toc29305"/>
      <w:bookmarkStart w:id="164" w:name="_Toc25916"/>
      <w:bookmarkStart w:id="165" w:name="_Toc3361"/>
      <w:bookmarkStart w:id="166" w:name="_Toc9502"/>
      <w:bookmarkStart w:id="167" w:name="_Toc25855"/>
      <w:bookmarkStart w:id="168" w:name="_Toc17820"/>
      <w:bookmarkStart w:id="169" w:name="_Toc32164"/>
      <w:r>
        <w:rPr>
          <w:rFonts w:hint="eastAsia" w:ascii="宋体" w:hAnsi="宋体" w:eastAsia="宋体" w:cs="宋体"/>
          <w:b w:val="0"/>
          <w:bCs/>
          <w:color w:val="auto"/>
          <w:highlight w:val="none"/>
        </w:rPr>
        <w:t>10 谈判语言</w:t>
      </w:r>
      <w:bookmarkEnd w:id="160"/>
      <w:bookmarkEnd w:id="161"/>
      <w:bookmarkEnd w:id="162"/>
      <w:bookmarkEnd w:id="163"/>
      <w:bookmarkEnd w:id="164"/>
      <w:bookmarkEnd w:id="165"/>
      <w:bookmarkEnd w:id="166"/>
      <w:bookmarkEnd w:id="167"/>
      <w:bookmarkEnd w:id="168"/>
      <w:bookmarkEnd w:id="169"/>
    </w:p>
    <w:p w14:paraId="366D37B2">
      <w:pPr>
        <w:spacing w:line="460" w:lineRule="exact"/>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10.1 由供应商编写的竞争性谈判响应文件和往来信件应以中文书写。</w:t>
      </w:r>
    </w:p>
    <w:p w14:paraId="07D67E2C">
      <w:pPr>
        <w:pStyle w:val="4"/>
        <w:spacing w:line="460" w:lineRule="exact"/>
        <w:rPr>
          <w:rFonts w:hint="eastAsia" w:ascii="宋体" w:hAnsi="宋体" w:eastAsia="宋体" w:cs="宋体"/>
          <w:b w:val="0"/>
          <w:bCs/>
          <w:color w:val="auto"/>
          <w:highlight w:val="none"/>
        </w:rPr>
      </w:pPr>
      <w:bookmarkStart w:id="170" w:name="_Toc31749"/>
      <w:bookmarkStart w:id="171" w:name="_Toc23931"/>
      <w:bookmarkStart w:id="172" w:name="_Toc12423"/>
      <w:bookmarkStart w:id="173" w:name="_Toc6421"/>
      <w:bookmarkStart w:id="174" w:name="_Toc246928906"/>
      <w:bookmarkStart w:id="175" w:name="_Toc30244"/>
      <w:bookmarkStart w:id="176" w:name="_Toc465958099"/>
      <w:bookmarkStart w:id="177" w:name="_Toc2679"/>
      <w:bookmarkStart w:id="178" w:name="_Toc26252"/>
      <w:bookmarkStart w:id="179" w:name="_Toc14629"/>
      <w:r>
        <w:rPr>
          <w:rFonts w:hint="eastAsia" w:ascii="宋体" w:hAnsi="宋体" w:eastAsia="宋体" w:cs="宋体"/>
          <w:b w:val="0"/>
          <w:bCs/>
          <w:color w:val="auto"/>
          <w:highlight w:val="none"/>
        </w:rPr>
        <w:t>11 计量单位</w:t>
      </w:r>
      <w:bookmarkEnd w:id="170"/>
      <w:bookmarkEnd w:id="171"/>
      <w:bookmarkEnd w:id="172"/>
      <w:bookmarkEnd w:id="173"/>
      <w:bookmarkEnd w:id="174"/>
      <w:bookmarkEnd w:id="175"/>
      <w:bookmarkEnd w:id="176"/>
      <w:bookmarkEnd w:id="177"/>
      <w:bookmarkEnd w:id="178"/>
      <w:bookmarkEnd w:id="179"/>
    </w:p>
    <w:p w14:paraId="7EDEAA0C">
      <w:pPr>
        <w:adjustRightInd w:val="0"/>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11.1 除在竞争性谈判文件中有特殊要求外，计量单位应使用中华人民共和国法定计量单位及通用图形符号。</w:t>
      </w:r>
    </w:p>
    <w:p w14:paraId="4E05CA13">
      <w:pPr>
        <w:adjustRightInd w:val="0"/>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11.2 本次采购、谈判报价、谈判、评审和合同授予均以项目为单位，供应商必须就整个项目进行响应，不得将整个项目中的内容拆开谈判。拆开谈判的，按无效竞争性谈判响应文件处理。</w:t>
      </w:r>
    </w:p>
    <w:p w14:paraId="1F95CCC1">
      <w:pPr>
        <w:pStyle w:val="4"/>
        <w:spacing w:line="460" w:lineRule="exact"/>
        <w:rPr>
          <w:rFonts w:hint="eastAsia" w:ascii="宋体" w:hAnsi="宋体" w:eastAsia="宋体" w:cs="宋体"/>
          <w:b w:val="0"/>
          <w:bCs/>
          <w:color w:val="auto"/>
          <w:highlight w:val="none"/>
        </w:rPr>
      </w:pPr>
      <w:bookmarkStart w:id="180" w:name="_Toc26388"/>
      <w:bookmarkStart w:id="181" w:name="_Toc18592"/>
      <w:bookmarkStart w:id="182" w:name="_Toc27123"/>
      <w:bookmarkStart w:id="183" w:name="_Toc7209"/>
      <w:bookmarkStart w:id="184" w:name="_Toc13655"/>
      <w:bookmarkStart w:id="185" w:name="_Toc3415"/>
      <w:bookmarkStart w:id="186" w:name="_Toc16285"/>
      <w:bookmarkStart w:id="187" w:name="_Toc1098"/>
      <w:bookmarkStart w:id="188" w:name="_Toc465958100"/>
      <w:bookmarkStart w:id="189" w:name="_Toc246928907"/>
      <w:r>
        <w:rPr>
          <w:rFonts w:hint="eastAsia" w:ascii="宋体" w:hAnsi="宋体" w:eastAsia="宋体" w:cs="宋体"/>
          <w:b w:val="0"/>
          <w:bCs/>
          <w:color w:val="auto"/>
          <w:highlight w:val="none"/>
        </w:rPr>
        <w:t>12 竞争性谈判响应文件的构成</w:t>
      </w:r>
      <w:bookmarkEnd w:id="180"/>
      <w:bookmarkEnd w:id="181"/>
      <w:bookmarkEnd w:id="182"/>
      <w:bookmarkEnd w:id="183"/>
      <w:bookmarkEnd w:id="184"/>
      <w:bookmarkEnd w:id="185"/>
      <w:bookmarkEnd w:id="186"/>
      <w:bookmarkEnd w:id="187"/>
      <w:bookmarkEnd w:id="188"/>
      <w:bookmarkEnd w:id="189"/>
    </w:p>
    <w:p w14:paraId="46171DAA">
      <w:pPr>
        <w:adjustRightInd w:val="0"/>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12.1 供应商编写的竞争性谈判响应文件应包括下列部分：</w:t>
      </w:r>
    </w:p>
    <w:p w14:paraId="7E538F31">
      <w:pPr>
        <w:adjustRightInd w:val="0"/>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12.1.1 响应函（格式）；</w:t>
      </w:r>
    </w:p>
    <w:p w14:paraId="48E03978">
      <w:pPr>
        <w:adjustRightInd w:val="0"/>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12.1.2 第一次谈判报价表；</w:t>
      </w:r>
    </w:p>
    <w:p w14:paraId="535EFF65">
      <w:pPr>
        <w:adjustRightInd w:val="0"/>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12.1.3 竞争性谈判响应文件格式的所有内容。具体见竞争性谈判响应文件格式；</w:t>
      </w:r>
    </w:p>
    <w:p w14:paraId="42132E30">
      <w:pPr>
        <w:adjustRightInd w:val="0"/>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12.2 供应商的所有资格证明文件均应当为合法、有效文件，否则将被视为该文件未递交。</w:t>
      </w:r>
    </w:p>
    <w:p w14:paraId="7CD458B0">
      <w:pPr>
        <w:adjustRightInd w:val="0"/>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12.3 上述文件应当按照竞争性谈判文件规定的格式填写、签署和盖章。</w:t>
      </w:r>
    </w:p>
    <w:p w14:paraId="1A23551E">
      <w:pPr>
        <w:pStyle w:val="4"/>
        <w:spacing w:line="460" w:lineRule="exact"/>
        <w:rPr>
          <w:rFonts w:hint="eastAsia" w:ascii="宋体" w:hAnsi="宋体" w:eastAsia="宋体" w:cs="宋体"/>
          <w:b w:val="0"/>
          <w:bCs/>
          <w:color w:val="auto"/>
          <w:highlight w:val="none"/>
        </w:rPr>
      </w:pPr>
      <w:bookmarkStart w:id="190" w:name="_Toc7488"/>
      <w:bookmarkStart w:id="191" w:name="_Toc11558"/>
      <w:bookmarkStart w:id="192" w:name="_Toc246928909"/>
      <w:bookmarkStart w:id="193" w:name="_Toc11448"/>
      <w:bookmarkStart w:id="194" w:name="_Toc27931"/>
      <w:bookmarkStart w:id="195" w:name="_Toc285"/>
      <w:bookmarkStart w:id="196" w:name="_Toc23839"/>
      <w:bookmarkStart w:id="197" w:name="_Toc465958101"/>
      <w:bookmarkStart w:id="198" w:name="_Toc31865"/>
      <w:bookmarkStart w:id="199" w:name="_Toc25279"/>
      <w:r>
        <w:rPr>
          <w:rFonts w:hint="eastAsia" w:ascii="宋体" w:hAnsi="宋体" w:eastAsia="宋体" w:cs="宋体"/>
          <w:b w:val="0"/>
          <w:bCs/>
          <w:color w:val="auto"/>
          <w:highlight w:val="none"/>
        </w:rPr>
        <w:t>13 谈判报价</w:t>
      </w:r>
      <w:bookmarkEnd w:id="190"/>
      <w:bookmarkEnd w:id="191"/>
      <w:bookmarkEnd w:id="192"/>
      <w:bookmarkEnd w:id="193"/>
      <w:bookmarkEnd w:id="194"/>
      <w:bookmarkEnd w:id="195"/>
      <w:bookmarkEnd w:id="196"/>
      <w:bookmarkEnd w:id="197"/>
      <w:bookmarkEnd w:id="198"/>
      <w:bookmarkEnd w:id="199"/>
    </w:p>
    <w:p w14:paraId="66478819">
      <w:pPr>
        <w:adjustRightInd w:val="0"/>
        <w:snapToGrid w:val="0"/>
        <w:spacing w:line="360" w:lineRule="auto"/>
        <w:ind w:firstLine="480" w:firstLineChars="200"/>
        <w:rPr>
          <w:rFonts w:hint="eastAsia" w:ascii="宋体" w:hAnsi="宋体" w:eastAsia="宋体" w:cs="宋体"/>
          <w:bCs/>
          <w:color w:val="auto"/>
          <w:sz w:val="24"/>
          <w:highlight w:val="none"/>
        </w:rPr>
      </w:pPr>
      <w:bookmarkStart w:id="200" w:name="_Toc30975"/>
      <w:bookmarkStart w:id="201" w:name="_Toc10046"/>
      <w:bookmarkStart w:id="202" w:name="_Toc465958102"/>
      <w:bookmarkStart w:id="203" w:name="_Toc6481"/>
      <w:bookmarkStart w:id="204" w:name="_Toc5734"/>
      <w:bookmarkStart w:id="205" w:name="_Toc246928911"/>
      <w:bookmarkStart w:id="206" w:name="_Toc14151"/>
      <w:bookmarkStart w:id="207" w:name="_Toc7647"/>
      <w:bookmarkStart w:id="208" w:name="_Toc28059"/>
      <w:r>
        <w:rPr>
          <w:rFonts w:hint="eastAsia" w:ascii="宋体" w:hAnsi="宋体" w:eastAsia="宋体" w:cs="宋体"/>
          <w:bCs/>
          <w:color w:val="auto"/>
          <w:sz w:val="24"/>
          <w:highlight w:val="none"/>
        </w:rPr>
        <w:t>13.1 所有谈判均以人民币报价。</w:t>
      </w:r>
    </w:p>
    <w:p w14:paraId="7B99DABE">
      <w:pPr>
        <w:adjustRightInd w:val="0"/>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13.2 供应商依据竞争性谈判文件提供的货物及服务要求等资料并自行考虑风险因素计算谈判报价，一旦成交，谈判报价将不会因国家政策调整及市场变化因素而得到调整。</w:t>
      </w:r>
    </w:p>
    <w:p w14:paraId="00C52FAF">
      <w:pPr>
        <w:adjustRightInd w:val="0"/>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13.3 供应商应对所列的所有服务进行响应，不得将采购内容拆开谈判。</w:t>
      </w:r>
    </w:p>
    <w:p w14:paraId="4864C831">
      <w:pPr>
        <w:adjustRightInd w:val="0"/>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13.4 采购人只接受供应商提供的唯一谈判响应方案，不接受备选方案。</w:t>
      </w:r>
    </w:p>
    <w:p w14:paraId="5188C94E">
      <w:pPr>
        <w:pStyle w:val="4"/>
        <w:spacing w:line="460" w:lineRule="exact"/>
        <w:rPr>
          <w:rFonts w:hint="eastAsia" w:ascii="宋体" w:hAnsi="宋体" w:eastAsia="宋体" w:cs="宋体"/>
          <w:b w:val="0"/>
          <w:bCs/>
          <w:color w:val="auto"/>
          <w:highlight w:val="none"/>
        </w:rPr>
      </w:pPr>
      <w:bookmarkStart w:id="209" w:name="_Toc30190"/>
      <w:r>
        <w:rPr>
          <w:rFonts w:hint="eastAsia" w:ascii="宋体" w:hAnsi="宋体" w:eastAsia="宋体" w:cs="宋体"/>
          <w:b w:val="0"/>
          <w:bCs/>
          <w:color w:val="auto"/>
          <w:highlight w:val="none"/>
        </w:rPr>
        <w:t>14 证明供应商资格的证明文件</w:t>
      </w:r>
      <w:bookmarkEnd w:id="200"/>
      <w:bookmarkEnd w:id="201"/>
      <w:bookmarkEnd w:id="202"/>
      <w:bookmarkEnd w:id="203"/>
      <w:bookmarkEnd w:id="204"/>
      <w:bookmarkEnd w:id="205"/>
      <w:bookmarkEnd w:id="206"/>
      <w:bookmarkEnd w:id="207"/>
      <w:bookmarkEnd w:id="208"/>
      <w:bookmarkEnd w:id="209"/>
    </w:p>
    <w:p w14:paraId="2D6CCDBD">
      <w:pPr>
        <w:adjustRightInd w:val="0"/>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14.1 供应商必须按要求提交证明文件，以证明其有资格参加谈判和成交后有履行合同的能力，并作为其竞争性谈判响应文件的一部分。</w:t>
      </w:r>
    </w:p>
    <w:p w14:paraId="0D047B4F">
      <w:pPr>
        <w:adjustRightInd w:val="0"/>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14.2供应商应具有履行合同所需的财务、技术和生产能力；</w:t>
      </w:r>
    </w:p>
    <w:p w14:paraId="21CFA673">
      <w:pPr>
        <w:adjustRightInd w:val="0"/>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14.3供应商应有能力履行竞争性谈判文件所规定的由供应商在服务地点提供服务的人员及技术支持和服务；</w:t>
      </w:r>
    </w:p>
    <w:p w14:paraId="7A79A14B">
      <w:pPr>
        <w:adjustRightInd w:val="0"/>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14.4供应商认为能够证明供应商及其提供服务的等其他文件。</w:t>
      </w:r>
    </w:p>
    <w:p w14:paraId="1807C2EE">
      <w:pPr>
        <w:pStyle w:val="4"/>
        <w:spacing w:line="460" w:lineRule="exact"/>
        <w:rPr>
          <w:rFonts w:hint="eastAsia" w:ascii="宋体" w:hAnsi="宋体" w:eastAsia="宋体" w:cs="宋体"/>
          <w:b w:val="0"/>
          <w:bCs/>
          <w:color w:val="auto"/>
          <w:highlight w:val="none"/>
        </w:rPr>
      </w:pPr>
      <w:bookmarkStart w:id="210" w:name="_Toc19118"/>
      <w:bookmarkStart w:id="211" w:name="_Toc27296"/>
      <w:bookmarkStart w:id="212" w:name="_Toc28780"/>
      <w:bookmarkStart w:id="213" w:name="_Toc24592"/>
      <w:bookmarkStart w:id="214" w:name="_Toc7233"/>
      <w:bookmarkStart w:id="215" w:name="_Toc246928912"/>
      <w:bookmarkStart w:id="216" w:name="_Toc465958103"/>
      <w:bookmarkStart w:id="217" w:name="_Toc31855"/>
      <w:bookmarkStart w:id="218" w:name="_Toc32534"/>
      <w:bookmarkStart w:id="219" w:name="_Toc23372"/>
      <w:r>
        <w:rPr>
          <w:rFonts w:hint="eastAsia" w:ascii="宋体" w:hAnsi="宋体" w:eastAsia="宋体" w:cs="宋体"/>
          <w:b w:val="0"/>
          <w:bCs/>
          <w:color w:val="auto"/>
          <w:highlight w:val="none"/>
        </w:rPr>
        <w:t>15 证明</w:t>
      </w:r>
      <w:r>
        <w:rPr>
          <w:rFonts w:hint="eastAsia" w:ascii="宋体" w:hAnsi="宋体" w:eastAsia="宋体" w:cs="宋体"/>
          <w:b w:val="0"/>
          <w:bCs/>
          <w:color w:val="auto"/>
          <w:highlight w:val="none"/>
          <w:lang w:val="en-US" w:eastAsia="zh-CN"/>
        </w:rPr>
        <w:t>服务</w:t>
      </w:r>
      <w:r>
        <w:rPr>
          <w:rFonts w:hint="eastAsia" w:ascii="宋体" w:hAnsi="宋体" w:eastAsia="宋体" w:cs="宋体"/>
          <w:b w:val="0"/>
          <w:bCs/>
          <w:color w:val="auto"/>
          <w:highlight w:val="none"/>
        </w:rPr>
        <w:t>符合竞争性谈判文件规定的文件</w:t>
      </w:r>
      <w:bookmarkEnd w:id="210"/>
      <w:bookmarkEnd w:id="211"/>
      <w:bookmarkEnd w:id="212"/>
      <w:bookmarkEnd w:id="213"/>
      <w:bookmarkEnd w:id="214"/>
      <w:bookmarkEnd w:id="215"/>
      <w:bookmarkEnd w:id="216"/>
      <w:bookmarkEnd w:id="217"/>
      <w:bookmarkEnd w:id="218"/>
      <w:bookmarkEnd w:id="219"/>
    </w:p>
    <w:p w14:paraId="079601A8">
      <w:pPr>
        <w:adjustRightInd w:val="0"/>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15.1 供应商所提供的服务须符合法律、法规、相关规章及国家强制性技术标准和竞争性谈判文件的规定。</w:t>
      </w:r>
    </w:p>
    <w:p w14:paraId="25CADFC8">
      <w:pPr>
        <w:adjustRightInd w:val="0"/>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15.2 供应商应对竞争性谈判文件中的各项条款做出清晰准确的答复。</w:t>
      </w:r>
    </w:p>
    <w:p w14:paraId="0B5D4BD6">
      <w:pPr>
        <w:adjustRightInd w:val="0"/>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15.3 提交文件可以是文字资料也可以是图纸、图片等资料。</w:t>
      </w:r>
    </w:p>
    <w:p w14:paraId="47580836">
      <w:pPr>
        <w:pStyle w:val="4"/>
        <w:spacing w:line="460" w:lineRule="exact"/>
        <w:rPr>
          <w:rFonts w:hint="eastAsia" w:ascii="宋体" w:hAnsi="宋体" w:eastAsia="宋体" w:cs="宋体"/>
          <w:b w:val="0"/>
          <w:bCs/>
          <w:color w:val="auto"/>
          <w:highlight w:val="none"/>
        </w:rPr>
      </w:pPr>
      <w:bookmarkStart w:id="220" w:name="_Toc27673"/>
      <w:bookmarkStart w:id="221" w:name="_Toc246928913"/>
      <w:bookmarkStart w:id="222" w:name="_Toc4194"/>
      <w:bookmarkStart w:id="223" w:name="_Toc28706"/>
      <w:bookmarkStart w:id="224" w:name="_Toc29259"/>
      <w:bookmarkStart w:id="225" w:name="_Toc21933"/>
      <w:bookmarkStart w:id="226" w:name="_Toc22564"/>
      <w:bookmarkStart w:id="227" w:name="_Toc21962"/>
      <w:bookmarkStart w:id="228" w:name="_Toc465958104"/>
      <w:bookmarkStart w:id="229" w:name="_Toc6620"/>
      <w:r>
        <w:rPr>
          <w:rFonts w:hint="eastAsia" w:ascii="宋体" w:hAnsi="宋体" w:eastAsia="宋体" w:cs="宋体"/>
          <w:b w:val="0"/>
          <w:bCs/>
          <w:color w:val="auto"/>
          <w:highlight w:val="none"/>
        </w:rPr>
        <w:t>16 谈判保证金</w:t>
      </w:r>
      <w:bookmarkEnd w:id="220"/>
      <w:bookmarkEnd w:id="221"/>
      <w:bookmarkEnd w:id="222"/>
      <w:bookmarkEnd w:id="223"/>
      <w:bookmarkEnd w:id="224"/>
      <w:bookmarkEnd w:id="225"/>
      <w:bookmarkEnd w:id="226"/>
      <w:bookmarkEnd w:id="227"/>
      <w:bookmarkEnd w:id="228"/>
      <w:bookmarkEnd w:id="229"/>
    </w:p>
    <w:p w14:paraId="379874D5">
      <w:pPr>
        <w:adjustRightInd w:val="0"/>
        <w:snapToGrid w:val="0"/>
        <w:spacing w:line="360" w:lineRule="auto"/>
        <w:ind w:firstLine="480" w:firstLineChars="200"/>
        <w:rPr>
          <w:rFonts w:hint="eastAsia" w:ascii="宋体" w:hAnsi="宋体" w:eastAsia="宋体" w:cs="宋体"/>
          <w:bCs/>
          <w:color w:val="auto"/>
          <w:sz w:val="24"/>
          <w:szCs w:val="24"/>
          <w:highlight w:val="none"/>
        </w:rPr>
      </w:pPr>
      <w:bookmarkStart w:id="230" w:name="_Toc22789"/>
      <w:bookmarkStart w:id="231" w:name="_Toc9535"/>
      <w:bookmarkStart w:id="232" w:name="_Toc8022"/>
      <w:bookmarkStart w:id="233" w:name="_Toc4413"/>
      <w:bookmarkStart w:id="234" w:name="_Toc4576"/>
      <w:bookmarkStart w:id="235" w:name="_Toc465958105"/>
      <w:bookmarkStart w:id="236" w:name="_Toc26603"/>
      <w:bookmarkStart w:id="237" w:name="_Toc20201"/>
      <w:bookmarkStart w:id="238" w:name="_Toc246928914"/>
      <w:r>
        <w:rPr>
          <w:rFonts w:hint="eastAsia" w:ascii="宋体" w:hAnsi="宋体" w:eastAsia="宋体" w:cs="宋体"/>
          <w:bCs/>
          <w:color w:val="auto"/>
          <w:sz w:val="24"/>
          <w:highlight w:val="none"/>
        </w:rPr>
        <w:t xml:space="preserve">16.1 </w:t>
      </w:r>
      <w:r>
        <w:rPr>
          <w:rFonts w:hint="eastAsia" w:ascii="宋体" w:hAnsi="宋体" w:eastAsia="宋体" w:cs="宋体"/>
          <w:bCs/>
          <w:color w:val="auto"/>
          <w:sz w:val="24"/>
          <w:szCs w:val="24"/>
          <w:highlight w:val="none"/>
        </w:rPr>
        <w:t>根据榆林市财政局下发的榆政财采发【2023】8号文件规定实行信用承诺代替保证金。</w:t>
      </w:r>
      <w:r>
        <w:rPr>
          <w:rFonts w:hint="eastAsia" w:ascii="宋体" w:hAnsi="宋体" w:eastAsia="宋体" w:cs="宋体"/>
          <w:bCs/>
          <w:color w:val="auto"/>
          <w:sz w:val="24"/>
          <w:szCs w:val="24"/>
          <w:highlight w:val="none"/>
          <w:lang w:eastAsia="zh-CN"/>
        </w:rPr>
        <w:t>供应商</w:t>
      </w:r>
      <w:r>
        <w:rPr>
          <w:rFonts w:hint="eastAsia" w:ascii="宋体" w:hAnsi="宋体" w:eastAsia="宋体" w:cs="宋体"/>
          <w:bCs/>
          <w:color w:val="auto"/>
          <w:sz w:val="24"/>
          <w:szCs w:val="24"/>
          <w:highlight w:val="none"/>
        </w:rPr>
        <w:t>可签署“投标信用承诺书”代替保证金。</w:t>
      </w:r>
    </w:p>
    <w:p w14:paraId="170DB7AB">
      <w:pPr>
        <w:adjustRightInd w:val="0"/>
        <w:snapToGrid w:val="0"/>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highlight w:val="none"/>
        </w:rPr>
        <w:t xml:space="preserve">16.2 </w:t>
      </w:r>
      <w:r>
        <w:rPr>
          <w:rFonts w:hint="eastAsia" w:ascii="宋体" w:hAnsi="宋体" w:eastAsia="宋体" w:cs="宋体"/>
          <w:bCs/>
          <w:color w:val="auto"/>
          <w:sz w:val="24"/>
          <w:szCs w:val="24"/>
          <w:highlight w:val="none"/>
          <w:lang w:eastAsia="zh-CN"/>
        </w:rPr>
        <w:t>供应商</w:t>
      </w:r>
      <w:r>
        <w:rPr>
          <w:rFonts w:hint="eastAsia" w:ascii="宋体" w:hAnsi="宋体" w:eastAsia="宋体" w:cs="宋体"/>
          <w:bCs/>
          <w:color w:val="auto"/>
          <w:sz w:val="24"/>
          <w:szCs w:val="24"/>
          <w:highlight w:val="none"/>
        </w:rPr>
        <w:t>须将“投标信用承诺书”按要求签字盖章后上传至信用中国（陕西榆林）进行公示，将公示后的截图附在谈判响应文件中（截图须体现项目名称），格式详见招标文件第九部分附件3。</w:t>
      </w:r>
    </w:p>
    <w:p w14:paraId="27D77852">
      <w:pPr>
        <w:adjustRightInd w:val="0"/>
        <w:snapToGrid w:val="0"/>
        <w:spacing w:line="360" w:lineRule="auto"/>
        <w:ind w:firstLine="480" w:firstLineChars="200"/>
        <w:rPr>
          <w:rFonts w:hint="eastAsia" w:ascii="宋体" w:hAnsi="宋体" w:eastAsia="宋体" w:cs="宋体"/>
          <w:bCs/>
          <w:color w:val="auto"/>
          <w:sz w:val="24"/>
          <w:szCs w:val="22"/>
          <w:highlight w:val="none"/>
        </w:rPr>
      </w:pPr>
      <w:r>
        <w:rPr>
          <w:rFonts w:hint="eastAsia" w:ascii="宋体" w:hAnsi="宋体" w:eastAsia="宋体" w:cs="宋体"/>
          <w:bCs/>
          <w:color w:val="auto"/>
          <w:sz w:val="24"/>
          <w:highlight w:val="none"/>
        </w:rPr>
        <w:t>16.3 投标单位已在信用中国网站承诺并公示的</w:t>
      </w:r>
      <w:r>
        <w:rPr>
          <w:rFonts w:hint="eastAsia" w:ascii="宋体" w:hAnsi="宋体" w:eastAsia="宋体" w:cs="宋体"/>
          <w:bCs/>
          <w:color w:val="auto"/>
          <w:sz w:val="24"/>
          <w:szCs w:val="24"/>
          <w:highlight w:val="none"/>
        </w:rPr>
        <w:t>“投标信用承诺书”</w:t>
      </w:r>
      <w:r>
        <w:rPr>
          <w:rFonts w:hint="eastAsia" w:ascii="宋体" w:hAnsi="宋体" w:eastAsia="宋体" w:cs="宋体"/>
          <w:bCs/>
          <w:color w:val="auto"/>
          <w:sz w:val="24"/>
          <w:highlight w:val="none"/>
        </w:rPr>
        <w:t xml:space="preserve">而自动放弃投标权利的，需在开标之前提交《弃标函》。 </w:t>
      </w:r>
    </w:p>
    <w:p w14:paraId="358D2710">
      <w:pPr>
        <w:pStyle w:val="4"/>
        <w:spacing w:line="460" w:lineRule="exact"/>
        <w:rPr>
          <w:rFonts w:hint="eastAsia" w:ascii="宋体" w:hAnsi="宋体" w:eastAsia="宋体" w:cs="宋体"/>
          <w:b w:val="0"/>
          <w:bCs/>
          <w:color w:val="auto"/>
          <w:highlight w:val="none"/>
        </w:rPr>
      </w:pPr>
      <w:bookmarkStart w:id="239" w:name="_Toc13118"/>
      <w:r>
        <w:rPr>
          <w:rFonts w:hint="eastAsia" w:ascii="宋体" w:hAnsi="宋体" w:eastAsia="宋体" w:cs="宋体"/>
          <w:b w:val="0"/>
          <w:bCs/>
          <w:color w:val="auto"/>
          <w:highlight w:val="none"/>
        </w:rPr>
        <w:t>17 谈判有效期</w:t>
      </w:r>
      <w:bookmarkEnd w:id="230"/>
      <w:bookmarkEnd w:id="231"/>
      <w:bookmarkEnd w:id="232"/>
      <w:bookmarkEnd w:id="233"/>
      <w:bookmarkEnd w:id="234"/>
      <w:bookmarkEnd w:id="235"/>
      <w:bookmarkEnd w:id="236"/>
      <w:bookmarkEnd w:id="237"/>
      <w:bookmarkEnd w:id="238"/>
      <w:bookmarkEnd w:id="239"/>
    </w:p>
    <w:p w14:paraId="44102279">
      <w:pPr>
        <w:adjustRightInd w:val="0"/>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17.1竞争性谈判响应文件从开标之日起，谈判有效期为</w:t>
      </w:r>
      <w:r>
        <w:rPr>
          <w:rFonts w:hint="eastAsia" w:ascii="宋体" w:hAnsi="宋体" w:eastAsia="宋体" w:cs="宋体"/>
          <w:bCs/>
          <w:color w:val="auto"/>
          <w:sz w:val="24"/>
          <w:highlight w:val="none"/>
          <w:lang w:val="en-US" w:eastAsia="zh-CN"/>
        </w:rPr>
        <w:t>90</w:t>
      </w:r>
      <w:r>
        <w:rPr>
          <w:rFonts w:hint="eastAsia" w:ascii="宋体" w:hAnsi="宋体" w:eastAsia="宋体" w:cs="宋体"/>
          <w:bCs/>
          <w:color w:val="auto"/>
          <w:sz w:val="24"/>
          <w:highlight w:val="none"/>
        </w:rPr>
        <w:t>日历天。谈判有效期不满足要求的谈判属于无效谈判情形。</w:t>
      </w:r>
    </w:p>
    <w:p w14:paraId="20863D17">
      <w:pPr>
        <w:adjustRightInd w:val="0"/>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17.2成交供应商的竞争性谈判响应文件有效期延长至合同执行完毕。</w:t>
      </w:r>
    </w:p>
    <w:p w14:paraId="6DAD56FF">
      <w:pPr>
        <w:adjustRightInd w:val="0"/>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17.3特殊情况下，采购人可于谈判有效期满之前要求供应商同意延长有效期，要求与答复均应为书面形式。</w:t>
      </w:r>
    </w:p>
    <w:p w14:paraId="363C9C87">
      <w:pPr>
        <w:pStyle w:val="4"/>
        <w:spacing w:before="120" w:after="120" w:line="460" w:lineRule="exact"/>
        <w:rPr>
          <w:rFonts w:hint="eastAsia" w:ascii="宋体" w:hAnsi="宋体" w:eastAsia="宋体" w:cs="宋体"/>
          <w:b w:val="0"/>
          <w:bCs/>
          <w:color w:val="auto"/>
          <w:highlight w:val="none"/>
        </w:rPr>
      </w:pPr>
      <w:bookmarkStart w:id="240" w:name="_Toc246928915"/>
      <w:bookmarkStart w:id="241" w:name="_Toc15795"/>
      <w:bookmarkStart w:id="242" w:name="_Toc465958106"/>
      <w:bookmarkStart w:id="243" w:name="_Toc17754"/>
      <w:bookmarkStart w:id="244" w:name="_Toc18885"/>
      <w:bookmarkStart w:id="245" w:name="_Toc27007"/>
      <w:bookmarkStart w:id="246" w:name="_Toc282"/>
      <w:bookmarkStart w:id="247" w:name="_Toc22552"/>
      <w:bookmarkStart w:id="248" w:name="_Toc3576"/>
      <w:bookmarkStart w:id="249" w:name="_Toc14012"/>
      <w:r>
        <w:rPr>
          <w:rFonts w:hint="eastAsia" w:ascii="宋体" w:hAnsi="宋体" w:eastAsia="宋体" w:cs="宋体"/>
          <w:b w:val="0"/>
          <w:bCs/>
          <w:color w:val="auto"/>
          <w:highlight w:val="none"/>
        </w:rPr>
        <w:t>18 竞争性谈判响应文件的签署及</w:t>
      </w:r>
      <w:bookmarkEnd w:id="240"/>
      <w:r>
        <w:rPr>
          <w:rFonts w:hint="eastAsia" w:ascii="宋体" w:hAnsi="宋体" w:eastAsia="宋体" w:cs="宋体"/>
          <w:b w:val="0"/>
          <w:bCs/>
          <w:color w:val="auto"/>
          <w:highlight w:val="none"/>
        </w:rPr>
        <w:t>规定</w:t>
      </w:r>
      <w:bookmarkEnd w:id="241"/>
      <w:bookmarkEnd w:id="242"/>
      <w:bookmarkEnd w:id="243"/>
      <w:bookmarkEnd w:id="244"/>
      <w:bookmarkEnd w:id="245"/>
      <w:bookmarkEnd w:id="246"/>
      <w:bookmarkEnd w:id="247"/>
      <w:bookmarkEnd w:id="248"/>
      <w:bookmarkEnd w:id="249"/>
    </w:p>
    <w:p w14:paraId="293BD9F5">
      <w:pPr>
        <w:adjustRightInd w:val="0"/>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18.1 谈判响应文件正本和所有副本均需用A4幅面纸张打印或用不褪色的蓝(黑)色墨水(汁)书写,并由</w:t>
      </w:r>
      <w:r>
        <w:rPr>
          <w:rFonts w:hint="eastAsia" w:ascii="宋体" w:hAnsi="宋体" w:eastAsia="宋体" w:cs="宋体"/>
          <w:bCs/>
          <w:color w:val="auto"/>
          <w:sz w:val="24"/>
          <w:highlight w:val="none"/>
          <w:lang w:eastAsia="zh-CN"/>
        </w:rPr>
        <w:t>供应商</w:t>
      </w:r>
      <w:r>
        <w:rPr>
          <w:rFonts w:hint="eastAsia" w:ascii="宋体" w:hAnsi="宋体" w:eastAsia="宋体" w:cs="宋体"/>
          <w:bCs/>
          <w:color w:val="auto"/>
          <w:sz w:val="24"/>
          <w:highlight w:val="none"/>
        </w:rPr>
        <w:t>法定代表人或经法定代表人正式授权的代表签字。谈判响应文件若由授权代表签署，须按招标文件规定的格式提供的“法定代表人授权委托书”原件附在谈判响应文件中。所有要求签字（名）处，均须由签字（名）者本人用不褪色的蓝(黑)色墨水(汁)书写，不得用任何形式的图章代替。所有谈判响应文件正本和副本须按规定的顺序编排、并应编制三级及以上目录、逐页标注连续页码，每一页的正下方清楚标明页码，并统一装订（胶装）成册。</w:t>
      </w:r>
    </w:p>
    <w:p w14:paraId="67AA276B">
      <w:pPr>
        <w:adjustRightInd w:val="0"/>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18.2  除</w:t>
      </w:r>
      <w:r>
        <w:rPr>
          <w:rFonts w:hint="eastAsia" w:ascii="宋体" w:hAnsi="宋体" w:eastAsia="宋体" w:cs="宋体"/>
          <w:bCs/>
          <w:color w:val="auto"/>
          <w:sz w:val="24"/>
          <w:highlight w:val="none"/>
          <w:lang w:eastAsia="zh-CN"/>
        </w:rPr>
        <w:t>供应商</w:t>
      </w:r>
      <w:r>
        <w:rPr>
          <w:rFonts w:hint="eastAsia" w:ascii="宋体" w:hAnsi="宋体" w:eastAsia="宋体" w:cs="宋体"/>
          <w:bCs/>
          <w:color w:val="auto"/>
          <w:sz w:val="24"/>
          <w:highlight w:val="none"/>
        </w:rPr>
        <w:t xml:space="preserve">对错处作必要修改外，谈判响应文件中不许有加行、涂抹或改写。若有修改须由授权代表或法定代表人在修改处签字。 </w:t>
      </w:r>
    </w:p>
    <w:p w14:paraId="32CAA15A">
      <w:pPr>
        <w:adjustRightInd w:val="0"/>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18.3  </w:t>
      </w:r>
      <w:r>
        <w:rPr>
          <w:rFonts w:hint="eastAsia" w:ascii="宋体" w:hAnsi="宋体" w:eastAsia="宋体" w:cs="宋体"/>
          <w:bCs/>
          <w:color w:val="auto"/>
          <w:sz w:val="24"/>
          <w:highlight w:val="none"/>
          <w:lang w:eastAsia="zh-CN"/>
        </w:rPr>
        <w:t>供应商</w:t>
      </w:r>
      <w:r>
        <w:rPr>
          <w:rFonts w:hint="eastAsia" w:ascii="宋体" w:hAnsi="宋体" w:eastAsia="宋体" w:cs="宋体"/>
          <w:bCs/>
          <w:color w:val="auto"/>
          <w:sz w:val="24"/>
          <w:highlight w:val="none"/>
        </w:rPr>
        <w:t>名称应填写全称，谈判响应文件正本必须逐页加盖</w:t>
      </w:r>
      <w:r>
        <w:rPr>
          <w:rFonts w:hint="eastAsia" w:ascii="宋体" w:hAnsi="宋体" w:eastAsia="宋体" w:cs="宋体"/>
          <w:bCs/>
          <w:color w:val="auto"/>
          <w:sz w:val="24"/>
          <w:highlight w:val="none"/>
          <w:lang w:eastAsia="zh-CN"/>
        </w:rPr>
        <w:t>供应商</w:t>
      </w:r>
      <w:r>
        <w:rPr>
          <w:rFonts w:hint="eastAsia" w:ascii="宋体" w:hAnsi="宋体" w:eastAsia="宋体" w:cs="宋体"/>
          <w:bCs/>
          <w:color w:val="auto"/>
          <w:sz w:val="24"/>
          <w:highlight w:val="none"/>
        </w:rPr>
        <w:t>公章。</w:t>
      </w:r>
    </w:p>
    <w:p w14:paraId="7BC47BC8">
      <w:pPr>
        <w:adjustRightInd w:val="0"/>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18.4本项目采用电子化谈判响应文件与纸质谈判响应文件并行的方式。</w:t>
      </w:r>
      <w:r>
        <w:rPr>
          <w:rFonts w:hint="eastAsia" w:ascii="宋体" w:hAnsi="宋体" w:eastAsia="宋体" w:cs="宋体"/>
          <w:bCs/>
          <w:color w:val="auto"/>
          <w:sz w:val="24"/>
          <w:highlight w:val="none"/>
          <w:lang w:eastAsia="zh-CN"/>
        </w:rPr>
        <w:t>供应商</w:t>
      </w:r>
      <w:r>
        <w:rPr>
          <w:rFonts w:hint="eastAsia" w:ascii="宋体" w:hAnsi="宋体" w:eastAsia="宋体" w:cs="宋体"/>
          <w:bCs/>
          <w:color w:val="auto"/>
          <w:sz w:val="24"/>
          <w:highlight w:val="none"/>
        </w:rPr>
        <w:t>须使用数字认证证书对电子化谈判响应文件进行签章、加密、递交及开标时解密等相关招投标事宜。</w:t>
      </w:r>
    </w:p>
    <w:p w14:paraId="26447C95">
      <w:pPr>
        <w:adjustRightInd w:val="0"/>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18.5采购人拒绝接受以电报、电话、传真、电子邮件形式的投标。</w:t>
      </w:r>
    </w:p>
    <w:p w14:paraId="607ACD23">
      <w:pPr>
        <w:adjustRightInd w:val="0"/>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18.6未按上述要求编制及签署的谈判响应文件视为无效谈判响应文件。</w:t>
      </w:r>
    </w:p>
    <w:p w14:paraId="17ADFCDF">
      <w:pPr>
        <w:adjustRightInd w:val="0"/>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18.7电子谈判文件下载。供应商登录全国公共资源交易平台（陕西省） 网站〖首页·〉电子交易平台·〉企业端〗后，选择项目点击“我要投标”，参与投标活动。然后即可在〖我的项目〗中点击“项目流程&gt;交易文件下载”下载电子谈判文件。 </w:t>
      </w:r>
    </w:p>
    <w:p w14:paraId="23E5506B">
      <w:pPr>
        <w:adjustRightInd w:val="0"/>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18.8 电子谈判文件需要使用专用软件打开、浏览。供应商可在全国公共资源交易平台（陕西省）网站〖首页·〉服务指南·〉下载专区〗免费下载“陕西省公共资源交易平台政府采购电子标书制作工具(V8.0.0.2)”，并升级至最新版本，使用该客户端可以打开电子谈判响应文件。软件操作手册详见全国公共资源交易平台（陕西省）网站〖首页·〉服务指南·〉下载专区〗中的《陕西省公共资源交易（政府采购类）响应文件制作软件操作手册》。 </w:t>
      </w:r>
    </w:p>
    <w:p w14:paraId="039CC270">
      <w:pPr>
        <w:adjustRightInd w:val="0"/>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18.9 制作电子谈判响应文件。电子谈判响应文件同样需要使用上述软件进行编制。在编制过程中，如有技术性问题，请先翻阅操作手册，或致电软件开发商。 </w:t>
      </w:r>
    </w:p>
    <w:p w14:paraId="08B8B2D1">
      <w:pPr>
        <w:adjustRightInd w:val="0"/>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技术支持热线：4009280095、4009980000 </w:t>
      </w:r>
    </w:p>
    <w:p w14:paraId="4966C793">
      <w:pPr>
        <w:adjustRightInd w:val="0"/>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CA 锁购买：</w:t>
      </w:r>
      <w:r>
        <w:rPr>
          <w:rFonts w:hint="eastAsia" w:ascii="宋体" w:hAnsi="宋体" w:eastAsia="宋体" w:cs="宋体"/>
          <w:bCs/>
          <w:color w:val="auto"/>
          <w:sz w:val="24"/>
          <w:szCs w:val="24"/>
          <w:highlight w:val="none"/>
        </w:rPr>
        <w:t>榆林市市民大厦三楼窗口,电话：0912-3515031</w:t>
      </w:r>
    </w:p>
    <w:p w14:paraId="5BB0F155">
      <w:pPr>
        <w:pStyle w:val="3"/>
        <w:spacing w:before="120" w:after="120" w:line="460" w:lineRule="exact"/>
        <w:jc w:val="center"/>
        <w:rPr>
          <w:rFonts w:hint="eastAsia" w:ascii="宋体" w:hAnsi="宋体" w:eastAsia="宋体" w:cs="宋体"/>
          <w:b w:val="0"/>
          <w:bCs/>
          <w:color w:val="auto"/>
          <w:sz w:val="36"/>
          <w:highlight w:val="none"/>
        </w:rPr>
      </w:pPr>
      <w:bookmarkStart w:id="250" w:name="_Toc31588"/>
      <w:bookmarkStart w:id="251" w:name="_Toc30045"/>
      <w:bookmarkStart w:id="252" w:name="_Toc17673"/>
      <w:bookmarkStart w:id="253" w:name="_Toc28385"/>
      <w:bookmarkStart w:id="254" w:name="_Toc465958107"/>
      <w:bookmarkStart w:id="255" w:name="_Toc29881"/>
      <w:bookmarkStart w:id="256" w:name="_Toc28593"/>
      <w:bookmarkStart w:id="257" w:name="_Toc26918"/>
      <w:bookmarkStart w:id="258" w:name="_Toc12671"/>
      <w:bookmarkStart w:id="259" w:name="_Toc246928916"/>
      <w:bookmarkStart w:id="260" w:name="_Toc12354"/>
      <w:r>
        <w:rPr>
          <w:rFonts w:hint="eastAsia" w:ascii="宋体" w:hAnsi="宋体" w:eastAsia="宋体" w:cs="宋体"/>
          <w:b w:val="0"/>
          <w:bCs/>
          <w:color w:val="auto"/>
          <w:sz w:val="36"/>
          <w:highlight w:val="none"/>
        </w:rPr>
        <w:t>D 竞争性谈判响应文件的递交</w:t>
      </w:r>
      <w:bookmarkEnd w:id="250"/>
      <w:bookmarkEnd w:id="251"/>
      <w:bookmarkEnd w:id="252"/>
      <w:bookmarkEnd w:id="253"/>
      <w:bookmarkEnd w:id="254"/>
      <w:bookmarkEnd w:id="255"/>
      <w:bookmarkEnd w:id="256"/>
      <w:bookmarkEnd w:id="257"/>
      <w:bookmarkEnd w:id="258"/>
      <w:bookmarkEnd w:id="259"/>
      <w:bookmarkEnd w:id="260"/>
    </w:p>
    <w:p w14:paraId="65DC1B9E">
      <w:pPr>
        <w:pStyle w:val="4"/>
        <w:spacing w:before="120" w:after="120" w:line="460" w:lineRule="exact"/>
        <w:rPr>
          <w:rFonts w:hint="eastAsia" w:ascii="宋体" w:hAnsi="宋体" w:eastAsia="宋体" w:cs="宋体"/>
          <w:b w:val="0"/>
          <w:bCs/>
          <w:color w:val="auto"/>
          <w:highlight w:val="none"/>
        </w:rPr>
      </w:pPr>
      <w:bookmarkStart w:id="261" w:name="_Toc17004"/>
      <w:bookmarkStart w:id="262" w:name="_Toc14296"/>
      <w:bookmarkStart w:id="263" w:name="_Toc20693"/>
      <w:bookmarkStart w:id="264" w:name="_Toc5378"/>
      <w:bookmarkStart w:id="265" w:name="_Toc22531"/>
      <w:bookmarkStart w:id="266" w:name="_Toc246928917"/>
      <w:bookmarkStart w:id="267" w:name="_Toc465958108"/>
      <w:bookmarkStart w:id="268" w:name="_Toc11038"/>
      <w:bookmarkStart w:id="269" w:name="_Toc14360"/>
      <w:bookmarkStart w:id="270" w:name="_Toc15221"/>
      <w:r>
        <w:rPr>
          <w:rFonts w:hint="eastAsia" w:ascii="宋体" w:hAnsi="宋体" w:eastAsia="宋体" w:cs="宋体"/>
          <w:b w:val="0"/>
          <w:bCs/>
          <w:color w:val="auto"/>
          <w:highlight w:val="none"/>
        </w:rPr>
        <w:t>19 竞争性谈判响应文件的</w:t>
      </w:r>
      <w:bookmarkEnd w:id="261"/>
      <w:bookmarkEnd w:id="262"/>
      <w:bookmarkEnd w:id="263"/>
      <w:bookmarkEnd w:id="264"/>
      <w:bookmarkEnd w:id="265"/>
      <w:bookmarkEnd w:id="266"/>
      <w:bookmarkEnd w:id="267"/>
      <w:r>
        <w:rPr>
          <w:rFonts w:hint="eastAsia" w:ascii="宋体" w:hAnsi="宋体" w:eastAsia="宋体" w:cs="宋体"/>
          <w:b w:val="0"/>
          <w:bCs/>
          <w:color w:val="auto"/>
          <w:highlight w:val="none"/>
        </w:rPr>
        <w:t>邮寄</w:t>
      </w:r>
      <w:bookmarkEnd w:id="268"/>
      <w:bookmarkEnd w:id="269"/>
      <w:bookmarkEnd w:id="270"/>
    </w:p>
    <w:p w14:paraId="201856C6">
      <w:pPr>
        <w:adjustRightInd w:val="0"/>
        <w:snapToGrid w:val="0"/>
        <w:spacing w:line="360" w:lineRule="auto"/>
        <w:ind w:firstLine="480" w:firstLineChars="200"/>
        <w:rPr>
          <w:rFonts w:hint="eastAsia" w:ascii="宋体" w:hAnsi="宋体" w:eastAsia="宋体" w:cs="宋体"/>
          <w:bCs/>
          <w:color w:val="auto"/>
          <w:sz w:val="24"/>
          <w:highlight w:val="none"/>
        </w:rPr>
      </w:pPr>
      <w:bookmarkStart w:id="271" w:name="_Toc32635"/>
      <w:bookmarkStart w:id="272" w:name="_Toc10052"/>
      <w:bookmarkStart w:id="273" w:name="_Toc465958109"/>
      <w:bookmarkStart w:id="274" w:name="_Toc2644"/>
      <w:bookmarkStart w:id="275" w:name="_Toc27391"/>
      <w:bookmarkStart w:id="276" w:name="_Toc8940"/>
      <w:bookmarkStart w:id="277" w:name="_Toc4222"/>
      <w:bookmarkStart w:id="278" w:name="_Toc27827"/>
      <w:bookmarkStart w:id="279" w:name="_Toc246928918"/>
      <w:r>
        <w:rPr>
          <w:rFonts w:hint="eastAsia" w:ascii="宋体" w:hAnsi="宋体" w:eastAsia="宋体" w:cs="宋体"/>
          <w:bCs/>
          <w:color w:val="auto"/>
          <w:sz w:val="24"/>
          <w:highlight w:val="none"/>
        </w:rPr>
        <w:t>19.1为便于采购人归档和向监管部门备案，中标（成交）供应商人需按以下要求递交纸质版谈判响应文件，谈判响应文件可采用系统上传的电子谈判响应文件的打印件，正本、副本分别装订成册，每份谈判响应文件封皮须清楚地标明“正本”或“副本”：</w:t>
      </w:r>
    </w:p>
    <w:p w14:paraId="3C57CD9B">
      <w:pPr>
        <w:adjustRightInd w:val="0"/>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谈判响应文件：正本：1 份、副本：2 份； </w:t>
      </w:r>
    </w:p>
    <w:p w14:paraId="0B724180">
      <w:pPr>
        <w:adjustRightInd w:val="0"/>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谈判响应文件电子版U盘1份（谈判响应文件word版及上传电子谈判响应文件签字盖章的PDF版本的U盘）。</w:t>
      </w:r>
    </w:p>
    <w:p w14:paraId="133D195B">
      <w:pPr>
        <w:adjustRightInd w:val="0"/>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19.2递交方式：纸质版谈判响应文件在开标时无需提交，待开标结束后，需邮寄补交一正两幅纸质谈判响应文件及电子版U盘1份（谈判响应文件word版及上传电子谈判响应文件签字盖章的PDF版本的U盘），以电报、传真、电子邮件形式递交的谈判响应文件将不予接受。</w:t>
      </w:r>
    </w:p>
    <w:p w14:paraId="4A42210D">
      <w:pPr>
        <w:spacing w:line="360" w:lineRule="auto"/>
        <w:ind w:firstLine="480" w:firstLineChars="200"/>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收件人：</w:t>
      </w:r>
      <w:r>
        <w:rPr>
          <w:rFonts w:hint="eastAsia" w:ascii="宋体" w:hAnsi="宋体" w:cs="宋体"/>
          <w:bCs/>
          <w:color w:val="auto"/>
          <w:sz w:val="24"/>
          <w:szCs w:val="22"/>
          <w:highlight w:val="none"/>
          <w:lang w:eastAsia="zh-CN"/>
        </w:rPr>
        <w:t>鹏泽项目管理有限公司</w:t>
      </w:r>
      <w:r>
        <w:rPr>
          <w:rFonts w:hint="eastAsia" w:ascii="宋体" w:hAnsi="宋体" w:eastAsia="宋体" w:cs="宋体"/>
          <w:bCs/>
          <w:color w:val="auto"/>
          <w:sz w:val="24"/>
          <w:szCs w:val="22"/>
          <w:highlight w:val="none"/>
        </w:rPr>
        <w:t xml:space="preserve">                       </w:t>
      </w:r>
    </w:p>
    <w:p w14:paraId="4E3AB700">
      <w:pPr>
        <w:spacing w:line="360" w:lineRule="auto"/>
        <w:ind w:firstLine="480" w:firstLineChars="200"/>
        <w:rPr>
          <w:rFonts w:hint="eastAsia" w:ascii="宋体" w:hAnsi="宋体" w:eastAsia="宋体" w:cs="宋体"/>
          <w:bCs/>
          <w:color w:val="auto"/>
          <w:sz w:val="24"/>
          <w:szCs w:val="22"/>
          <w:highlight w:val="none"/>
          <w:lang w:eastAsia="zh-CN"/>
        </w:rPr>
      </w:pPr>
      <w:r>
        <w:rPr>
          <w:rFonts w:hint="eastAsia" w:ascii="宋体" w:hAnsi="宋体" w:eastAsia="宋体" w:cs="宋体"/>
          <w:bCs/>
          <w:color w:val="auto"/>
          <w:sz w:val="24"/>
          <w:szCs w:val="22"/>
          <w:highlight w:val="none"/>
        </w:rPr>
        <w:t>收件电话：</w:t>
      </w:r>
      <w:r>
        <w:rPr>
          <w:rFonts w:hint="eastAsia" w:ascii="宋体" w:hAnsi="宋体" w:cs="宋体"/>
          <w:bCs/>
          <w:color w:val="auto"/>
          <w:sz w:val="24"/>
          <w:szCs w:val="22"/>
          <w:highlight w:val="none"/>
          <w:lang w:eastAsia="zh-CN"/>
        </w:rPr>
        <w:t>18392098590</w:t>
      </w:r>
    </w:p>
    <w:p w14:paraId="0121EC3C">
      <w:pPr>
        <w:pStyle w:val="20"/>
        <w:spacing w:line="360" w:lineRule="auto"/>
        <w:ind w:firstLine="480" w:firstLineChars="200"/>
        <w:rPr>
          <w:rFonts w:hint="eastAsia" w:ascii="宋体" w:hAnsi="宋体" w:eastAsia="宋体" w:cs="宋体"/>
          <w:bCs/>
          <w:color w:val="auto"/>
          <w:sz w:val="24"/>
          <w:szCs w:val="24"/>
          <w:highlight w:val="none"/>
          <w:lang w:eastAsia="zh-CN"/>
        </w:rPr>
      </w:pPr>
      <w:r>
        <w:rPr>
          <w:rFonts w:hint="eastAsia" w:ascii="宋体" w:hAnsi="宋体" w:eastAsia="宋体" w:cs="宋体"/>
          <w:bCs/>
          <w:color w:val="auto"/>
          <w:kern w:val="2"/>
          <w:sz w:val="24"/>
          <w:szCs w:val="22"/>
          <w:highlight w:val="none"/>
        </w:rPr>
        <w:t>收件地址：</w:t>
      </w:r>
      <w:r>
        <w:rPr>
          <w:rFonts w:hint="eastAsia" w:ascii="宋体" w:hAnsi="宋体" w:eastAsia="宋体" w:cs="宋体"/>
          <w:bCs/>
          <w:color w:val="auto"/>
          <w:kern w:val="2"/>
          <w:sz w:val="24"/>
          <w:szCs w:val="22"/>
          <w:highlight w:val="none"/>
          <w:lang w:eastAsia="zh-CN"/>
        </w:rPr>
        <w:t>陕西省汉中市南郑区陕西省汉中市南郑区中所营街道办董家营村一组（董家营十字）</w:t>
      </w:r>
    </w:p>
    <w:p w14:paraId="18A82D71">
      <w:pPr>
        <w:adjustRightInd w:val="0"/>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19.3投标单位未按要求递交以上要求谈判响应文件的，由此产生的后果均由投标单位自行承担。</w:t>
      </w:r>
    </w:p>
    <w:p w14:paraId="5E639EF8">
      <w:pPr>
        <w:adjustRightInd w:val="0"/>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19.4代理机构项目接收人只负责竞争性谈判响应文件的接收、清点、递交文件登记工作，对其有效性不负任何责任；</w:t>
      </w:r>
    </w:p>
    <w:p w14:paraId="170B3B90">
      <w:pPr>
        <w:pStyle w:val="4"/>
        <w:spacing w:line="460" w:lineRule="exact"/>
        <w:rPr>
          <w:rFonts w:hint="eastAsia" w:ascii="宋体" w:hAnsi="宋体" w:eastAsia="宋体" w:cs="宋体"/>
          <w:b w:val="0"/>
          <w:bCs/>
          <w:color w:val="auto"/>
          <w:highlight w:val="none"/>
        </w:rPr>
      </w:pPr>
      <w:bookmarkStart w:id="280" w:name="_Toc6566"/>
      <w:r>
        <w:rPr>
          <w:rFonts w:hint="eastAsia" w:ascii="宋体" w:hAnsi="宋体" w:eastAsia="宋体" w:cs="宋体"/>
          <w:b w:val="0"/>
          <w:bCs/>
          <w:color w:val="auto"/>
          <w:highlight w:val="none"/>
        </w:rPr>
        <w:t>20 竞争性谈判响应文件的递交</w:t>
      </w:r>
      <w:bookmarkEnd w:id="271"/>
      <w:bookmarkEnd w:id="272"/>
      <w:bookmarkEnd w:id="273"/>
      <w:bookmarkEnd w:id="274"/>
      <w:bookmarkEnd w:id="275"/>
      <w:bookmarkEnd w:id="276"/>
      <w:bookmarkEnd w:id="277"/>
      <w:bookmarkEnd w:id="278"/>
      <w:bookmarkEnd w:id="279"/>
      <w:bookmarkEnd w:id="280"/>
    </w:p>
    <w:p w14:paraId="257ECBC4">
      <w:pPr>
        <w:pStyle w:val="15"/>
        <w:spacing w:line="4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highlight w:val="none"/>
        </w:rPr>
        <w:t>20.1 电子竞争性谈判响应文件递交方</w:t>
      </w:r>
      <w:r>
        <w:rPr>
          <w:rFonts w:hint="eastAsia" w:ascii="宋体" w:hAnsi="宋体" w:eastAsia="宋体" w:cs="宋体"/>
          <w:bCs/>
          <w:color w:val="auto"/>
          <w:sz w:val="24"/>
          <w:szCs w:val="24"/>
          <w:highlight w:val="none"/>
        </w:rPr>
        <w:t>式</w:t>
      </w:r>
    </w:p>
    <w:p w14:paraId="7862E917">
      <w:pPr>
        <w:adjustRightInd w:val="0"/>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20.1.1电子响应文件可于提交响应文件截止时间前任意时段登录全国公共资源交易平台（陕西省）网站“电子交易平台&gt;企业端”进行提交，逾期系统将拒绝接收。提交时，供应商应登录全国公共资源交易中心平台（陕西省），选择“首页&gt;电子交易平台&gt;企业端&gt;我的项目”，点击“项目流程”，在打开的“项目管理”对话框中选择“上传响应文件”，上传加密的电子响应文件。上传成功后，电子化平台将予以记录。</w:t>
      </w:r>
    </w:p>
    <w:p w14:paraId="6C131143">
      <w:pPr>
        <w:adjustRightInd w:val="0"/>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20.1.2本项目采用“不见面”开标形式，供应商可登录榆林交易平台〖首页〉不见面开标〗在线参与开评标过程，详见招标文件以及交易平台〖首页〉服务指南〉下载专区〗中的《榆林市不见面开标大厅操作手册（</w:t>
      </w:r>
      <w:r>
        <w:rPr>
          <w:rFonts w:hint="eastAsia" w:ascii="宋体" w:hAnsi="宋体" w:eastAsia="宋体" w:cs="宋体"/>
          <w:bCs/>
          <w:color w:val="auto"/>
          <w:sz w:val="24"/>
          <w:highlight w:val="none"/>
          <w:lang w:eastAsia="zh-CN"/>
        </w:rPr>
        <w:t>供应商</w:t>
      </w:r>
      <w:r>
        <w:rPr>
          <w:rFonts w:hint="eastAsia" w:ascii="宋体" w:hAnsi="宋体" w:eastAsia="宋体" w:cs="宋体"/>
          <w:bCs/>
          <w:color w:val="auto"/>
          <w:sz w:val="24"/>
          <w:highlight w:val="none"/>
        </w:rPr>
        <w:t>）》。</w:t>
      </w:r>
    </w:p>
    <w:p w14:paraId="112A95A5">
      <w:pPr>
        <w:pStyle w:val="15"/>
        <w:spacing w:line="4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20.2纸质竞争性谈判响应文件递交方式</w:t>
      </w:r>
    </w:p>
    <w:p w14:paraId="55DC560A">
      <w:pPr>
        <w:adjustRightInd w:val="0"/>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20.2.1供应商通过邮寄的方式递交将全部竞争性谈判响应文件和谈判资料，递交至代理机构接收人处，具体收件地址、接收人、电话详见19.2；</w:t>
      </w:r>
    </w:p>
    <w:p w14:paraId="05ED2247">
      <w:pPr>
        <w:adjustRightInd w:val="0"/>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20.2.2 代理机构项目接收人只负责竞争性谈判响应文件的接收、清点、递交文件登记工作，对其有效性不负任何责任；</w:t>
      </w:r>
    </w:p>
    <w:p w14:paraId="4A0CC98B">
      <w:pPr>
        <w:adjustRightInd w:val="0"/>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20.2.3 无论供应商成交与否，其竞争性谈判响应文件和谈判文件要求的资料都必须邮寄，邮寄资料收到后上结果公告，成交供应商邮寄的资料收到的时间直接影响结果公告时间。</w:t>
      </w:r>
    </w:p>
    <w:p w14:paraId="145950F7">
      <w:pPr>
        <w:adjustRightInd w:val="0"/>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20.3 采购人或代理机构有权按本须知的规定，通过修改竞争性谈判文件延长谈判截止时间。在此情况下，采购人和供应商受谈判截止时间制约的所有权利和义务均应当延长至新的截止日期。</w:t>
      </w:r>
    </w:p>
    <w:p w14:paraId="163CD855">
      <w:pPr>
        <w:pStyle w:val="4"/>
        <w:spacing w:line="460" w:lineRule="exact"/>
        <w:rPr>
          <w:rFonts w:hint="eastAsia" w:ascii="宋体" w:hAnsi="宋体" w:eastAsia="宋体" w:cs="宋体"/>
          <w:b w:val="0"/>
          <w:bCs/>
          <w:color w:val="auto"/>
          <w:highlight w:val="none"/>
        </w:rPr>
      </w:pPr>
      <w:bookmarkStart w:id="281" w:name="_Toc25563"/>
      <w:bookmarkStart w:id="282" w:name="_Toc29885"/>
      <w:bookmarkStart w:id="283" w:name="_Toc7672"/>
      <w:bookmarkStart w:id="284" w:name="_Toc465958110"/>
      <w:bookmarkStart w:id="285" w:name="_Toc4701"/>
      <w:bookmarkStart w:id="286" w:name="_Toc10103"/>
      <w:bookmarkStart w:id="287" w:name="_Toc6834"/>
      <w:bookmarkStart w:id="288" w:name="_Toc13225"/>
      <w:bookmarkStart w:id="289" w:name="_Toc23992"/>
      <w:r>
        <w:rPr>
          <w:rFonts w:hint="eastAsia" w:ascii="宋体" w:hAnsi="宋体" w:eastAsia="宋体" w:cs="宋体"/>
          <w:b w:val="0"/>
          <w:bCs/>
          <w:color w:val="auto"/>
          <w:highlight w:val="none"/>
        </w:rPr>
        <w:t>21 竞争性谈判响应文件的修改与撤回</w:t>
      </w:r>
      <w:bookmarkEnd w:id="281"/>
      <w:bookmarkEnd w:id="282"/>
      <w:bookmarkEnd w:id="283"/>
      <w:bookmarkEnd w:id="284"/>
      <w:bookmarkEnd w:id="285"/>
      <w:bookmarkEnd w:id="286"/>
      <w:bookmarkEnd w:id="287"/>
      <w:bookmarkEnd w:id="288"/>
      <w:bookmarkEnd w:id="289"/>
    </w:p>
    <w:p w14:paraId="34B5971A">
      <w:pPr>
        <w:spacing w:line="460" w:lineRule="exact"/>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21.1 供应商在谈判截止时间前，可以对所递交的竞争性谈判响应文件进行补充、修改或者撤回，并书面通知代理机构。补充、修改的内容应当按竞争性谈判文件要求签署、盖章，并作为竞争性谈判响应文件的组成部分。</w:t>
      </w:r>
    </w:p>
    <w:p w14:paraId="453560E8">
      <w:pPr>
        <w:pStyle w:val="20"/>
        <w:spacing w:line="460" w:lineRule="exact"/>
        <w:ind w:firstLine="480" w:firstLineChars="200"/>
        <w:rPr>
          <w:rFonts w:hint="eastAsia" w:ascii="宋体" w:hAnsi="宋体" w:eastAsia="宋体" w:cs="宋体"/>
          <w:bCs/>
          <w:color w:val="auto"/>
          <w:highlight w:val="none"/>
        </w:rPr>
      </w:pPr>
      <w:r>
        <w:rPr>
          <w:rFonts w:hint="eastAsia" w:ascii="宋体" w:hAnsi="宋体" w:eastAsia="宋体" w:cs="宋体"/>
          <w:bCs/>
          <w:color w:val="auto"/>
          <w:sz w:val="24"/>
          <w:highlight w:val="none"/>
        </w:rPr>
        <w:t>21.2</w:t>
      </w:r>
      <w:r>
        <w:rPr>
          <w:rFonts w:hint="eastAsia" w:ascii="宋体" w:hAnsi="宋体" w:eastAsia="宋体" w:cs="宋体"/>
          <w:bCs/>
          <w:color w:val="auto"/>
          <w:kern w:val="2"/>
          <w:sz w:val="24"/>
          <w:highlight w:val="none"/>
        </w:rPr>
        <w:t>当修改的内容影响谈判响应文件编制时，将在交易平台上同步发布答疑文件，此时供应商应从“项目流程·〉答疑文件下载”下载最新发布的答疑文件（*.SXSCF格式），并使用该文件重新编制电子谈判响应文件（*</w:t>
      </w:r>
      <w:r>
        <w:rPr>
          <w:rFonts w:hint="eastAsia" w:ascii="宋体" w:hAnsi="宋体" w:eastAsia="宋体" w:cs="宋体"/>
          <w:bCs/>
          <w:color w:val="auto"/>
          <w:kern w:val="2"/>
          <w:sz w:val="24"/>
          <w:highlight w:val="none"/>
          <w:lang w:eastAsia="zh-CN"/>
        </w:rPr>
        <w:t>.SXSCF</w:t>
      </w:r>
      <w:r>
        <w:rPr>
          <w:rFonts w:hint="eastAsia" w:ascii="宋体" w:hAnsi="宋体" w:eastAsia="宋体" w:cs="宋体"/>
          <w:bCs/>
          <w:color w:val="auto"/>
          <w:kern w:val="2"/>
          <w:sz w:val="24"/>
          <w:highlight w:val="none"/>
        </w:rPr>
        <w:t>格式），使用旧版电子招标文件或旧版答疑文件制作的电子谈判响应文件，系统将拒绝接收。</w:t>
      </w:r>
    </w:p>
    <w:p w14:paraId="73F0F271">
      <w:pPr>
        <w:spacing w:line="460" w:lineRule="exact"/>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21.3 谈判截止时间后，供应商不得对其竞争性谈判响应文件做任何修改。</w:t>
      </w:r>
    </w:p>
    <w:p w14:paraId="7299D8B5">
      <w:pPr>
        <w:spacing w:line="460" w:lineRule="exact"/>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21.4 从谈判截止期至供应商在响应函格式中确定的谈判有效期之间，供应商不得撤销其谈判。</w:t>
      </w:r>
    </w:p>
    <w:p w14:paraId="43354C11">
      <w:pPr>
        <w:pStyle w:val="3"/>
        <w:spacing w:line="460" w:lineRule="exact"/>
        <w:jc w:val="center"/>
        <w:rPr>
          <w:rFonts w:hint="eastAsia" w:ascii="宋体" w:hAnsi="宋体" w:eastAsia="宋体" w:cs="宋体"/>
          <w:b w:val="0"/>
          <w:bCs/>
          <w:color w:val="auto"/>
          <w:sz w:val="36"/>
          <w:highlight w:val="none"/>
        </w:rPr>
      </w:pPr>
      <w:bookmarkStart w:id="290" w:name="_Toc246928919"/>
      <w:bookmarkStart w:id="291" w:name="_Toc21818"/>
      <w:bookmarkStart w:id="292" w:name="_Toc3199"/>
      <w:bookmarkStart w:id="293" w:name="_Toc14112"/>
      <w:bookmarkStart w:id="294" w:name="_Toc11152"/>
      <w:bookmarkStart w:id="295" w:name="_Toc31311"/>
      <w:bookmarkStart w:id="296" w:name="_Toc465958111"/>
      <w:bookmarkStart w:id="297" w:name="_Toc8960"/>
      <w:bookmarkStart w:id="298" w:name="_Toc22666"/>
      <w:bookmarkStart w:id="299" w:name="_Toc9087"/>
      <w:bookmarkStart w:id="300" w:name="_Toc24049"/>
      <w:r>
        <w:rPr>
          <w:rFonts w:hint="eastAsia" w:ascii="宋体" w:hAnsi="宋体" w:eastAsia="宋体" w:cs="宋体"/>
          <w:b w:val="0"/>
          <w:bCs/>
          <w:color w:val="auto"/>
          <w:sz w:val="36"/>
          <w:highlight w:val="none"/>
        </w:rPr>
        <w:t>E 开标与评审</w:t>
      </w:r>
      <w:bookmarkEnd w:id="290"/>
      <w:bookmarkEnd w:id="291"/>
      <w:bookmarkEnd w:id="292"/>
      <w:bookmarkEnd w:id="293"/>
      <w:bookmarkEnd w:id="294"/>
      <w:bookmarkEnd w:id="295"/>
      <w:bookmarkEnd w:id="296"/>
      <w:bookmarkEnd w:id="297"/>
      <w:bookmarkEnd w:id="298"/>
      <w:bookmarkEnd w:id="299"/>
      <w:bookmarkEnd w:id="300"/>
    </w:p>
    <w:p w14:paraId="07667E5B">
      <w:pPr>
        <w:pStyle w:val="4"/>
        <w:spacing w:line="460" w:lineRule="exact"/>
        <w:rPr>
          <w:rFonts w:hint="eastAsia" w:ascii="宋体" w:hAnsi="宋体" w:eastAsia="宋体" w:cs="宋体"/>
          <w:b w:val="0"/>
          <w:bCs/>
          <w:color w:val="auto"/>
          <w:highlight w:val="none"/>
        </w:rPr>
      </w:pPr>
      <w:bookmarkStart w:id="301" w:name="_Toc465958112"/>
      <w:bookmarkStart w:id="302" w:name="_Toc15292"/>
      <w:bookmarkStart w:id="303" w:name="_Toc28426"/>
      <w:bookmarkStart w:id="304" w:name="_Toc246928920"/>
      <w:bookmarkStart w:id="305" w:name="_Toc25438"/>
      <w:bookmarkStart w:id="306" w:name="_Toc11145"/>
      <w:bookmarkStart w:id="307" w:name="_Toc6346"/>
      <w:bookmarkStart w:id="308" w:name="_Toc15345"/>
      <w:bookmarkStart w:id="309" w:name="_Toc21093"/>
      <w:bookmarkStart w:id="310" w:name="_Toc12911"/>
      <w:bookmarkStart w:id="311" w:name="_Toc25350"/>
      <w:bookmarkStart w:id="312" w:name="_Toc6609"/>
      <w:bookmarkStart w:id="313" w:name="_Toc465958116"/>
      <w:bookmarkStart w:id="314" w:name="_Toc246928924"/>
      <w:bookmarkStart w:id="315" w:name="_Toc2865"/>
      <w:bookmarkStart w:id="316" w:name="_Toc8037"/>
      <w:r>
        <w:rPr>
          <w:rFonts w:hint="eastAsia" w:ascii="宋体" w:hAnsi="宋体" w:eastAsia="宋体" w:cs="宋体"/>
          <w:b w:val="0"/>
          <w:bCs/>
          <w:color w:val="auto"/>
          <w:highlight w:val="none"/>
        </w:rPr>
        <w:t xml:space="preserve">22 </w:t>
      </w:r>
      <w:bookmarkEnd w:id="301"/>
      <w:bookmarkEnd w:id="302"/>
      <w:bookmarkEnd w:id="303"/>
      <w:bookmarkEnd w:id="304"/>
      <w:bookmarkEnd w:id="305"/>
      <w:bookmarkEnd w:id="306"/>
      <w:bookmarkEnd w:id="307"/>
      <w:r>
        <w:rPr>
          <w:rFonts w:hint="eastAsia" w:ascii="宋体" w:hAnsi="宋体" w:eastAsia="宋体" w:cs="宋体"/>
          <w:b w:val="0"/>
          <w:bCs/>
          <w:color w:val="auto"/>
          <w:highlight w:val="none"/>
        </w:rPr>
        <w:t>开标</w:t>
      </w:r>
      <w:bookmarkEnd w:id="308"/>
      <w:bookmarkEnd w:id="309"/>
    </w:p>
    <w:p w14:paraId="72C25385">
      <w:pPr>
        <w:spacing w:line="460" w:lineRule="exact"/>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szCs w:val="24"/>
          <w:highlight w:val="none"/>
        </w:rPr>
        <w:t>22.1 代理机构在规定的时间和地点组织谈判。各供应商在开标截止时间前至少提前半小时登录“不见面”开标系统登录，供应商应按要求及时签到（签到时间为投标截止时间前1小时内，如果未签到将视为放弃投标资格），评审过程中，谈判小组可能会就某些问题要求供应商进行在线澄清，请供应商保持在线直到评审结束；</w:t>
      </w:r>
    </w:p>
    <w:p w14:paraId="74F61850">
      <w:pPr>
        <w:spacing w:line="460" w:lineRule="exact"/>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22.2由主持人公布</w:t>
      </w:r>
      <w:r>
        <w:rPr>
          <w:rFonts w:hint="eastAsia" w:ascii="宋体" w:hAnsi="宋体" w:eastAsia="宋体" w:cs="宋体"/>
          <w:bCs/>
          <w:color w:val="auto"/>
          <w:sz w:val="24"/>
          <w:szCs w:val="24"/>
          <w:highlight w:val="none"/>
          <w:lang w:eastAsia="zh-CN"/>
        </w:rPr>
        <w:t>供应商</w:t>
      </w:r>
      <w:r>
        <w:rPr>
          <w:rFonts w:hint="eastAsia" w:ascii="宋体" w:hAnsi="宋体" w:eastAsia="宋体" w:cs="宋体"/>
          <w:bCs/>
          <w:color w:val="auto"/>
          <w:sz w:val="24"/>
          <w:szCs w:val="24"/>
          <w:highlight w:val="none"/>
        </w:rPr>
        <w:t>名单；</w:t>
      </w:r>
    </w:p>
    <w:p w14:paraId="73EDE8A4">
      <w:pPr>
        <w:spacing w:line="460" w:lineRule="exact"/>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22.3介绍参加谈判大会的采购人代表、监标人；</w:t>
      </w:r>
    </w:p>
    <w:p w14:paraId="36DEB757">
      <w:pPr>
        <w:spacing w:line="460" w:lineRule="exact"/>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highlight w:val="none"/>
        </w:rPr>
        <w:t>22.4</w:t>
      </w:r>
      <w:r>
        <w:rPr>
          <w:rFonts w:hint="eastAsia" w:ascii="宋体" w:hAnsi="宋体" w:eastAsia="宋体" w:cs="宋体"/>
          <w:bCs/>
          <w:color w:val="auto"/>
          <w:sz w:val="24"/>
          <w:szCs w:val="24"/>
          <w:highlight w:val="none"/>
        </w:rPr>
        <w:t>开标过程中，供应商在收到工作人员“开始解密”指令后，请及时使用CA对电子谈判响应文件进行解密。解密时所用CA应与加密谈判响应文件时所用CA相同，解密时间为30分钟，在解密时间内供应商全部解密完成后，可提前进入开标下一阶段；</w:t>
      </w:r>
    </w:p>
    <w:p w14:paraId="27FC8E63">
      <w:pPr>
        <w:spacing w:line="460" w:lineRule="exact"/>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22.5进行导入谈判响应文件；</w:t>
      </w:r>
    </w:p>
    <w:p w14:paraId="5D678CA3">
      <w:pPr>
        <w:spacing w:line="460" w:lineRule="exact"/>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22.6 谈判有效供应商不足三家的，按照国家相关法律、法规及有关规定执行；</w:t>
      </w:r>
    </w:p>
    <w:p w14:paraId="53FFBBC9">
      <w:pPr>
        <w:spacing w:line="460" w:lineRule="exact"/>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22.7 代理机构将做开标记录，存档备查。</w:t>
      </w:r>
    </w:p>
    <w:p w14:paraId="19764443">
      <w:pPr>
        <w:pStyle w:val="4"/>
        <w:spacing w:before="156" w:beforeLines="50" w:after="156" w:afterLines="50" w:line="460" w:lineRule="exact"/>
        <w:rPr>
          <w:rFonts w:hint="eastAsia" w:ascii="宋体" w:hAnsi="宋体" w:eastAsia="宋体" w:cs="宋体"/>
          <w:b w:val="0"/>
          <w:bCs/>
          <w:color w:val="auto"/>
          <w:sz w:val="30"/>
          <w:szCs w:val="30"/>
          <w:highlight w:val="none"/>
        </w:rPr>
      </w:pPr>
      <w:bookmarkStart w:id="317" w:name="_Toc15198"/>
      <w:bookmarkStart w:id="318" w:name="_Toc22451"/>
      <w:bookmarkStart w:id="319" w:name="_Toc246928923"/>
      <w:bookmarkStart w:id="320" w:name="_Toc465958115"/>
      <w:bookmarkStart w:id="321" w:name="_Toc30377"/>
      <w:bookmarkStart w:id="322" w:name="_Toc23381"/>
      <w:bookmarkStart w:id="323" w:name="_Toc9869"/>
      <w:bookmarkStart w:id="324" w:name="_Toc29724"/>
      <w:bookmarkStart w:id="325" w:name="_Toc32736"/>
      <w:r>
        <w:rPr>
          <w:rFonts w:hint="eastAsia" w:ascii="宋体" w:hAnsi="宋体" w:eastAsia="宋体" w:cs="宋体"/>
          <w:b w:val="0"/>
          <w:bCs/>
          <w:color w:val="auto"/>
          <w:sz w:val="30"/>
          <w:szCs w:val="30"/>
          <w:highlight w:val="none"/>
        </w:rPr>
        <w:t>23 谈判小组</w:t>
      </w:r>
      <w:bookmarkEnd w:id="317"/>
      <w:bookmarkEnd w:id="318"/>
    </w:p>
    <w:p w14:paraId="1D51DE72">
      <w:pPr>
        <w:spacing w:line="460" w:lineRule="exact"/>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23.1 代理机构根据《中华人民共和国政府采购法》、《中华人民共和国政府采购法实施条例》和《政府采购非招标采购方式管理办法》（财政部令第 74 号）的规定，依法组建谈判小组，谈判小组专家成员在陕西省政府采购网专家抽取管理系统中随机抽取。</w:t>
      </w:r>
    </w:p>
    <w:p w14:paraId="07CF88B6">
      <w:pPr>
        <w:spacing w:line="460" w:lineRule="exact"/>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23.2 谈判小组成员由采购人代表和评审专家3人以上单数组成，评审专家人数应占总人数的2/3以上。</w:t>
      </w:r>
    </w:p>
    <w:p w14:paraId="70757975">
      <w:pPr>
        <w:spacing w:line="460" w:lineRule="exact"/>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23.3 谈判小组成员对各供应商竞争性谈判响应文件进行审查、质疑、评估和比较，并推荐出成交候选供应商。</w:t>
      </w:r>
    </w:p>
    <w:p w14:paraId="244052F9">
      <w:pPr>
        <w:pStyle w:val="4"/>
        <w:spacing w:line="460" w:lineRule="exact"/>
        <w:rPr>
          <w:rFonts w:hint="eastAsia" w:ascii="宋体" w:hAnsi="宋体" w:eastAsia="宋体" w:cs="宋体"/>
          <w:b w:val="0"/>
          <w:bCs/>
          <w:color w:val="auto"/>
          <w:szCs w:val="22"/>
          <w:highlight w:val="none"/>
        </w:rPr>
      </w:pPr>
      <w:bookmarkStart w:id="326" w:name="_Toc8179"/>
      <w:bookmarkStart w:id="327" w:name="_Toc5070"/>
      <w:bookmarkStart w:id="328" w:name="_Toc246928922"/>
      <w:bookmarkStart w:id="329" w:name="_Toc465958114"/>
      <w:bookmarkStart w:id="330" w:name="_Toc32220"/>
      <w:bookmarkStart w:id="331" w:name="_Toc20915"/>
      <w:bookmarkStart w:id="332" w:name="_Toc32401"/>
      <w:bookmarkStart w:id="333" w:name="_Toc12022"/>
      <w:bookmarkStart w:id="334" w:name="_Toc21518"/>
      <w:r>
        <w:rPr>
          <w:rFonts w:hint="eastAsia" w:ascii="宋体" w:hAnsi="宋体" w:eastAsia="宋体" w:cs="宋体"/>
          <w:b w:val="0"/>
          <w:bCs/>
          <w:color w:val="auto"/>
          <w:szCs w:val="22"/>
          <w:highlight w:val="none"/>
        </w:rPr>
        <w:t xml:space="preserve">24 </w:t>
      </w:r>
      <w:r>
        <w:rPr>
          <w:rFonts w:hint="eastAsia" w:ascii="宋体" w:hAnsi="宋体" w:eastAsia="宋体" w:cs="宋体"/>
          <w:b w:val="0"/>
          <w:bCs/>
          <w:color w:val="auto"/>
          <w:highlight w:val="none"/>
        </w:rPr>
        <w:t>对供应商资格的审查</w:t>
      </w:r>
      <w:bookmarkEnd w:id="326"/>
      <w:bookmarkEnd w:id="327"/>
    </w:p>
    <w:p w14:paraId="420AFDCF">
      <w:pPr>
        <w:spacing w:line="460" w:lineRule="exact"/>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24.1谈判小组依法对供应商的资格证明文件进行审查，不符合竞争性谈判文件要求的按无效谈判响应处理，不得进入后续评审，签字确认检查结果。</w:t>
      </w:r>
    </w:p>
    <w:p w14:paraId="535EB367">
      <w:pPr>
        <w:spacing w:line="460" w:lineRule="exact"/>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24.2不符合竞争性谈判文件要求的按无效文件处理，不得进入后续评审工作。</w:t>
      </w:r>
    </w:p>
    <w:p w14:paraId="0DC98991">
      <w:pPr>
        <w:spacing w:line="460" w:lineRule="exact"/>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24.3合格</w:t>
      </w:r>
      <w:r>
        <w:rPr>
          <w:rFonts w:hint="eastAsia" w:ascii="宋体" w:hAnsi="宋体" w:eastAsia="宋体" w:cs="宋体"/>
          <w:bCs/>
          <w:color w:val="auto"/>
          <w:sz w:val="24"/>
          <w:szCs w:val="24"/>
          <w:highlight w:val="none"/>
          <w:lang w:eastAsia="zh-CN"/>
        </w:rPr>
        <w:t>供应商</w:t>
      </w:r>
      <w:r>
        <w:rPr>
          <w:rFonts w:hint="eastAsia" w:ascii="宋体" w:hAnsi="宋体" w:eastAsia="宋体" w:cs="宋体"/>
          <w:bCs/>
          <w:color w:val="auto"/>
          <w:sz w:val="24"/>
          <w:szCs w:val="24"/>
          <w:highlight w:val="none"/>
        </w:rPr>
        <w:t>不足三家的，不得评标。</w:t>
      </w:r>
    </w:p>
    <w:bookmarkEnd w:id="328"/>
    <w:bookmarkEnd w:id="329"/>
    <w:bookmarkEnd w:id="330"/>
    <w:bookmarkEnd w:id="331"/>
    <w:bookmarkEnd w:id="332"/>
    <w:bookmarkEnd w:id="333"/>
    <w:bookmarkEnd w:id="334"/>
    <w:p w14:paraId="1F70C6EC">
      <w:pPr>
        <w:pStyle w:val="4"/>
        <w:spacing w:line="460" w:lineRule="exact"/>
        <w:rPr>
          <w:rFonts w:hint="eastAsia" w:ascii="宋体" w:hAnsi="宋体" w:eastAsia="宋体" w:cs="宋体"/>
          <w:b w:val="0"/>
          <w:bCs/>
          <w:color w:val="auto"/>
          <w:highlight w:val="none"/>
        </w:rPr>
      </w:pPr>
      <w:bookmarkStart w:id="335" w:name="_Toc422"/>
      <w:bookmarkStart w:id="336" w:name="_Toc26342"/>
      <w:r>
        <w:rPr>
          <w:rFonts w:hint="eastAsia" w:ascii="宋体" w:hAnsi="宋体" w:eastAsia="宋体" w:cs="宋体"/>
          <w:b w:val="0"/>
          <w:bCs/>
          <w:color w:val="auto"/>
          <w:highlight w:val="none"/>
        </w:rPr>
        <w:t xml:space="preserve">25 </w:t>
      </w:r>
      <w:bookmarkEnd w:id="335"/>
      <w:bookmarkEnd w:id="336"/>
      <w:r>
        <w:rPr>
          <w:rFonts w:hint="eastAsia" w:ascii="宋体" w:hAnsi="宋体" w:eastAsia="宋体" w:cs="宋体"/>
          <w:b w:val="0"/>
          <w:bCs/>
          <w:color w:val="auto"/>
          <w:highlight w:val="none"/>
        </w:rPr>
        <w:t>评标</w:t>
      </w:r>
    </w:p>
    <w:p w14:paraId="1161E321">
      <w:pPr>
        <w:spacing w:line="460" w:lineRule="exact"/>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25.1谈判小组对通过资格审查的供应商进行符合性审查，符合性审查不合格者不进入下一步评审。</w:t>
      </w:r>
    </w:p>
    <w:p w14:paraId="6DC9467C">
      <w:pPr>
        <w:spacing w:line="460" w:lineRule="exact"/>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25.2 对竞争性谈判响应文件含义不明确、同类问题表述不一致或者有明显文字和计算错误的内容，谈判小组可以要求供应商在规定的时间内做出必要的澄清、说明或者纠正。供应商的澄清、说明或者补正应当采用书面形式，有其授权的代表签字，并不得超出竞争性谈判响应文件的范围或者改变竞争性谈判响应文件的实质性内容。</w:t>
      </w:r>
    </w:p>
    <w:p w14:paraId="04A2A8EA">
      <w:pPr>
        <w:spacing w:line="460" w:lineRule="exact"/>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25.3 澄清文件将作为竞争性谈判响应文件的一部分。</w:t>
      </w:r>
    </w:p>
    <w:p w14:paraId="10408E50">
      <w:pPr>
        <w:spacing w:line="460" w:lineRule="exact"/>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25.4 算术错误将按以下方法更正：</w:t>
      </w:r>
    </w:p>
    <w:p w14:paraId="286008E1">
      <w:pPr>
        <w:spacing w:line="460" w:lineRule="exact"/>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25.4.1 竞争性谈判响应文件的大写金额和小写金额不一致的，以大写金额为准；</w:t>
      </w:r>
    </w:p>
    <w:p w14:paraId="7E5C26B0">
      <w:pPr>
        <w:spacing w:line="460" w:lineRule="exact"/>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25.4.2 总价金额与按单价汇总金额不一致的，以单价金额计算结果为准；</w:t>
      </w:r>
    </w:p>
    <w:p w14:paraId="1A568A41">
      <w:pPr>
        <w:spacing w:line="460" w:lineRule="exact"/>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25.4.3 单价金额小数点有明显错位的，应当以总价为准，并修改单价；</w:t>
      </w:r>
    </w:p>
    <w:p w14:paraId="6624A127">
      <w:pPr>
        <w:spacing w:line="460" w:lineRule="exact"/>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25.4.4 对不同文字文本竞争性谈判响应文件的解释发生异议的，以中文文本为准；</w:t>
      </w:r>
    </w:p>
    <w:p w14:paraId="2E9C5E5C">
      <w:pPr>
        <w:spacing w:line="460" w:lineRule="exact"/>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25.4.5 对于供应商不接受对其错误的更改，其谈判属于无效谈判情形。</w:t>
      </w:r>
    </w:p>
    <w:bookmarkEnd w:id="319"/>
    <w:bookmarkEnd w:id="320"/>
    <w:bookmarkEnd w:id="321"/>
    <w:bookmarkEnd w:id="322"/>
    <w:bookmarkEnd w:id="323"/>
    <w:bookmarkEnd w:id="324"/>
    <w:bookmarkEnd w:id="325"/>
    <w:p w14:paraId="6A21FCBF">
      <w:pPr>
        <w:pStyle w:val="4"/>
        <w:spacing w:before="156" w:beforeLines="50" w:after="156" w:afterLines="50" w:line="460" w:lineRule="exact"/>
        <w:rPr>
          <w:rFonts w:hint="eastAsia" w:ascii="宋体" w:hAnsi="宋体" w:eastAsia="宋体" w:cs="宋体"/>
          <w:b w:val="0"/>
          <w:bCs/>
          <w:color w:val="auto"/>
          <w:sz w:val="30"/>
          <w:szCs w:val="30"/>
          <w:highlight w:val="none"/>
        </w:rPr>
      </w:pPr>
      <w:bookmarkStart w:id="337" w:name="_Toc14567"/>
      <w:bookmarkStart w:id="338" w:name="_Toc11927"/>
      <w:r>
        <w:rPr>
          <w:rFonts w:hint="eastAsia" w:ascii="宋体" w:hAnsi="宋体" w:eastAsia="宋体" w:cs="宋体"/>
          <w:b w:val="0"/>
          <w:bCs/>
          <w:color w:val="auto"/>
          <w:sz w:val="30"/>
          <w:szCs w:val="30"/>
          <w:highlight w:val="none"/>
        </w:rPr>
        <w:t>26 竞争性谈判响应文件的评价和比较</w:t>
      </w:r>
      <w:bookmarkEnd w:id="337"/>
      <w:bookmarkEnd w:id="338"/>
    </w:p>
    <w:p w14:paraId="0EC09251">
      <w:pPr>
        <w:spacing w:line="460" w:lineRule="exact"/>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26.1 谈判小组将对有效的竞争性谈判响应文件进行评估和比较。</w:t>
      </w:r>
    </w:p>
    <w:p w14:paraId="0D4CF93E">
      <w:pPr>
        <w:spacing w:line="460" w:lineRule="exact"/>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26.2 评审时除考虑谈判报价竞争有利性以外，还将考虑以下因素：</w:t>
      </w:r>
    </w:p>
    <w:p w14:paraId="03353A7F">
      <w:pPr>
        <w:spacing w:line="460" w:lineRule="exact"/>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26.2.1竞争性谈判响应文件中各项报价的合理性，谈判小组认为</w:t>
      </w:r>
      <w:r>
        <w:rPr>
          <w:rFonts w:hint="eastAsia" w:ascii="宋体" w:hAnsi="宋体" w:eastAsia="宋体" w:cs="宋体"/>
          <w:bCs/>
          <w:color w:val="auto"/>
          <w:sz w:val="24"/>
          <w:highlight w:val="none"/>
          <w:lang w:eastAsia="zh-CN"/>
        </w:rPr>
        <w:t>供应商</w:t>
      </w:r>
      <w:r>
        <w:rPr>
          <w:rFonts w:hint="eastAsia" w:ascii="宋体" w:hAnsi="宋体" w:eastAsia="宋体" w:cs="宋体"/>
          <w:bCs/>
          <w:color w:val="auto"/>
          <w:sz w:val="24"/>
          <w:highlight w:val="none"/>
        </w:rPr>
        <w:t>的报价明显低于其他通过符合性审查</w:t>
      </w:r>
      <w:r>
        <w:rPr>
          <w:rFonts w:hint="eastAsia" w:ascii="宋体" w:hAnsi="宋体" w:eastAsia="宋体" w:cs="宋体"/>
          <w:bCs/>
          <w:color w:val="auto"/>
          <w:sz w:val="24"/>
          <w:highlight w:val="none"/>
          <w:lang w:eastAsia="zh-CN"/>
        </w:rPr>
        <w:t>供应商</w:t>
      </w:r>
      <w:r>
        <w:rPr>
          <w:rFonts w:hint="eastAsia" w:ascii="宋体" w:hAnsi="宋体" w:eastAsia="宋体" w:cs="宋体"/>
          <w:bCs/>
          <w:color w:val="auto"/>
          <w:sz w:val="24"/>
          <w:highlight w:val="none"/>
        </w:rPr>
        <w:t>的报价，有可能影响产品质量或者不能诚信履约的，应当要求其在评标现场合理的时间内提供书面说明，必要时提交相关证明材料，竞争性谈判响应文件中各项报价的合理性，谈判小组三分之二以上专家认为某投标报价有低于成本价嫌疑的，为无效报价；</w:t>
      </w:r>
    </w:p>
    <w:bookmarkEnd w:id="310"/>
    <w:bookmarkEnd w:id="311"/>
    <w:bookmarkEnd w:id="312"/>
    <w:bookmarkEnd w:id="313"/>
    <w:bookmarkEnd w:id="314"/>
    <w:bookmarkEnd w:id="315"/>
    <w:bookmarkEnd w:id="316"/>
    <w:p w14:paraId="290F1328">
      <w:pPr>
        <w:pStyle w:val="4"/>
        <w:spacing w:before="156" w:beforeLines="50" w:after="156" w:afterLines="50" w:line="460" w:lineRule="exact"/>
        <w:rPr>
          <w:rFonts w:hint="eastAsia" w:ascii="宋体" w:hAnsi="宋体" w:eastAsia="宋体" w:cs="宋体"/>
          <w:b w:val="0"/>
          <w:bCs/>
          <w:color w:val="auto"/>
          <w:sz w:val="30"/>
          <w:szCs w:val="30"/>
          <w:highlight w:val="none"/>
        </w:rPr>
      </w:pPr>
      <w:bookmarkStart w:id="339" w:name="_Toc9686"/>
      <w:bookmarkStart w:id="340" w:name="_Toc3801"/>
      <w:bookmarkStart w:id="341" w:name="_Toc14794"/>
      <w:bookmarkStart w:id="342" w:name="_Toc20736"/>
      <w:bookmarkStart w:id="343" w:name="_Toc8450"/>
      <w:bookmarkStart w:id="344" w:name="_Toc465958117"/>
      <w:bookmarkStart w:id="345" w:name="_Toc20287"/>
      <w:bookmarkStart w:id="346" w:name="_Toc26106"/>
      <w:bookmarkStart w:id="347" w:name="_Toc11926"/>
      <w:r>
        <w:rPr>
          <w:rFonts w:hint="eastAsia" w:ascii="宋体" w:hAnsi="宋体" w:eastAsia="宋体" w:cs="宋体"/>
          <w:b w:val="0"/>
          <w:bCs/>
          <w:color w:val="auto"/>
          <w:sz w:val="30"/>
          <w:szCs w:val="30"/>
          <w:highlight w:val="none"/>
        </w:rPr>
        <w:t>27 评审原则及主要方法</w:t>
      </w:r>
      <w:bookmarkEnd w:id="339"/>
      <w:bookmarkEnd w:id="340"/>
      <w:bookmarkEnd w:id="341"/>
    </w:p>
    <w:p w14:paraId="2A79979E">
      <w:pPr>
        <w:adjustRightInd w:val="0"/>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27.1 谈判小组将遵循公开、公平、公正和择优的原则，禁止不正当竞争。对所有供应商的竞争性谈判响应文件评审，都采用相同的程序和标准。</w:t>
      </w:r>
    </w:p>
    <w:p w14:paraId="24384A19">
      <w:pPr>
        <w:adjustRightInd w:val="0"/>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27.2 评审过程的保密：在竞争性谈判响应文件的审查、谈判、报价、成交候选供应商推荐以及授予合同的过程中，供应商向采购人和谈判小组施加影响的任何行为，都将会导致其报价被拒绝；成交供应商确定后，采购人不对未成交供应商就评审过程以及未能成交原因做出任何解释。未成交供应商不得向谈判小组成员或其他相关人员索问评审过程的情况和材料。与评审有关的其他任何情况均严格保密。</w:t>
      </w:r>
    </w:p>
    <w:p w14:paraId="0F3223E3">
      <w:pPr>
        <w:adjustRightInd w:val="0"/>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27.3 竞争性谈判响应文件的初步评审（含资格性检查和符合性审查）</w:t>
      </w:r>
    </w:p>
    <w:p w14:paraId="1FBFF681">
      <w:pPr>
        <w:adjustRightInd w:val="0"/>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27.3.1 谈判小组将审查竞争性谈判响应文件是否完整、资格证明文件是否合格，谈判保证金是否合格、有无计算上的错误等。</w:t>
      </w:r>
    </w:p>
    <w:p w14:paraId="4BE2BF3F">
      <w:pPr>
        <w:adjustRightInd w:val="0"/>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27.4 在详细评审之前，谈判小组要审查每份竞争性谈判响应文件是否实质上响应了竞争性谈判文件的要求。实质上响应的谈判应该是与竞争性谈判文件要求的全部条款、条件和规格参数相符，没有偏离的谈判。谈判小组对供应商的响应、人员配置、服务承诺情况，能满足采购人服务要求的，则可进行二次报价。</w:t>
      </w:r>
    </w:p>
    <w:p w14:paraId="547C7F8E">
      <w:pPr>
        <w:adjustRightInd w:val="0"/>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27.5 实质上没有响应竞争性谈判文件要求的谈判将被拒绝。供应商不得通过修正或撤销不合要求的偏离从而使其谈判成为实质性响应的谈判。供应商或竞争性谈判响应文件出现的下列情形将按照无效谈判处理，由谈判小组否决其谈判：</w:t>
      </w:r>
    </w:p>
    <w:p w14:paraId="2FB2D312">
      <w:pPr>
        <w:adjustRightInd w:val="0"/>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27.5.1投标单位的投标报价超过采购预算；</w:t>
      </w:r>
    </w:p>
    <w:p w14:paraId="5977E70D">
      <w:pPr>
        <w:adjustRightInd w:val="0"/>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27.5.2 谈判响应文件、响应函未加盖</w:t>
      </w:r>
      <w:r>
        <w:rPr>
          <w:rFonts w:hint="eastAsia" w:ascii="宋体" w:hAnsi="宋体" w:eastAsia="宋体" w:cs="宋体"/>
          <w:bCs/>
          <w:color w:val="auto"/>
          <w:sz w:val="24"/>
          <w:highlight w:val="none"/>
          <w:lang w:eastAsia="zh-CN"/>
        </w:rPr>
        <w:t>供应商</w:t>
      </w:r>
      <w:r>
        <w:rPr>
          <w:rFonts w:hint="eastAsia" w:ascii="宋体" w:hAnsi="宋体" w:eastAsia="宋体" w:cs="宋体"/>
          <w:bCs/>
          <w:color w:val="auto"/>
          <w:sz w:val="24"/>
          <w:highlight w:val="none"/>
        </w:rPr>
        <w:t>公章，或未经法定代表人（负责人）或其授权代表签字或盖章的；</w:t>
      </w:r>
    </w:p>
    <w:p w14:paraId="19BD64E6">
      <w:pPr>
        <w:adjustRightInd w:val="0"/>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27.5.3 谈判响应文件没有法定代表人（负责人）授权书（法人直接投标除外）或授权书的合法性或有效性不符合招标文件规定的；</w:t>
      </w:r>
    </w:p>
    <w:p w14:paraId="10819607">
      <w:pPr>
        <w:adjustRightInd w:val="0"/>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27.5.4 谈判响应文件未按招标文件规定要求装订、签署、盖章的,无投标有效期或有效期达不到招标文件要求的；</w:t>
      </w:r>
    </w:p>
    <w:p w14:paraId="368C8E16">
      <w:pPr>
        <w:adjustRightInd w:val="0"/>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27.5.5谈判响应文件的关键内容字迹模糊、无法辨认的；</w:t>
      </w:r>
    </w:p>
    <w:p w14:paraId="6D8C17DE">
      <w:pPr>
        <w:adjustRightInd w:val="0"/>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27.5.6提供虚假证明（包括第三方提供的虚假证明），开具虚假资质，出现虚假应答，除按无效谈判响应文件处理外，并进行相应的处罚；</w:t>
      </w:r>
    </w:p>
    <w:p w14:paraId="12333CCC">
      <w:pPr>
        <w:adjustRightInd w:val="0"/>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27.5.7 对招标文件未做实质性响应或有重大缺项漏项,明显不符合技术规格、技术标准的要求的；  </w:t>
      </w:r>
    </w:p>
    <w:p w14:paraId="5DDEEB2D">
      <w:pPr>
        <w:adjustRightInd w:val="0"/>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27.5.8 </w:t>
      </w:r>
      <w:r>
        <w:rPr>
          <w:rFonts w:hint="eastAsia" w:ascii="宋体" w:hAnsi="宋体" w:eastAsia="宋体" w:cs="宋体"/>
          <w:bCs/>
          <w:color w:val="auto"/>
          <w:sz w:val="24"/>
          <w:highlight w:val="none"/>
          <w:lang w:eastAsia="zh-CN"/>
        </w:rPr>
        <w:t>供应商</w:t>
      </w:r>
      <w:r>
        <w:rPr>
          <w:rFonts w:hint="eastAsia" w:ascii="宋体" w:hAnsi="宋体" w:eastAsia="宋体" w:cs="宋体"/>
          <w:bCs/>
          <w:color w:val="auto"/>
          <w:sz w:val="24"/>
          <w:highlight w:val="none"/>
        </w:rPr>
        <w:t>针对同一项目递交两份或多份内容不同的谈判响应文件，未书面声明哪一份是有效的或出现选择性报价的；</w:t>
      </w:r>
    </w:p>
    <w:p w14:paraId="03A4DDD5">
      <w:pPr>
        <w:adjustRightInd w:val="0"/>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27.5.9投标报价大于项目预算或与市场价偏离较大，低于成本，形成不正当竞争的；</w:t>
      </w:r>
    </w:p>
    <w:p w14:paraId="4F3CB189">
      <w:pPr>
        <w:adjustRightInd w:val="0"/>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27.5.10</w:t>
      </w:r>
      <w:r>
        <w:rPr>
          <w:rFonts w:hint="eastAsia" w:ascii="宋体" w:hAnsi="宋体" w:eastAsia="宋体" w:cs="宋体"/>
          <w:bCs/>
          <w:color w:val="auto"/>
          <w:sz w:val="24"/>
          <w:highlight w:val="none"/>
          <w:lang w:eastAsia="zh-CN"/>
        </w:rPr>
        <w:t>供应商</w:t>
      </w:r>
      <w:r>
        <w:rPr>
          <w:rFonts w:hint="eastAsia" w:ascii="宋体" w:hAnsi="宋体" w:eastAsia="宋体" w:cs="宋体"/>
          <w:bCs/>
          <w:color w:val="auto"/>
          <w:sz w:val="24"/>
          <w:highlight w:val="none"/>
        </w:rPr>
        <w:t>有围标、串标现象（不同</w:t>
      </w:r>
      <w:r>
        <w:rPr>
          <w:rFonts w:hint="eastAsia" w:ascii="宋体" w:hAnsi="宋体" w:eastAsia="宋体" w:cs="宋体"/>
          <w:bCs/>
          <w:color w:val="auto"/>
          <w:sz w:val="24"/>
          <w:highlight w:val="none"/>
          <w:lang w:eastAsia="zh-CN"/>
        </w:rPr>
        <w:t>供应商</w:t>
      </w:r>
      <w:r>
        <w:rPr>
          <w:rFonts w:hint="eastAsia" w:ascii="宋体" w:hAnsi="宋体" w:eastAsia="宋体" w:cs="宋体"/>
          <w:bCs/>
          <w:color w:val="auto"/>
          <w:sz w:val="24"/>
          <w:highlight w:val="none"/>
        </w:rPr>
        <w:t>的谈判响应文件错漏之处一致的、不同</w:t>
      </w:r>
      <w:r>
        <w:rPr>
          <w:rFonts w:hint="eastAsia" w:ascii="宋体" w:hAnsi="宋体" w:eastAsia="宋体" w:cs="宋体"/>
          <w:bCs/>
          <w:color w:val="auto"/>
          <w:sz w:val="24"/>
          <w:highlight w:val="none"/>
          <w:lang w:eastAsia="zh-CN"/>
        </w:rPr>
        <w:t>供应商</w:t>
      </w:r>
      <w:r>
        <w:rPr>
          <w:rFonts w:hint="eastAsia" w:ascii="宋体" w:hAnsi="宋体" w:eastAsia="宋体" w:cs="宋体"/>
          <w:bCs/>
          <w:color w:val="auto"/>
          <w:sz w:val="24"/>
          <w:highlight w:val="none"/>
        </w:rPr>
        <w:t>的投标报价或者报价组成异常一致的或者成规律性变化的），经查证属实的。</w:t>
      </w:r>
    </w:p>
    <w:p w14:paraId="05CA994D">
      <w:pPr>
        <w:adjustRightInd w:val="0"/>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27.5.11逾期提交电子响应文件；</w:t>
      </w:r>
    </w:p>
    <w:p w14:paraId="790D6DB0">
      <w:pPr>
        <w:adjustRightInd w:val="0"/>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27.5.12提交的响应文件与本项目不相符；</w:t>
      </w:r>
    </w:p>
    <w:p w14:paraId="25E53773">
      <w:pPr>
        <w:adjustRightInd w:val="0"/>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27.5.13供应商拒绝对电子响应文件进行解密；</w:t>
      </w:r>
    </w:p>
    <w:p w14:paraId="56125106">
      <w:pPr>
        <w:adjustRightInd w:val="0"/>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27.5.14因供应商自身原因（如未带 CA 锁、或所带 CA 锁与制作电子响应文件使用的 CA锁不一致、或沿用旧版谈判文件编制响应文件等情形），导致在规定时间内无法解密响应文件；</w:t>
      </w:r>
    </w:p>
    <w:p w14:paraId="60D0BA51">
      <w:pPr>
        <w:adjustRightInd w:val="0"/>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27.5.15上传的电子响应文件无法打开。</w:t>
      </w:r>
    </w:p>
    <w:p w14:paraId="0A40C990">
      <w:pPr>
        <w:adjustRightInd w:val="0"/>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27.5.16“信用中国（陕西榆林）”网站信用承诺不符合谈判文件要求的；</w:t>
      </w:r>
    </w:p>
    <w:p w14:paraId="7221C309">
      <w:pPr>
        <w:adjustRightInd w:val="0"/>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27.5.17谈判文件规定的其他要求。</w:t>
      </w:r>
    </w:p>
    <w:bookmarkEnd w:id="342"/>
    <w:bookmarkEnd w:id="343"/>
    <w:bookmarkEnd w:id="344"/>
    <w:bookmarkEnd w:id="345"/>
    <w:bookmarkEnd w:id="346"/>
    <w:bookmarkEnd w:id="347"/>
    <w:p w14:paraId="266351A7">
      <w:pPr>
        <w:pStyle w:val="4"/>
        <w:spacing w:before="156" w:beforeLines="50" w:after="156" w:afterLines="50" w:line="460" w:lineRule="exact"/>
        <w:rPr>
          <w:rFonts w:hint="eastAsia" w:ascii="宋体" w:hAnsi="宋体" w:eastAsia="宋体" w:cs="宋体"/>
          <w:b w:val="0"/>
          <w:bCs/>
          <w:color w:val="auto"/>
          <w:sz w:val="30"/>
          <w:szCs w:val="30"/>
          <w:highlight w:val="none"/>
        </w:rPr>
      </w:pPr>
      <w:bookmarkStart w:id="348" w:name="_Toc12640"/>
      <w:bookmarkStart w:id="349" w:name="_Toc3471"/>
      <w:bookmarkStart w:id="350" w:name="_Toc1785"/>
      <w:bookmarkStart w:id="351" w:name="_Toc497546880"/>
      <w:bookmarkStart w:id="352" w:name="_Toc385992360"/>
      <w:bookmarkStart w:id="353" w:name="_Toc2448"/>
      <w:bookmarkStart w:id="354" w:name="_Toc497711547"/>
      <w:bookmarkStart w:id="355" w:name="_Toc389620199"/>
      <w:bookmarkStart w:id="356" w:name="_Toc246928925"/>
      <w:bookmarkStart w:id="357" w:name="_Toc465958118"/>
      <w:bookmarkStart w:id="358" w:name="_Toc25216"/>
      <w:bookmarkStart w:id="359" w:name="_Toc4915"/>
      <w:bookmarkStart w:id="360" w:name="_Toc497551782"/>
      <w:bookmarkStart w:id="361" w:name="_Toc492955421"/>
      <w:bookmarkStart w:id="362" w:name="_Toc497712095"/>
      <w:bookmarkStart w:id="363" w:name="_Toc24562"/>
      <w:r>
        <w:rPr>
          <w:rFonts w:hint="eastAsia" w:ascii="宋体" w:hAnsi="宋体" w:eastAsia="宋体" w:cs="宋体"/>
          <w:b w:val="0"/>
          <w:bCs/>
          <w:color w:val="auto"/>
          <w:sz w:val="30"/>
          <w:szCs w:val="30"/>
          <w:highlight w:val="none"/>
        </w:rPr>
        <w:t>28 谈判</w:t>
      </w:r>
      <w:bookmarkEnd w:id="348"/>
      <w:bookmarkEnd w:id="349"/>
      <w:bookmarkEnd w:id="350"/>
    </w:p>
    <w:p w14:paraId="14B8CC26">
      <w:pPr>
        <w:adjustRightInd w:val="0"/>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28.1谈判过程依次为记录第一次谈判投标报价、竞争性谈判响应文件资格性审查、符合性审查、谈判与承诺、最后报价五个阶段。</w:t>
      </w:r>
    </w:p>
    <w:p w14:paraId="4DDC9AEB">
      <w:pPr>
        <w:adjustRightInd w:val="0"/>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评审小组</w:t>
      </w:r>
      <w:r>
        <w:rPr>
          <w:rFonts w:hint="eastAsia" w:ascii="宋体" w:hAnsi="宋体" w:eastAsia="宋体" w:cs="宋体"/>
          <w:bCs/>
          <w:color w:val="auto"/>
          <w:sz w:val="24"/>
          <w:highlight w:val="none"/>
        </w:rPr>
        <w:t>对各供应商的资质证明文件进行评审，不符合竞争性谈判文件要求的按无效谈判响应处理，不得进入后续评审。对通过资格审查的供应商，谈判小组对于各个供应商的竞争性谈判响应文件进行符合性审查，符合性审查不合格者不进入下一步评审。</w:t>
      </w:r>
    </w:p>
    <w:p w14:paraId="77C27B75">
      <w:pPr>
        <w:adjustRightInd w:val="0"/>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在评审期间，对谈判响应文件中含义不明确、同类问题表述不一致或者有 明显文字和计算错误的内容，谈判小组可以书面形式 (由谈判小组专家签字) 要求供应商作出必要的澄清、说明或者纠正。供应商的澄清、说明或者补正应当采用书 面形式，由其授权的代表签字，并不得超出谈判响应文件的范围或者改变谈判响应文件的实质性内容经过评审，质量和服务均能满足采购文件实质性响应要求的供应商才具有最后报价的机会。</w:t>
      </w:r>
    </w:p>
    <w:p w14:paraId="52A5517F">
      <w:pPr>
        <w:adjustRightInd w:val="0"/>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28.2谈判后，供应商应按谈判小组规定的时间进行最后报价，各供应商在电脑进行最后报价，最后报价不对供应商公布。该谈判报价为不可更改价格，作为谈判小组推荐成交候选人的依据。</w:t>
      </w:r>
    </w:p>
    <w:p w14:paraId="323C1CE7">
      <w:pPr>
        <w:adjustRightInd w:val="0"/>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28.3特殊情况处理：按相关法律法规执行。</w:t>
      </w:r>
    </w:p>
    <w:p w14:paraId="46821AC2">
      <w:pPr>
        <w:adjustRightInd w:val="0"/>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28.4评审方法：谈判小组从质量和服务均能满足采购文件实质性响应要求的供应商中，按照最后报价由低到高的顺序提出成交候选人。 </w:t>
      </w:r>
    </w:p>
    <w:p w14:paraId="5A0BF73A">
      <w:pPr>
        <w:adjustRightInd w:val="0"/>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28.5根据《政府采购促进中小企业发展管理办法》（财库【2020】46号）的规定；</w:t>
      </w:r>
    </w:p>
    <w:p w14:paraId="31D734AF">
      <w:pPr>
        <w:adjustRightInd w:val="0"/>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28.5.1中小企业（含中型、小型、微型企业，下同）应当同时符合以下条件：</w:t>
      </w:r>
    </w:p>
    <w:p w14:paraId="2275AE44">
      <w:pPr>
        <w:adjustRightInd w:val="0"/>
        <w:snapToGrid w:val="0"/>
        <w:spacing w:line="360" w:lineRule="auto"/>
        <w:ind w:firstLine="480" w:firstLineChars="200"/>
        <w:rPr>
          <w:rFonts w:hint="eastAsia" w:ascii="宋体" w:hAnsi="宋体" w:eastAsia="宋体" w:cs="宋体"/>
          <w:color w:val="auto"/>
          <w:highlight w:val="none"/>
        </w:rPr>
      </w:pPr>
      <w:r>
        <w:rPr>
          <w:rFonts w:hint="eastAsia" w:ascii="宋体" w:hAnsi="宋体" w:eastAsia="宋体" w:cs="宋体"/>
          <w:bCs/>
          <w:color w:val="auto"/>
          <w:sz w:val="24"/>
          <w:highlight w:val="none"/>
        </w:rPr>
        <w:t>28.5.1.1符合中小企业划分标准。</w:t>
      </w:r>
    </w:p>
    <w:p w14:paraId="69DD793F">
      <w:pPr>
        <w:pStyle w:val="3"/>
        <w:spacing w:before="120" w:after="120" w:line="460" w:lineRule="exact"/>
        <w:jc w:val="center"/>
        <w:rPr>
          <w:rFonts w:hint="eastAsia" w:ascii="宋体" w:hAnsi="宋体" w:eastAsia="宋体" w:cs="宋体"/>
          <w:b w:val="0"/>
          <w:bCs/>
          <w:color w:val="auto"/>
          <w:sz w:val="36"/>
          <w:highlight w:val="none"/>
        </w:rPr>
      </w:pPr>
      <w:bookmarkStart w:id="364" w:name="_Toc5123"/>
      <w:bookmarkStart w:id="365" w:name="_Toc29564"/>
      <w:bookmarkStart w:id="366" w:name="_Toc1204"/>
      <w:bookmarkStart w:id="367" w:name="_Toc20818"/>
      <w:bookmarkStart w:id="368" w:name="_Toc16312"/>
      <w:r>
        <w:rPr>
          <w:rFonts w:hint="eastAsia" w:ascii="宋体" w:hAnsi="宋体" w:eastAsia="宋体" w:cs="宋体"/>
          <w:b w:val="0"/>
          <w:bCs/>
          <w:color w:val="auto"/>
          <w:sz w:val="36"/>
          <w:highlight w:val="none"/>
        </w:rPr>
        <w:t>F</w:t>
      </w:r>
      <w:bookmarkStart w:id="369" w:name="_Hlt491765714"/>
      <w:bookmarkEnd w:id="369"/>
      <w:r>
        <w:rPr>
          <w:rFonts w:hint="eastAsia" w:ascii="宋体" w:hAnsi="宋体" w:eastAsia="宋体" w:cs="宋体"/>
          <w:b w:val="0"/>
          <w:bCs/>
          <w:color w:val="auto"/>
          <w:sz w:val="36"/>
          <w:highlight w:val="none"/>
        </w:rPr>
        <w:t xml:space="preserve"> </w:t>
      </w:r>
      <w:bookmarkStart w:id="370" w:name="_Hlt497547134"/>
      <w:bookmarkEnd w:id="370"/>
      <w:r>
        <w:rPr>
          <w:rFonts w:hint="eastAsia" w:ascii="宋体" w:hAnsi="宋体" w:eastAsia="宋体" w:cs="宋体"/>
          <w:b w:val="0"/>
          <w:bCs/>
          <w:color w:val="auto"/>
          <w:sz w:val="36"/>
          <w:highlight w:val="none"/>
        </w:rPr>
        <w:t>授予合同</w:t>
      </w:r>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p>
    <w:p w14:paraId="29D2503A">
      <w:pPr>
        <w:pStyle w:val="4"/>
        <w:adjustRightInd w:val="0"/>
        <w:snapToGrid w:val="0"/>
        <w:spacing w:before="156" w:beforeLines="50" w:after="156" w:afterLines="50" w:line="460" w:lineRule="exact"/>
        <w:rPr>
          <w:rFonts w:hint="eastAsia" w:ascii="宋体" w:hAnsi="宋体" w:eastAsia="宋体" w:cs="宋体"/>
          <w:b w:val="0"/>
          <w:bCs/>
          <w:color w:val="auto"/>
          <w:sz w:val="30"/>
          <w:szCs w:val="30"/>
          <w:highlight w:val="none"/>
        </w:rPr>
      </w:pPr>
      <w:bookmarkStart w:id="371" w:name="_Toc9423"/>
      <w:bookmarkStart w:id="372" w:name="_Toc15630"/>
      <w:bookmarkStart w:id="373" w:name="_Toc389620200"/>
      <w:bookmarkStart w:id="374" w:name="_Toc30376"/>
      <w:bookmarkStart w:id="375" w:name="_Toc465958119"/>
      <w:bookmarkStart w:id="376" w:name="_Toc9490"/>
      <w:bookmarkStart w:id="377" w:name="_Toc4170"/>
      <w:bookmarkStart w:id="378" w:name="_Toc21436"/>
      <w:bookmarkStart w:id="379" w:name="_Toc17220"/>
      <w:bookmarkStart w:id="380" w:name="_Toc385992361"/>
      <w:bookmarkStart w:id="381" w:name="_Toc264"/>
      <w:bookmarkStart w:id="382" w:name="_Toc246928926"/>
      <w:bookmarkStart w:id="383" w:name="_Toc465958121"/>
      <w:bookmarkStart w:id="384" w:name="_Toc385992366"/>
      <w:bookmarkStart w:id="385" w:name="_Toc30811"/>
      <w:bookmarkStart w:id="386" w:name="_Toc246928928"/>
      <w:bookmarkStart w:id="387" w:name="_Toc6603"/>
      <w:bookmarkStart w:id="388" w:name="_Toc5090"/>
      <w:bookmarkStart w:id="389" w:name="_Toc15641"/>
      <w:bookmarkStart w:id="390" w:name="_Toc9330"/>
      <w:bookmarkStart w:id="391" w:name="_Toc389620205"/>
      <w:r>
        <w:rPr>
          <w:rFonts w:hint="eastAsia" w:ascii="宋体" w:hAnsi="宋体" w:eastAsia="宋体" w:cs="宋体"/>
          <w:b w:val="0"/>
          <w:bCs/>
          <w:color w:val="auto"/>
          <w:sz w:val="30"/>
          <w:szCs w:val="30"/>
          <w:highlight w:val="none"/>
        </w:rPr>
        <w:t>29 成交准则</w:t>
      </w:r>
      <w:bookmarkEnd w:id="371"/>
      <w:bookmarkEnd w:id="372"/>
      <w:bookmarkEnd w:id="373"/>
      <w:bookmarkEnd w:id="374"/>
      <w:bookmarkEnd w:id="375"/>
      <w:bookmarkEnd w:id="376"/>
      <w:bookmarkEnd w:id="377"/>
      <w:bookmarkEnd w:id="378"/>
      <w:bookmarkEnd w:id="379"/>
      <w:bookmarkEnd w:id="380"/>
      <w:bookmarkEnd w:id="381"/>
      <w:bookmarkEnd w:id="382"/>
    </w:p>
    <w:p w14:paraId="38A694DD">
      <w:pPr>
        <w:adjustRightInd w:val="0"/>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29.1合同将授予竞争性谈判响应文件符合竞争性谈判文件要求、并能圆满地履行合同、对采购人最为有利且价格最低的供应商。</w:t>
      </w:r>
    </w:p>
    <w:p w14:paraId="70FE7DC6">
      <w:pPr>
        <w:adjustRightInd w:val="0"/>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29.2谈判小组将根据评审方法推荐成交候选供应商名单。</w:t>
      </w:r>
      <w:bookmarkStart w:id="392" w:name="_Toc389620201"/>
      <w:bookmarkStart w:id="393" w:name="_Toc385992362"/>
    </w:p>
    <w:p w14:paraId="12576DC7">
      <w:pPr>
        <w:adjustRightInd w:val="0"/>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29.3代理机构在评审结束后将评审报告送采购人，采购人在收到评审报告后按照评审报告中推荐的成交候选供应商顺序确定成交供应商。</w:t>
      </w:r>
    </w:p>
    <w:p w14:paraId="339B24B0">
      <w:pPr>
        <w:adjustRightInd w:val="0"/>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29.4成交供应商因不可抗力或自身原因不能履行政府采购合同的，采购人可以再排位在成交供应商之后的第一位的成交候选供应商签订政府采购合同，以此类推。</w:t>
      </w:r>
    </w:p>
    <w:bookmarkEnd w:id="392"/>
    <w:bookmarkEnd w:id="393"/>
    <w:p w14:paraId="5E472CBD">
      <w:pPr>
        <w:pStyle w:val="4"/>
        <w:adjustRightInd w:val="0"/>
        <w:snapToGrid w:val="0"/>
        <w:spacing w:before="156" w:beforeLines="50" w:after="156" w:afterLines="50" w:line="460" w:lineRule="exact"/>
        <w:rPr>
          <w:rFonts w:hint="eastAsia" w:ascii="宋体" w:hAnsi="宋体" w:eastAsia="宋体" w:cs="宋体"/>
          <w:b w:val="0"/>
          <w:bCs/>
          <w:color w:val="auto"/>
          <w:sz w:val="30"/>
          <w:szCs w:val="30"/>
          <w:highlight w:val="none"/>
        </w:rPr>
      </w:pPr>
      <w:bookmarkStart w:id="394" w:name="_Toc385992364"/>
      <w:bookmarkStart w:id="395" w:name="_Toc389620203"/>
      <w:bookmarkStart w:id="396" w:name="_Toc246928927"/>
      <w:bookmarkStart w:id="397" w:name="_Toc26280"/>
      <w:bookmarkStart w:id="398" w:name="_Toc30974"/>
      <w:bookmarkStart w:id="399" w:name="_Toc465958120"/>
      <w:bookmarkStart w:id="400" w:name="_Toc19328"/>
      <w:bookmarkStart w:id="401" w:name="_Toc12205"/>
      <w:bookmarkStart w:id="402" w:name="_Toc19435"/>
      <w:bookmarkStart w:id="403" w:name="_Toc14351"/>
      <w:bookmarkStart w:id="404" w:name="_Toc21691"/>
      <w:bookmarkStart w:id="405" w:name="_Toc16397"/>
      <w:r>
        <w:rPr>
          <w:rFonts w:hint="eastAsia" w:ascii="宋体" w:hAnsi="宋体" w:eastAsia="宋体" w:cs="宋体"/>
          <w:b w:val="0"/>
          <w:bCs/>
          <w:color w:val="auto"/>
          <w:sz w:val="30"/>
          <w:szCs w:val="30"/>
          <w:highlight w:val="none"/>
        </w:rPr>
        <w:t xml:space="preserve">30 </w:t>
      </w:r>
      <w:bookmarkEnd w:id="394"/>
      <w:bookmarkEnd w:id="395"/>
      <w:r>
        <w:rPr>
          <w:rFonts w:hint="eastAsia" w:ascii="宋体" w:hAnsi="宋体" w:eastAsia="宋体" w:cs="宋体"/>
          <w:b w:val="0"/>
          <w:bCs/>
          <w:color w:val="auto"/>
          <w:sz w:val="30"/>
          <w:szCs w:val="30"/>
          <w:highlight w:val="none"/>
        </w:rPr>
        <w:t>成交通知</w:t>
      </w:r>
      <w:bookmarkEnd w:id="396"/>
      <w:r>
        <w:rPr>
          <w:rFonts w:hint="eastAsia" w:ascii="宋体" w:hAnsi="宋体" w:eastAsia="宋体" w:cs="宋体"/>
          <w:b w:val="0"/>
          <w:bCs/>
          <w:color w:val="auto"/>
          <w:sz w:val="30"/>
          <w:szCs w:val="30"/>
          <w:highlight w:val="none"/>
        </w:rPr>
        <w:t>书</w:t>
      </w:r>
      <w:bookmarkEnd w:id="397"/>
      <w:bookmarkEnd w:id="398"/>
      <w:bookmarkEnd w:id="399"/>
      <w:bookmarkEnd w:id="400"/>
      <w:bookmarkEnd w:id="401"/>
      <w:bookmarkEnd w:id="402"/>
      <w:bookmarkEnd w:id="403"/>
      <w:bookmarkEnd w:id="404"/>
      <w:bookmarkEnd w:id="405"/>
    </w:p>
    <w:p w14:paraId="3C6024B6">
      <w:pPr>
        <w:adjustRightInd w:val="0"/>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30.1 在谈判有效期内，确定成交供应商后，成交结果在财政部门指定的政府采购信息发布媒体上公告。</w:t>
      </w:r>
    </w:p>
    <w:p w14:paraId="60431FA7">
      <w:pPr>
        <w:adjustRightInd w:val="0"/>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30.2 代理机构向成交供应商发出成交通知书。</w:t>
      </w:r>
    </w:p>
    <w:p w14:paraId="06DC598E">
      <w:pPr>
        <w:adjustRightInd w:val="0"/>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30.3 成交通知书将作为签订合同的依据。</w:t>
      </w:r>
    </w:p>
    <w:p w14:paraId="13AB520F">
      <w:pPr>
        <w:adjustRightInd w:val="0"/>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30.4 对未成交者，采购人不做出解释，同时亦不退还竞争性谈判响应文件。</w:t>
      </w:r>
    </w:p>
    <w:bookmarkEnd w:id="383"/>
    <w:bookmarkEnd w:id="384"/>
    <w:bookmarkEnd w:id="385"/>
    <w:bookmarkEnd w:id="386"/>
    <w:bookmarkEnd w:id="387"/>
    <w:bookmarkEnd w:id="388"/>
    <w:bookmarkEnd w:id="389"/>
    <w:bookmarkEnd w:id="390"/>
    <w:bookmarkEnd w:id="391"/>
    <w:p w14:paraId="0DAAEE3E">
      <w:pPr>
        <w:pStyle w:val="4"/>
        <w:adjustRightInd w:val="0"/>
        <w:snapToGrid w:val="0"/>
        <w:spacing w:before="156" w:beforeLines="50" w:after="156" w:afterLines="50" w:line="460" w:lineRule="exact"/>
        <w:rPr>
          <w:rFonts w:hint="eastAsia" w:ascii="宋体" w:hAnsi="宋体" w:eastAsia="宋体" w:cs="宋体"/>
          <w:b w:val="0"/>
          <w:bCs/>
          <w:color w:val="auto"/>
          <w:sz w:val="30"/>
          <w:szCs w:val="30"/>
          <w:highlight w:val="none"/>
        </w:rPr>
      </w:pPr>
      <w:bookmarkStart w:id="406" w:name="_Toc24730"/>
      <w:bookmarkStart w:id="407" w:name="_Toc21407"/>
      <w:bookmarkStart w:id="408" w:name="_Toc27035"/>
      <w:bookmarkStart w:id="409" w:name="_Toc20377"/>
      <w:bookmarkStart w:id="410" w:name="_Toc385992368"/>
      <w:bookmarkStart w:id="411" w:name="_Toc11754"/>
      <w:bookmarkStart w:id="412" w:name="_Toc389620207"/>
      <w:bookmarkStart w:id="413" w:name="_Toc23291"/>
      <w:bookmarkStart w:id="414" w:name="_Toc465958122"/>
      <w:bookmarkStart w:id="415" w:name="_Toc9873"/>
      <w:bookmarkStart w:id="416" w:name="_Toc23493"/>
      <w:bookmarkStart w:id="417" w:name="_Toc246928929"/>
      <w:r>
        <w:rPr>
          <w:rFonts w:hint="eastAsia" w:ascii="宋体" w:hAnsi="宋体" w:eastAsia="宋体" w:cs="宋体"/>
          <w:b w:val="0"/>
          <w:bCs/>
          <w:color w:val="auto"/>
          <w:sz w:val="30"/>
          <w:szCs w:val="30"/>
          <w:highlight w:val="none"/>
        </w:rPr>
        <w:t>31 签订合同</w:t>
      </w:r>
      <w:bookmarkEnd w:id="406"/>
      <w:bookmarkEnd w:id="407"/>
      <w:bookmarkEnd w:id="408"/>
    </w:p>
    <w:bookmarkEnd w:id="409"/>
    <w:bookmarkEnd w:id="410"/>
    <w:bookmarkEnd w:id="411"/>
    <w:bookmarkEnd w:id="412"/>
    <w:bookmarkEnd w:id="413"/>
    <w:bookmarkEnd w:id="414"/>
    <w:bookmarkEnd w:id="415"/>
    <w:bookmarkEnd w:id="416"/>
    <w:bookmarkEnd w:id="417"/>
    <w:p w14:paraId="61C50696">
      <w:pPr>
        <w:adjustRightInd w:val="0"/>
        <w:snapToGrid w:val="0"/>
        <w:spacing w:line="360" w:lineRule="auto"/>
        <w:ind w:firstLine="480" w:firstLineChars="200"/>
        <w:rPr>
          <w:rFonts w:hint="eastAsia" w:ascii="宋体" w:hAnsi="宋体" w:eastAsia="宋体" w:cs="宋体"/>
          <w:bCs/>
          <w:color w:val="auto"/>
          <w:sz w:val="24"/>
          <w:highlight w:val="none"/>
        </w:rPr>
      </w:pPr>
      <w:bookmarkStart w:id="418" w:name="_Toc5562"/>
      <w:bookmarkStart w:id="419" w:name="_Toc27194"/>
      <w:r>
        <w:rPr>
          <w:rFonts w:hint="eastAsia" w:ascii="宋体" w:hAnsi="宋体" w:eastAsia="宋体" w:cs="宋体"/>
          <w:bCs/>
          <w:color w:val="auto"/>
          <w:sz w:val="24"/>
          <w:highlight w:val="none"/>
        </w:rPr>
        <w:t>31.1 定标后，在成交通知书发出之日起10日内，应按招标文件的要求与采购人洽谈合同条款，并签订书面合同，同时送监督机构备案。所签订的合同不得对招标文件确定的事项和成交供应商谈判响应文件作实质性修改；</w:t>
      </w:r>
    </w:p>
    <w:p w14:paraId="46155590">
      <w:pPr>
        <w:adjustRightInd w:val="0"/>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31.2 采购人不得向成交供应商提出任何不合理的要求作为签订合同的条件；</w:t>
      </w:r>
    </w:p>
    <w:p w14:paraId="24AC7AC8">
      <w:pPr>
        <w:pStyle w:val="52"/>
        <w:spacing w:line="360" w:lineRule="auto"/>
        <w:ind w:firstLine="480" w:firstLineChars="200"/>
        <w:rPr>
          <w:rFonts w:hint="eastAsia" w:ascii="宋体" w:hAnsi="宋体" w:eastAsia="宋体" w:cs="宋体"/>
          <w:bCs/>
          <w:color w:val="auto"/>
          <w:highlight w:val="none"/>
        </w:rPr>
      </w:pPr>
      <w:r>
        <w:rPr>
          <w:rFonts w:hint="eastAsia" w:ascii="宋体" w:hAnsi="宋体" w:eastAsia="宋体" w:cs="宋体"/>
          <w:bCs/>
          <w:color w:val="auto"/>
          <w:sz w:val="24"/>
          <w:highlight w:val="none"/>
        </w:rPr>
        <w:t>31.3采购人应当自合同签订之日起2个工作日内，将采购合同在陕西省政府采购网上公告。</w:t>
      </w:r>
    </w:p>
    <w:p w14:paraId="6DB8F82B">
      <w:pPr>
        <w:pStyle w:val="4"/>
        <w:adjustRightInd w:val="0"/>
        <w:snapToGrid w:val="0"/>
        <w:spacing w:before="156" w:beforeLines="50" w:after="156" w:afterLines="50" w:line="460" w:lineRule="exact"/>
        <w:rPr>
          <w:rFonts w:hint="eastAsia" w:ascii="宋体" w:hAnsi="宋体" w:eastAsia="宋体" w:cs="宋体"/>
          <w:b w:val="0"/>
          <w:bCs/>
          <w:color w:val="auto"/>
          <w:sz w:val="30"/>
          <w:szCs w:val="30"/>
          <w:highlight w:val="none"/>
        </w:rPr>
      </w:pPr>
      <w:bookmarkStart w:id="420" w:name="_Toc22187"/>
      <w:r>
        <w:rPr>
          <w:rFonts w:hint="eastAsia" w:ascii="宋体" w:hAnsi="宋体" w:eastAsia="宋体" w:cs="宋体"/>
          <w:b w:val="0"/>
          <w:bCs/>
          <w:color w:val="auto"/>
          <w:sz w:val="30"/>
          <w:szCs w:val="30"/>
          <w:highlight w:val="none"/>
        </w:rPr>
        <w:t>32 招标代理服务费</w:t>
      </w:r>
      <w:bookmarkEnd w:id="418"/>
      <w:bookmarkEnd w:id="419"/>
      <w:bookmarkEnd w:id="420"/>
      <w:r>
        <w:rPr>
          <w:rFonts w:hint="eastAsia" w:ascii="宋体" w:hAnsi="宋体" w:eastAsia="宋体" w:cs="宋体"/>
          <w:b w:val="0"/>
          <w:bCs/>
          <w:color w:val="auto"/>
          <w:sz w:val="30"/>
          <w:szCs w:val="30"/>
          <w:highlight w:val="none"/>
        </w:rPr>
        <w:t xml:space="preserve"> </w:t>
      </w:r>
    </w:p>
    <w:p w14:paraId="23D90448">
      <w:pPr>
        <w:adjustRightInd w:val="0"/>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32.1  招标代理服务费的收取参见国家计委颁布的代理机构参照国家计委关于印发《招标代理服务收费管理暂行办法》的通知（计价格〔2002〕1980号）、《国家发展和改革委员会办公厅关于招标代理服务收费有关问题的通知》（发改办价格〔2003〕857号）</w:t>
      </w:r>
      <w:r>
        <w:rPr>
          <w:rFonts w:hint="eastAsia" w:ascii="宋体" w:hAnsi="宋体" w:cs="宋体"/>
          <w:bCs/>
          <w:color w:val="auto"/>
          <w:sz w:val="24"/>
          <w:highlight w:val="none"/>
          <w:lang w:val="en-US" w:eastAsia="zh-CN"/>
        </w:rPr>
        <w:t>及绥政发（2026）5号</w:t>
      </w:r>
      <w:r>
        <w:rPr>
          <w:rFonts w:hint="eastAsia" w:ascii="宋体" w:hAnsi="宋体" w:eastAsia="宋体" w:cs="宋体"/>
          <w:bCs/>
          <w:color w:val="auto"/>
          <w:sz w:val="24"/>
          <w:highlight w:val="none"/>
        </w:rPr>
        <w:t>规定向</w:t>
      </w:r>
      <w:r>
        <w:rPr>
          <w:rFonts w:hint="eastAsia" w:ascii="宋体" w:hAnsi="宋体" w:cs="宋体"/>
          <w:bCs/>
          <w:color w:val="auto"/>
          <w:sz w:val="24"/>
          <w:highlight w:val="none"/>
          <w:lang w:val="en-US" w:eastAsia="zh-CN"/>
        </w:rPr>
        <w:t>采购人</w:t>
      </w:r>
      <w:r>
        <w:rPr>
          <w:rFonts w:hint="eastAsia" w:ascii="宋体" w:hAnsi="宋体" w:eastAsia="宋体" w:cs="宋体"/>
          <w:bCs/>
          <w:color w:val="auto"/>
          <w:sz w:val="24"/>
          <w:highlight w:val="none"/>
        </w:rPr>
        <w:t>收取代理服务费。</w:t>
      </w:r>
    </w:p>
    <w:p w14:paraId="126E4CF7">
      <w:pPr>
        <w:pStyle w:val="4"/>
        <w:adjustRightInd w:val="0"/>
        <w:snapToGrid w:val="0"/>
        <w:spacing w:before="120" w:after="120" w:line="460" w:lineRule="exact"/>
        <w:rPr>
          <w:rFonts w:hint="eastAsia" w:ascii="宋体" w:hAnsi="宋体" w:eastAsia="宋体" w:cs="宋体"/>
          <w:b w:val="0"/>
          <w:bCs/>
          <w:color w:val="auto"/>
          <w:szCs w:val="22"/>
          <w:highlight w:val="none"/>
        </w:rPr>
      </w:pPr>
      <w:bookmarkStart w:id="421" w:name="_Hlt497548036"/>
      <w:bookmarkEnd w:id="421"/>
      <w:bookmarkStart w:id="422" w:name="_Toc5575"/>
      <w:bookmarkStart w:id="423" w:name="_Toc10431"/>
      <w:bookmarkStart w:id="424" w:name="_Toc17620"/>
      <w:bookmarkStart w:id="425" w:name="_Toc497711585"/>
      <w:bookmarkStart w:id="426" w:name="_Toc9748"/>
      <w:bookmarkStart w:id="427" w:name="_Toc10852"/>
      <w:bookmarkStart w:id="428" w:name="_Toc492955459"/>
      <w:bookmarkStart w:id="429" w:name="_Toc347478708"/>
      <w:bookmarkStart w:id="430" w:name="_Toc28607"/>
      <w:bookmarkStart w:id="431" w:name="_Toc497546918"/>
      <w:bookmarkStart w:id="432" w:name="_Toc13928"/>
      <w:bookmarkStart w:id="433" w:name="_Toc93800308"/>
      <w:bookmarkStart w:id="434" w:name="_Toc497712133"/>
      <w:bookmarkStart w:id="435" w:name="_Toc497551820"/>
      <w:bookmarkStart w:id="436" w:name="_Toc497551821"/>
      <w:bookmarkStart w:id="437" w:name="_Toc389620242"/>
      <w:bookmarkStart w:id="438" w:name="_Toc246928960"/>
      <w:bookmarkStart w:id="439" w:name="_Toc492955460"/>
      <w:bookmarkStart w:id="440" w:name="_Toc497712134"/>
      <w:bookmarkStart w:id="441" w:name="_Toc385992402"/>
      <w:bookmarkStart w:id="442" w:name="_Toc497711586"/>
      <w:bookmarkStart w:id="443" w:name="_Toc497546919"/>
      <w:r>
        <w:rPr>
          <w:rFonts w:hint="eastAsia" w:ascii="宋体" w:hAnsi="宋体" w:eastAsia="宋体" w:cs="宋体"/>
          <w:b w:val="0"/>
          <w:bCs/>
          <w:color w:val="auto"/>
          <w:szCs w:val="22"/>
          <w:highlight w:val="none"/>
        </w:rPr>
        <w:t>33 其他</w:t>
      </w:r>
      <w:bookmarkEnd w:id="422"/>
      <w:bookmarkEnd w:id="423"/>
      <w:bookmarkEnd w:id="424"/>
    </w:p>
    <w:p w14:paraId="13159FB5">
      <w:pPr>
        <w:adjustRightInd w:val="0"/>
        <w:snapToGrid w:val="0"/>
        <w:spacing w:line="460" w:lineRule="exact"/>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谈判截止时间结束后，参加谈判的供应商不足 3 家，或在评审期间，出现符合条件、对竞争性谈判文件做出实质性响应的供应商不足 3 家的，按照《政府采购非招标采购方式管理办法》（财政部令第 74 号）相关条款规定处理。</w:t>
      </w:r>
    </w:p>
    <w:p w14:paraId="633BBADC">
      <w:pPr>
        <w:pStyle w:val="4"/>
        <w:adjustRightInd w:val="0"/>
        <w:snapToGrid w:val="0"/>
        <w:spacing w:before="120" w:after="120" w:line="460" w:lineRule="exact"/>
        <w:rPr>
          <w:rFonts w:hint="eastAsia" w:ascii="宋体" w:hAnsi="宋体" w:eastAsia="宋体" w:cs="宋体"/>
          <w:b w:val="0"/>
          <w:bCs/>
          <w:color w:val="auto"/>
          <w:szCs w:val="22"/>
          <w:highlight w:val="none"/>
        </w:rPr>
      </w:pPr>
      <w:bookmarkStart w:id="444" w:name="_Toc9052"/>
      <w:bookmarkStart w:id="445" w:name="_Toc29779"/>
      <w:bookmarkStart w:id="446" w:name="_Toc29936"/>
      <w:r>
        <w:rPr>
          <w:rFonts w:hint="eastAsia" w:ascii="宋体" w:hAnsi="宋体" w:eastAsia="宋体" w:cs="宋体"/>
          <w:b w:val="0"/>
          <w:bCs/>
          <w:color w:val="auto"/>
          <w:szCs w:val="22"/>
          <w:highlight w:val="none"/>
        </w:rPr>
        <w:t>34 质疑提出与答复</w:t>
      </w:r>
      <w:bookmarkEnd w:id="444"/>
      <w:bookmarkEnd w:id="445"/>
      <w:bookmarkEnd w:id="446"/>
    </w:p>
    <w:p w14:paraId="0526BC0E">
      <w:pPr>
        <w:pStyle w:val="21"/>
        <w:adjustRightInd w:val="0"/>
        <w:snapToGrid w:val="0"/>
        <w:spacing w:before="0" w:beforeAutospacing="0" w:after="0" w:afterAutospacing="0" w:line="460" w:lineRule="exact"/>
        <w:ind w:firstLine="360" w:firstLineChars="150"/>
        <w:rPr>
          <w:rFonts w:hint="eastAsia" w:ascii="宋体" w:hAnsi="宋体" w:eastAsia="宋体" w:cs="宋体"/>
          <w:bCs/>
          <w:color w:val="auto"/>
          <w:highlight w:val="none"/>
        </w:rPr>
      </w:pPr>
      <w:r>
        <w:rPr>
          <w:rFonts w:hint="eastAsia" w:ascii="宋体" w:hAnsi="宋体" w:eastAsia="宋体" w:cs="宋体"/>
          <w:bCs/>
          <w:color w:val="auto"/>
          <w:highlight w:val="none"/>
        </w:rPr>
        <w:t>供应商如果认为采购程序、采购过程或中标结果使自身的合法权益受到损害，可以在知道或者应知其权益受到损害之日起7个工作日内，以书面形式向代理机构提出。</w:t>
      </w:r>
    </w:p>
    <w:p w14:paraId="63C602E4">
      <w:pPr>
        <w:pStyle w:val="21"/>
        <w:adjustRightInd w:val="0"/>
        <w:snapToGrid w:val="0"/>
        <w:spacing w:before="0" w:beforeAutospacing="0" w:after="0" w:afterAutospacing="0" w:line="460" w:lineRule="exact"/>
        <w:ind w:firstLine="360" w:firstLineChars="150"/>
        <w:rPr>
          <w:rFonts w:hint="eastAsia" w:ascii="宋体" w:hAnsi="宋体" w:eastAsia="宋体" w:cs="宋体"/>
          <w:bCs/>
          <w:color w:val="auto"/>
          <w:highlight w:val="none"/>
        </w:rPr>
      </w:pPr>
      <w:r>
        <w:rPr>
          <w:rFonts w:hint="eastAsia" w:ascii="宋体" w:hAnsi="宋体" w:eastAsia="宋体" w:cs="宋体"/>
          <w:bCs/>
          <w:color w:val="auto"/>
          <w:highlight w:val="none"/>
        </w:rPr>
        <w:t>1、供应商提出质疑应当提交质疑函和必要的证明材料，并按财政部《质疑函范本》给定的格式进行填写，范本下载详见【财政部国库司（gks.mof.gov.cn）】网站〖首页•〉政府采购管理〗栏目中的《政府采购供应商质疑函范本》。</w:t>
      </w:r>
    </w:p>
    <w:p w14:paraId="6E7BC809">
      <w:pPr>
        <w:pStyle w:val="21"/>
        <w:adjustRightInd w:val="0"/>
        <w:snapToGrid w:val="0"/>
        <w:spacing w:before="0" w:beforeAutospacing="0" w:after="0" w:afterAutospacing="0" w:line="460" w:lineRule="exact"/>
        <w:ind w:firstLine="360" w:firstLineChars="150"/>
        <w:rPr>
          <w:rFonts w:hint="eastAsia" w:ascii="宋体" w:hAnsi="宋体" w:eastAsia="宋体" w:cs="宋体"/>
          <w:bCs/>
          <w:color w:val="auto"/>
          <w:highlight w:val="none"/>
        </w:rPr>
      </w:pPr>
      <w:r>
        <w:rPr>
          <w:rFonts w:hint="eastAsia" w:ascii="宋体" w:hAnsi="宋体" w:eastAsia="宋体" w:cs="宋体"/>
          <w:bCs/>
          <w:color w:val="auto"/>
          <w:highlight w:val="none"/>
        </w:rPr>
        <w:t>《政府采购供应商质疑函范本》链接地址：</w:t>
      </w:r>
    </w:p>
    <w:p w14:paraId="1C5B7E8E">
      <w:pPr>
        <w:pStyle w:val="21"/>
        <w:adjustRightInd w:val="0"/>
        <w:snapToGrid w:val="0"/>
        <w:spacing w:before="0" w:beforeAutospacing="0" w:after="0" w:afterAutospacing="0" w:line="460" w:lineRule="exact"/>
        <w:ind w:firstLine="360" w:firstLineChars="150"/>
        <w:rPr>
          <w:rFonts w:hint="eastAsia" w:ascii="宋体" w:hAnsi="宋体" w:eastAsia="宋体" w:cs="宋体"/>
          <w:bCs/>
          <w:color w:val="auto"/>
          <w:highlight w:val="none"/>
        </w:rPr>
      </w:pPr>
      <w:r>
        <w:rPr>
          <w:rFonts w:hint="eastAsia" w:ascii="宋体" w:hAnsi="宋体" w:eastAsia="宋体" w:cs="宋体"/>
          <w:bCs/>
          <w:color w:val="auto"/>
          <w:highlight w:val="none"/>
        </w:rPr>
        <w:t>http://www.mof.gov.cn/gp/xxgkml/gks/201802/t20180201_2804587.htm</w:t>
      </w:r>
    </w:p>
    <w:p w14:paraId="1D8EB035">
      <w:pPr>
        <w:pStyle w:val="21"/>
        <w:adjustRightInd w:val="0"/>
        <w:snapToGrid w:val="0"/>
        <w:spacing w:before="0" w:beforeAutospacing="0" w:after="0" w:afterAutospacing="0" w:line="460" w:lineRule="exact"/>
        <w:ind w:firstLine="360" w:firstLineChars="150"/>
        <w:rPr>
          <w:rFonts w:hint="eastAsia" w:ascii="宋体" w:hAnsi="宋体" w:eastAsia="宋体" w:cs="宋体"/>
          <w:bCs/>
          <w:color w:val="auto"/>
          <w:highlight w:val="none"/>
        </w:rPr>
      </w:pPr>
      <w:r>
        <w:rPr>
          <w:rFonts w:hint="eastAsia" w:ascii="宋体" w:hAnsi="宋体" w:eastAsia="宋体" w:cs="宋体"/>
          <w:bCs/>
          <w:color w:val="auto"/>
          <w:highlight w:val="none"/>
        </w:rPr>
        <w:t>2、质疑人为自然人的，应当由本人签字；质疑人为法人或者其他组织的，应当由法定代表人、主要负责人，或者其授权代表签字或者盖章，并加盖公章。授权代表办理质疑事项时，除提交质疑函外，还应当提交授权委托书及授权代表的有效身份证明，授权委托书应当载明委托代理的具体权限和事项。</w:t>
      </w:r>
    </w:p>
    <w:p w14:paraId="1B20C7C1">
      <w:pPr>
        <w:pStyle w:val="21"/>
        <w:adjustRightInd w:val="0"/>
        <w:snapToGrid w:val="0"/>
        <w:spacing w:before="0" w:beforeAutospacing="0" w:after="0" w:afterAutospacing="0" w:line="460" w:lineRule="exact"/>
        <w:ind w:firstLine="360" w:firstLineChars="150"/>
        <w:rPr>
          <w:rFonts w:hint="eastAsia" w:ascii="宋体" w:hAnsi="宋体" w:eastAsia="宋体" w:cs="宋体"/>
          <w:bCs/>
          <w:color w:val="auto"/>
          <w:highlight w:val="none"/>
        </w:rPr>
      </w:pPr>
      <w:r>
        <w:rPr>
          <w:rFonts w:hint="eastAsia" w:ascii="宋体" w:hAnsi="宋体" w:eastAsia="宋体" w:cs="宋体"/>
          <w:bCs/>
          <w:color w:val="auto"/>
          <w:highlight w:val="none"/>
        </w:rPr>
        <w:t>2.1质疑函应当包括下列内容：</w:t>
      </w:r>
    </w:p>
    <w:p w14:paraId="4BE3D2EC">
      <w:pPr>
        <w:pStyle w:val="21"/>
        <w:adjustRightInd w:val="0"/>
        <w:snapToGrid w:val="0"/>
        <w:spacing w:before="0" w:beforeAutospacing="0" w:after="0" w:afterAutospacing="0" w:line="460" w:lineRule="exact"/>
        <w:ind w:firstLine="360" w:firstLineChars="150"/>
        <w:rPr>
          <w:rFonts w:hint="eastAsia" w:ascii="宋体" w:hAnsi="宋体" w:eastAsia="宋体" w:cs="宋体"/>
          <w:bCs/>
          <w:color w:val="auto"/>
          <w:highlight w:val="none"/>
        </w:rPr>
      </w:pPr>
      <w:r>
        <w:rPr>
          <w:rFonts w:hint="eastAsia" w:ascii="宋体" w:hAnsi="宋体" w:eastAsia="宋体" w:cs="宋体"/>
          <w:bCs/>
          <w:color w:val="auto"/>
          <w:highlight w:val="none"/>
        </w:rPr>
        <w:t>（1）</w:t>
      </w:r>
      <w:r>
        <w:rPr>
          <w:rFonts w:hint="eastAsia" w:ascii="宋体" w:hAnsi="宋体" w:eastAsia="宋体" w:cs="宋体"/>
          <w:bCs/>
          <w:color w:val="auto"/>
          <w:highlight w:val="none"/>
          <w:lang w:val="zh-CN"/>
        </w:rPr>
        <w:t>供应商</w:t>
      </w:r>
      <w:r>
        <w:rPr>
          <w:rFonts w:hint="eastAsia" w:ascii="宋体" w:hAnsi="宋体" w:eastAsia="宋体" w:cs="宋体"/>
          <w:bCs/>
          <w:color w:val="auto"/>
          <w:highlight w:val="none"/>
        </w:rPr>
        <w:t>的姓名或者名称、地址、邮编、联系人及联系电话；</w:t>
      </w:r>
    </w:p>
    <w:p w14:paraId="7691975D">
      <w:pPr>
        <w:pStyle w:val="21"/>
        <w:adjustRightInd w:val="0"/>
        <w:snapToGrid w:val="0"/>
        <w:spacing w:before="0" w:beforeAutospacing="0" w:after="0" w:afterAutospacing="0" w:line="460" w:lineRule="exact"/>
        <w:ind w:firstLine="360" w:firstLineChars="150"/>
        <w:rPr>
          <w:rFonts w:hint="eastAsia" w:ascii="宋体" w:hAnsi="宋体" w:eastAsia="宋体" w:cs="宋体"/>
          <w:bCs/>
          <w:color w:val="auto"/>
          <w:highlight w:val="none"/>
        </w:rPr>
      </w:pPr>
      <w:r>
        <w:rPr>
          <w:rFonts w:hint="eastAsia" w:ascii="宋体" w:hAnsi="宋体" w:eastAsia="宋体" w:cs="宋体"/>
          <w:bCs/>
          <w:color w:val="auto"/>
          <w:highlight w:val="none"/>
        </w:rPr>
        <w:t>（2）质疑项目的名称、编号；</w:t>
      </w:r>
    </w:p>
    <w:p w14:paraId="602676E1">
      <w:pPr>
        <w:pStyle w:val="21"/>
        <w:adjustRightInd w:val="0"/>
        <w:snapToGrid w:val="0"/>
        <w:spacing w:before="0" w:beforeAutospacing="0" w:after="0" w:afterAutospacing="0" w:line="460" w:lineRule="exact"/>
        <w:ind w:firstLine="360" w:firstLineChars="150"/>
        <w:rPr>
          <w:rFonts w:hint="eastAsia" w:ascii="宋体" w:hAnsi="宋体" w:eastAsia="宋体" w:cs="宋体"/>
          <w:bCs/>
          <w:color w:val="auto"/>
          <w:highlight w:val="none"/>
        </w:rPr>
      </w:pPr>
      <w:r>
        <w:rPr>
          <w:rFonts w:hint="eastAsia" w:ascii="宋体" w:hAnsi="宋体" w:eastAsia="宋体" w:cs="宋体"/>
          <w:bCs/>
          <w:color w:val="auto"/>
          <w:highlight w:val="none"/>
        </w:rPr>
        <w:t>（3）具体、明确的质疑事项和与质疑事项相关的请求；</w:t>
      </w:r>
    </w:p>
    <w:p w14:paraId="18C39B66">
      <w:pPr>
        <w:pStyle w:val="21"/>
        <w:adjustRightInd w:val="0"/>
        <w:snapToGrid w:val="0"/>
        <w:spacing w:before="0" w:beforeAutospacing="0" w:after="0" w:afterAutospacing="0" w:line="460" w:lineRule="exact"/>
        <w:ind w:firstLine="360" w:firstLineChars="150"/>
        <w:rPr>
          <w:rFonts w:hint="eastAsia" w:ascii="宋体" w:hAnsi="宋体" w:eastAsia="宋体" w:cs="宋体"/>
          <w:bCs/>
          <w:color w:val="auto"/>
          <w:highlight w:val="none"/>
        </w:rPr>
      </w:pPr>
      <w:r>
        <w:rPr>
          <w:rFonts w:hint="eastAsia" w:ascii="宋体" w:hAnsi="宋体" w:eastAsia="宋体" w:cs="宋体"/>
          <w:bCs/>
          <w:color w:val="auto"/>
          <w:highlight w:val="none"/>
        </w:rPr>
        <w:t>（4）事实依据；</w:t>
      </w:r>
    </w:p>
    <w:p w14:paraId="3241526A">
      <w:pPr>
        <w:pStyle w:val="21"/>
        <w:adjustRightInd w:val="0"/>
        <w:snapToGrid w:val="0"/>
        <w:spacing w:before="0" w:beforeAutospacing="0" w:after="0" w:afterAutospacing="0" w:line="460" w:lineRule="exact"/>
        <w:ind w:firstLine="360" w:firstLineChars="150"/>
        <w:rPr>
          <w:rFonts w:hint="eastAsia" w:ascii="宋体" w:hAnsi="宋体" w:eastAsia="宋体" w:cs="宋体"/>
          <w:bCs/>
          <w:color w:val="auto"/>
          <w:highlight w:val="none"/>
        </w:rPr>
      </w:pPr>
      <w:r>
        <w:rPr>
          <w:rFonts w:hint="eastAsia" w:ascii="宋体" w:hAnsi="宋体" w:eastAsia="宋体" w:cs="宋体"/>
          <w:bCs/>
          <w:color w:val="auto"/>
          <w:highlight w:val="none"/>
        </w:rPr>
        <w:t>（5）必要的法律依据；</w:t>
      </w:r>
    </w:p>
    <w:p w14:paraId="489DE8F2">
      <w:pPr>
        <w:pStyle w:val="21"/>
        <w:adjustRightInd w:val="0"/>
        <w:snapToGrid w:val="0"/>
        <w:spacing w:before="0" w:beforeAutospacing="0" w:after="0" w:afterAutospacing="0" w:line="460" w:lineRule="exact"/>
        <w:ind w:firstLine="360" w:firstLineChars="150"/>
        <w:rPr>
          <w:rFonts w:hint="eastAsia" w:ascii="宋体" w:hAnsi="宋体" w:eastAsia="宋体" w:cs="宋体"/>
          <w:bCs/>
          <w:color w:val="auto"/>
          <w:highlight w:val="none"/>
        </w:rPr>
      </w:pPr>
      <w:r>
        <w:rPr>
          <w:rFonts w:hint="eastAsia" w:ascii="宋体" w:hAnsi="宋体" w:eastAsia="宋体" w:cs="宋体"/>
          <w:bCs/>
          <w:color w:val="auto"/>
          <w:highlight w:val="none"/>
        </w:rPr>
        <w:t xml:space="preserve">（6）提出质疑的日期。 </w:t>
      </w:r>
    </w:p>
    <w:p w14:paraId="7EAD78AA">
      <w:pPr>
        <w:pStyle w:val="21"/>
        <w:adjustRightInd w:val="0"/>
        <w:snapToGrid w:val="0"/>
        <w:spacing w:before="0" w:beforeAutospacing="0" w:after="0" w:afterAutospacing="0" w:line="460" w:lineRule="exact"/>
        <w:ind w:firstLine="360" w:firstLineChars="150"/>
        <w:rPr>
          <w:rFonts w:hint="eastAsia" w:ascii="宋体" w:hAnsi="宋体" w:eastAsia="宋体" w:cs="宋体"/>
          <w:bCs/>
          <w:color w:val="auto"/>
          <w:highlight w:val="none"/>
        </w:rPr>
      </w:pPr>
      <w:r>
        <w:rPr>
          <w:rFonts w:hint="eastAsia" w:ascii="宋体" w:hAnsi="宋体" w:eastAsia="宋体" w:cs="宋体"/>
          <w:bCs/>
          <w:color w:val="auto"/>
          <w:highlight w:val="none"/>
        </w:rPr>
        <w:t>3、在法定质疑期内，针对同一采购程序环节的质疑应当一次性提出。代理机构或采购人将在收到书面质疑后7个工作日内做出答复，并以书面形式通知质疑人和其他有关供应商。</w:t>
      </w:r>
    </w:p>
    <w:p w14:paraId="1D789E32">
      <w:pPr>
        <w:pStyle w:val="21"/>
        <w:adjustRightInd w:val="0"/>
        <w:snapToGrid w:val="0"/>
        <w:spacing w:before="0" w:beforeAutospacing="0" w:after="0" w:afterAutospacing="0" w:line="460" w:lineRule="exact"/>
        <w:ind w:firstLine="360" w:firstLineChars="150"/>
        <w:rPr>
          <w:rFonts w:hint="eastAsia" w:ascii="宋体" w:hAnsi="宋体" w:eastAsia="宋体" w:cs="宋体"/>
          <w:bCs/>
          <w:color w:val="auto"/>
          <w:highlight w:val="none"/>
        </w:rPr>
      </w:pPr>
      <w:r>
        <w:rPr>
          <w:rFonts w:hint="eastAsia" w:ascii="宋体" w:hAnsi="宋体" w:eastAsia="宋体" w:cs="宋体"/>
          <w:bCs/>
          <w:color w:val="auto"/>
          <w:highlight w:val="none"/>
        </w:rPr>
        <w:t>4、有下列情形之一的，属于无效质疑，代理机构和采购人不予受理：</w:t>
      </w:r>
    </w:p>
    <w:p w14:paraId="4F10F33D">
      <w:pPr>
        <w:pStyle w:val="21"/>
        <w:adjustRightInd w:val="0"/>
        <w:snapToGrid w:val="0"/>
        <w:spacing w:before="0" w:beforeAutospacing="0" w:after="0" w:afterAutospacing="0" w:line="460" w:lineRule="exact"/>
        <w:ind w:firstLine="360" w:firstLineChars="150"/>
        <w:rPr>
          <w:rFonts w:hint="eastAsia" w:ascii="宋体" w:hAnsi="宋体" w:eastAsia="宋体" w:cs="宋体"/>
          <w:bCs/>
          <w:color w:val="auto"/>
          <w:highlight w:val="none"/>
        </w:rPr>
      </w:pPr>
      <w:r>
        <w:rPr>
          <w:rFonts w:hint="eastAsia" w:ascii="宋体" w:hAnsi="宋体" w:eastAsia="宋体" w:cs="宋体"/>
          <w:bCs/>
          <w:color w:val="auto"/>
          <w:highlight w:val="none"/>
        </w:rPr>
        <w:t>（1）质疑人不是参与本次政府采购项目的供应商或潜在供应商；</w:t>
      </w:r>
    </w:p>
    <w:p w14:paraId="0D59D96D">
      <w:pPr>
        <w:pStyle w:val="21"/>
        <w:adjustRightInd w:val="0"/>
        <w:snapToGrid w:val="0"/>
        <w:spacing w:before="0" w:beforeAutospacing="0" w:after="0" w:afterAutospacing="0" w:line="460" w:lineRule="exact"/>
        <w:ind w:firstLine="360" w:firstLineChars="150"/>
        <w:rPr>
          <w:rFonts w:hint="eastAsia" w:ascii="宋体" w:hAnsi="宋体" w:eastAsia="宋体" w:cs="宋体"/>
          <w:bCs/>
          <w:color w:val="auto"/>
          <w:highlight w:val="none"/>
        </w:rPr>
      </w:pPr>
      <w:r>
        <w:rPr>
          <w:rFonts w:hint="eastAsia" w:ascii="宋体" w:hAnsi="宋体" w:eastAsia="宋体" w:cs="宋体"/>
          <w:bCs/>
          <w:color w:val="auto"/>
          <w:highlight w:val="none"/>
        </w:rPr>
        <w:t>（2）质疑人与质疑事项不存在利害关系的；</w:t>
      </w:r>
    </w:p>
    <w:p w14:paraId="57F73BA7">
      <w:pPr>
        <w:pStyle w:val="21"/>
        <w:adjustRightInd w:val="0"/>
        <w:snapToGrid w:val="0"/>
        <w:spacing w:before="0" w:beforeAutospacing="0" w:after="0" w:afterAutospacing="0" w:line="460" w:lineRule="exact"/>
        <w:ind w:firstLine="360" w:firstLineChars="150"/>
        <w:rPr>
          <w:rFonts w:hint="eastAsia" w:ascii="宋体" w:hAnsi="宋体" w:eastAsia="宋体" w:cs="宋体"/>
          <w:bCs/>
          <w:color w:val="auto"/>
          <w:highlight w:val="none"/>
        </w:rPr>
      </w:pPr>
      <w:r>
        <w:rPr>
          <w:rFonts w:hint="eastAsia" w:ascii="宋体" w:hAnsi="宋体" w:eastAsia="宋体" w:cs="宋体"/>
          <w:bCs/>
          <w:color w:val="auto"/>
          <w:highlight w:val="none"/>
        </w:rPr>
        <w:t>（3）未在法定期限内提出质疑的；</w:t>
      </w:r>
    </w:p>
    <w:p w14:paraId="59FED9D9">
      <w:pPr>
        <w:pStyle w:val="21"/>
        <w:adjustRightInd w:val="0"/>
        <w:snapToGrid w:val="0"/>
        <w:spacing w:before="0" w:beforeAutospacing="0" w:after="0" w:afterAutospacing="0" w:line="460" w:lineRule="exact"/>
        <w:ind w:firstLine="360" w:firstLineChars="150"/>
        <w:rPr>
          <w:rFonts w:hint="eastAsia" w:ascii="宋体" w:hAnsi="宋体" w:eastAsia="宋体" w:cs="宋体"/>
          <w:bCs/>
          <w:color w:val="auto"/>
          <w:highlight w:val="none"/>
        </w:rPr>
      </w:pPr>
      <w:r>
        <w:rPr>
          <w:rFonts w:hint="eastAsia" w:ascii="宋体" w:hAnsi="宋体" w:eastAsia="宋体" w:cs="宋体"/>
          <w:bCs/>
          <w:color w:val="auto"/>
          <w:highlight w:val="none"/>
        </w:rPr>
        <w:t>（4）质疑未以书面形式提出，或质疑函主要内容构成不完整的，或缺乏必要的证明材料及证明材料不完整的；</w:t>
      </w:r>
    </w:p>
    <w:p w14:paraId="7E3D7914">
      <w:pPr>
        <w:pStyle w:val="21"/>
        <w:adjustRightInd w:val="0"/>
        <w:snapToGrid w:val="0"/>
        <w:spacing w:before="0" w:beforeAutospacing="0" w:after="0" w:afterAutospacing="0" w:line="460" w:lineRule="exact"/>
        <w:ind w:firstLine="360" w:firstLineChars="150"/>
        <w:rPr>
          <w:rFonts w:hint="eastAsia" w:ascii="宋体" w:hAnsi="宋体" w:eastAsia="宋体" w:cs="宋体"/>
          <w:bCs/>
          <w:color w:val="auto"/>
          <w:highlight w:val="none"/>
        </w:rPr>
      </w:pPr>
      <w:r>
        <w:rPr>
          <w:rFonts w:hint="eastAsia" w:ascii="宋体" w:hAnsi="宋体" w:eastAsia="宋体" w:cs="宋体"/>
          <w:bCs/>
          <w:color w:val="auto"/>
          <w:highlight w:val="none"/>
        </w:rPr>
        <w:t>（5）质疑函没有合法有效的签字、盖章或授权的；</w:t>
      </w:r>
    </w:p>
    <w:p w14:paraId="709D6051">
      <w:pPr>
        <w:pStyle w:val="21"/>
        <w:adjustRightInd w:val="0"/>
        <w:snapToGrid w:val="0"/>
        <w:spacing w:before="0" w:beforeAutospacing="0" w:after="0" w:afterAutospacing="0" w:line="460" w:lineRule="exact"/>
        <w:ind w:firstLine="360" w:firstLineChars="150"/>
        <w:rPr>
          <w:rFonts w:hint="eastAsia" w:ascii="宋体" w:hAnsi="宋体" w:eastAsia="宋体" w:cs="宋体"/>
          <w:bCs/>
          <w:color w:val="auto"/>
          <w:highlight w:val="none"/>
        </w:rPr>
      </w:pPr>
      <w:r>
        <w:rPr>
          <w:rFonts w:hint="eastAsia" w:ascii="宋体" w:hAnsi="宋体" w:eastAsia="宋体" w:cs="宋体"/>
          <w:bCs/>
          <w:color w:val="auto"/>
          <w:highlight w:val="none"/>
        </w:rPr>
        <w:t>（6）以非法手段取得证据、材料的；</w:t>
      </w:r>
    </w:p>
    <w:p w14:paraId="62D0FEC9">
      <w:pPr>
        <w:pStyle w:val="21"/>
        <w:adjustRightInd w:val="0"/>
        <w:snapToGrid w:val="0"/>
        <w:spacing w:before="0" w:beforeAutospacing="0" w:after="0" w:afterAutospacing="0" w:line="460" w:lineRule="exact"/>
        <w:ind w:firstLine="360" w:firstLineChars="150"/>
        <w:rPr>
          <w:rFonts w:hint="eastAsia" w:ascii="宋体" w:hAnsi="宋体" w:eastAsia="宋体" w:cs="宋体"/>
          <w:bCs/>
          <w:color w:val="auto"/>
          <w:highlight w:val="none"/>
        </w:rPr>
      </w:pPr>
      <w:r>
        <w:rPr>
          <w:rFonts w:hint="eastAsia" w:ascii="宋体" w:hAnsi="宋体" w:eastAsia="宋体" w:cs="宋体"/>
          <w:bCs/>
          <w:color w:val="auto"/>
          <w:highlight w:val="none"/>
        </w:rPr>
        <w:t>（7）质疑答复后，同一质疑人就同一事项再次提出质疑的；</w:t>
      </w:r>
    </w:p>
    <w:p w14:paraId="59FBE76A">
      <w:pPr>
        <w:pStyle w:val="21"/>
        <w:adjustRightInd w:val="0"/>
        <w:snapToGrid w:val="0"/>
        <w:spacing w:before="0" w:beforeAutospacing="0" w:after="0" w:afterAutospacing="0" w:line="460" w:lineRule="exact"/>
        <w:ind w:firstLine="360" w:firstLineChars="150"/>
        <w:rPr>
          <w:rFonts w:hint="eastAsia" w:ascii="宋体" w:hAnsi="宋体" w:eastAsia="宋体" w:cs="宋体"/>
          <w:bCs/>
          <w:color w:val="auto"/>
          <w:highlight w:val="none"/>
        </w:rPr>
      </w:pPr>
      <w:r>
        <w:rPr>
          <w:rFonts w:hint="eastAsia" w:ascii="宋体" w:hAnsi="宋体" w:eastAsia="宋体" w:cs="宋体"/>
          <w:bCs/>
          <w:color w:val="auto"/>
          <w:highlight w:val="none"/>
        </w:rPr>
        <w:t>（8）不符合法律、法规、规章和政府采购监管机构规定的其他条件的。</w:t>
      </w:r>
    </w:p>
    <w:p w14:paraId="01F398AE">
      <w:pPr>
        <w:pStyle w:val="21"/>
        <w:adjustRightInd w:val="0"/>
        <w:snapToGrid w:val="0"/>
        <w:spacing w:before="0" w:beforeAutospacing="0" w:after="0" w:afterAutospacing="0" w:line="460" w:lineRule="exact"/>
        <w:ind w:firstLine="360" w:firstLineChars="150"/>
        <w:rPr>
          <w:rFonts w:hint="eastAsia" w:ascii="宋体" w:hAnsi="宋体" w:eastAsia="宋体" w:cs="宋体"/>
          <w:bCs/>
          <w:color w:val="auto"/>
          <w:highlight w:val="none"/>
        </w:rPr>
      </w:pPr>
      <w:r>
        <w:rPr>
          <w:rFonts w:hint="eastAsia" w:ascii="宋体" w:hAnsi="宋体" w:eastAsia="宋体" w:cs="宋体"/>
          <w:bCs/>
          <w:color w:val="auto"/>
          <w:highlight w:val="none"/>
        </w:rPr>
        <w:t>5、质疑人对代理机构或采购人的答复不满意，以及代理机构或采购人未在规定时间内做出答复的，可以在答复期满后15个工作日内向政府采购监管机构提出投诉。</w:t>
      </w:r>
    </w:p>
    <w:p w14:paraId="01C4E220">
      <w:pPr>
        <w:pStyle w:val="21"/>
        <w:adjustRightInd w:val="0"/>
        <w:snapToGrid w:val="0"/>
        <w:spacing w:before="0" w:beforeAutospacing="0" w:after="0" w:afterAutospacing="0" w:line="460" w:lineRule="exact"/>
        <w:ind w:firstLine="360" w:firstLineChars="150"/>
        <w:rPr>
          <w:rFonts w:hint="eastAsia" w:ascii="宋体" w:hAnsi="宋体" w:eastAsia="宋体" w:cs="宋体"/>
          <w:bCs/>
          <w:color w:val="auto"/>
          <w:highlight w:val="none"/>
        </w:rPr>
      </w:pPr>
      <w:r>
        <w:rPr>
          <w:rFonts w:hint="eastAsia" w:ascii="宋体" w:hAnsi="宋体" w:eastAsia="宋体" w:cs="宋体"/>
          <w:bCs/>
          <w:color w:val="auto"/>
          <w:highlight w:val="none"/>
        </w:rPr>
        <w:t>6、供应商投诉的事项不得超出已质疑事项的范围。</w:t>
      </w:r>
    </w:p>
    <w:p w14:paraId="471C4F3A">
      <w:pPr>
        <w:pStyle w:val="21"/>
        <w:adjustRightInd w:val="0"/>
        <w:snapToGrid w:val="0"/>
        <w:spacing w:before="0" w:beforeAutospacing="0" w:after="0" w:afterAutospacing="0" w:line="460" w:lineRule="exact"/>
        <w:ind w:firstLine="360" w:firstLineChars="150"/>
        <w:rPr>
          <w:rFonts w:hint="eastAsia" w:ascii="宋体" w:hAnsi="宋体" w:eastAsia="宋体" w:cs="宋体"/>
          <w:bCs/>
          <w:color w:val="auto"/>
          <w:highlight w:val="none"/>
        </w:rPr>
      </w:pPr>
      <w:r>
        <w:rPr>
          <w:rFonts w:hint="eastAsia" w:ascii="宋体" w:hAnsi="宋体" w:eastAsia="宋体" w:cs="宋体"/>
          <w:bCs/>
          <w:color w:val="auto"/>
          <w:highlight w:val="none"/>
        </w:rPr>
        <w:t>7、对捏造事实、提供虚假材料进行质疑、投诉的行为予以严肃处理：</w:t>
      </w:r>
    </w:p>
    <w:p w14:paraId="7847E55F">
      <w:pPr>
        <w:pStyle w:val="21"/>
        <w:adjustRightInd w:val="0"/>
        <w:snapToGrid w:val="0"/>
        <w:spacing w:before="0" w:beforeAutospacing="0" w:after="0" w:afterAutospacing="0" w:line="460" w:lineRule="exact"/>
        <w:ind w:firstLine="360" w:firstLineChars="150"/>
        <w:rPr>
          <w:rFonts w:hint="eastAsia" w:ascii="宋体" w:hAnsi="宋体" w:eastAsia="宋体" w:cs="宋体"/>
          <w:bCs/>
          <w:color w:val="auto"/>
          <w:highlight w:val="none"/>
        </w:rPr>
      </w:pPr>
      <w:r>
        <w:rPr>
          <w:rFonts w:hint="eastAsia" w:ascii="宋体" w:hAnsi="宋体" w:eastAsia="宋体" w:cs="宋体"/>
          <w:bCs/>
          <w:color w:val="auto"/>
          <w:highlight w:val="none"/>
        </w:rPr>
        <w:t>依据《中华人民共和国政府采购法》及其实施条例、《政府采购质疑和投诉办法》等法律法规文件的规定，供应商质疑、投诉应当有明确的请求和必要的证明材料。投诉人在全国范围内十二个月内三次以上投诉查无实据的，由财政部门列入不良行为记录名单。对于捏造事实、提供虚假材料或者以非法手段取得证明材料进行投诉的，财政部门应当予以驳回，并将其列入不良行为记录名单，禁止其一至三年内参加政府采购活动。</w:t>
      </w:r>
    </w:p>
    <w:p w14:paraId="6E4D9694">
      <w:pPr>
        <w:pStyle w:val="21"/>
        <w:adjustRightInd w:val="0"/>
        <w:snapToGrid w:val="0"/>
        <w:spacing w:before="0" w:beforeAutospacing="0" w:after="0" w:afterAutospacing="0" w:line="460" w:lineRule="exact"/>
        <w:ind w:firstLine="360" w:firstLineChars="150"/>
        <w:rPr>
          <w:rFonts w:hint="eastAsia" w:ascii="宋体" w:hAnsi="宋体" w:eastAsia="宋体" w:cs="宋体"/>
          <w:bCs/>
          <w:color w:val="auto"/>
          <w:highlight w:val="none"/>
        </w:rPr>
      </w:pPr>
      <w:r>
        <w:rPr>
          <w:rFonts w:hint="eastAsia" w:ascii="宋体" w:hAnsi="宋体" w:eastAsia="宋体" w:cs="宋体"/>
          <w:bCs/>
          <w:color w:val="auto"/>
          <w:highlight w:val="none"/>
        </w:rPr>
        <w:t>8、对捏造事实诬告陷害他人、诽谤他人的法律适用：</w:t>
      </w:r>
    </w:p>
    <w:p w14:paraId="12F4DB45">
      <w:pPr>
        <w:pStyle w:val="21"/>
        <w:adjustRightInd w:val="0"/>
        <w:snapToGrid w:val="0"/>
        <w:spacing w:before="0" w:beforeAutospacing="0" w:after="0" w:afterAutospacing="0" w:line="460" w:lineRule="exact"/>
        <w:ind w:firstLine="360" w:firstLineChars="150"/>
        <w:rPr>
          <w:rFonts w:hint="eastAsia" w:ascii="宋体" w:hAnsi="宋体" w:eastAsia="宋体" w:cs="宋体"/>
          <w:bCs/>
          <w:color w:val="auto"/>
          <w:highlight w:val="none"/>
        </w:rPr>
      </w:pPr>
      <w:r>
        <w:rPr>
          <w:rFonts w:hint="eastAsia" w:ascii="宋体" w:hAnsi="宋体" w:eastAsia="宋体" w:cs="宋体"/>
          <w:bCs/>
          <w:color w:val="auto"/>
          <w:highlight w:val="none"/>
        </w:rPr>
        <w:t>《中华人民共和国刑法》第243条【诬告陷害罪】捏造事实诬告陷害他人，意图使他人受刑事追究，情节严重的，处三年以下有期徒刑、拘役或者管制；造成严重后果的，处三年以上十年以下有期徒刑。</w:t>
      </w:r>
    </w:p>
    <w:p w14:paraId="2D8097D9">
      <w:pPr>
        <w:pStyle w:val="21"/>
        <w:adjustRightInd w:val="0"/>
        <w:snapToGrid w:val="0"/>
        <w:spacing w:before="0" w:beforeAutospacing="0" w:after="0" w:afterAutospacing="0" w:line="460" w:lineRule="exact"/>
        <w:ind w:firstLine="360" w:firstLineChars="150"/>
        <w:rPr>
          <w:rFonts w:hint="eastAsia" w:ascii="宋体" w:hAnsi="宋体" w:eastAsia="宋体" w:cs="宋体"/>
          <w:bCs/>
          <w:color w:val="auto"/>
          <w:highlight w:val="none"/>
        </w:rPr>
      </w:pPr>
      <w:r>
        <w:rPr>
          <w:rFonts w:hint="eastAsia" w:ascii="宋体" w:hAnsi="宋体" w:eastAsia="宋体" w:cs="宋体"/>
          <w:bCs/>
          <w:color w:val="auto"/>
          <w:highlight w:val="none"/>
        </w:rPr>
        <w:t>《中华人民共和国刑法》第246条【侮辱罪、诽谤罪】以暴力或者其他方法公然侮辱他人或者捏造事实诽谤他人，情节严重的，处三年以下有期徒刑、拘役、管制或者剥夺政治权利。</w:t>
      </w:r>
    </w:p>
    <w:p w14:paraId="68DFFA20">
      <w:pPr>
        <w:pStyle w:val="21"/>
        <w:adjustRightInd w:val="0"/>
        <w:snapToGrid w:val="0"/>
        <w:spacing w:before="0" w:beforeAutospacing="0" w:after="0" w:afterAutospacing="0" w:line="460" w:lineRule="exact"/>
        <w:ind w:firstLine="360" w:firstLineChars="150"/>
        <w:rPr>
          <w:rFonts w:hint="eastAsia" w:ascii="宋体" w:hAnsi="宋体" w:eastAsia="宋体" w:cs="宋体"/>
          <w:bCs/>
          <w:color w:val="auto"/>
          <w:highlight w:val="none"/>
          <w:lang w:eastAsia="zh-CN"/>
        </w:rPr>
      </w:pPr>
      <w:r>
        <w:rPr>
          <w:rFonts w:hint="eastAsia" w:ascii="宋体" w:hAnsi="宋体" w:eastAsia="宋体" w:cs="宋体"/>
          <w:bCs/>
          <w:color w:val="auto"/>
          <w:highlight w:val="none"/>
        </w:rPr>
        <w:t>9、质疑函递交地址：</w:t>
      </w:r>
      <w:r>
        <w:rPr>
          <w:rFonts w:hint="eastAsia" w:ascii="宋体" w:hAnsi="宋体" w:cs="宋体"/>
          <w:bCs/>
          <w:color w:val="auto"/>
          <w:highlight w:val="none"/>
          <w:lang w:eastAsia="zh-CN"/>
        </w:rPr>
        <w:t>陕西省汉中市南郑区陕西省汉中市南郑区中所营街道办董家营村一组（董家营十字）</w:t>
      </w:r>
    </w:p>
    <w:p w14:paraId="06726EC4">
      <w:pPr>
        <w:pStyle w:val="21"/>
        <w:adjustRightInd w:val="0"/>
        <w:snapToGrid w:val="0"/>
        <w:spacing w:before="0" w:beforeAutospacing="0" w:after="0" w:afterAutospacing="0" w:line="460" w:lineRule="exact"/>
        <w:ind w:firstLine="360" w:firstLineChars="150"/>
        <w:rPr>
          <w:rFonts w:hint="eastAsia" w:ascii="宋体" w:hAnsi="宋体" w:eastAsia="宋体" w:cs="宋体"/>
          <w:bCs/>
          <w:color w:val="auto"/>
          <w:highlight w:val="none"/>
          <w:lang w:eastAsia="zh-CN"/>
        </w:rPr>
      </w:pPr>
      <w:r>
        <w:rPr>
          <w:rFonts w:hint="eastAsia" w:ascii="宋体" w:hAnsi="宋体" w:eastAsia="宋体" w:cs="宋体"/>
          <w:bCs/>
          <w:color w:val="auto"/>
          <w:highlight w:val="none"/>
        </w:rPr>
        <w:t>联系人：</w:t>
      </w:r>
      <w:r>
        <w:rPr>
          <w:rFonts w:hint="eastAsia" w:ascii="宋体" w:hAnsi="宋体" w:cs="宋体"/>
          <w:bCs/>
          <w:color w:val="auto"/>
          <w:highlight w:val="none"/>
          <w:lang w:eastAsia="zh-CN"/>
        </w:rPr>
        <w:t>鹏泽项目管理有限公司</w:t>
      </w:r>
      <w:r>
        <w:rPr>
          <w:rFonts w:hint="eastAsia" w:ascii="宋体" w:hAnsi="宋体" w:eastAsia="宋体" w:cs="宋体"/>
          <w:bCs/>
          <w:color w:val="auto"/>
          <w:highlight w:val="none"/>
        </w:rPr>
        <w:t>/联系方式：</w:t>
      </w:r>
      <w:r>
        <w:rPr>
          <w:rFonts w:hint="eastAsia" w:ascii="宋体" w:hAnsi="宋体" w:cs="宋体"/>
          <w:bCs/>
          <w:color w:val="auto"/>
          <w:highlight w:val="none"/>
          <w:lang w:eastAsia="zh-CN"/>
        </w:rPr>
        <w:t>18392098590</w:t>
      </w:r>
    </w:p>
    <w:bookmarkEnd w:id="425"/>
    <w:bookmarkEnd w:id="426"/>
    <w:bookmarkEnd w:id="427"/>
    <w:bookmarkEnd w:id="428"/>
    <w:bookmarkEnd w:id="429"/>
    <w:bookmarkEnd w:id="430"/>
    <w:bookmarkEnd w:id="431"/>
    <w:bookmarkEnd w:id="432"/>
    <w:bookmarkEnd w:id="433"/>
    <w:bookmarkEnd w:id="434"/>
    <w:bookmarkEnd w:id="435"/>
    <w:p w14:paraId="012BA512">
      <w:pPr>
        <w:spacing w:before="120" w:line="480" w:lineRule="auto"/>
        <w:jc w:val="center"/>
        <w:rPr>
          <w:rFonts w:hint="eastAsia" w:ascii="宋体" w:hAnsi="宋体" w:eastAsia="宋体" w:cs="宋体"/>
          <w:bCs/>
          <w:color w:val="auto"/>
          <w:sz w:val="36"/>
          <w:szCs w:val="36"/>
          <w:highlight w:val="none"/>
        </w:rPr>
        <w:sectPr>
          <w:pgSz w:w="11906" w:h="16838"/>
          <w:pgMar w:top="1440" w:right="1080" w:bottom="1440" w:left="1080" w:header="851" w:footer="992" w:gutter="0"/>
          <w:pgNumType w:fmt="decimal"/>
          <w:cols w:space="720" w:num="1"/>
          <w:docGrid w:type="lines" w:linePitch="312" w:charSpace="0"/>
        </w:sectPr>
      </w:pPr>
      <w:bookmarkStart w:id="447" w:name="_Toc29549"/>
      <w:bookmarkStart w:id="448" w:name="_Toc18524"/>
      <w:bookmarkStart w:id="449" w:name="_Toc1542"/>
      <w:bookmarkStart w:id="450" w:name="_Toc18860"/>
      <w:bookmarkStart w:id="451" w:name="_Toc116"/>
      <w:bookmarkStart w:id="452" w:name="_Toc24136"/>
    </w:p>
    <w:p w14:paraId="7655E7FC">
      <w:pPr>
        <w:spacing w:before="120" w:line="480" w:lineRule="auto"/>
        <w:jc w:val="center"/>
        <w:outlineLvl w:val="0"/>
        <w:rPr>
          <w:rFonts w:hint="eastAsia" w:ascii="宋体" w:hAnsi="宋体" w:eastAsia="宋体" w:cs="宋体"/>
          <w:bCs/>
          <w:color w:val="auto"/>
          <w:sz w:val="36"/>
          <w:szCs w:val="36"/>
          <w:highlight w:val="none"/>
        </w:rPr>
      </w:pPr>
      <w:bookmarkStart w:id="453" w:name="_Toc30698"/>
      <w:bookmarkStart w:id="454" w:name="_Toc19752"/>
      <w:r>
        <w:rPr>
          <w:rFonts w:hint="eastAsia" w:ascii="宋体" w:hAnsi="宋体" w:eastAsia="宋体" w:cs="宋体"/>
          <w:bCs/>
          <w:color w:val="auto"/>
          <w:sz w:val="36"/>
          <w:szCs w:val="36"/>
          <w:highlight w:val="none"/>
        </w:rPr>
        <w:t>第四部分</w:t>
      </w:r>
      <w:r>
        <w:rPr>
          <w:rFonts w:hint="eastAsia" w:ascii="宋体" w:hAnsi="宋体" w:eastAsia="宋体" w:cs="宋体"/>
          <w:bCs/>
          <w:color w:val="auto"/>
          <w:sz w:val="32"/>
          <w:szCs w:val="32"/>
          <w:highlight w:val="none"/>
        </w:rPr>
        <w:t xml:space="preserve">  </w:t>
      </w:r>
      <w:bookmarkEnd w:id="447"/>
      <w:bookmarkEnd w:id="448"/>
      <w:bookmarkEnd w:id="449"/>
      <w:bookmarkEnd w:id="450"/>
      <w:bookmarkEnd w:id="451"/>
      <w:bookmarkEnd w:id="452"/>
      <w:bookmarkStart w:id="455" w:name="_Toc31701"/>
      <w:r>
        <w:rPr>
          <w:rFonts w:hint="eastAsia" w:ascii="宋体" w:hAnsi="宋体" w:eastAsia="宋体" w:cs="宋体"/>
          <w:bCs/>
          <w:color w:val="auto"/>
          <w:sz w:val="36"/>
          <w:szCs w:val="36"/>
          <w:highlight w:val="none"/>
        </w:rPr>
        <w:t>政府采购合同（参考格式）</w:t>
      </w:r>
      <w:bookmarkEnd w:id="453"/>
      <w:bookmarkEnd w:id="454"/>
    </w:p>
    <w:p w14:paraId="5A8E8374">
      <w:pPr>
        <w:rPr>
          <w:rFonts w:hint="eastAsia" w:ascii="宋体" w:hAnsi="宋体" w:eastAsia="宋体" w:cs="宋体"/>
          <w:bCs/>
          <w:color w:val="auto"/>
          <w:kern w:val="0"/>
          <w:sz w:val="48"/>
          <w:szCs w:val="48"/>
          <w:highlight w:val="none"/>
        </w:rPr>
      </w:pPr>
    </w:p>
    <w:p w14:paraId="04309B95">
      <w:pPr>
        <w:spacing w:before="120" w:line="480" w:lineRule="auto"/>
        <w:jc w:val="center"/>
        <w:rPr>
          <w:rFonts w:hint="eastAsia" w:ascii="宋体" w:hAnsi="宋体" w:eastAsia="宋体" w:cs="宋体"/>
          <w:bCs/>
          <w:color w:val="auto"/>
          <w:sz w:val="28"/>
          <w:szCs w:val="28"/>
          <w:highlight w:val="none"/>
        </w:rPr>
      </w:pPr>
      <w:bookmarkStart w:id="456" w:name="_Toc18440"/>
      <w:bookmarkStart w:id="457" w:name="_Toc10304"/>
      <w:r>
        <w:rPr>
          <w:rFonts w:hint="eastAsia" w:ascii="宋体" w:hAnsi="宋体" w:eastAsia="宋体" w:cs="宋体"/>
          <w:bCs/>
          <w:color w:val="auto"/>
          <w:sz w:val="36"/>
          <w:szCs w:val="36"/>
          <w:highlight w:val="none"/>
        </w:rPr>
        <w:t>政 府 采 购 合 同</w:t>
      </w:r>
      <w:bookmarkEnd w:id="456"/>
      <w:bookmarkEnd w:id="457"/>
      <w:bookmarkStart w:id="458" w:name="_Toc109542396"/>
      <w:bookmarkStart w:id="459" w:name="_Toc109543216"/>
    </w:p>
    <w:p w14:paraId="31C5DA1D">
      <w:pPr>
        <w:spacing w:before="120" w:line="480" w:lineRule="auto"/>
        <w:jc w:val="center"/>
        <w:rPr>
          <w:rFonts w:hint="eastAsia" w:ascii="宋体" w:hAnsi="宋体" w:eastAsia="宋体" w:cs="宋体"/>
          <w:bCs/>
          <w:color w:val="auto"/>
          <w:sz w:val="28"/>
          <w:szCs w:val="28"/>
          <w:highlight w:val="none"/>
        </w:rPr>
      </w:pPr>
      <w:bookmarkStart w:id="460" w:name="_Toc21777"/>
      <w:bookmarkStart w:id="461" w:name="_Toc6312"/>
      <w:bookmarkStart w:id="462" w:name="_Toc26183"/>
      <w:bookmarkStart w:id="463" w:name="_Toc4959"/>
      <w:bookmarkStart w:id="464" w:name="_Toc2649"/>
      <w:bookmarkStart w:id="465" w:name="_Toc23469"/>
      <w:bookmarkStart w:id="466" w:name="_Toc25372"/>
      <w:bookmarkStart w:id="467" w:name="_Toc17706"/>
      <w:bookmarkStart w:id="468" w:name="_Toc26030"/>
      <w:bookmarkStart w:id="469" w:name="_Toc30607"/>
      <w:bookmarkStart w:id="470" w:name="_Toc2165"/>
      <w:bookmarkStart w:id="471" w:name="_Toc12884"/>
      <w:bookmarkStart w:id="472" w:name="_Toc13444"/>
      <w:bookmarkStart w:id="473" w:name="_Toc32650"/>
      <w:bookmarkStart w:id="474" w:name="_Toc18194"/>
      <w:bookmarkStart w:id="475" w:name="_Toc5099"/>
      <w:bookmarkStart w:id="476" w:name="_Toc21410"/>
      <w:bookmarkStart w:id="477" w:name="_Toc24970"/>
      <w:bookmarkStart w:id="478" w:name="_Toc17458"/>
      <w:bookmarkStart w:id="479" w:name="_Toc26237"/>
      <w:r>
        <w:rPr>
          <w:rFonts w:hint="eastAsia" w:ascii="宋体" w:hAnsi="宋体" w:eastAsia="宋体" w:cs="宋体"/>
          <w:bCs/>
          <w:color w:val="auto"/>
          <w:sz w:val="24"/>
          <w:szCs w:val="24"/>
          <w:highlight w:val="none"/>
        </w:rPr>
        <w:t>（此合同只作为参考，最终签订的合同以采购人确定的合同内容为准。）</w:t>
      </w:r>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p>
    <w:p w14:paraId="534C19C4">
      <w:pPr>
        <w:spacing w:before="120" w:line="360" w:lineRule="auto"/>
        <w:rPr>
          <w:rFonts w:hint="eastAsia" w:ascii="宋体" w:hAnsi="宋体" w:eastAsia="宋体" w:cs="宋体"/>
          <w:bCs/>
          <w:color w:val="auto"/>
          <w:sz w:val="28"/>
          <w:szCs w:val="28"/>
          <w:highlight w:val="none"/>
        </w:rPr>
      </w:pPr>
    </w:p>
    <w:p w14:paraId="4BD95FF6">
      <w:pPr>
        <w:spacing w:before="120" w:line="360" w:lineRule="auto"/>
        <w:ind w:firstLine="2800" w:firstLineChars="1000"/>
        <w:rPr>
          <w:rFonts w:hint="eastAsia" w:ascii="宋体" w:hAnsi="宋体" w:eastAsia="宋体" w:cs="宋体"/>
          <w:bCs/>
          <w:color w:val="auto"/>
          <w:sz w:val="28"/>
          <w:szCs w:val="28"/>
          <w:highlight w:val="none"/>
        </w:rPr>
      </w:pPr>
      <w:bookmarkStart w:id="480" w:name="_Toc13607"/>
      <w:bookmarkStart w:id="481" w:name="_Toc25061"/>
      <w:bookmarkStart w:id="482" w:name="_Toc24913"/>
      <w:bookmarkStart w:id="483" w:name="_Toc14706"/>
      <w:bookmarkStart w:id="484" w:name="_Toc8388"/>
      <w:bookmarkStart w:id="485" w:name="_Toc16456"/>
      <w:bookmarkStart w:id="486" w:name="_Toc30744"/>
      <w:bookmarkStart w:id="487" w:name="_Toc26076"/>
      <w:bookmarkStart w:id="488" w:name="_Toc14442"/>
      <w:bookmarkStart w:id="489" w:name="_Toc28265"/>
      <w:bookmarkStart w:id="490" w:name="_Toc15553"/>
      <w:bookmarkStart w:id="491" w:name="_Toc18638"/>
      <w:bookmarkStart w:id="492" w:name="_Toc16044"/>
      <w:bookmarkStart w:id="493" w:name="_Toc32273"/>
      <w:bookmarkStart w:id="494" w:name="_Toc22615"/>
      <w:bookmarkStart w:id="495" w:name="_Toc9396"/>
      <w:bookmarkStart w:id="496" w:name="_Toc17388"/>
      <w:bookmarkStart w:id="497" w:name="_Toc18503"/>
      <w:r>
        <w:rPr>
          <w:rFonts w:hint="eastAsia" w:ascii="宋体" w:hAnsi="宋体" w:eastAsia="宋体" w:cs="宋体"/>
          <w:bCs/>
          <w:color w:val="auto"/>
          <w:sz w:val="28"/>
          <w:szCs w:val="28"/>
          <w:highlight w:val="none"/>
        </w:rPr>
        <w:t>合同编号：</w:t>
      </w:r>
      <w:bookmarkEnd w:id="458"/>
      <w:bookmarkEnd w:id="459"/>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r>
        <w:rPr>
          <w:rFonts w:hint="eastAsia" w:ascii="宋体" w:hAnsi="宋体" w:eastAsia="宋体" w:cs="宋体"/>
          <w:bCs/>
          <w:color w:val="auto"/>
          <w:sz w:val="28"/>
          <w:szCs w:val="28"/>
          <w:highlight w:val="none"/>
          <w:u w:val="single"/>
        </w:rPr>
        <w:t xml:space="preserve">             </w:t>
      </w:r>
      <w:r>
        <w:rPr>
          <w:rFonts w:hint="eastAsia" w:ascii="宋体" w:hAnsi="宋体" w:eastAsia="宋体" w:cs="宋体"/>
          <w:bCs/>
          <w:color w:val="auto"/>
          <w:sz w:val="28"/>
          <w:szCs w:val="28"/>
          <w:highlight w:val="none"/>
        </w:rPr>
        <w:t xml:space="preserve">        </w:t>
      </w:r>
    </w:p>
    <w:p w14:paraId="574239F1">
      <w:pPr>
        <w:spacing w:before="120" w:line="360" w:lineRule="auto"/>
        <w:jc w:val="center"/>
        <w:rPr>
          <w:rFonts w:hint="eastAsia" w:ascii="宋体" w:hAnsi="宋体" w:eastAsia="宋体" w:cs="宋体"/>
          <w:bCs/>
          <w:color w:val="auto"/>
          <w:sz w:val="48"/>
          <w:szCs w:val="48"/>
          <w:highlight w:val="none"/>
        </w:rPr>
      </w:pPr>
    </w:p>
    <w:p w14:paraId="719E9329">
      <w:pPr>
        <w:spacing w:line="570" w:lineRule="exact"/>
        <w:jc w:val="center"/>
        <w:rPr>
          <w:rFonts w:hint="eastAsia" w:ascii="宋体" w:hAnsi="宋体" w:eastAsia="宋体" w:cs="宋体"/>
          <w:bCs/>
          <w:color w:val="auto"/>
          <w:spacing w:val="208"/>
          <w:sz w:val="44"/>
          <w:szCs w:val="44"/>
          <w:highlight w:val="none"/>
        </w:rPr>
      </w:pPr>
    </w:p>
    <w:p w14:paraId="7A5B9652">
      <w:pPr>
        <w:pStyle w:val="6"/>
        <w:rPr>
          <w:rFonts w:hint="eastAsia" w:ascii="宋体" w:hAnsi="宋体" w:eastAsia="宋体" w:cs="宋体"/>
          <w:b w:val="0"/>
          <w:bCs/>
          <w:color w:val="auto"/>
          <w:spacing w:val="208"/>
          <w:sz w:val="44"/>
          <w:szCs w:val="44"/>
          <w:highlight w:val="none"/>
        </w:rPr>
      </w:pPr>
    </w:p>
    <w:p w14:paraId="123E46E7">
      <w:pPr>
        <w:rPr>
          <w:rFonts w:hint="eastAsia" w:ascii="宋体" w:hAnsi="宋体" w:eastAsia="宋体" w:cs="宋体"/>
          <w:bCs/>
          <w:color w:val="auto"/>
          <w:highlight w:val="none"/>
        </w:rPr>
      </w:pPr>
    </w:p>
    <w:p w14:paraId="46FCACD3">
      <w:pPr>
        <w:spacing w:line="570" w:lineRule="exact"/>
        <w:rPr>
          <w:rFonts w:hint="eastAsia" w:ascii="宋体" w:hAnsi="宋体" w:eastAsia="宋体" w:cs="宋体"/>
          <w:bCs/>
          <w:color w:val="auto"/>
          <w:sz w:val="32"/>
          <w:highlight w:val="none"/>
        </w:rPr>
      </w:pPr>
    </w:p>
    <w:p w14:paraId="6F6943D9">
      <w:pPr>
        <w:spacing w:line="570" w:lineRule="exact"/>
        <w:rPr>
          <w:rFonts w:hint="eastAsia" w:ascii="宋体" w:hAnsi="宋体" w:eastAsia="宋体" w:cs="宋体"/>
          <w:bCs/>
          <w:color w:val="auto"/>
          <w:sz w:val="32"/>
          <w:highlight w:val="none"/>
        </w:rPr>
      </w:pPr>
    </w:p>
    <w:p w14:paraId="52F49ED5">
      <w:pPr>
        <w:spacing w:line="570" w:lineRule="exact"/>
        <w:rPr>
          <w:rFonts w:hint="eastAsia" w:ascii="宋体" w:hAnsi="宋体" w:eastAsia="宋体" w:cs="宋体"/>
          <w:bCs/>
          <w:color w:val="auto"/>
          <w:sz w:val="32"/>
          <w:highlight w:val="none"/>
        </w:rPr>
      </w:pPr>
    </w:p>
    <w:p w14:paraId="34309ECE">
      <w:pPr>
        <w:spacing w:line="570" w:lineRule="exact"/>
        <w:rPr>
          <w:rFonts w:hint="eastAsia" w:ascii="宋体" w:hAnsi="宋体" w:eastAsia="宋体" w:cs="宋体"/>
          <w:bCs/>
          <w:color w:val="auto"/>
          <w:sz w:val="32"/>
          <w:highlight w:val="none"/>
        </w:rPr>
      </w:pPr>
    </w:p>
    <w:p w14:paraId="2605965B">
      <w:pPr>
        <w:spacing w:before="120" w:line="360" w:lineRule="auto"/>
        <w:ind w:left="96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采购项目名称：</w:t>
      </w:r>
      <w:r>
        <w:rPr>
          <w:rFonts w:hint="eastAsia" w:ascii="宋体" w:hAnsi="宋体" w:eastAsia="宋体" w:cs="宋体"/>
          <w:bCs/>
          <w:color w:val="auto"/>
          <w:sz w:val="28"/>
          <w:szCs w:val="28"/>
          <w:highlight w:val="none"/>
          <w:u w:val="single"/>
        </w:rPr>
        <w:t xml:space="preserve">                                   </w:t>
      </w:r>
    </w:p>
    <w:p w14:paraId="5B568C6E">
      <w:pPr>
        <w:spacing w:before="120" w:line="360" w:lineRule="auto"/>
        <w:ind w:left="96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采  购  人：</w:t>
      </w:r>
      <w:r>
        <w:rPr>
          <w:rFonts w:hint="eastAsia" w:ascii="宋体" w:hAnsi="宋体" w:eastAsia="宋体" w:cs="宋体"/>
          <w:bCs/>
          <w:color w:val="auto"/>
          <w:sz w:val="28"/>
          <w:szCs w:val="28"/>
          <w:highlight w:val="none"/>
          <w:u w:val="single"/>
        </w:rPr>
        <w:t xml:space="preserve">                                     </w:t>
      </w:r>
    </w:p>
    <w:p w14:paraId="6C3B7D0A">
      <w:pPr>
        <w:spacing w:before="120" w:line="360" w:lineRule="auto"/>
        <w:ind w:left="960"/>
        <w:rPr>
          <w:rFonts w:hint="eastAsia" w:ascii="宋体" w:hAnsi="宋体" w:eastAsia="宋体" w:cs="宋体"/>
          <w:bCs/>
          <w:color w:val="auto"/>
          <w:sz w:val="28"/>
          <w:szCs w:val="28"/>
          <w:highlight w:val="none"/>
          <w:u w:val="single"/>
        </w:rPr>
      </w:pPr>
      <w:r>
        <w:rPr>
          <w:rFonts w:hint="eastAsia" w:ascii="宋体" w:hAnsi="宋体" w:eastAsia="宋体" w:cs="宋体"/>
          <w:bCs/>
          <w:color w:val="auto"/>
          <w:sz w:val="28"/>
          <w:szCs w:val="28"/>
          <w:highlight w:val="none"/>
        </w:rPr>
        <w:t>供  应  商：</w:t>
      </w:r>
      <w:r>
        <w:rPr>
          <w:rFonts w:hint="eastAsia" w:ascii="宋体" w:hAnsi="宋体" w:eastAsia="宋体" w:cs="宋体"/>
          <w:bCs/>
          <w:color w:val="auto"/>
          <w:sz w:val="28"/>
          <w:szCs w:val="28"/>
          <w:highlight w:val="none"/>
          <w:u w:val="single"/>
        </w:rPr>
        <w:t xml:space="preserve">                                     </w:t>
      </w:r>
    </w:p>
    <w:p w14:paraId="1BFF1014">
      <w:pPr>
        <w:spacing w:line="360" w:lineRule="auto"/>
        <w:ind w:firstLine="977" w:firstLineChars="349"/>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8"/>
          <w:szCs w:val="28"/>
          <w:highlight w:val="none"/>
        </w:rPr>
        <w:t>签 署 日 期：</w:t>
      </w:r>
      <w:r>
        <w:rPr>
          <w:rFonts w:hint="eastAsia" w:ascii="宋体" w:hAnsi="宋体" w:eastAsia="宋体" w:cs="宋体"/>
          <w:bCs/>
          <w:color w:val="auto"/>
          <w:sz w:val="24"/>
          <w:szCs w:val="24"/>
          <w:highlight w:val="none"/>
          <w:u w:val="single"/>
        </w:rPr>
        <w:t xml:space="preserve">　　　　　　　　　　　　　             　 </w:t>
      </w:r>
    </w:p>
    <w:p w14:paraId="422FA314">
      <w:pPr>
        <w:spacing w:line="360" w:lineRule="auto"/>
        <w:rPr>
          <w:rFonts w:hint="eastAsia" w:ascii="宋体" w:hAnsi="宋体" w:eastAsia="宋体" w:cs="宋体"/>
          <w:bCs/>
          <w:color w:val="auto"/>
          <w:sz w:val="28"/>
          <w:szCs w:val="28"/>
          <w:highlight w:val="none"/>
        </w:rPr>
      </w:pPr>
    </w:p>
    <w:p w14:paraId="3923C6E5">
      <w:pPr>
        <w:spacing w:line="360" w:lineRule="auto"/>
        <w:ind w:firstLine="977" w:firstLineChars="349"/>
        <w:jc w:val="center"/>
        <w:rPr>
          <w:rFonts w:hint="eastAsia" w:ascii="宋体" w:hAnsi="宋体" w:eastAsia="宋体" w:cs="宋体"/>
          <w:bCs/>
          <w:color w:val="auto"/>
          <w:sz w:val="28"/>
          <w:szCs w:val="28"/>
          <w:highlight w:val="none"/>
        </w:rPr>
        <w:sectPr>
          <w:pgSz w:w="11906" w:h="16838"/>
          <w:pgMar w:top="1440" w:right="1080" w:bottom="1440" w:left="1080" w:header="851" w:footer="992" w:gutter="0"/>
          <w:pgNumType w:fmt="decimal"/>
          <w:cols w:space="720" w:num="1"/>
          <w:docGrid w:type="lines" w:linePitch="312" w:charSpace="0"/>
        </w:sectPr>
      </w:pPr>
      <w:r>
        <w:rPr>
          <w:rFonts w:hint="eastAsia" w:ascii="宋体" w:hAnsi="宋体" w:eastAsia="宋体" w:cs="宋体"/>
          <w:bCs/>
          <w:color w:val="auto"/>
          <w:sz w:val="28"/>
          <w:szCs w:val="28"/>
          <w:highlight w:val="none"/>
        </w:rPr>
        <w:t>年   月   日</w:t>
      </w:r>
    </w:p>
    <w:p w14:paraId="3EB969C0">
      <w:pPr>
        <w:adjustRightInd w:val="0"/>
        <w:snapToGrid w:val="0"/>
        <w:spacing w:line="580" w:lineRule="exact"/>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采购人（全称）：</w:t>
      </w:r>
      <w:r>
        <w:rPr>
          <w:rFonts w:hint="eastAsia" w:ascii="宋体" w:hAnsi="宋体" w:eastAsia="宋体" w:cs="宋体"/>
          <w:bCs/>
          <w:color w:val="auto"/>
          <w:sz w:val="24"/>
          <w:highlight w:val="none"/>
          <w:u w:val="single"/>
        </w:rPr>
        <w:t xml:space="preserve">                                      </w:t>
      </w:r>
    </w:p>
    <w:p w14:paraId="7C392292">
      <w:pPr>
        <w:adjustRightInd w:val="0"/>
        <w:snapToGrid w:val="0"/>
        <w:spacing w:line="580" w:lineRule="exact"/>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供应商（全称）：</w:t>
      </w:r>
      <w:r>
        <w:rPr>
          <w:rFonts w:hint="eastAsia" w:ascii="宋体" w:hAnsi="宋体" w:eastAsia="宋体" w:cs="宋体"/>
          <w:bCs/>
          <w:color w:val="auto"/>
          <w:sz w:val="24"/>
          <w:highlight w:val="none"/>
          <w:u w:val="single"/>
        </w:rPr>
        <w:t xml:space="preserve">                                      </w:t>
      </w:r>
    </w:p>
    <w:p w14:paraId="488283DE">
      <w:pPr>
        <w:adjustRightInd w:val="0"/>
        <w:snapToGrid w:val="0"/>
        <w:spacing w:line="580" w:lineRule="exact"/>
        <w:ind w:firstLine="480" w:firstLineChars="200"/>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rPr>
        <w:t>根据《中华人民共和国民法典》及其他有关法律、法规，遵循平等、自愿、公平和诚信的原则，双方就下述项目范围与相关服务事项协商一致，订立本合同。</w:t>
      </w:r>
    </w:p>
    <w:p w14:paraId="3D76E8A5">
      <w:pPr>
        <w:spacing w:line="5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一、项目概况</w:t>
      </w:r>
    </w:p>
    <w:p w14:paraId="2C688D2A">
      <w:pPr>
        <w:adjustRightInd w:val="0"/>
        <w:snapToGrid w:val="0"/>
        <w:spacing w:line="580" w:lineRule="exact"/>
        <w:ind w:firstLine="475" w:firstLineChars="198"/>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 项目名称：</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w:t>
      </w:r>
    </w:p>
    <w:p w14:paraId="36BBD59B">
      <w:pPr>
        <w:adjustRightInd w:val="0"/>
        <w:snapToGrid w:val="0"/>
        <w:spacing w:line="580" w:lineRule="exact"/>
        <w:ind w:firstLine="475" w:firstLineChars="198"/>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 项目地点：</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w:t>
      </w:r>
    </w:p>
    <w:p w14:paraId="3F6414AE">
      <w:pPr>
        <w:adjustRightInd w:val="0"/>
        <w:snapToGrid w:val="0"/>
        <w:spacing w:line="580" w:lineRule="exact"/>
        <w:ind w:firstLine="475" w:firstLineChars="198"/>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3. 项目</w:t>
      </w:r>
      <w:r>
        <w:rPr>
          <w:rFonts w:hint="eastAsia" w:ascii="宋体" w:hAnsi="宋体" w:eastAsia="宋体" w:cs="宋体"/>
          <w:bCs/>
          <w:color w:val="auto"/>
          <w:kern w:val="0"/>
          <w:sz w:val="24"/>
          <w:highlight w:val="none"/>
        </w:rPr>
        <w:t>内容</w:t>
      </w:r>
      <w:r>
        <w:rPr>
          <w:rFonts w:hint="eastAsia" w:ascii="宋体" w:hAnsi="宋体" w:eastAsia="宋体" w:cs="宋体"/>
          <w:bCs/>
          <w:color w:val="auto"/>
          <w:sz w:val="24"/>
          <w:highlight w:val="none"/>
        </w:rPr>
        <w:t>：</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w:t>
      </w:r>
    </w:p>
    <w:p w14:paraId="39774E78">
      <w:pPr>
        <w:spacing w:line="5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二、组成本合同的文件</w:t>
      </w:r>
    </w:p>
    <w:p w14:paraId="2D0AFB92">
      <w:pPr>
        <w:adjustRightInd w:val="0"/>
        <w:snapToGrid w:val="0"/>
        <w:spacing w:line="580" w:lineRule="exact"/>
        <w:ind w:firstLine="475" w:firstLineChars="198"/>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 协议书；</w:t>
      </w:r>
    </w:p>
    <w:p w14:paraId="10C4B8BD">
      <w:pPr>
        <w:adjustRightInd w:val="0"/>
        <w:snapToGrid w:val="0"/>
        <w:spacing w:line="580" w:lineRule="exact"/>
        <w:ind w:firstLine="475" w:firstLineChars="198"/>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 谈判响应文件、澄清、成交通知书；</w:t>
      </w:r>
    </w:p>
    <w:p w14:paraId="51C507E7">
      <w:pPr>
        <w:adjustRightInd w:val="0"/>
        <w:snapToGrid w:val="0"/>
        <w:spacing w:line="580" w:lineRule="exact"/>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3. 相关服务建议书；</w:t>
      </w:r>
    </w:p>
    <w:p w14:paraId="3E14822C">
      <w:pPr>
        <w:adjustRightInd w:val="0"/>
        <w:snapToGrid w:val="0"/>
        <w:spacing w:line="5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4. 附录，即：附表内相关服务的范围和内容；</w:t>
      </w:r>
    </w:p>
    <w:p w14:paraId="4B4BDB55">
      <w:pPr>
        <w:adjustRightInd w:val="0"/>
        <w:snapToGrid w:val="0"/>
        <w:spacing w:line="580" w:lineRule="exact"/>
        <w:ind w:firstLine="475" w:firstLineChars="198"/>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本合同签订后，双方依法签订的补充协议、备忘录也是本合同文件的组成部分。</w:t>
      </w:r>
    </w:p>
    <w:p w14:paraId="37F60A85">
      <w:pPr>
        <w:spacing w:line="5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三、签约金额</w:t>
      </w:r>
    </w:p>
    <w:p w14:paraId="55E13AAD">
      <w:pPr>
        <w:adjustRightInd w:val="0"/>
        <w:snapToGrid w:val="0"/>
        <w:spacing w:line="580" w:lineRule="exact"/>
        <w:ind w:firstLine="475" w:firstLineChars="198"/>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签约金额（大写）：</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w:t>
      </w:r>
    </w:p>
    <w:p w14:paraId="26AB12C9">
      <w:pPr>
        <w:adjustRightInd w:val="0"/>
        <w:snapToGrid w:val="0"/>
        <w:spacing w:line="580" w:lineRule="exact"/>
        <w:ind w:firstLine="475" w:firstLineChars="198"/>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合同单价一次包死，不受市场价变化或实际工作量变化的影响，合同价格为含税价，供应商（成交人）提供服务所发生的一切税（包括增值税）费等都已包含于合同价款中。</w:t>
      </w:r>
    </w:p>
    <w:p w14:paraId="277A448B">
      <w:pPr>
        <w:numPr>
          <w:ilvl w:val="0"/>
          <w:numId w:val="3"/>
        </w:numPr>
        <w:adjustRightInd w:val="0"/>
        <w:snapToGrid w:val="0"/>
        <w:spacing w:line="5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结算方式：</w:t>
      </w:r>
    </w:p>
    <w:p w14:paraId="661C4525">
      <w:pPr>
        <w:adjustRightInd w:val="0"/>
        <w:snapToGrid w:val="0"/>
        <w:spacing w:line="580" w:lineRule="exact"/>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（1）结算单位：由采购人以人民币负责结算，在付款前，供应商必须开具发票给采购人。</w:t>
      </w:r>
    </w:p>
    <w:p w14:paraId="1A344213">
      <w:pPr>
        <w:adjustRightInd w:val="0"/>
        <w:snapToGrid w:val="0"/>
        <w:spacing w:line="580" w:lineRule="exact"/>
        <w:ind w:firstLine="475" w:firstLineChars="198"/>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rPr>
        <w:t>（2）</w:t>
      </w:r>
      <w:r>
        <w:rPr>
          <w:rFonts w:hint="eastAsia" w:ascii="宋体" w:hAnsi="宋体" w:eastAsia="宋体" w:cs="宋体"/>
          <w:bCs/>
          <w:color w:val="auto"/>
          <w:sz w:val="24"/>
          <w:szCs w:val="24"/>
          <w:highlight w:val="none"/>
        </w:rPr>
        <w:t>付款方式：</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w:t>
      </w:r>
    </w:p>
    <w:p w14:paraId="24AAEEE4">
      <w:pPr>
        <w:adjustRightInd w:val="0"/>
        <w:snapToGrid w:val="0"/>
        <w:spacing w:line="5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五、期限</w:t>
      </w:r>
    </w:p>
    <w:p w14:paraId="1EF14951">
      <w:pPr>
        <w:adjustRightInd w:val="0"/>
        <w:snapToGrid w:val="0"/>
        <w:spacing w:line="580" w:lineRule="exact"/>
        <w:ind w:firstLine="480" w:firstLineChars="200"/>
        <w:jc w:val="left"/>
        <w:rPr>
          <w:rFonts w:hint="eastAsia" w:ascii="宋体" w:hAnsi="宋体" w:eastAsia="宋体" w:cs="宋体"/>
          <w:bCs/>
          <w:color w:val="auto"/>
          <w:kern w:val="0"/>
          <w:sz w:val="24"/>
          <w:highlight w:val="none"/>
        </w:rPr>
      </w:pPr>
      <w:r>
        <w:rPr>
          <w:rFonts w:hint="eastAsia" w:ascii="宋体" w:hAnsi="宋体" w:eastAsia="宋体" w:cs="宋体"/>
          <w:bCs/>
          <w:color w:val="auto"/>
          <w:sz w:val="24"/>
          <w:szCs w:val="24"/>
          <w:highlight w:val="none"/>
        </w:rPr>
        <w:t>服务期：</w:t>
      </w:r>
      <w:r>
        <w:rPr>
          <w:rFonts w:hint="eastAsia" w:ascii="宋体" w:hAnsi="宋体" w:eastAsia="宋体" w:cs="宋体"/>
          <w:bCs/>
          <w:color w:val="auto"/>
          <w:kern w:val="0"/>
          <w:sz w:val="24"/>
          <w:highlight w:val="none"/>
          <w:u w:val="single"/>
        </w:rPr>
        <w:t xml:space="preserve">                   </w:t>
      </w:r>
      <w:r>
        <w:rPr>
          <w:rFonts w:hint="eastAsia" w:ascii="宋体" w:hAnsi="宋体" w:eastAsia="宋体" w:cs="宋体"/>
          <w:bCs/>
          <w:color w:val="auto"/>
          <w:kern w:val="0"/>
          <w:sz w:val="24"/>
          <w:highlight w:val="none"/>
        </w:rPr>
        <w:t>。</w:t>
      </w:r>
      <w:r>
        <w:rPr>
          <w:rFonts w:hint="eastAsia" w:ascii="宋体" w:hAnsi="宋体" w:eastAsia="宋体" w:cs="宋体"/>
          <w:color w:val="auto"/>
          <w:kern w:val="0"/>
          <w:sz w:val="24"/>
          <w:lang w:eastAsia="zh-CN"/>
        </w:rPr>
        <w:t>（</w:t>
      </w:r>
      <w:r>
        <w:rPr>
          <w:rFonts w:hint="eastAsia" w:ascii="宋体" w:hAnsi="宋体" w:eastAsia="宋体" w:cs="宋体"/>
          <w:color w:val="auto"/>
          <w:kern w:val="0"/>
          <w:sz w:val="24"/>
        </w:rPr>
        <w:t>服务期满后如双方同意可续约，续约最多不超过一年</w:t>
      </w:r>
      <w:r>
        <w:rPr>
          <w:rFonts w:hint="eastAsia" w:ascii="宋体" w:hAnsi="宋体" w:eastAsia="宋体" w:cs="宋体"/>
          <w:color w:val="auto"/>
          <w:kern w:val="0"/>
          <w:sz w:val="24"/>
          <w:lang w:eastAsia="zh-CN"/>
        </w:rPr>
        <w:t>）</w:t>
      </w:r>
      <w:r>
        <w:rPr>
          <w:rFonts w:hint="eastAsia" w:ascii="宋体" w:hAnsi="宋体" w:eastAsia="宋体" w:cs="宋体"/>
          <w:color w:val="auto"/>
          <w:kern w:val="0"/>
          <w:sz w:val="24"/>
        </w:rPr>
        <w:t>。</w:t>
      </w:r>
    </w:p>
    <w:p w14:paraId="1E3DE606">
      <w:pPr>
        <w:spacing w:line="5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六、双方承诺</w:t>
      </w:r>
    </w:p>
    <w:p w14:paraId="57730B24">
      <w:pPr>
        <w:adjustRightInd w:val="0"/>
        <w:snapToGrid w:val="0"/>
        <w:spacing w:line="580" w:lineRule="exact"/>
        <w:ind w:firstLine="475" w:firstLineChars="198"/>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 供应商向采购人承诺，按照本合同约定提供相关服务。</w:t>
      </w:r>
    </w:p>
    <w:p w14:paraId="023C5922">
      <w:pPr>
        <w:adjustRightInd w:val="0"/>
        <w:snapToGrid w:val="0"/>
        <w:spacing w:line="580" w:lineRule="exact"/>
        <w:ind w:firstLine="475" w:firstLineChars="198"/>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 采购人向供应商承诺，按照本合同约定支付服务款项。</w:t>
      </w:r>
    </w:p>
    <w:p w14:paraId="364D6335">
      <w:pPr>
        <w:tabs>
          <w:tab w:val="left" w:pos="840"/>
        </w:tabs>
        <w:spacing w:line="5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七、内容及要求：</w:t>
      </w:r>
    </w:p>
    <w:p w14:paraId="00EEAA4B">
      <w:pPr>
        <w:tabs>
          <w:tab w:val="left" w:pos="840"/>
        </w:tabs>
        <w:spacing w:line="580" w:lineRule="exact"/>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即服务内容与谈判响应文件、成交通知书等所指明的，或者与本合同所指明的服务内容相一致。（附清单）</w:t>
      </w:r>
    </w:p>
    <w:p w14:paraId="655C8D8E">
      <w:pPr>
        <w:spacing w:line="5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八、项目服务地点：采购人指定地点。</w:t>
      </w:r>
    </w:p>
    <w:p w14:paraId="01D3C704">
      <w:pPr>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highlight w:val="none"/>
        </w:rPr>
        <w:t>九、</w:t>
      </w:r>
      <w:r>
        <w:rPr>
          <w:rFonts w:hint="eastAsia" w:ascii="宋体" w:hAnsi="宋体" w:eastAsia="宋体" w:cs="宋体"/>
          <w:bCs/>
          <w:color w:val="auto"/>
          <w:sz w:val="24"/>
          <w:szCs w:val="24"/>
          <w:highlight w:val="none"/>
        </w:rPr>
        <w:t>保密</w:t>
      </w:r>
    </w:p>
    <w:p w14:paraId="2C01DA00">
      <w:pPr>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双方须对工作中了解到的使用单位技术、机密等进行严格保密，不得向他人泄漏。</w:t>
      </w:r>
    </w:p>
    <w:p w14:paraId="074D55D3">
      <w:pPr>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十、知识产权</w:t>
      </w:r>
    </w:p>
    <w:p w14:paraId="4EE3A933">
      <w:pPr>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供应商应保证投标产品及服务不会出现因第三方提出侵犯其专利权、商标权或其它知识产权而引发法律或经济纠纷，否则由供应商承担全部责任。任何被供应商用于未经授权的商业目的行为所造成的违约或侵权责任由供应商承但。</w:t>
      </w:r>
    </w:p>
    <w:p w14:paraId="32DBCC5D">
      <w:pPr>
        <w:spacing w:line="5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十一、合同争议的解决：合同执行中发生争议的，当事人双方应协商解决，协商达不成一致时，可向采购人住所地有管辖权的人民法院提请诉讼。</w:t>
      </w:r>
    </w:p>
    <w:p w14:paraId="426B1922">
      <w:pPr>
        <w:spacing w:line="5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十二、在发生不可抗力情况下的应对措施和解决办法。</w:t>
      </w:r>
    </w:p>
    <w:p w14:paraId="7B7A816A">
      <w:pPr>
        <w:spacing w:line="5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十三、合同一经签订，不得擅自变更、中止或者终止合同。对确需变更、调整或者中止、终止合同的，应按规定履行相应的手续。</w:t>
      </w:r>
    </w:p>
    <w:p w14:paraId="17171A00">
      <w:pPr>
        <w:spacing w:line="5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十四、违约责任：依据《中华人民共和国民法典》、《中华人民共和国政府采购法》的相关条款和本合同约定，成交供应商未全面履行合同义务或者发生违约，采购单位会同代理机构有权终止合同，依法向成交供应商进行经济索赔，并报请政府采购监督管理机关进行相应的行政处罚。采购单位违约的，应当赔偿给成交供应商造成的经济损失。</w:t>
      </w:r>
    </w:p>
    <w:p w14:paraId="652C92BB">
      <w:pPr>
        <w:spacing w:line="5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十五、验收</w:t>
      </w:r>
    </w:p>
    <w:p w14:paraId="39F30FB4">
      <w:pPr>
        <w:spacing w:line="580" w:lineRule="exact"/>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由采购人负责组织验收，或者邀请有关专家、质检机构、代理机构共同进行验收,验收费用由中标供应商支付(备注：如有验收需向代理机构支付金额2000-3000元不等)；验收合格须交接项目实施的全部资料，并填写政府采购项目验收报告单。验收须以合同、招标文件及谈判响应文件、澄清、及国家相应的标准、规范等为依据。</w:t>
      </w:r>
    </w:p>
    <w:p w14:paraId="1BB072A0">
      <w:pPr>
        <w:spacing w:line="580" w:lineRule="exact"/>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十六、其他（在合同中具体明确）</w:t>
      </w:r>
    </w:p>
    <w:p w14:paraId="1F2AE705">
      <w:pPr>
        <w:spacing w:line="5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十七、合同订立</w:t>
      </w:r>
    </w:p>
    <w:p w14:paraId="2B54DED4">
      <w:pPr>
        <w:adjustRightInd w:val="0"/>
        <w:snapToGrid w:val="0"/>
        <w:spacing w:line="580" w:lineRule="exact"/>
        <w:ind w:firstLine="475" w:firstLineChars="198"/>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 订立时间：</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年</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月</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日。</w:t>
      </w:r>
    </w:p>
    <w:p w14:paraId="0554BE17">
      <w:pPr>
        <w:adjustRightInd w:val="0"/>
        <w:snapToGrid w:val="0"/>
        <w:spacing w:line="580" w:lineRule="exact"/>
        <w:ind w:firstLine="475" w:firstLineChars="198"/>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 订立地点：</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w:t>
      </w:r>
    </w:p>
    <w:p w14:paraId="7DC3455A">
      <w:pPr>
        <w:tabs>
          <w:tab w:val="left" w:pos="980"/>
        </w:tabs>
        <w:kinsoku w:val="0"/>
        <w:spacing w:line="580" w:lineRule="exact"/>
        <w:ind w:left="218" w:leftChars="104" w:firstLine="259" w:firstLineChars="108"/>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3. 本合同一式</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份，具有同等法律效力，双方各执</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份，监管部门备案壹份、代理机构存档壹份。各方签字盖章后生效，合同执行完毕自动失效（合同的服务承诺则长期有效）。</w:t>
      </w:r>
    </w:p>
    <w:p w14:paraId="43895C3A">
      <w:pPr>
        <w:adjustRightInd w:val="0"/>
        <w:snapToGrid w:val="0"/>
        <w:spacing w:line="580" w:lineRule="exact"/>
        <w:ind w:firstLine="475" w:firstLineChars="198"/>
        <w:rPr>
          <w:rFonts w:hint="eastAsia" w:ascii="宋体" w:hAnsi="宋体" w:eastAsia="宋体" w:cs="宋体"/>
          <w:bCs/>
          <w:color w:val="auto"/>
          <w:sz w:val="24"/>
          <w:highlight w:val="none"/>
        </w:rPr>
      </w:pPr>
    </w:p>
    <w:p w14:paraId="6939C775">
      <w:pPr>
        <w:adjustRightInd w:val="0"/>
        <w:snapToGrid w:val="0"/>
        <w:spacing w:line="360" w:lineRule="auto"/>
        <w:ind w:firstLine="475" w:firstLineChars="198"/>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采购人：</w:t>
      </w:r>
      <w:r>
        <w:rPr>
          <w:rFonts w:hint="eastAsia" w:ascii="宋体" w:hAnsi="宋体" w:eastAsia="宋体" w:cs="宋体"/>
          <w:bCs/>
          <w:color w:val="auto"/>
          <w:sz w:val="24"/>
          <w:highlight w:val="none"/>
          <w:u w:val="single"/>
        </w:rPr>
        <w:t xml:space="preserve">   （盖章）     </w:t>
      </w:r>
      <w:r>
        <w:rPr>
          <w:rFonts w:hint="eastAsia" w:ascii="宋体" w:hAnsi="宋体" w:eastAsia="宋体" w:cs="宋体"/>
          <w:bCs/>
          <w:color w:val="auto"/>
          <w:sz w:val="24"/>
          <w:highlight w:val="none"/>
        </w:rPr>
        <w:t xml:space="preserve">           供应商：</w:t>
      </w:r>
      <w:r>
        <w:rPr>
          <w:rFonts w:hint="eastAsia" w:ascii="宋体" w:hAnsi="宋体" w:eastAsia="宋体" w:cs="宋体"/>
          <w:bCs/>
          <w:color w:val="auto"/>
          <w:sz w:val="24"/>
          <w:highlight w:val="none"/>
          <w:u w:val="single"/>
        </w:rPr>
        <w:t xml:space="preserve">   （盖章）    </w:t>
      </w:r>
    </w:p>
    <w:p w14:paraId="57D2B4AE">
      <w:pPr>
        <w:adjustRightInd w:val="0"/>
        <w:snapToGrid w:val="0"/>
        <w:spacing w:line="360" w:lineRule="auto"/>
        <w:ind w:firstLine="475" w:firstLineChars="198"/>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地址： </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       地址： </w:t>
      </w:r>
      <w:r>
        <w:rPr>
          <w:rFonts w:hint="eastAsia" w:ascii="宋体" w:hAnsi="宋体" w:eastAsia="宋体" w:cs="宋体"/>
          <w:bCs/>
          <w:color w:val="auto"/>
          <w:sz w:val="24"/>
          <w:highlight w:val="none"/>
          <w:u w:val="single"/>
        </w:rPr>
        <w:t xml:space="preserve">                      </w:t>
      </w:r>
    </w:p>
    <w:p w14:paraId="7654B3B3">
      <w:pPr>
        <w:adjustRightInd w:val="0"/>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邮政编码：</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       邮政编码：</w:t>
      </w:r>
      <w:r>
        <w:rPr>
          <w:rFonts w:hint="eastAsia" w:ascii="宋体" w:hAnsi="宋体" w:eastAsia="宋体" w:cs="宋体"/>
          <w:bCs/>
          <w:color w:val="auto"/>
          <w:sz w:val="24"/>
          <w:highlight w:val="none"/>
          <w:u w:val="single"/>
        </w:rPr>
        <w:t xml:space="preserve">                  </w:t>
      </w:r>
    </w:p>
    <w:p w14:paraId="68889565">
      <w:pPr>
        <w:adjustRightInd w:val="0"/>
        <w:snapToGrid w:val="0"/>
        <w:spacing w:line="360" w:lineRule="auto"/>
        <w:ind w:firstLine="475" w:firstLineChars="198"/>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法定代表人或其授权                 法定代表人或其授权</w:t>
      </w:r>
    </w:p>
    <w:p w14:paraId="5693654A">
      <w:pPr>
        <w:adjustRightInd w:val="0"/>
        <w:snapToGrid w:val="0"/>
        <w:spacing w:line="360" w:lineRule="auto"/>
        <w:ind w:firstLine="475" w:firstLineChars="198"/>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的代理人：</w:t>
      </w:r>
      <w:r>
        <w:rPr>
          <w:rFonts w:hint="eastAsia" w:ascii="宋体" w:hAnsi="宋体" w:eastAsia="宋体" w:cs="宋体"/>
          <w:bCs/>
          <w:color w:val="auto"/>
          <w:sz w:val="24"/>
          <w:highlight w:val="none"/>
          <w:u w:val="single"/>
        </w:rPr>
        <w:t xml:space="preserve">（签字）      </w:t>
      </w:r>
      <w:r>
        <w:rPr>
          <w:rFonts w:hint="eastAsia" w:ascii="宋体" w:hAnsi="宋体" w:eastAsia="宋体" w:cs="宋体"/>
          <w:bCs/>
          <w:color w:val="auto"/>
          <w:sz w:val="24"/>
          <w:highlight w:val="none"/>
        </w:rPr>
        <w:t xml:space="preserve">            的代理人：</w:t>
      </w:r>
      <w:r>
        <w:rPr>
          <w:rFonts w:hint="eastAsia" w:ascii="宋体" w:hAnsi="宋体" w:eastAsia="宋体" w:cs="宋体"/>
          <w:bCs/>
          <w:color w:val="auto"/>
          <w:sz w:val="24"/>
          <w:highlight w:val="none"/>
          <w:u w:val="single"/>
        </w:rPr>
        <w:t xml:space="preserve">（签字）          </w:t>
      </w:r>
    </w:p>
    <w:p w14:paraId="4BF9F029">
      <w:pPr>
        <w:adjustRightInd w:val="0"/>
        <w:snapToGrid w:val="0"/>
        <w:spacing w:line="360" w:lineRule="auto"/>
        <w:ind w:firstLine="475" w:firstLineChars="198"/>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开户银行：</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        开户银行：</w:t>
      </w:r>
      <w:r>
        <w:rPr>
          <w:rFonts w:hint="eastAsia" w:ascii="宋体" w:hAnsi="宋体" w:eastAsia="宋体" w:cs="宋体"/>
          <w:bCs/>
          <w:color w:val="auto"/>
          <w:sz w:val="24"/>
          <w:highlight w:val="none"/>
          <w:u w:val="single"/>
        </w:rPr>
        <w:t xml:space="preserve">                  </w:t>
      </w:r>
    </w:p>
    <w:p w14:paraId="554CEEF6">
      <w:pPr>
        <w:adjustRightInd w:val="0"/>
        <w:snapToGrid w:val="0"/>
        <w:spacing w:line="360" w:lineRule="auto"/>
        <w:ind w:firstLine="475" w:firstLineChars="198"/>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账号：</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       账号：</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 </w:t>
      </w:r>
    </w:p>
    <w:p w14:paraId="5D977848">
      <w:pPr>
        <w:adjustRightInd w:val="0"/>
        <w:snapToGrid w:val="0"/>
        <w:spacing w:line="360" w:lineRule="auto"/>
        <w:ind w:firstLine="475" w:firstLineChars="198"/>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电话：</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       电话：</w:t>
      </w:r>
      <w:r>
        <w:rPr>
          <w:rFonts w:hint="eastAsia" w:ascii="宋体" w:hAnsi="宋体" w:eastAsia="宋体" w:cs="宋体"/>
          <w:bCs/>
          <w:color w:val="auto"/>
          <w:sz w:val="24"/>
          <w:highlight w:val="none"/>
          <w:u w:val="single"/>
        </w:rPr>
        <w:t xml:space="preserve">                       </w:t>
      </w:r>
    </w:p>
    <w:p w14:paraId="08DF8600">
      <w:pPr>
        <w:adjustRightInd w:val="0"/>
        <w:snapToGrid w:val="0"/>
        <w:spacing w:line="360" w:lineRule="auto"/>
        <w:ind w:firstLine="475" w:firstLineChars="198"/>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传真：</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       传真：</w:t>
      </w:r>
      <w:r>
        <w:rPr>
          <w:rFonts w:hint="eastAsia" w:ascii="宋体" w:hAnsi="宋体" w:eastAsia="宋体" w:cs="宋体"/>
          <w:bCs/>
          <w:color w:val="auto"/>
          <w:sz w:val="24"/>
          <w:highlight w:val="none"/>
          <w:u w:val="single"/>
        </w:rPr>
        <w:t xml:space="preserve">                       </w:t>
      </w:r>
    </w:p>
    <w:p w14:paraId="19EBBB83">
      <w:pPr>
        <w:adjustRightInd w:val="0"/>
        <w:snapToGrid w:val="0"/>
        <w:spacing w:line="360" w:lineRule="auto"/>
        <w:ind w:firstLine="475" w:firstLineChars="198"/>
        <w:rPr>
          <w:rFonts w:hint="eastAsia" w:ascii="宋体" w:hAnsi="宋体" w:eastAsia="宋体" w:cs="宋体"/>
          <w:bCs/>
          <w:color w:val="auto"/>
          <w:sz w:val="24"/>
          <w:highlight w:val="none"/>
          <w:u w:val="single"/>
        </w:rPr>
        <w:sectPr>
          <w:footerReference r:id="rId10" w:type="default"/>
          <w:pgSz w:w="11906" w:h="16838"/>
          <w:pgMar w:top="1440" w:right="1080" w:bottom="1440" w:left="1080" w:header="851" w:footer="992" w:gutter="0"/>
          <w:pgNumType w:fmt="decimal"/>
          <w:cols w:space="720" w:num="1"/>
          <w:docGrid w:type="lines" w:linePitch="312" w:charSpace="0"/>
        </w:sectPr>
      </w:pPr>
      <w:r>
        <w:rPr>
          <w:rFonts w:hint="eastAsia" w:ascii="宋体" w:hAnsi="宋体" w:eastAsia="宋体" w:cs="宋体"/>
          <w:bCs/>
          <w:color w:val="auto"/>
          <w:sz w:val="24"/>
          <w:highlight w:val="none"/>
        </w:rPr>
        <w:t>电子邮箱：</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        电子邮箱：</w:t>
      </w:r>
      <w:r>
        <w:rPr>
          <w:rFonts w:hint="eastAsia" w:ascii="宋体" w:hAnsi="宋体" w:eastAsia="宋体" w:cs="宋体"/>
          <w:bCs/>
          <w:color w:val="auto"/>
          <w:sz w:val="24"/>
          <w:highlight w:val="none"/>
          <w:u w:val="single"/>
        </w:rPr>
        <w:t xml:space="preserve">                    </w:t>
      </w:r>
    </w:p>
    <w:p w14:paraId="077DA6AB">
      <w:pPr>
        <w:pStyle w:val="2"/>
        <w:numPr>
          <w:ilvl w:val="0"/>
          <w:numId w:val="4"/>
        </w:numPr>
        <w:spacing w:line="240" w:lineRule="auto"/>
        <w:jc w:val="center"/>
        <w:rPr>
          <w:rFonts w:hint="eastAsia" w:ascii="宋体" w:hAnsi="宋体" w:eastAsia="宋体" w:cs="宋体"/>
          <w:b w:val="0"/>
          <w:bCs/>
          <w:color w:val="auto"/>
          <w:sz w:val="32"/>
          <w:szCs w:val="32"/>
          <w:highlight w:val="none"/>
        </w:rPr>
        <w:sectPr>
          <w:headerReference r:id="rId12" w:type="first"/>
          <w:footerReference r:id="rId14" w:type="first"/>
          <w:headerReference r:id="rId11" w:type="default"/>
          <w:footerReference r:id="rId13" w:type="default"/>
          <w:footnotePr>
            <w:pos w:val="beneathText"/>
          </w:footnotePr>
          <w:type w:val="continuous"/>
          <w:pgSz w:w="11906" w:h="16838"/>
          <w:pgMar w:top="1440" w:right="1080" w:bottom="1440" w:left="1080" w:header="454" w:footer="397" w:gutter="0"/>
          <w:pgNumType w:fmt="decimal"/>
          <w:cols w:space="720" w:num="1"/>
          <w:titlePg/>
          <w:docGrid w:type="lines" w:linePitch="312" w:charSpace="0"/>
        </w:sectPr>
      </w:pPr>
    </w:p>
    <w:p w14:paraId="43F38EDA">
      <w:pPr>
        <w:pStyle w:val="2"/>
        <w:numPr>
          <w:ilvl w:val="0"/>
          <w:numId w:val="4"/>
        </w:numPr>
        <w:spacing w:line="240" w:lineRule="auto"/>
        <w:jc w:val="center"/>
        <w:rPr>
          <w:rFonts w:hint="eastAsia" w:ascii="宋体" w:hAnsi="宋体" w:eastAsia="宋体" w:cs="宋体"/>
          <w:b w:val="0"/>
          <w:bCs/>
          <w:color w:val="auto"/>
          <w:sz w:val="32"/>
          <w:szCs w:val="32"/>
          <w:highlight w:val="none"/>
        </w:rPr>
      </w:pPr>
      <w:r>
        <w:rPr>
          <w:rFonts w:hint="eastAsia" w:ascii="宋体" w:hAnsi="宋体" w:eastAsia="宋体" w:cs="宋体"/>
          <w:b w:val="0"/>
          <w:bCs/>
          <w:color w:val="auto"/>
          <w:sz w:val="32"/>
          <w:szCs w:val="32"/>
          <w:highlight w:val="none"/>
        </w:rPr>
        <w:t xml:space="preserve"> </w:t>
      </w:r>
      <w:bookmarkStart w:id="498" w:name="_Toc28905"/>
      <w:bookmarkStart w:id="499" w:name="_Toc11555"/>
      <w:r>
        <w:rPr>
          <w:rFonts w:hint="eastAsia" w:ascii="宋体" w:hAnsi="宋体" w:eastAsia="宋体" w:cs="宋体"/>
          <w:b w:val="0"/>
          <w:bCs/>
          <w:color w:val="auto"/>
          <w:sz w:val="32"/>
          <w:szCs w:val="32"/>
          <w:highlight w:val="none"/>
        </w:rPr>
        <w:t>商务要求</w:t>
      </w:r>
      <w:bookmarkEnd w:id="455"/>
      <w:bookmarkEnd w:id="498"/>
      <w:bookmarkEnd w:id="499"/>
    </w:p>
    <w:tbl>
      <w:tblPr>
        <w:tblStyle w:val="24"/>
        <w:tblW w:w="969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993"/>
        <w:gridCol w:w="8706"/>
      </w:tblGrid>
      <w:tr w14:paraId="3C2D9D0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jc w:val="center"/>
        </w:trPr>
        <w:tc>
          <w:tcPr>
            <w:tcW w:w="993" w:type="dxa"/>
            <w:noWrap w:val="0"/>
            <w:vAlign w:val="center"/>
          </w:tcPr>
          <w:p w14:paraId="1373B53D">
            <w:pPr>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条款号</w:t>
            </w:r>
          </w:p>
        </w:tc>
        <w:tc>
          <w:tcPr>
            <w:tcW w:w="8706" w:type="dxa"/>
            <w:noWrap w:val="0"/>
            <w:vAlign w:val="center"/>
          </w:tcPr>
          <w:p w14:paraId="15BABF2B">
            <w:pPr>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内      容</w:t>
            </w:r>
          </w:p>
        </w:tc>
      </w:tr>
      <w:tr w14:paraId="4594264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175" w:hRule="atLeast"/>
          <w:jc w:val="center"/>
        </w:trPr>
        <w:tc>
          <w:tcPr>
            <w:tcW w:w="993" w:type="dxa"/>
            <w:noWrap w:val="0"/>
            <w:vAlign w:val="center"/>
          </w:tcPr>
          <w:p w14:paraId="66151CC5">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w:t>
            </w:r>
          </w:p>
        </w:tc>
        <w:tc>
          <w:tcPr>
            <w:tcW w:w="8706" w:type="dxa"/>
            <w:noWrap w:val="0"/>
            <w:vAlign w:val="center"/>
          </w:tcPr>
          <w:p w14:paraId="1941A359">
            <w:pPr>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采购人名称：</w:t>
            </w:r>
            <w:r>
              <w:rPr>
                <w:rFonts w:hint="eastAsia" w:ascii="宋体" w:hAnsi="宋体" w:cs="宋体"/>
                <w:bCs/>
                <w:color w:val="auto"/>
                <w:sz w:val="24"/>
                <w:szCs w:val="24"/>
                <w:highlight w:val="none"/>
                <w:lang w:eastAsia="zh-CN"/>
              </w:rPr>
              <w:t>中共绥德县委办公室</w:t>
            </w:r>
          </w:p>
          <w:p w14:paraId="6F489852">
            <w:pPr>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地    址：</w:t>
            </w:r>
            <w:r>
              <w:rPr>
                <w:rFonts w:hint="eastAsia" w:ascii="宋体" w:hAnsi="宋体" w:cs="宋体"/>
                <w:bCs/>
                <w:color w:val="auto"/>
                <w:sz w:val="24"/>
                <w:szCs w:val="24"/>
                <w:highlight w:val="none"/>
                <w:lang w:eastAsia="zh-CN"/>
              </w:rPr>
              <w:t>绥德县名州镇千狮路89号</w:t>
            </w:r>
          </w:p>
          <w:p w14:paraId="701F9276">
            <w:pPr>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项目名称：</w:t>
            </w:r>
            <w:r>
              <w:rPr>
                <w:rFonts w:hint="eastAsia" w:ascii="宋体" w:hAnsi="宋体" w:cs="宋体"/>
                <w:bCs/>
                <w:color w:val="auto"/>
                <w:sz w:val="24"/>
                <w:szCs w:val="24"/>
                <w:highlight w:val="none"/>
                <w:lang w:eastAsia="zh-CN"/>
              </w:rPr>
              <w:t>中共绥德县委机关灶务承包服务(二次)</w:t>
            </w:r>
          </w:p>
          <w:p w14:paraId="014F2095">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资金来源：财政资金</w:t>
            </w:r>
          </w:p>
        </w:tc>
      </w:tr>
      <w:tr w14:paraId="7556351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8" w:hRule="atLeast"/>
          <w:jc w:val="center"/>
        </w:trPr>
        <w:tc>
          <w:tcPr>
            <w:tcW w:w="993" w:type="dxa"/>
            <w:noWrap w:val="0"/>
            <w:vAlign w:val="center"/>
          </w:tcPr>
          <w:p w14:paraId="610A10A2">
            <w:pPr>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w:t>
            </w:r>
          </w:p>
        </w:tc>
        <w:tc>
          <w:tcPr>
            <w:tcW w:w="8706" w:type="dxa"/>
            <w:noWrap w:val="0"/>
            <w:vAlign w:val="center"/>
          </w:tcPr>
          <w:p w14:paraId="12CE1976">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服务地点：</w:t>
            </w:r>
            <w:r>
              <w:rPr>
                <w:rFonts w:hint="eastAsia" w:ascii="宋体" w:hAnsi="宋体" w:eastAsia="宋体" w:cs="宋体"/>
                <w:bCs/>
                <w:color w:val="auto"/>
                <w:sz w:val="24"/>
                <w:highlight w:val="none"/>
              </w:rPr>
              <w:t>采购人指定地点</w:t>
            </w:r>
          </w:p>
        </w:tc>
      </w:tr>
      <w:tr w14:paraId="5D8498E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81" w:hRule="atLeast"/>
          <w:jc w:val="center"/>
        </w:trPr>
        <w:tc>
          <w:tcPr>
            <w:tcW w:w="993" w:type="dxa"/>
            <w:noWrap w:val="0"/>
            <w:vAlign w:val="center"/>
          </w:tcPr>
          <w:p w14:paraId="5D91728C">
            <w:pPr>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w:t>
            </w:r>
          </w:p>
        </w:tc>
        <w:tc>
          <w:tcPr>
            <w:tcW w:w="8706" w:type="dxa"/>
            <w:noWrap w:val="0"/>
            <w:vAlign w:val="center"/>
          </w:tcPr>
          <w:p w14:paraId="54BF5998">
            <w:pPr>
              <w:spacing w:line="360" w:lineRule="auto"/>
              <w:rPr>
                <w:rFonts w:hint="eastAsia" w:ascii="宋体" w:hAnsi="宋体" w:cs="宋体"/>
                <w:bCs/>
                <w:color w:val="auto"/>
                <w:sz w:val="24"/>
                <w:szCs w:val="24"/>
                <w:highlight w:val="none"/>
                <w:lang w:eastAsia="zh-CN"/>
              </w:rPr>
            </w:pPr>
            <w:r>
              <w:rPr>
                <w:rFonts w:hint="eastAsia" w:ascii="宋体" w:hAnsi="宋体" w:eastAsia="宋体" w:cs="宋体"/>
                <w:bCs/>
                <w:color w:val="auto"/>
                <w:sz w:val="24"/>
                <w:szCs w:val="24"/>
                <w:highlight w:val="none"/>
              </w:rPr>
              <w:t>服务期：</w:t>
            </w:r>
            <w:r>
              <w:rPr>
                <w:rFonts w:hint="eastAsia" w:ascii="宋体" w:hAnsi="宋体" w:cs="宋体"/>
                <w:bCs/>
                <w:color w:val="auto"/>
                <w:sz w:val="24"/>
                <w:szCs w:val="24"/>
                <w:highlight w:val="none"/>
                <w:lang w:eastAsia="zh-CN"/>
              </w:rPr>
              <w:t>自合同签订生效之日起一年</w:t>
            </w:r>
          </w:p>
          <w:p w14:paraId="5E9CA1C9">
            <w:pPr>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（服务期满后如双方同意可续约，续约最多不超过一年）。</w:t>
            </w:r>
          </w:p>
        </w:tc>
      </w:tr>
      <w:tr w14:paraId="3EEA0FA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711" w:hRule="atLeast"/>
          <w:jc w:val="center"/>
        </w:trPr>
        <w:tc>
          <w:tcPr>
            <w:tcW w:w="993" w:type="dxa"/>
            <w:noWrap w:val="0"/>
            <w:vAlign w:val="center"/>
          </w:tcPr>
          <w:p w14:paraId="5FBAC4D5">
            <w:pPr>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w:t>
            </w:r>
          </w:p>
        </w:tc>
        <w:tc>
          <w:tcPr>
            <w:tcW w:w="8706" w:type="dxa"/>
            <w:noWrap w:val="0"/>
            <w:vAlign w:val="center"/>
          </w:tcPr>
          <w:p w14:paraId="3A054C81">
            <w:pPr>
              <w:numPr>
                <w:ilvl w:val="0"/>
                <w:numId w:val="5"/>
              </w:num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投标报价包含完成本次投标项目所包含的一切相关费用。</w:t>
            </w:r>
          </w:p>
          <w:p w14:paraId="7F27554F">
            <w:pPr>
              <w:numPr>
                <w:ilvl w:val="0"/>
                <w:numId w:val="5"/>
              </w:num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合同总价一次包死，不受市场价变化的影响。</w:t>
            </w:r>
          </w:p>
          <w:p w14:paraId="52E43AC4">
            <w:pPr>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3.</w:t>
            </w:r>
            <w:r>
              <w:rPr>
                <w:rFonts w:hint="eastAsia" w:ascii="宋体" w:hAnsi="宋体" w:eastAsia="宋体" w:cs="宋体"/>
                <w:bCs/>
                <w:color w:val="auto"/>
                <w:sz w:val="24"/>
                <w:szCs w:val="24"/>
                <w:highlight w:val="none"/>
              </w:rPr>
              <w:t>付款方式：</w:t>
            </w:r>
            <w:r>
              <w:rPr>
                <w:rFonts w:hint="eastAsia" w:ascii="宋体" w:hAnsi="宋体" w:cs="宋体"/>
                <w:bCs/>
                <w:color w:val="auto"/>
                <w:sz w:val="24"/>
                <w:szCs w:val="24"/>
                <w:highlight w:val="none"/>
                <w:lang w:eastAsia="zh-CN"/>
              </w:rPr>
              <w:t>每月支付合同总价的8%，剩余服务期满一次性付清。</w:t>
            </w:r>
          </w:p>
          <w:p w14:paraId="7166740C">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4.结算方式：按照国库集中支付有关规定执行，发票开采购人。</w:t>
            </w:r>
          </w:p>
        </w:tc>
      </w:tr>
      <w:tr w14:paraId="2365694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413" w:hRule="atLeast"/>
          <w:jc w:val="center"/>
        </w:trPr>
        <w:tc>
          <w:tcPr>
            <w:tcW w:w="993" w:type="dxa"/>
            <w:noWrap w:val="0"/>
            <w:vAlign w:val="center"/>
          </w:tcPr>
          <w:p w14:paraId="2573EB1B">
            <w:pPr>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w:t>
            </w:r>
          </w:p>
        </w:tc>
        <w:tc>
          <w:tcPr>
            <w:tcW w:w="8706" w:type="dxa"/>
            <w:noWrap w:val="0"/>
            <w:vAlign w:val="center"/>
          </w:tcPr>
          <w:p w14:paraId="6E687973">
            <w:pPr>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验收：采购人应当在供应商提出验收申请之日起10个工作日内完成验收。验收合格且满足合同约定支付条件的，采购人应当自交付之日起30日内支付款项，合同另有约定的，付款期限最长不得超过60日。不得以任何不合理理由延迟和付款，不得将招标文件和合同中未规定的义务作为验收和付款条件。</w:t>
            </w:r>
          </w:p>
        </w:tc>
      </w:tr>
      <w:tr w14:paraId="3123C10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27" w:hRule="atLeast"/>
          <w:jc w:val="center"/>
        </w:trPr>
        <w:tc>
          <w:tcPr>
            <w:tcW w:w="993" w:type="dxa"/>
            <w:noWrap w:val="0"/>
            <w:vAlign w:val="center"/>
          </w:tcPr>
          <w:p w14:paraId="6983C34D">
            <w:pPr>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6</w:t>
            </w:r>
          </w:p>
        </w:tc>
        <w:tc>
          <w:tcPr>
            <w:tcW w:w="8706" w:type="dxa"/>
            <w:noWrap w:val="0"/>
            <w:vAlign w:val="center"/>
          </w:tcPr>
          <w:p w14:paraId="2433A660">
            <w:pPr>
              <w:spacing w:line="520" w:lineRule="exact"/>
              <w:rPr>
                <w:rFonts w:hint="eastAsia" w:ascii="宋体" w:hAnsi="宋体" w:eastAsia="宋体" w:cs="宋体"/>
                <w:bCs/>
                <w:color w:val="auto"/>
                <w:kern w:val="0"/>
                <w:sz w:val="24"/>
                <w:highlight w:val="none"/>
              </w:rPr>
            </w:pPr>
            <w:r>
              <w:rPr>
                <w:rFonts w:hint="eastAsia" w:ascii="宋体" w:hAnsi="宋体" w:eastAsia="宋体" w:cs="宋体"/>
                <w:bCs/>
                <w:color w:val="auto"/>
                <w:sz w:val="24"/>
                <w:szCs w:val="24"/>
                <w:highlight w:val="none"/>
              </w:rPr>
              <w:t>供应商</w:t>
            </w:r>
            <w:r>
              <w:rPr>
                <w:rFonts w:hint="eastAsia" w:ascii="宋体" w:hAnsi="宋体" w:eastAsia="宋体" w:cs="宋体"/>
                <w:bCs/>
                <w:color w:val="auto"/>
                <w:kern w:val="0"/>
                <w:sz w:val="24"/>
                <w:highlight w:val="none"/>
              </w:rPr>
              <w:t>提供的</w:t>
            </w:r>
            <w:r>
              <w:rPr>
                <w:rFonts w:hint="eastAsia" w:ascii="宋体" w:hAnsi="宋体" w:eastAsia="宋体" w:cs="宋体"/>
                <w:bCs/>
                <w:color w:val="auto"/>
                <w:sz w:val="24"/>
                <w:szCs w:val="24"/>
                <w:highlight w:val="none"/>
              </w:rPr>
              <w:t>服务</w:t>
            </w:r>
            <w:r>
              <w:rPr>
                <w:rFonts w:hint="eastAsia" w:ascii="宋体" w:hAnsi="宋体" w:eastAsia="宋体" w:cs="宋体"/>
                <w:bCs/>
                <w:color w:val="auto"/>
                <w:kern w:val="0"/>
                <w:sz w:val="24"/>
                <w:highlight w:val="none"/>
              </w:rPr>
              <w:t>必须保证质量可靠，应全面满足谈判文件的要求。</w:t>
            </w:r>
          </w:p>
        </w:tc>
      </w:tr>
      <w:tr w14:paraId="0710801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240" w:hRule="atLeast"/>
          <w:jc w:val="center"/>
        </w:trPr>
        <w:tc>
          <w:tcPr>
            <w:tcW w:w="993" w:type="dxa"/>
            <w:noWrap w:val="0"/>
            <w:vAlign w:val="center"/>
          </w:tcPr>
          <w:p w14:paraId="2DE340D6">
            <w:pPr>
              <w:pStyle w:val="12"/>
              <w:spacing w:line="360" w:lineRule="auto"/>
              <w:jc w:val="center"/>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7</w:t>
            </w:r>
          </w:p>
        </w:tc>
        <w:tc>
          <w:tcPr>
            <w:tcW w:w="8706" w:type="dxa"/>
            <w:noWrap w:val="0"/>
            <w:vAlign w:val="center"/>
          </w:tcPr>
          <w:p w14:paraId="3591BB6B">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违约责任：</w:t>
            </w:r>
          </w:p>
          <w:p w14:paraId="69C18E1B">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按《民法典》中的相关条款执行。</w:t>
            </w:r>
          </w:p>
          <w:p w14:paraId="02B9BA91">
            <w:pPr>
              <w:tabs>
                <w:tab w:val="left" w:pos="152"/>
              </w:tabs>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未按合同或谈判文件要求提服务或供应的服务质量不能满足采购人技术要求，采购单位有权单方终止合同，甚至对供应商违约行为进行追究。</w:t>
            </w:r>
          </w:p>
        </w:tc>
      </w:tr>
      <w:bookmarkEnd w:id="436"/>
      <w:bookmarkEnd w:id="437"/>
      <w:bookmarkEnd w:id="438"/>
      <w:bookmarkEnd w:id="439"/>
      <w:bookmarkEnd w:id="440"/>
      <w:bookmarkEnd w:id="441"/>
      <w:bookmarkEnd w:id="442"/>
      <w:bookmarkEnd w:id="443"/>
    </w:tbl>
    <w:p w14:paraId="66AD8AE6">
      <w:pPr>
        <w:pStyle w:val="2"/>
        <w:numPr>
          <w:ilvl w:val="0"/>
          <w:numId w:val="6"/>
        </w:numPr>
        <w:spacing w:line="240" w:lineRule="auto"/>
        <w:jc w:val="center"/>
        <w:rPr>
          <w:rFonts w:hint="eastAsia" w:ascii="宋体" w:hAnsi="宋体" w:eastAsia="宋体" w:cs="宋体"/>
          <w:b w:val="0"/>
          <w:bCs/>
          <w:color w:val="auto"/>
          <w:sz w:val="40"/>
          <w:szCs w:val="18"/>
          <w:highlight w:val="none"/>
        </w:rPr>
        <w:sectPr>
          <w:footnotePr>
            <w:pos w:val="beneathText"/>
          </w:footnotePr>
          <w:pgSz w:w="11906" w:h="16838"/>
          <w:pgMar w:top="1440" w:right="1080" w:bottom="1440" w:left="1080" w:header="567" w:footer="1134" w:gutter="0"/>
          <w:pgNumType w:fmt="decimal"/>
          <w:cols w:space="720" w:num="1"/>
          <w:titlePg/>
          <w:docGrid w:type="lines" w:linePitch="312" w:charSpace="0"/>
        </w:sectPr>
      </w:pPr>
      <w:bookmarkStart w:id="500" w:name="_Toc8664"/>
      <w:bookmarkStart w:id="501" w:name="_Toc385992404"/>
      <w:bookmarkStart w:id="502" w:name="_Toc497712137"/>
      <w:bookmarkStart w:id="503" w:name="_Toc389620244"/>
      <w:bookmarkStart w:id="504" w:name="_Toc246928962"/>
      <w:bookmarkStart w:id="505" w:name="_Toc497711589"/>
      <w:bookmarkStart w:id="506" w:name="_Toc128557264"/>
      <w:bookmarkStart w:id="507" w:name="_Toc497551824"/>
      <w:bookmarkStart w:id="508" w:name="_Toc492955463"/>
      <w:bookmarkStart w:id="509" w:name="_Toc497546922"/>
      <w:bookmarkStart w:id="510" w:name="_Toc246928961"/>
      <w:bookmarkStart w:id="511" w:name="_Toc465958129"/>
    </w:p>
    <w:p w14:paraId="0210628C">
      <w:pPr>
        <w:pStyle w:val="2"/>
        <w:numPr>
          <w:ilvl w:val="0"/>
          <w:numId w:val="6"/>
        </w:numPr>
        <w:spacing w:line="240" w:lineRule="auto"/>
        <w:jc w:val="center"/>
        <w:rPr>
          <w:rFonts w:hint="eastAsia" w:ascii="宋体" w:hAnsi="宋体" w:eastAsia="宋体" w:cs="宋体"/>
          <w:b w:val="0"/>
          <w:bCs/>
          <w:color w:val="auto"/>
          <w:sz w:val="40"/>
          <w:szCs w:val="18"/>
          <w:highlight w:val="none"/>
        </w:rPr>
      </w:pPr>
      <w:r>
        <w:rPr>
          <w:rFonts w:hint="eastAsia" w:ascii="宋体" w:hAnsi="宋体" w:eastAsia="宋体" w:cs="宋体"/>
          <w:b w:val="0"/>
          <w:bCs/>
          <w:color w:val="auto"/>
          <w:sz w:val="40"/>
          <w:szCs w:val="18"/>
          <w:highlight w:val="none"/>
          <w:lang w:val="en-US" w:eastAsia="zh-CN"/>
        </w:rPr>
        <w:t xml:space="preserve"> </w:t>
      </w:r>
      <w:bookmarkStart w:id="512" w:name="_Toc30505"/>
      <w:bookmarkStart w:id="513" w:name="_Toc1449"/>
      <w:r>
        <w:rPr>
          <w:rFonts w:hint="eastAsia" w:ascii="宋体" w:hAnsi="宋体" w:eastAsia="宋体" w:cs="宋体"/>
          <w:b w:val="0"/>
          <w:bCs/>
          <w:color w:val="auto"/>
          <w:sz w:val="40"/>
          <w:szCs w:val="18"/>
          <w:highlight w:val="none"/>
        </w:rPr>
        <w:t>采购内容及要求</w:t>
      </w:r>
      <w:bookmarkEnd w:id="512"/>
      <w:bookmarkEnd w:id="513"/>
    </w:p>
    <w:p w14:paraId="18FFD0A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szCs w:val="24"/>
        </w:rPr>
      </w:pPr>
      <w:bookmarkStart w:id="514" w:name="_Toc18965"/>
      <w:bookmarkStart w:id="515" w:name="_Toc1400"/>
      <w:r>
        <w:rPr>
          <w:rFonts w:hint="eastAsia" w:ascii="宋体" w:hAnsi="宋体" w:eastAsia="宋体" w:cs="宋体"/>
          <w:color w:val="000000"/>
          <w:sz w:val="24"/>
          <w:szCs w:val="24"/>
        </w:rPr>
        <w:t>一、项目概述</w:t>
      </w:r>
    </w:p>
    <w:p w14:paraId="4265ED6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机关食堂用餐人数大约</w:t>
      </w:r>
      <w:r>
        <w:rPr>
          <w:rFonts w:hint="eastAsia" w:ascii="宋体" w:hAnsi="宋体" w:eastAsia="宋体" w:cs="宋体"/>
          <w:color w:val="000000"/>
          <w:sz w:val="24"/>
          <w:szCs w:val="24"/>
          <w:lang w:val="en-US" w:eastAsia="zh-CN"/>
        </w:rPr>
        <w:t>290</w:t>
      </w:r>
      <w:r>
        <w:rPr>
          <w:rFonts w:hint="eastAsia" w:ascii="宋体" w:hAnsi="宋体" w:eastAsia="宋体" w:cs="宋体"/>
          <w:color w:val="000000"/>
          <w:sz w:val="24"/>
          <w:szCs w:val="24"/>
        </w:rPr>
        <w:t>人次左右，餐厅按设计要求，配置了水、电、气、厨房、主副食仓库、洗碗间、炒菜区；有冷藏柜、抽排系统、不锈钢厨具餐具等，食堂各项用具齐全；餐桌、餐椅配置到位，可同时容纳</w:t>
      </w:r>
      <w:r>
        <w:rPr>
          <w:rFonts w:hint="eastAsia" w:ascii="宋体" w:hAnsi="宋体" w:eastAsia="宋体" w:cs="宋体"/>
          <w:color w:val="000000"/>
          <w:sz w:val="24"/>
          <w:szCs w:val="24"/>
          <w:lang w:val="en-US" w:eastAsia="zh-CN"/>
        </w:rPr>
        <w:t>180</w:t>
      </w:r>
      <w:r>
        <w:rPr>
          <w:rFonts w:hint="eastAsia" w:ascii="宋体" w:hAnsi="宋体" w:eastAsia="宋体" w:cs="宋体"/>
          <w:color w:val="000000"/>
          <w:sz w:val="24"/>
          <w:szCs w:val="24"/>
        </w:rPr>
        <w:t>人就餐。</w:t>
      </w:r>
    </w:p>
    <w:p w14:paraId="67E6C3A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就餐安排：提供工作日（含特殊情况加班）三餐及节假日值班人员就餐。</w:t>
      </w:r>
    </w:p>
    <w:p w14:paraId="2BB36BB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就餐人数：工作日就餐日均约</w:t>
      </w:r>
      <w:r>
        <w:rPr>
          <w:rFonts w:hint="eastAsia" w:ascii="宋体" w:hAnsi="宋体" w:eastAsia="宋体" w:cs="宋体"/>
          <w:color w:val="000000"/>
          <w:sz w:val="24"/>
          <w:szCs w:val="24"/>
          <w:lang w:val="en-US" w:eastAsia="zh-CN"/>
        </w:rPr>
        <w:t>290</w:t>
      </w:r>
      <w:r>
        <w:rPr>
          <w:rFonts w:hint="eastAsia" w:ascii="宋体" w:hAnsi="宋体" w:eastAsia="宋体" w:cs="宋体"/>
          <w:color w:val="000000"/>
          <w:sz w:val="24"/>
          <w:szCs w:val="24"/>
        </w:rPr>
        <w:t>人次。早餐约</w:t>
      </w:r>
      <w:r>
        <w:rPr>
          <w:rFonts w:hint="eastAsia" w:ascii="宋体" w:hAnsi="宋体" w:eastAsia="宋体" w:cs="宋体"/>
          <w:color w:val="000000"/>
          <w:sz w:val="24"/>
          <w:szCs w:val="24"/>
          <w:lang w:val="en-US" w:eastAsia="zh-CN"/>
        </w:rPr>
        <w:t>85</w:t>
      </w:r>
      <w:r>
        <w:rPr>
          <w:rFonts w:hint="eastAsia" w:ascii="宋体" w:hAnsi="宋体" w:eastAsia="宋体" w:cs="宋体"/>
          <w:color w:val="000000"/>
          <w:sz w:val="24"/>
          <w:szCs w:val="24"/>
        </w:rPr>
        <w:t>人次、午餐约</w:t>
      </w:r>
      <w:r>
        <w:rPr>
          <w:rFonts w:hint="eastAsia" w:ascii="宋体" w:hAnsi="宋体" w:eastAsia="宋体" w:cs="宋体"/>
          <w:color w:val="000000"/>
          <w:sz w:val="24"/>
          <w:szCs w:val="24"/>
          <w:lang w:val="en-US" w:eastAsia="zh-CN"/>
        </w:rPr>
        <w:t>130</w:t>
      </w:r>
      <w:r>
        <w:rPr>
          <w:rFonts w:hint="eastAsia" w:ascii="宋体" w:hAnsi="宋体" w:eastAsia="宋体" w:cs="宋体"/>
          <w:color w:val="000000"/>
          <w:sz w:val="24"/>
          <w:szCs w:val="24"/>
        </w:rPr>
        <w:t>人次、晚餐约</w:t>
      </w:r>
      <w:r>
        <w:rPr>
          <w:rFonts w:hint="eastAsia" w:ascii="宋体" w:hAnsi="宋体" w:eastAsia="宋体" w:cs="宋体"/>
          <w:color w:val="000000"/>
          <w:sz w:val="24"/>
          <w:szCs w:val="24"/>
          <w:lang w:val="en-US" w:eastAsia="zh-CN"/>
        </w:rPr>
        <w:t>75</w:t>
      </w:r>
      <w:r>
        <w:rPr>
          <w:rFonts w:hint="eastAsia" w:ascii="宋体" w:hAnsi="宋体" w:eastAsia="宋体" w:cs="宋体"/>
          <w:color w:val="000000"/>
          <w:sz w:val="24"/>
          <w:szCs w:val="24"/>
        </w:rPr>
        <w:t>人次。</w:t>
      </w:r>
    </w:p>
    <w:p w14:paraId="42F7CE2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菜品内容：主要以家常菜、家常饭为主，突出地方特色。</w:t>
      </w:r>
    </w:p>
    <w:p w14:paraId="564892A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就餐时间：</w:t>
      </w:r>
    </w:p>
    <w:p w14:paraId="2F97416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早餐：7:30-8:00</w:t>
      </w:r>
    </w:p>
    <w:p w14:paraId="43B385D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午餐：12:00-13:00</w:t>
      </w:r>
    </w:p>
    <w:p w14:paraId="55F9E07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晚餐：夏季18:00-18:30  冬季  17：30-18：00</w:t>
      </w:r>
    </w:p>
    <w:p w14:paraId="71AE97A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餐厅为自助形式，使用人脸识别系统收费，就餐人员自行取餐，在规定的开饭时间内供应不脱销、不断档。</w:t>
      </w:r>
    </w:p>
    <w:p w14:paraId="75A425B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二、管理要求</w:t>
      </w:r>
    </w:p>
    <w:p w14:paraId="61886B2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（一）总体要求</w:t>
      </w:r>
    </w:p>
    <w:p w14:paraId="2665CB6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1.科学管理，安全文明，以用餐环境干净卫生、提供菜品多样、质优价廉的优质餐饮服务为首要目标，能满足用餐人员的基本要求。</w:t>
      </w:r>
    </w:p>
    <w:p w14:paraId="7936CD3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2</w:t>
      </w:r>
      <w:r>
        <w:rPr>
          <w:rFonts w:hint="eastAsia" w:ascii="宋体" w:hAnsi="宋体" w:eastAsia="宋体" w:cs="宋体"/>
          <w:color w:val="000000"/>
          <w:sz w:val="24"/>
          <w:szCs w:val="24"/>
        </w:rPr>
        <w:t>.建立健全消毒、留样、抽排清洗、餐厨垃圾处置、废弃油脂处置、食品添加剂、灭四害等台账。</w:t>
      </w:r>
    </w:p>
    <w:p w14:paraId="6E12F45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（二）菜品质量指标</w:t>
      </w:r>
    </w:p>
    <w:p w14:paraId="3C3AE30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1.讲究烹调技艺，色、香、味、形、营养俱佳；</w:t>
      </w:r>
    </w:p>
    <w:p w14:paraId="0704447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2.主食：必须大小均匀，份量准确，发面干湿度适当，发酵正常，无伤、缺碱，洁白松泡，米饭软硬适度；</w:t>
      </w:r>
    </w:p>
    <w:p w14:paraId="15F5275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3.副食：注重菜肴的色、香、味、型，扩大蒸、炸、煮、卤、炒、溜、炖、煎的菜肴品种；</w:t>
      </w:r>
    </w:p>
    <w:p w14:paraId="5F96527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4.主、副食无异味，色泽正常；</w:t>
      </w:r>
    </w:p>
    <w:p w14:paraId="767F7B1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5.刀工、火候俱佳，味美可口，菜品中无杂质，主配料合理；</w:t>
      </w:r>
    </w:p>
    <w:p w14:paraId="4C29F36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6.菜肴品种质量，以中锅菜为主，实行多锅小炒，提高烹饪技术，保证伙食质量；</w:t>
      </w:r>
    </w:p>
    <w:p w14:paraId="77C846A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7.不断创新品种，引进新技术，新品种，多风味，满足用餐人员要求。</w:t>
      </w:r>
    </w:p>
    <w:p w14:paraId="3E49AE7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（三）卫生指标</w:t>
      </w:r>
    </w:p>
    <w:p w14:paraId="1BC67C9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1.食品卫生</w:t>
      </w:r>
    </w:p>
    <w:p w14:paraId="5A8C629F">
      <w:pPr>
        <w:pStyle w:val="17"/>
        <w:spacing w:line="360" w:lineRule="auto"/>
        <w:ind w:firstLine="480" w:firstLineChars="200"/>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（1）严格执行《中华人民共和国食品卫生法》；厨师配餐讲究科学营养，保证饭熟菜香；同时保持个人卫生、服装整洁，工作期间穿戴工作服；</w:t>
      </w:r>
    </w:p>
    <w:p w14:paraId="6665CE06">
      <w:pPr>
        <w:pStyle w:val="17"/>
        <w:spacing w:line="360" w:lineRule="auto"/>
        <w:ind w:firstLine="480" w:firstLineChars="200"/>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（2）做好食品、材料的质量、数量验收工作，</w:t>
      </w:r>
      <w:r>
        <w:rPr>
          <w:rFonts w:hint="eastAsia" w:ascii="宋体" w:hAnsi="宋体" w:eastAsia="宋体" w:cs="宋体"/>
          <w:color w:val="000000"/>
          <w:sz w:val="24"/>
          <w:szCs w:val="24"/>
        </w:rPr>
        <w:t>保证食品无毒、无害、无霉变、无违禁成分等，杜绝食物中毒事故的发生</w:t>
      </w:r>
      <w:r>
        <w:rPr>
          <w:rFonts w:hint="eastAsia" w:ascii="宋体" w:hAnsi="宋体" w:eastAsia="宋体" w:cs="宋体"/>
          <w:color w:val="000000"/>
          <w:sz w:val="24"/>
          <w:szCs w:val="24"/>
          <w:lang w:eastAsia="zh-CN"/>
        </w:rPr>
        <w:t>，</w:t>
      </w:r>
      <w:r>
        <w:rPr>
          <w:rFonts w:hint="eastAsia" w:ascii="宋体" w:hAnsi="宋体" w:eastAsia="宋体" w:cs="宋体"/>
          <w:color w:val="000000"/>
          <w:kern w:val="2"/>
          <w:sz w:val="24"/>
          <w:szCs w:val="24"/>
          <w:lang w:val="en-US" w:eastAsia="zh-CN" w:bidi="ar-SA"/>
        </w:rPr>
        <w:t>保证食品安全率100%.严禁不符合标准食品进入食堂使用；餐具要经过初洗、清洁剂清洗、清水清洗、消毒四道工序处理，用餐前餐具要集中整齐摆放，保持清洁，防止蝇叮，餐具未经消毒不得循环使用；货架、油烟罩、蒸柜、炉灶、洗菜池、洗碗池每天要保证清洗干净。油、盐、酱油等常用辅料和未用完的米、菜下班前要盖好；</w:t>
      </w:r>
    </w:p>
    <w:p w14:paraId="1C0F9B7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lang w:val="en-US" w:eastAsia="zh-CN"/>
        </w:rPr>
        <w:t>3</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食品加工、贮存、销售、陈列的各种防护设施、设备应当定期维护。冷藏、冷冻及保温设施应当定期清洗、除臭。</w:t>
      </w:r>
    </w:p>
    <w:p w14:paraId="207E6EE3">
      <w:pPr>
        <w:keepNext w:val="0"/>
        <w:keepLines w:val="0"/>
        <w:pageBreakBefore w:val="0"/>
        <w:widowControl w:val="0"/>
        <w:numPr>
          <w:ilvl w:val="0"/>
          <w:numId w:val="7"/>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环境卫生</w:t>
      </w:r>
    </w:p>
    <w:p w14:paraId="1A8B2B4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有健全的卫生清洁制度，加工场所应当保持内外环境整洁，采取有效措施，消除老鼠、蟑螂、苍蝇和其它有害昆虫及其孽生条件，并确保食品、原料、餐具、炊具等不受药剂污染；严禁使用未经环境部门许可的消毒剂、洗涤剂。各区域场地卫生进行划片分工，责任到人，各种炊具、用具光亮洁净，地面见本色，排水沟见底；按照卫生防疫部门和采购人要求，定期对操作间及售饭区域进行清洁消毒，保持运营区域卫生。</w:t>
      </w:r>
    </w:p>
    <w:p w14:paraId="3D8158C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3.个人卫生</w:t>
      </w:r>
    </w:p>
    <w:p w14:paraId="4A6B3E4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从业人员必须坚持“四勤”，必须按规定着装且保持工作服整洁干净，注重仪表美；从业人员必须持有符合餐饮要求的体检合格证</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lang w:val="en-US" w:eastAsia="zh-CN"/>
        </w:rPr>
        <w:t>健康证</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，体检不合格人员不得上岗；</w:t>
      </w:r>
    </w:p>
    <w:p w14:paraId="5C3143F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（四）服务状态指标</w:t>
      </w:r>
    </w:p>
    <w:p w14:paraId="6CA907B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1.热情、耐心、细致接待用餐人员，说话和气，礼貌待人；</w:t>
      </w:r>
    </w:p>
    <w:p w14:paraId="510CAFB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2.不得以任何理由与用餐人员发生吵架、打架等纠纷；</w:t>
      </w:r>
    </w:p>
    <w:p w14:paraId="28D278A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3.上岗开餐时，应统一着装，穿戴整洁、干净、卫生，注意仪表美、语言美，不得开玩笑，聊天、吃东西、抽烟等；</w:t>
      </w:r>
    </w:p>
    <w:p w14:paraId="5D131A7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4.树立服务意识和高尚道德观念，主动征求意见，为用餐人员排忧解难；</w:t>
      </w:r>
    </w:p>
    <w:p w14:paraId="4359F11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5.按时开饭和收堂，不得任意提前收堂。</w:t>
      </w:r>
    </w:p>
    <w:p w14:paraId="0DA9465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（五）食品安全要求</w:t>
      </w:r>
    </w:p>
    <w:p w14:paraId="3765C40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1.加强厨房等重点部位的管理，杜绝投毒及食物中毒事件发生；</w:t>
      </w:r>
    </w:p>
    <w:p w14:paraId="192E888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2.建立每日主副食品留样制度，留样时间符合疾病预防控制中心、卫生防疫监督部门的要求。</w:t>
      </w:r>
    </w:p>
    <w:p w14:paraId="09E90E8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3.定期组织员工进行《中华人民共和国食品安全法》培训。把好饮食安全关、卫生“四关”、“三白”、“二消毒”、“—留样”。四关，即进货关、拣洗关、烹饪关和消毒关；三白，即窗口和加工操作人员要穿戴好帽子、口罩和工作服；二消毒，即洗手消毒和抹布消毒；一留样，即熟食留样记录。食品和环境卫生，必须达到国家食品药品监督管理总局规定的标准和要求。</w:t>
      </w:r>
    </w:p>
    <w:p w14:paraId="7059041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（六）消防安全管理</w:t>
      </w:r>
    </w:p>
    <w:p w14:paraId="5D7C381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1.必须制定消防安全管理规章及应急措施，</w:t>
      </w:r>
      <w:r>
        <w:rPr>
          <w:rFonts w:hint="eastAsia" w:ascii="宋体" w:hAnsi="宋体" w:eastAsia="宋体" w:cs="宋体"/>
          <w:color w:val="000000"/>
          <w:sz w:val="24"/>
          <w:szCs w:val="24"/>
          <w:lang w:val="en-US" w:eastAsia="zh-CN"/>
        </w:rPr>
        <w:t>必须有</w:t>
      </w:r>
      <w:r>
        <w:rPr>
          <w:rFonts w:hint="eastAsia" w:ascii="宋体" w:hAnsi="宋体" w:eastAsia="宋体" w:cs="宋体"/>
          <w:color w:val="000000"/>
          <w:sz w:val="24"/>
          <w:szCs w:val="24"/>
        </w:rPr>
        <w:t>消防安全第一责任人；</w:t>
      </w:r>
    </w:p>
    <w:p w14:paraId="0072A1C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2.不得私拉乱接电线、天</w:t>
      </w:r>
      <w:r>
        <w:rPr>
          <w:rFonts w:hint="eastAsia" w:ascii="宋体" w:hAnsi="宋体" w:eastAsia="宋体" w:cs="宋体"/>
          <w:color w:val="000000"/>
          <w:sz w:val="24"/>
          <w:szCs w:val="24"/>
          <w:lang w:val="en-US" w:eastAsia="zh-CN"/>
        </w:rPr>
        <w:t>燃</w:t>
      </w:r>
      <w:r>
        <w:rPr>
          <w:rFonts w:hint="eastAsia" w:ascii="宋体" w:hAnsi="宋体" w:eastAsia="宋体" w:cs="宋体"/>
          <w:color w:val="000000"/>
          <w:sz w:val="24"/>
          <w:szCs w:val="24"/>
        </w:rPr>
        <w:t>气，不得私自增加用气点；</w:t>
      </w:r>
    </w:p>
    <w:p w14:paraId="3BC67AD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3.至少每月定期检查、维护蒸饭柜、压力锅及大功率电器设施，杜绝火灾、爆炸等事故发生</w:t>
      </w:r>
      <w:r>
        <w:rPr>
          <w:rFonts w:hint="eastAsia" w:ascii="宋体" w:hAnsi="宋体" w:eastAsia="宋体" w:cs="宋体"/>
          <w:color w:val="000000"/>
          <w:sz w:val="24"/>
          <w:szCs w:val="24"/>
          <w:lang w:eastAsia="zh-CN"/>
        </w:rPr>
        <w:t>。</w:t>
      </w:r>
    </w:p>
    <w:p w14:paraId="2130F0E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三、人员要求</w:t>
      </w:r>
    </w:p>
    <w:p w14:paraId="2D973A8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从业人员持健康证</w:t>
      </w:r>
      <w:r>
        <w:rPr>
          <w:rFonts w:hint="eastAsia" w:ascii="宋体" w:hAnsi="宋体" w:eastAsia="宋体" w:cs="宋体"/>
          <w:color w:val="000000"/>
          <w:sz w:val="24"/>
          <w:szCs w:val="24"/>
          <w:lang w:val="en-US" w:eastAsia="zh-CN"/>
        </w:rPr>
        <w:t>并不得在其他单位兼职且</w:t>
      </w:r>
      <w:r>
        <w:rPr>
          <w:rFonts w:hint="eastAsia" w:ascii="宋体" w:hAnsi="宋体" w:eastAsia="宋体" w:cs="宋体"/>
          <w:color w:val="000000"/>
          <w:sz w:val="24"/>
          <w:szCs w:val="24"/>
        </w:rPr>
        <w:t>不少于1</w:t>
      </w:r>
      <w:r>
        <w:rPr>
          <w:rFonts w:hint="eastAsia" w:ascii="宋体" w:hAnsi="宋体" w:eastAsia="宋体" w:cs="宋体"/>
          <w:color w:val="000000"/>
          <w:sz w:val="24"/>
          <w:szCs w:val="24"/>
          <w:lang w:val="en-US" w:eastAsia="zh-CN"/>
        </w:rPr>
        <w:t>3</w:t>
      </w:r>
      <w:r>
        <w:rPr>
          <w:rFonts w:hint="eastAsia" w:ascii="宋体" w:hAnsi="宋体" w:eastAsia="宋体" w:cs="宋体"/>
          <w:color w:val="000000"/>
          <w:sz w:val="24"/>
          <w:szCs w:val="24"/>
        </w:rPr>
        <w:t>人。</w:t>
      </w:r>
      <w:r>
        <w:rPr>
          <w:rFonts w:hint="eastAsia" w:ascii="宋体" w:hAnsi="宋体" w:eastAsia="宋体" w:cs="宋体"/>
          <w:color w:val="000000"/>
          <w:sz w:val="24"/>
          <w:szCs w:val="24"/>
          <w:lang w:eastAsia="zh-CN"/>
        </w:rPr>
        <w:t>本单位不提供员工宿舍，从业人员也不可以将餐厅作为临时休息区。</w:t>
      </w:r>
    </w:p>
    <w:p w14:paraId="2C39613D">
      <w:pPr>
        <w:pStyle w:val="12"/>
        <w:numPr>
          <w:ilvl w:val="0"/>
          <w:numId w:val="0"/>
        </w:numPr>
        <w:tabs>
          <w:tab w:val="left" w:pos="5580"/>
        </w:tabs>
        <w:spacing w:line="360" w:lineRule="auto"/>
        <w:ind w:firstLine="480" w:firstLineChars="200"/>
        <w:rPr>
          <w:rFonts w:hint="eastAsia" w:ascii="Times New Roman" w:hAnsi="Times New Roman" w:eastAsia="仿宋_GB2312" w:cs="Times New Roman"/>
          <w:b/>
          <w:bCs/>
          <w:color w:val="000000"/>
          <w:sz w:val="24"/>
          <w:u w:val="none"/>
          <w:lang w:eastAsia="zh-CN"/>
        </w:rPr>
      </w:pPr>
      <w:r>
        <w:rPr>
          <w:rFonts w:hint="eastAsia" w:ascii="宋体" w:hAnsi="宋体" w:eastAsia="宋体" w:cs="宋体"/>
          <w:color w:val="000000"/>
          <w:sz w:val="24"/>
          <w:szCs w:val="24"/>
          <w:lang w:val="en-US" w:eastAsia="zh-CN"/>
        </w:rPr>
        <w:t>四、服务期限：暂定一年，服务期满后如双方同意可续约，续约最多不超过一年。</w:t>
      </w:r>
    </w:p>
    <w:p w14:paraId="1CAB545F">
      <w:pPr>
        <w:pStyle w:val="12"/>
        <w:numPr>
          <w:ilvl w:val="0"/>
          <w:numId w:val="0"/>
        </w:numPr>
        <w:tabs>
          <w:tab w:val="left" w:pos="5580"/>
        </w:tabs>
        <w:spacing w:line="360" w:lineRule="auto"/>
        <w:rPr>
          <w:rFonts w:hint="eastAsia" w:ascii="Times New Roman" w:hAnsi="Times New Roman" w:eastAsia="仿宋_GB2312" w:cs="Times New Roman"/>
          <w:b/>
          <w:bCs/>
          <w:color w:val="000000"/>
          <w:sz w:val="24"/>
          <w:u w:val="none"/>
          <w:lang w:eastAsia="zh-CN"/>
        </w:rPr>
      </w:pPr>
    </w:p>
    <w:p w14:paraId="3B144990">
      <w:pPr>
        <w:pStyle w:val="12"/>
        <w:numPr>
          <w:ilvl w:val="0"/>
          <w:numId w:val="0"/>
        </w:numPr>
        <w:tabs>
          <w:tab w:val="left" w:pos="5580"/>
        </w:tabs>
        <w:spacing w:line="360" w:lineRule="auto"/>
        <w:rPr>
          <w:rFonts w:hint="eastAsia" w:ascii="Times New Roman" w:hAnsi="Times New Roman" w:eastAsia="仿宋_GB2312" w:cs="Times New Roman"/>
          <w:b/>
          <w:bCs/>
          <w:color w:val="000000"/>
          <w:sz w:val="24"/>
          <w:u w:val="none"/>
          <w:lang w:eastAsia="zh-CN"/>
        </w:rPr>
        <w:sectPr>
          <w:pgSz w:w="11906" w:h="16838"/>
          <w:pgMar w:top="1440" w:right="1080" w:bottom="1440" w:left="1080" w:header="851" w:footer="992" w:gutter="0"/>
          <w:cols w:space="425" w:num="1"/>
          <w:docGrid w:type="lines" w:linePitch="312" w:charSpace="0"/>
        </w:sectPr>
      </w:pPr>
    </w:p>
    <w:p w14:paraId="38A572C2">
      <w:pPr>
        <w:pStyle w:val="12"/>
        <w:numPr>
          <w:ilvl w:val="0"/>
          <w:numId w:val="0"/>
        </w:numPr>
        <w:tabs>
          <w:tab w:val="left" w:pos="5580"/>
        </w:tabs>
        <w:spacing w:line="360" w:lineRule="auto"/>
        <w:rPr>
          <w:rFonts w:hint="eastAsia" w:ascii="Times New Roman" w:hAnsi="Times New Roman" w:eastAsia="仿宋_GB2312" w:cs="Times New Roman"/>
          <w:b/>
          <w:bCs/>
          <w:color w:val="000000"/>
          <w:sz w:val="24"/>
          <w:u w:val="none"/>
          <w:lang w:eastAsia="zh-CN"/>
        </w:rPr>
      </w:pPr>
      <w:r>
        <w:rPr>
          <w:rFonts w:hint="eastAsia" w:ascii="Times New Roman" w:hAnsi="Times New Roman" w:eastAsia="仿宋_GB2312" w:cs="Times New Roman"/>
          <w:b/>
          <w:bCs/>
          <w:color w:val="000000"/>
          <w:sz w:val="24"/>
          <w:u w:val="none"/>
          <w:lang w:eastAsia="zh-CN"/>
        </w:rPr>
        <w:t>人员配置要求如下（所有从业人员需要购买工伤保险，所需费用含在工资内）：</w:t>
      </w:r>
    </w:p>
    <w:tbl>
      <w:tblPr>
        <w:tblStyle w:val="24"/>
        <w:tblW w:w="512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87"/>
        <w:gridCol w:w="1536"/>
        <w:gridCol w:w="6388"/>
        <w:gridCol w:w="803"/>
        <w:gridCol w:w="2181"/>
        <w:gridCol w:w="1638"/>
        <w:gridCol w:w="1638"/>
      </w:tblGrid>
      <w:tr w14:paraId="3A5D01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55" w:type="pct"/>
            <w:noWrap w:val="0"/>
            <w:vAlign w:val="center"/>
          </w:tcPr>
          <w:p w14:paraId="08AFB94A">
            <w:pPr>
              <w:keepNext w:val="0"/>
              <w:keepLines w:val="0"/>
              <w:pageBreakBefore w:val="0"/>
              <w:widowControl w:val="0"/>
              <w:kinsoku/>
              <w:wordWrap/>
              <w:overflowPunct/>
              <w:topLinePunct w:val="0"/>
              <w:autoSpaceDE/>
              <w:autoSpaceDN/>
              <w:bidi w:val="0"/>
              <w:adjustRightInd w:val="0"/>
              <w:snapToGrid w:val="0"/>
              <w:spacing w:line="480" w:lineRule="auto"/>
              <w:ind w:firstLine="0" w:firstLineChars="0"/>
              <w:jc w:val="center"/>
              <w:textAlignment w:val="auto"/>
              <w:rPr>
                <w:rFonts w:hint="default"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序号</w:t>
            </w:r>
          </w:p>
        </w:tc>
        <w:tc>
          <w:tcPr>
            <w:tcW w:w="502" w:type="pct"/>
            <w:noWrap w:val="0"/>
            <w:vAlign w:val="center"/>
          </w:tcPr>
          <w:p w14:paraId="491324A0">
            <w:pPr>
              <w:keepNext w:val="0"/>
              <w:keepLines w:val="0"/>
              <w:pageBreakBefore w:val="0"/>
              <w:widowControl w:val="0"/>
              <w:kinsoku/>
              <w:wordWrap/>
              <w:overflowPunct/>
              <w:topLinePunct w:val="0"/>
              <w:autoSpaceDE/>
              <w:autoSpaceDN/>
              <w:bidi w:val="0"/>
              <w:adjustRightInd w:val="0"/>
              <w:snapToGrid w:val="0"/>
              <w:spacing w:line="480" w:lineRule="auto"/>
              <w:ind w:firstLine="0" w:firstLineChars="0"/>
              <w:jc w:val="center"/>
              <w:textAlignment w:val="auto"/>
              <w:rPr>
                <w:rFonts w:hint="default"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名称</w:t>
            </w:r>
          </w:p>
        </w:tc>
        <w:tc>
          <w:tcPr>
            <w:tcW w:w="2091" w:type="pct"/>
            <w:noWrap w:val="0"/>
            <w:vAlign w:val="center"/>
          </w:tcPr>
          <w:p w14:paraId="13221136">
            <w:pPr>
              <w:keepNext w:val="0"/>
              <w:keepLines w:val="0"/>
              <w:pageBreakBefore w:val="0"/>
              <w:widowControl w:val="0"/>
              <w:kinsoku/>
              <w:wordWrap/>
              <w:overflowPunct/>
              <w:topLinePunct w:val="0"/>
              <w:autoSpaceDE/>
              <w:autoSpaceDN/>
              <w:bidi w:val="0"/>
              <w:adjustRightInd w:val="0"/>
              <w:snapToGrid w:val="0"/>
              <w:spacing w:line="480" w:lineRule="auto"/>
              <w:ind w:firstLine="0" w:firstLineChars="0"/>
              <w:jc w:val="center"/>
              <w:textAlignment w:val="auto"/>
              <w:rPr>
                <w:rFonts w:hint="default"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lang w:val="en-US" w:eastAsia="zh-CN"/>
              </w:rPr>
              <w:t>项目要求</w:t>
            </w:r>
          </w:p>
        </w:tc>
        <w:tc>
          <w:tcPr>
            <w:tcW w:w="262" w:type="pct"/>
            <w:noWrap w:val="0"/>
            <w:vAlign w:val="center"/>
          </w:tcPr>
          <w:p w14:paraId="5697C78C">
            <w:pPr>
              <w:keepNext w:val="0"/>
              <w:keepLines w:val="0"/>
              <w:pageBreakBefore w:val="0"/>
              <w:widowControl w:val="0"/>
              <w:kinsoku/>
              <w:wordWrap/>
              <w:overflowPunct/>
              <w:topLinePunct w:val="0"/>
              <w:autoSpaceDE/>
              <w:autoSpaceDN/>
              <w:bidi w:val="0"/>
              <w:adjustRightInd w:val="0"/>
              <w:snapToGrid w:val="0"/>
              <w:spacing w:line="480" w:lineRule="auto"/>
              <w:ind w:firstLine="0" w:firstLineChars="0"/>
              <w:jc w:val="center"/>
              <w:textAlignment w:val="auto"/>
              <w:rPr>
                <w:rFonts w:hint="default"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数量</w:t>
            </w:r>
          </w:p>
        </w:tc>
        <w:tc>
          <w:tcPr>
            <w:tcW w:w="714" w:type="pct"/>
            <w:noWrap w:val="0"/>
            <w:vAlign w:val="center"/>
          </w:tcPr>
          <w:p w14:paraId="68B1A2AB">
            <w:pPr>
              <w:keepNext w:val="0"/>
              <w:keepLines w:val="0"/>
              <w:pageBreakBefore w:val="0"/>
              <w:widowControl w:val="0"/>
              <w:kinsoku/>
              <w:wordWrap/>
              <w:overflowPunct/>
              <w:topLinePunct w:val="0"/>
              <w:autoSpaceDE/>
              <w:autoSpaceDN/>
              <w:bidi w:val="0"/>
              <w:adjustRightInd w:val="0"/>
              <w:snapToGrid w:val="0"/>
              <w:spacing w:line="480" w:lineRule="auto"/>
              <w:ind w:firstLine="0" w:firstLineChars="0"/>
              <w:jc w:val="center"/>
              <w:textAlignment w:val="auto"/>
              <w:rPr>
                <w:rFonts w:hint="default" w:ascii="Times New Roman" w:hAnsi="Times New Roman" w:eastAsia="宋体" w:cs="Times New Roman"/>
                <w:color w:val="000000"/>
                <w:sz w:val="24"/>
                <w:szCs w:val="24"/>
                <w:lang w:val="en-US" w:eastAsia="zh-CN"/>
              </w:rPr>
            </w:pPr>
            <w:r>
              <w:rPr>
                <w:rFonts w:hint="eastAsia" w:cs="Times New Roman"/>
                <w:color w:val="000000"/>
                <w:sz w:val="24"/>
                <w:szCs w:val="24"/>
                <w:lang w:val="en-US" w:eastAsia="zh-CN"/>
              </w:rPr>
              <w:t>单价/元</w:t>
            </w:r>
          </w:p>
        </w:tc>
        <w:tc>
          <w:tcPr>
            <w:tcW w:w="536" w:type="pct"/>
            <w:noWrap w:val="0"/>
            <w:vAlign w:val="center"/>
          </w:tcPr>
          <w:p w14:paraId="32DD03B1">
            <w:pPr>
              <w:keepNext w:val="0"/>
              <w:keepLines w:val="0"/>
              <w:pageBreakBefore w:val="0"/>
              <w:widowControl w:val="0"/>
              <w:kinsoku/>
              <w:wordWrap/>
              <w:overflowPunct/>
              <w:topLinePunct w:val="0"/>
              <w:autoSpaceDE/>
              <w:autoSpaceDN/>
              <w:bidi w:val="0"/>
              <w:adjustRightInd w:val="0"/>
              <w:snapToGrid w:val="0"/>
              <w:spacing w:line="480" w:lineRule="auto"/>
              <w:ind w:firstLine="0" w:firstLineChars="0"/>
              <w:jc w:val="center"/>
              <w:textAlignment w:val="auto"/>
              <w:rPr>
                <w:rFonts w:hint="default" w:ascii="Times New Roman" w:hAnsi="Times New Roman" w:eastAsia="宋体" w:cs="Times New Roman"/>
                <w:color w:val="000000"/>
                <w:sz w:val="24"/>
                <w:szCs w:val="24"/>
                <w:lang w:val="en-US" w:eastAsia="zh-CN"/>
              </w:rPr>
            </w:pPr>
            <w:r>
              <w:rPr>
                <w:rFonts w:hint="eastAsia" w:cs="Times New Roman"/>
                <w:color w:val="000000"/>
                <w:sz w:val="24"/>
                <w:szCs w:val="24"/>
                <w:lang w:val="en-US" w:eastAsia="zh-CN"/>
              </w:rPr>
              <w:t>合计/元</w:t>
            </w:r>
          </w:p>
        </w:tc>
        <w:tc>
          <w:tcPr>
            <w:tcW w:w="536" w:type="pct"/>
            <w:noWrap w:val="0"/>
            <w:vAlign w:val="center"/>
          </w:tcPr>
          <w:p w14:paraId="0B4EBC91">
            <w:pPr>
              <w:keepNext w:val="0"/>
              <w:keepLines w:val="0"/>
              <w:pageBreakBefore w:val="0"/>
              <w:widowControl w:val="0"/>
              <w:kinsoku/>
              <w:wordWrap/>
              <w:overflowPunct/>
              <w:topLinePunct w:val="0"/>
              <w:autoSpaceDE/>
              <w:autoSpaceDN/>
              <w:bidi w:val="0"/>
              <w:adjustRightInd w:val="0"/>
              <w:snapToGrid w:val="0"/>
              <w:spacing w:line="480" w:lineRule="auto"/>
              <w:ind w:firstLine="0" w:firstLineChars="0"/>
              <w:jc w:val="center"/>
              <w:textAlignment w:val="auto"/>
              <w:rPr>
                <w:rFonts w:hint="default" w:cs="Times New Roman"/>
                <w:color w:val="000000"/>
                <w:sz w:val="24"/>
                <w:szCs w:val="24"/>
                <w:lang w:val="en-US" w:eastAsia="zh-CN"/>
              </w:rPr>
            </w:pPr>
            <w:r>
              <w:rPr>
                <w:rFonts w:hint="eastAsia" w:cs="Times New Roman"/>
                <w:color w:val="000000"/>
                <w:sz w:val="24"/>
                <w:szCs w:val="24"/>
                <w:lang w:val="en-US" w:eastAsia="zh-CN"/>
              </w:rPr>
              <w:t>共计/元</w:t>
            </w:r>
          </w:p>
        </w:tc>
      </w:tr>
      <w:tr w14:paraId="718E3C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55" w:type="pct"/>
            <w:shd w:val="clear" w:color="auto" w:fill="auto"/>
            <w:noWrap w:val="0"/>
            <w:vAlign w:val="center"/>
          </w:tcPr>
          <w:p w14:paraId="60CF3614">
            <w:pPr>
              <w:keepNext w:val="0"/>
              <w:keepLines w:val="0"/>
              <w:pageBreakBefore w:val="0"/>
              <w:widowControl w:val="0"/>
              <w:kinsoku/>
              <w:wordWrap/>
              <w:overflowPunct/>
              <w:topLinePunct w:val="0"/>
              <w:autoSpaceDE/>
              <w:autoSpaceDN/>
              <w:bidi w:val="0"/>
              <w:adjustRightInd w:val="0"/>
              <w:snapToGrid w:val="0"/>
              <w:spacing w:line="480" w:lineRule="auto"/>
              <w:ind w:firstLine="0" w:firstLineChars="0"/>
              <w:jc w:val="center"/>
              <w:textAlignment w:val="auto"/>
              <w:rPr>
                <w:rFonts w:hint="eastAsia" w:ascii="Times New Roman" w:hAnsi="Times New Roman" w:eastAsia="宋体" w:cs="Times New Roman"/>
                <w:color w:val="000000"/>
                <w:sz w:val="24"/>
                <w:szCs w:val="24"/>
                <w:lang w:val="en-US" w:eastAsia="zh-CN"/>
              </w:rPr>
            </w:pPr>
            <w:r>
              <w:rPr>
                <w:rFonts w:hint="default" w:ascii="Times New Roman" w:hAnsi="Times New Roman" w:eastAsia="宋体" w:cs="Times New Roman"/>
                <w:color w:val="000000"/>
                <w:sz w:val="24"/>
                <w:szCs w:val="24"/>
                <w:lang w:val="en-US" w:eastAsia="zh-CN"/>
              </w:rPr>
              <w:t>1</w:t>
            </w:r>
          </w:p>
        </w:tc>
        <w:tc>
          <w:tcPr>
            <w:tcW w:w="502" w:type="pct"/>
            <w:shd w:val="clear" w:color="000000" w:fill="FFFFFF"/>
            <w:noWrap w:val="0"/>
            <w:vAlign w:val="center"/>
          </w:tcPr>
          <w:p w14:paraId="0208085B">
            <w:pPr>
              <w:keepNext w:val="0"/>
              <w:keepLines w:val="0"/>
              <w:pageBreakBefore w:val="0"/>
              <w:widowControl w:val="0"/>
              <w:kinsoku/>
              <w:wordWrap/>
              <w:overflowPunct/>
              <w:topLinePunct w:val="0"/>
              <w:autoSpaceDE/>
              <w:autoSpaceDN/>
              <w:bidi w:val="0"/>
              <w:adjustRightInd w:val="0"/>
              <w:snapToGrid w:val="0"/>
              <w:spacing w:line="480" w:lineRule="auto"/>
              <w:ind w:firstLine="0" w:firstLineChars="0"/>
              <w:jc w:val="center"/>
              <w:textAlignment w:val="auto"/>
              <w:rPr>
                <w:rFonts w:hint="default"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lang w:val="en-US" w:eastAsia="zh-CN"/>
              </w:rPr>
              <w:t>厨师长</w:t>
            </w:r>
          </w:p>
        </w:tc>
        <w:tc>
          <w:tcPr>
            <w:tcW w:w="2091" w:type="pct"/>
            <w:shd w:val="clear" w:color="000000" w:fill="FFFFFF"/>
            <w:noWrap w:val="0"/>
            <w:vAlign w:val="center"/>
          </w:tcPr>
          <w:p w14:paraId="2F056487">
            <w:pPr>
              <w:keepNext w:val="0"/>
              <w:keepLines w:val="0"/>
              <w:pageBreakBefore w:val="0"/>
              <w:widowControl w:val="0"/>
              <w:kinsoku/>
              <w:wordWrap/>
              <w:overflowPunct/>
              <w:topLinePunct w:val="0"/>
              <w:autoSpaceDE/>
              <w:autoSpaceDN/>
              <w:bidi w:val="0"/>
              <w:adjustRightInd w:val="0"/>
              <w:snapToGrid w:val="0"/>
              <w:spacing w:line="480" w:lineRule="auto"/>
              <w:ind w:firstLine="0" w:firstLineChars="0"/>
              <w:jc w:val="center"/>
              <w:textAlignment w:val="auto"/>
              <w:rPr>
                <w:rFonts w:hint="default" w:ascii="Times New Roman" w:hAnsi="Times New Roman" w:eastAsia="宋体" w:cs="Times New Roman"/>
                <w:color w:val="000000"/>
                <w:sz w:val="24"/>
                <w:szCs w:val="24"/>
                <w:lang w:val="en-US" w:eastAsia="zh-CN"/>
              </w:rPr>
            </w:pPr>
            <w:r>
              <w:rPr>
                <w:rFonts w:hint="default" w:ascii="Times New Roman" w:hAnsi="Times New Roman" w:eastAsia="宋体" w:cs="Times New Roman"/>
                <w:color w:val="000000"/>
                <w:sz w:val="24"/>
                <w:szCs w:val="24"/>
                <w:lang w:val="en-US" w:eastAsia="zh-CN"/>
              </w:rPr>
              <w:t>主要负责大小灶全盘管理，人员安排，每周饭菜安排，每天饭菜质量，灶务卫生等方面的工作。</w:t>
            </w:r>
          </w:p>
        </w:tc>
        <w:tc>
          <w:tcPr>
            <w:tcW w:w="262" w:type="pct"/>
            <w:noWrap/>
            <w:vAlign w:val="center"/>
          </w:tcPr>
          <w:p w14:paraId="0E5BDC12">
            <w:pPr>
              <w:keepNext w:val="0"/>
              <w:keepLines w:val="0"/>
              <w:pageBreakBefore w:val="0"/>
              <w:widowControl w:val="0"/>
              <w:kinsoku/>
              <w:wordWrap/>
              <w:overflowPunct/>
              <w:topLinePunct w:val="0"/>
              <w:autoSpaceDE/>
              <w:autoSpaceDN/>
              <w:bidi w:val="0"/>
              <w:adjustRightInd w:val="0"/>
              <w:snapToGrid w:val="0"/>
              <w:spacing w:line="480" w:lineRule="auto"/>
              <w:ind w:firstLine="0" w:firstLineChars="0"/>
              <w:jc w:val="center"/>
              <w:textAlignment w:val="auto"/>
              <w:rPr>
                <w:rFonts w:hint="default"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lang w:val="en-US" w:eastAsia="zh-CN"/>
              </w:rPr>
              <w:t>1人</w:t>
            </w:r>
          </w:p>
        </w:tc>
        <w:tc>
          <w:tcPr>
            <w:tcW w:w="714" w:type="pct"/>
            <w:noWrap/>
            <w:vAlign w:val="center"/>
          </w:tcPr>
          <w:p w14:paraId="5FF777CA">
            <w:pPr>
              <w:keepNext w:val="0"/>
              <w:keepLines w:val="0"/>
              <w:pageBreakBefore w:val="0"/>
              <w:widowControl w:val="0"/>
              <w:kinsoku/>
              <w:wordWrap/>
              <w:overflowPunct/>
              <w:topLinePunct w:val="0"/>
              <w:autoSpaceDE/>
              <w:autoSpaceDN/>
              <w:bidi w:val="0"/>
              <w:adjustRightInd w:val="0"/>
              <w:snapToGrid w:val="0"/>
              <w:spacing w:line="480" w:lineRule="auto"/>
              <w:ind w:firstLine="0" w:firstLineChars="0"/>
              <w:jc w:val="center"/>
              <w:textAlignment w:val="auto"/>
              <w:rPr>
                <w:rFonts w:hint="default" w:ascii="Times New Roman" w:hAnsi="Times New Roman" w:eastAsia="宋体" w:cs="Times New Roman"/>
                <w:color w:val="000000"/>
                <w:sz w:val="24"/>
                <w:szCs w:val="24"/>
                <w:lang w:val="en-US" w:eastAsia="zh-CN"/>
              </w:rPr>
            </w:pPr>
          </w:p>
        </w:tc>
        <w:tc>
          <w:tcPr>
            <w:tcW w:w="536" w:type="pct"/>
            <w:noWrap/>
            <w:vAlign w:val="center"/>
          </w:tcPr>
          <w:p w14:paraId="401093DA">
            <w:pPr>
              <w:keepNext w:val="0"/>
              <w:keepLines w:val="0"/>
              <w:pageBreakBefore w:val="0"/>
              <w:widowControl w:val="0"/>
              <w:kinsoku/>
              <w:wordWrap/>
              <w:overflowPunct/>
              <w:topLinePunct w:val="0"/>
              <w:autoSpaceDE/>
              <w:autoSpaceDN/>
              <w:bidi w:val="0"/>
              <w:adjustRightInd w:val="0"/>
              <w:snapToGrid w:val="0"/>
              <w:spacing w:line="480" w:lineRule="auto"/>
              <w:ind w:firstLine="0" w:firstLineChars="0"/>
              <w:jc w:val="center"/>
              <w:textAlignment w:val="auto"/>
              <w:rPr>
                <w:rFonts w:hint="eastAsia" w:ascii="Times New Roman" w:hAnsi="Times New Roman" w:eastAsia="宋体" w:cs="Times New Roman"/>
                <w:color w:val="000000"/>
                <w:sz w:val="24"/>
                <w:szCs w:val="24"/>
                <w:lang w:val="en-US" w:eastAsia="zh-CN"/>
              </w:rPr>
            </w:pPr>
          </w:p>
        </w:tc>
        <w:tc>
          <w:tcPr>
            <w:tcW w:w="536" w:type="pct"/>
            <w:noWrap/>
            <w:vAlign w:val="center"/>
          </w:tcPr>
          <w:p w14:paraId="61AE6F88">
            <w:pPr>
              <w:keepNext w:val="0"/>
              <w:keepLines w:val="0"/>
              <w:pageBreakBefore w:val="0"/>
              <w:widowControl w:val="0"/>
              <w:kinsoku/>
              <w:wordWrap/>
              <w:overflowPunct/>
              <w:topLinePunct w:val="0"/>
              <w:autoSpaceDE/>
              <w:autoSpaceDN/>
              <w:bidi w:val="0"/>
              <w:adjustRightInd w:val="0"/>
              <w:snapToGrid w:val="0"/>
              <w:spacing w:line="480" w:lineRule="auto"/>
              <w:ind w:firstLine="0" w:firstLineChars="0"/>
              <w:jc w:val="center"/>
              <w:textAlignment w:val="auto"/>
              <w:rPr>
                <w:rFonts w:hint="default" w:ascii="Times New Roman" w:hAnsi="Times New Roman" w:eastAsia="宋体" w:cs="Times New Roman"/>
                <w:color w:val="000000"/>
                <w:sz w:val="24"/>
                <w:szCs w:val="24"/>
                <w:lang w:val="en-US" w:eastAsia="zh-CN"/>
              </w:rPr>
            </w:pPr>
          </w:p>
        </w:tc>
      </w:tr>
      <w:tr w14:paraId="25C9FA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55" w:type="pct"/>
            <w:shd w:val="clear" w:color="auto" w:fill="auto"/>
            <w:noWrap w:val="0"/>
            <w:vAlign w:val="center"/>
          </w:tcPr>
          <w:p w14:paraId="5FC50A2E">
            <w:pPr>
              <w:keepNext w:val="0"/>
              <w:keepLines w:val="0"/>
              <w:pageBreakBefore w:val="0"/>
              <w:widowControl w:val="0"/>
              <w:kinsoku/>
              <w:wordWrap/>
              <w:overflowPunct/>
              <w:topLinePunct w:val="0"/>
              <w:autoSpaceDE/>
              <w:autoSpaceDN/>
              <w:bidi w:val="0"/>
              <w:adjustRightInd w:val="0"/>
              <w:snapToGrid w:val="0"/>
              <w:spacing w:line="480" w:lineRule="auto"/>
              <w:ind w:firstLine="0" w:firstLineChars="0"/>
              <w:jc w:val="center"/>
              <w:textAlignment w:val="auto"/>
              <w:rPr>
                <w:rFonts w:hint="eastAsia"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lang w:val="en-US" w:eastAsia="zh-CN"/>
              </w:rPr>
              <w:t>2</w:t>
            </w:r>
          </w:p>
        </w:tc>
        <w:tc>
          <w:tcPr>
            <w:tcW w:w="502" w:type="pct"/>
            <w:shd w:val="clear" w:color="auto" w:fill="auto"/>
            <w:noWrap w:val="0"/>
            <w:vAlign w:val="center"/>
          </w:tcPr>
          <w:p w14:paraId="4D65D36F">
            <w:pPr>
              <w:keepNext w:val="0"/>
              <w:keepLines w:val="0"/>
              <w:pageBreakBefore w:val="0"/>
              <w:widowControl w:val="0"/>
              <w:kinsoku/>
              <w:wordWrap/>
              <w:overflowPunct/>
              <w:topLinePunct w:val="0"/>
              <w:autoSpaceDE/>
              <w:autoSpaceDN/>
              <w:bidi w:val="0"/>
              <w:adjustRightInd w:val="0"/>
              <w:snapToGrid w:val="0"/>
              <w:spacing w:line="480" w:lineRule="auto"/>
              <w:ind w:firstLine="0" w:firstLineChars="0"/>
              <w:jc w:val="center"/>
              <w:textAlignment w:val="auto"/>
              <w:rPr>
                <w:rFonts w:hint="eastAsia"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lang w:val="en-US" w:eastAsia="zh-CN"/>
              </w:rPr>
              <w:t>厨师</w:t>
            </w:r>
          </w:p>
        </w:tc>
        <w:tc>
          <w:tcPr>
            <w:tcW w:w="2091" w:type="pct"/>
            <w:shd w:val="clear" w:color="000000" w:fill="FFFFFF"/>
            <w:noWrap w:val="0"/>
            <w:vAlign w:val="center"/>
          </w:tcPr>
          <w:p w14:paraId="2E7F8DD8">
            <w:pPr>
              <w:keepNext w:val="0"/>
              <w:keepLines w:val="0"/>
              <w:pageBreakBefore w:val="0"/>
              <w:widowControl w:val="0"/>
              <w:kinsoku/>
              <w:wordWrap/>
              <w:overflowPunct/>
              <w:topLinePunct w:val="0"/>
              <w:autoSpaceDE/>
              <w:autoSpaceDN/>
              <w:bidi w:val="0"/>
              <w:adjustRightInd w:val="0"/>
              <w:snapToGrid w:val="0"/>
              <w:spacing w:line="480" w:lineRule="auto"/>
              <w:ind w:firstLine="0" w:firstLineChars="0"/>
              <w:jc w:val="center"/>
              <w:textAlignment w:val="auto"/>
              <w:rPr>
                <w:rFonts w:hint="default"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主要负责每天炒各种菜，做各种肉类等工作。</w:t>
            </w:r>
          </w:p>
        </w:tc>
        <w:tc>
          <w:tcPr>
            <w:tcW w:w="262" w:type="pct"/>
            <w:noWrap/>
            <w:vAlign w:val="center"/>
          </w:tcPr>
          <w:p w14:paraId="6EB7E548">
            <w:pPr>
              <w:keepNext w:val="0"/>
              <w:keepLines w:val="0"/>
              <w:pageBreakBefore w:val="0"/>
              <w:widowControl w:val="0"/>
              <w:kinsoku/>
              <w:wordWrap/>
              <w:overflowPunct/>
              <w:topLinePunct w:val="0"/>
              <w:autoSpaceDE/>
              <w:autoSpaceDN/>
              <w:bidi w:val="0"/>
              <w:adjustRightInd w:val="0"/>
              <w:snapToGrid w:val="0"/>
              <w:spacing w:line="480" w:lineRule="auto"/>
              <w:ind w:firstLine="0" w:firstLineChars="0"/>
              <w:jc w:val="center"/>
              <w:textAlignment w:val="auto"/>
              <w:rPr>
                <w:rFonts w:hint="default"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lang w:val="en-US" w:eastAsia="zh-CN"/>
              </w:rPr>
              <w:t>3人</w:t>
            </w:r>
          </w:p>
        </w:tc>
        <w:tc>
          <w:tcPr>
            <w:tcW w:w="714" w:type="pct"/>
            <w:noWrap/>
            <w:vAlign w:val="center"/>
          </w:tcPr>
          <w:p w14:paraId="3ED53A67">
            <w:pPr>
              <w:keepNext w:val="0"/>
              <w:keepLines w:val="0"/>
              <w:pageBreakBefore w:val="0"/>
              <w:widowControl w:val="0"/>
              <w:kinsoku/>
              <w:wordWrap/>
              <w:overflowPunct/>
              <w:topLinePunct w:val="0"/>
              <w:autoSpaceDE/>
              <w:autoSpaceDN/>
              <w:bidi w:val="0"/>
              <w:adjustRightInd w:val="0"/>
              <w:snapToGrid w:val="0"/>
              <w:spacing w:line="480" w:lineRule="auto"/>
              <w:ind w:firstLine="0" w:firstLineChars="0"/>
              <w:jc w:val="center"/>
              <w:textAlignment w:val="auto"/>
              <w:rPr>
                <w:rFonts w:hint="eastAsia" w:ascii="Times New Roman" w:hAnsi="Times New Roman" w:eastAsia="宋体" w:cs="Times New Roman"/>
                <w:color w:val="000000"/>
                <w:sz w:val="24"/>
                <w:szCs w:val="24"/>
                <w:lang w:val="en-US" w:eastAsia="zh-CN"/>
              </w:rPr>
            </w:pPr>
          </w:p>
        </w:tc>
        <w:tc>
          <w:tcPr>
            <w:tcW w:w="536" w:type="pct"/>
            <w:noWrap/>
            <w:vAlign w:val="center"/>
          </w:tcPr>
          <w:p w14:paraId="735E93D3">
            <w:pPr>
              <w:keepNext w:val="0"/>
              <w:keepLines w:val="0"/>
              <w:pageBreakBefore w:val="0"/>
              <w:widowControl w:val="0"/>
              <w:kinsoku/>
              <w:wordWrap/>
              <w:overflowPunct/>
              <w:topLinePunct w:val="0"/>
              <w:autoSpaceDE/>
              <w:autoSpaceDN/>
              <w:bidi w:val="0"/>
              <w:adjustRightInd w:val="0"/>
              <w:snapToGrid w:val="0"/>
              <w:spacing w:line="480" w:lineRule="auto"/>
              <w:ind w:firstLine="0" w:firstLineChars="0"/>
              <w:jc w:val="center"/>
              <w:textAlignment w:val="auto"/>
              <w:rPr>
                <w:rFonts w:hint="eastAsia" w:ascii="Times New Roman" w:hAnsi="Times New Roman" w:eastAsia="宋体" w:cs="Times New Roman"/>
                <w:color w:val="000000"/>
                <w:sz w:val="24"/>
                <w:szCs w:val="24"/>
                <w:lang w:val="en-US" w:eastAsia="zh-CN"/>
              </w:rPr>
            </w:pPr>
          </w:p>
        </w:tc>
        <w:tc>
          <w:tcPr>
            <w:tcW w:w="536" w:type="pct"/>
            <w:noWrap/>
            <w:vAlign w:val="center"/>
          </w:tcPr>
          <w:p w14:paraId="2E00D38A">
            <w:pPr>
              <w:keepNext w:val="0"/>
              <w:keepLines w:val="0"/>
              <w:pageBreakBefore w:val="0"/>
              <w:widowControl w:val="0"/>
              <w:kinsoku/>
              <w:wordWrap/>
              <w:overflowPunct/>
              <w:topLinePunct w:val="0"/>
              <w:autoSpaceDE/>
              <w:autoSpaceDN/>
              <w:bidi w:val="0"/>
              <w:adjustRightInd w:val="0"/>
              <w:snapToGrid w:val="0"/>
              <w:spacing w:line="480" w:lineRule="auto"/>
              <w:ind w:firstLine="0" w:firstLineChars="0"/>
              <w:jc w:val="center"/>
              <w:textAlignment w:val="auto"/>
              <w:rPr>
                <w:rFonts w:hint="default" w:ascii="Times New Roman" w:hAnsi="Times New Roman" w:eastAsia="宋体" w:cs="Times New Roman"/>
                <w:color w:val="000000"/>
                <w:sz w:val="24"/>
                <w:szCs w:val="24"/>
                <w:lang w:val="en-US" w:eastAsia="zh-CN"/>
              </w:rPr>
            </w:pPr>
          </w:p>
        </w:tc>
      </w:tr>
      <w:tr w14:paraId="408063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55" w:type="pct"/>
            <w:shd w:val="clear" w:color="auto" w:fill="auto"/>
            <w:noWrap w:val="0"/>
            <w:vAlign w:val="center"/>
          </w:tcPr>
          <w:p w14:paraId="24103C33">
            <w:pPr>
              <w:keepNext w:val="0"/>
              <w:keepLines w:val="0"/>
              <w:pageBreakBefore w:val="0"/>
              <w:widowControl w:val="0"/>
              <w:kinsoku/>
              <w:wordWrap/>
              <w:overflowPunct/>
              <w:topLinePunct w:val="0"/>
              <w:autoSpaceDE/>
              <w:autoSpaceDN/>
              <w:bidi w:val="0"/>
              <w:adjustRightInd w:val="0"/>
              <w:snapToGrid w:val="0"/>
              <w:spacing w:line="480" w:lineRule="auto"/>
              <w:ind w:firstLine="0" w:firstLineChars="0"/>
              <w:jc w:val="center"/>
              <w:textAlignment w:val="auto"/>
              <w:rPr>
                <w:rFonts w:hint="default"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lang w:val="en-US" w:eastAsia="zh-CN"/>
              </w:rPr>
              <w:t>3</w:t>
            </w:r>
          </w:p>
        </w:tc>
        <w:tc>
          <w:tcPr>
            <w:tcW w:w="502" w:type="pct"/>
            <w:shd w:val="clear" w:color="auto" w:fill="auto"/>
            <w:noWrap w:val="0"/>
            <w:vAlign w:val="center"/>
          </w:tcPr>
          <w:p w14:paraId="144F2F8B">
            <w:pPr>
              <w:keepNext w:val="0"/>
              <w:keepLines w:val="0"/>
              <w:pageBreakBefore w:val="0"/>
              <w:widowControl w:val="0"/>
              <w:kinsoku/>
              <w:wordWrap/>
              <w:overflowPunct/>
              <w:topLinePunct w:val="0"/>
              <w:autoSpaceDE/>
              <w:autoSpaceDN/>
              <w:bidi w:val="0"/>
              <w:adjustRightInd w:val="0"/>
              <w:snapToGrid w:val="0"/>
              <w:spacing w:line="480" w:lineRule="auto"/>
              <w:ind w:firstLine="0" w:firstLineChars="0"/>
              <w:jc w:val="center"/>
              <w:textAlignment w:val="auto"/>
              <w:rPr>
                <w:rFonts w:hint="eastAsia"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lang w:val="en-US" w:eastAsia="zh-CN"/>
              </w:rPr>
              <w:t>配菜</w:t>
            </w:r>
          </w:p>
        </w:tc>
        <w:tc>
          <w:tcPr>
            <w:tcW w:w="2091" w:type="pct"/>
            <w:shd w:val="clear" w:color="000000" w:fill="FFFFFF"/>
            <w:noWrap w:val="0"/>
            <w:vAlign w:val="center"/>
          </w:tcPr>
          <w:p w14:paraId="3512867C">
            <w:pPr>
              <w:keepNext w:val="0"/>
              <w:keepLines w:val="0"/>
              <w:pageBreakBefore w:val="0"/>
              <w:widowControl w:val="0"/>
              <w:kinsoku/>
              <w:wordWrap/>
              <w:overflowPunct/>
              <w:topLinePunct w:val="0"/>
              <w:autoSpaceDE/>
              <w:autoSpaceDN/>
              <w:bidi w:val="0"/>
              <w:adjustRightInd w:val="0"/>
              <w:snapToGrid w:val="0"/>
              <w:spacing w:line="480" w:lineRule="auto"/>
              <w:ind w:firstLine="0" w:firstLineChars="0"/>
              <w:jc w:val="center"/>
              <w:textAlignment w:val="auto"/>
              <w:rPr>
                <w:rFonts w:hint="eastAsia"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rPr>
              <w:t>主要负责大小灶每天捡菜，洗菜，切菜等灶务工作。</w:t>
            </w:r>
          </w:p>
        </w:tc>
        <w:tc>
          <w:tcPr>
            <w:tcW w:w="262" w:type="pct"/>
            <w:noWrap/>
            <w:vAlign w:val="center"/>
          </w:tcPr>
          <w:p w14:paraId="29E45392">
            <w:pPr>
              <w:keepNext w:val="0"/>
              <w:keepLines w:val="0"/>
              <w:pageBreakBefore w:val="0"/>
              <w:widowControl w:val="0"/>
              <w:kinsoku/>
              <w:wordWrap/>
              <w:overflowPunct/>
              <w:topLinePunct w:val="0"/>
              <w:autoSpaceDE/>
              <w:autoSpaceDN/>
              <w:bidi w:val="0"/>
              <w:adjustRightInd w:val="0"/>
              <w:snapToGrid w:val="0"/>
              <w:spacing w:line="480" w:lineRule="auto"/>
              <w:ind w:firstLine="0" w:firstLineChars="0"/>
              <w:jc w:val="center"/>
              <w:textAlignment w:val="auto"/>
              <w:rPr>
                <w:rFonts w:hint="default"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lang w:val="en-US" w:eastAsia="zh-CN"/>
              </w:rPr>
              <w:t>2人</w:t>
            </w:r>
          </w:p>
        </w:tc>
        <w:tc>
          <w:tcPr>
            <w:tcW w:w="714" w:type="pct"/>
            <w:noWrap/>
            <w:vAlign w:val="center"/>
          </w:tcPr>
          <w:p w14:paraId="30FD4A06">
            <w:pPr>
              <w:keepNext w:val="0"/>
              <w:keepLines w:val="0"/>
              <w:pageBreakBefore w:val="0"/>
              <w:widowControl w:val="0"/>
              <w:kinsoku/>
              <w:wordWrap/>
              <w:overflowPunct/>
              <w:topLinePunct w:val="0"/>
              <w:autoSpaceDE/>
              <w:autoSpaceDN/>
              <w:bidi w:val="0"/>
              <w:adjustRightInd w:val="0"/>
              <w:snapToGrid w:val="0"/>
              <w:spacing w:line="480" w:lineRule="auto"/>
              <w:ind w:firstLine="0" w:firstLineChars="0"/>
              <w:jc w:val="center"/>
              <w:textAlignment w:val="auto"/>
              <w:rPr>
                <w:rFonts w:hint="eastAsia" w:ascii="Times New Roman" w:hAnsi="Times New Roman" w:eastAsia="宋体" w:cs="Times New Roman"/>
                <w:color w:val="000000"/>
                <w:sz w:val="24"/>
                <w:szCs w:val="24"/>
                <w:lang w:val="en-US" w:eastAsia="zh-CN"/>
              </w:rPr>
            </w:pPr>
          </w:p>
        </w:tc>
        <w:tc>
          <w:tcPr>
            <w:tcW w:w="536" w:type="pct"/>
            <w:noWrap/>
            <w:vAlign w:val="center"/>
          </w:tcPr>
          <w:p w14:paraId="4EB88386">
            <w:pPr>
              <w:keepNext w:val="0"/>
              <w:keepLines w:val="0"/>
              <w:pageBreakBefore w:val="0"/>
              <w:widowControl w:val="0"/>
              <w:kinsoku/>
              <w:wordWrap/>
              <w:overflowPunct/>
              <w:topLinePunct w:val="0"/>
              <w:autoSpaceDE/>
              <w:autoSpaceDN/>
              <w:bidi w:val="0"/>
              <w:adjustRightInd w:val="0"/>
              <w:snapToGrid w:val="0"/>
              <w:spacing w:line="480" w:lineRule="auto"/>
              <w:ind w:firstLine="0" w:firstLineChars="0"/>
              <w:jc w:val="center"/>
              <w:textAlignment w:val="auto"/>
              <w:rPr>
                <w:rFonts w:hint="eastAsia" w:ascii="Times New Roman" w:hAnsi="Times New Roman" w:eastAsia="宋体" w:cs="Times New Roman"/>
                <w:color w:val="000000"/>
                <w:sz w:val="24"/>
                <w:szCs w:val="24"/>
                <w:lang w:val="en-US" w:eastAsia="zh-CN"/>
              </w:rPr>
            </w:pPr>
          </w:p>
        </w:tc>
        <w:tc>
          <w:tcPr>
            <w:tcW w:w="536" w:type="pct"/>
            <w:noWrap/>
            <w:vAlign w:val="center"/>
          </w:tcPr>
          <w:p w14:paraId="7B95AB12">
            <w:pPr>
              <w:keepNext w:val="0"/>
              <w:keepLines w:val="0"/>
              <w:pageBreakBefore w:val="0"/>
              <w:widowControl w:val="0"/>
              <w:kinsoku/>
              <w:wordWrap/>
              <w:overflowPunct/>
              <w:topLinePunct w:val="0"/>
              <w:autoSpaceDE/>
              <w:autoSpaceDN/>
              <w:bidi w:val="0"/>
              <w:adjustRightInd w:val="0"/>
              <w:snapToGrid w:val="0"/>
              <w:spacing w:line="480" w:lineRule="auto"/>
              <w:ind w:firstLine="0" w:firstLineChars="0"/>
              <w:jc w:val="center"/>
              <w:textAlignment w:val="auto"/>
              <w:rPr>
                <w:rFonts w:hint="default" w:ascii="Times New Roman" w:hAnsi="Times New Roman" w:eastAsia="宋体" w:cs="Times New Roman"/>
                <w:color w:val="000000"/>
                <w:sz w:val="24"/>
                <w:szCs w:val="24"/>
                <w:lang w:val="en-US" w:eastAsia="zh-CN"/>
              </w:rPr>
            </w:pPr>
          </w:p>
        </w:tc>
      </w:tr>
      <w:tr w14:paraId="4661AE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55" w:type="pct"/>
            <w:shd w:val="clear" w:color="auto" w:fill="auto"/>
            <w:noWrap w:val="0"/>
            <w:vAlign w:val="center"/>
          </w:tcPr>
          <w:p w14:paraId="41FAB7E6">
            <w:pPr>
              <w:keepNext w:val="0"/>
              <w:keepLines w:val="0"/>
              <w:pageBreakBefore w:val="0"/>
              <w:widowControl w:val="0"/>
              <w:kinsoku/>
              <w:wordWrap/>
              <w:overflowPunct/>
              <w:topLinePunct w:val="0"/>
              <w:autoSpaceDE/>
              <w:autoSpaceDN/>
              <w:bidi w:val="0"/>
              <w:adjustRightInd w:val="0"/>
              <w:snapToGrid w:val="0"/>
              <w:spacing w:line="480" w:lineRule="auto"/>
              <w:ind w:firstLine="0" w:firstLineChars="0"/>
              <w:jc w:val="center"/>
              <w:textAlignment w:val="auto"/>
              <w:rPr>
                <w:rFonts w:hint="default"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lang w:val="en-US" w:eastAsia="zh-CN"/>
              </w:rPr>
              <w:t>4</w:t>
            </w:r>
          </w:p>
        </w:tc>
        <w:tc>
          <w:tcPr>
            <w:tcW w:w="502" w:type="pct"/>
            <w:shd w:val="clear" w:color="auto" w:fill="auto"/>
            <w:noWrap w:val="0"/>
            <w:vAlign w:val="center"/>
          </w:tcPr>
          <w:p w14:paraId="15EF4C38">
            <w:pPr>
              <w:keepNext w:val="0"/>
              <w:keepLines w:val="0"/>
              <w:pageBreakBefore w:val="0"/>
              <w:widowControl w:val="0"/>
              <w:kinsoku/>
              <w:wordWrap/>
              <w:overflowPunct/>
              <w:topLinePunct w:val="0"/>
              <w:autoSpaceDE/>
              <w:autoSpaceDN/>
              <w:bidi w:val="0"/>
              <w:adjustRightInd w:val="0"/>
              <w:snapToGrid w:val="0"/>
              <w:spacing w:line="480" w:lineRule="auto"/>
              <w:ind w:firstLine="0" w:firstLineChars="0"/>
              <w:jc w:val="center"/>
              <w:textAlignment w:val="auto"/>
              <w:rPr>
                <w:rFonts w:hint="eastAsia"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lang w:val="en-US" w:eastAsia="zh-CN"/>
              </w:rPr>
              <w:t>面师</w:t>
            </w:r>
          </w:p>
        </w:tc>
        <w:tc>
          <w:tcPr>
            <w:tcW w:w="2091" w:type="pct"/>
            <w:shd w:val="clear" w:color="000000" w:fill="FFFFFF"/>
            <w:noWrap w:val="0"/>
            <w:vAlign w:val="center"/>
          </w:tcPr>
          <w:p w14:paraId="3118EEFB">
            <w:pPr>
              <w:keepNext w:val="0"/>
              <w:keepLines w:val="0"/>
              <w:pageBreakBefore w:val="0"/>
              <w:widowControl w:val="0"/>
              <w:kinsoku/>
              <w:wordWrap/>
              <w:overflowPunct/>
              <w:topLinePunct w:val="0"/>
              <w:autoSpaceDE/>
              <w:autoSpaceDN/>
              <w:bidi w:val="0"/>
              <w:adjustRightInd w:val="0"/>
              <w:snapToGrid w:val="0"/>
              <w:spacing w:line="480" w:lineRule="auto"/>
              <w:ind w:firstLine="0" w:firstLineChars="0"/>
              <w:jc w:val="center"/>
              <w:textAlignment w:val="auto"/>
              <w:rPr>
                <w:rFonts w:hint="eastAsia"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rPr>
              <w:t>主要负责每天蒸馍，面条，包子，油条，河捞各种面点小吃等工作。</w:t>
            </w:r>
          </w:p>
        </w:tc>
        <w:tc>
          <w:tcPr>
            <w:tcW w:w="262" w:type="pct"/>
            <w:noWrap/>
            <w:vAlign w:val="center"/>
          </w:tcPr>
          <w:p w14:paraId="2DF0B5E5">
            <w:pPr>
              <w:keepNext w:val="0"/>
              <w:keepLines w:val="0"/>
              <w:pageBreakBefore w:val="0"/>
              <w:widowControl w:val="0"/>
              <w:kinsoku/>
              <w:wordWrap/>
              <w:overflowPunct/>
              <w:topLinePunct w:val="0"/>
              <w:autoSpaceDE/>
              <w:autoSpaceDN/>
              <w:bidi w:val="0"/>
              <w:adjustRightInd w:val="0"/>
              <w:snapToGrid w:val="0"/>
              <w:spacing w:line="480" w:lineRule="auto"/>
              <w:ind w:firstLine="0" w:firstLineChars="0"/>
              <w:jc w:val="center"/>
              <w:textAlignment w:val="auto"/>
              <w:rPr>
                <w:rFonts w:hint="default"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lang w:val="en-US" w:eastAsia="zh-CN"/>
              </w:rPr>
              <w:t>2人</w:t>
            </w:r>
          </w:p>
        </w:tc>
        <w:tc>
          <w:tcPr>
            <w:tcW w:w="714" w:type="pct"/>
            <w:noWrap/>
            <w:vAlign w:val="center"/>
          </w:tcPr>
          <w:p w14:paraId="051D2347">
            <w:pPr>
              <w:keepNext w:val="0"/>
              <w:keepLines w:val="0"/>
              <w:pageBreakBefore w:val="0"/>
              <w:widowControl w:val="0"/>
              <w:kinsoku/>
              <w:wordWrap/>
              <w:overflowPunct/>
              <w:topLinePunct w:val="0"/>
              <w:autoSpaceDE/>
              <w:autoSpaceDN/>
              <w:bidi w:val="0"/>
              <w:adjustRightInd w:val="0"/>
              <w:snapToGrid w:val="0"/>
              <w:spacing w:line="480" w:lineRule="auto"/>
              <w:ind w:firstLine="0" w:firstLineChars="0"/>
              <w:jc w:val="center"/>
              <w:textAlignment w:val="auto"/>
              <w:rPr>
                <w:rFonts w:hint="eastAsia" w:ascii="Times New Roman" w:hAnsi="Times New Roman" w:eastAsia="宋体" w:cs="Times New Roman"/>
                <w:color w:val="000000"/>
                <w:sz w:val="24"/>
                <w:szCs w:val="24"/>
                <w:lang w:val="en-US" w:eastAsia="zh-CN"/>
              </w:rPr>
            </w:pPr>
          </w:p>
        </w:tc>
        <w:tc>
          <w:tcPr>
            <w:tcW w:w="536" w:type="pct"/>
            <w:noWrap/>
            <w:vAlign w:val="center"/>
          </w:tcPr>
          <w:p w14:paraId="2E13DFEE">
            <w:pPr>
              <w:keepNext w:val="0"/>
              <w:keepLines w:val="0"/>
              <w:pageBreakBefore w:val="0"/>
              <w:widowControl w:val="0"/>
              <w:kinsoku/>
              <w:wordWrap/>
              <w:overflowPunct/>
              <w:topLinePunct w:val="0"/>
              <w:autoSpaceDE/>
              <w:autoSpaceDN/>
              <w:bidi w:val="0"/>
              <w:adjustRightInd w:val="0"/>
              <w:snapToGrid w:val="0"/>
              <w:spacing w:line="480" w:lineRule="auto"/>
              <w:ind w:firstLine="0" w:firstLineChars="0"/>
              <w:jc w:val="center"/>
              <w:textAlignment w:val="auto"/>
              <w:rPr>
                <w:rFonts w:hint="eastAsia" w:ascii="Times New Roman" w:hAnsi="Times New Roman" w:eastAsia="宋体" w:cs="Times New Roman"/>
                <w:color w:val="000000"/>
                <w:sz w:val="24"/>
                <w:szCs w:val="24"/>
                <w:lang w:val="en-US" w:eastAsia="zh-CN"/>
              </w:rPr>
            </w:pPr>
          </w:p>
        </w:tc>
        <w:tc>
          <w:tcPr>
            <w:tcW w:w="536" w:type="pct"/>
            <w:noWrap/>
            <w:vAlign w:val="center"/>
          </w:tcPr>
          <w:p w14:paraId="4A1EFBE5">
            <w:pPr>
              <w:keepNext w:val="0"/>
              <w:keepLines w:val="0"/>
              <w:pageBreakBefore w:val="0"/>
              <w:widowControl w:val="0"/>
              <w:kinsoku/>
              <w:wordWrap/>
              <w:overflowPunct/>
              <w:topLinePunct w:val="0"/>
              <w:autoSpaceDE/>
              <w:autoSpaceDN/>
              <w:bidi w:val="0"/>
              <w:adjustRightInd w:val="0"/>
              <w:snapToGrid w:val="0"/>
              <w:spacing w:line="480" w:lineRule="auto"/>
              <w:ind w:firstLine="0" w:firstLineChars="0"/>
              <w:jc w:val="center"/>
              <w:textAlignment w:val="auto"/>
              <w:rPr>
                <w:rFonts w:hint="default" w:ascii="Times New Roman" w:hAnsi="Times New Roman" w:eastAsia="宋体" w:cs="Times New Roman"/>
                <w:color w:val="000000"/>
                <w:sz w:val="24"/>
                <w:szCs w:val="24"/>
                <w:lang w:val="en-US" w:eastAsia="zh-CN"/>
              </w:rPr>
            </w:pPr>
          </w:p>
        </w:tc>
      </w:tr>
      <w:tr w14:paraId="751D15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55" w:type="pct"/>
            <w:shd w:val="clear" w:color="auto" w:fill="auto"/>
            <w:noWrap w:val="0"/>
            <w:vAlign w:val="center"/>
          </w:tcPr>
          <w:p w14:paraId="5D0A2873">
            <w:pPr>
              <w:keepNext w:val="0"/>
              <w:keepLines w:val="0"/>
              <w:pageBreakBefore w:val="0"/>
              <w:widowControl w:val="0"/>
              <w:kinsoku/>
              <w:wordWrap/>
              <w:overflowPunct/>
              <w:topLinePunct w:val="0"/>
              <w:autoSpaceDE/>
              <w:autoSpaceDN/>
              <w:bidi w:val="0"/>
              <w:adjustRightInd w:val="0"/>
              <w:snapToGrid w:val="0"/>
              <w:spacing w:line="480" w:lineRule="auto"/>
              <w:ind w:firstLine="0" w:firstLineChars="0"/>
              <w:jc w:val="center"/>
              <w:textAlignment w:val="auto"/>
              <w:rPr>
                <w:rFonts w:hint="default"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lang w:val="en-US" w:eastAsia="zh-CN"/>
              </w:rPr>
              <w:t>5</w:t>
            </w:r>
          </w:p>
        </w:tc>
        <w:tc>
          <w:tcPr>
            <w:tcW w:w="502" w:type="pct"/>
            <w:shd w:val="clear" w:color="auto" w:fill="auto"/>
            <w:noWrap w:val="0"/>
            <w:vAlign w:val="center"/>
          </w:tcPr>
          <w:p w14:paraId="0AC20974">
            <w:pPr>
              <w:keepNext w:val="0"/>
              <w:keepLines w:val="0"/>
              <w:pageBreakBefore w:val="0"/>
              <w:widowControl w:val="0"/>
              <w:kinsoku/>
              <w:wordWrap/>
              <w:overflowPunct/>
              <w:topLinePunct w:val="0"/>
              <w:autoSpaceDE/>
              <w:autoSpaceDN/>
              <w:bidi w:val="0"/>
              <w:adjustRightInd w:val="0"/>
              <w:snapToGrid w:val="0"/>
              <w:spacing w:line="480" w:lineRule="auto"/>
              <w:ind w:firstLine="0" w:firstLineChars="0"/>
              <w:jc w:val="center"/>
              <w:textAlignment w:val="auto"/>
              <w:rPr>
                <w:rFonts w:hint="eastAsia"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lang w:val="en-US" w:eastAsia="zh-CN"/>
              </w:rPr>
              <w:t>洗碗</w:t>
            </w:r>
          </w:p>
        </w:tc>
        <w:tc>
          <w:tcPr>
            <w:tcW w:w="2091" w:type="pct"/>
            <w:shd w:val="clear" w:color="000000" w:fill="FFFFFF"/>
            <w:noWrap w:val="0"/>
            <w:vAlign w:val="center"/>
          </w:tcPr>
          <w:p w14:paraId="3DEACE92">
            <w:pPr>
              <w:keepNext w:val="0"/>
              <w:keepLines w:val="0"/>
              <w:pageBreakBefore w:val="0"/>
              <w:widowControl w:val="0"/>
              <w:kinsoku/>
              <w:wordWrap/>
              <w:overflowPunct/>
              <w:topLinePunct w:val="0"/>
              <w:autoSpaceDE/>
              <w:autoSpaceDN/>
              <w:bidi w:val="0"/>
              <w:adjustRightInd w:val="0"/>
              <w:snapToGrid w:val="0"/>
              <w:spacing w:line="480" w:lineRule="auto"/>
              <w:ind w:firstLine="0" w:firstLineChars="0"/>
              <w:jc w:val="center"/>
              <w:textAlignment w:val="auto"/>
              <w:rPr>
                <w:rFonts w:hint="default"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rPr>
              <w:t>主要负责每天灶员饭后所有碗，盆，筷子等清洗工作。</w:t>
            </w:r>
          </w:p>
        </w:tc>
        <w:tc>
          <w:tcPr>
            <w:tcW w:w="262" w:type="pct"/>
            <w:noWrap/>
            <w:vAlign w:val="center"/>
          </w:tcPr>
          <w:p w14:paraId="096F8176">
            <w:pPr>
              <w:keepNext w:val="0"/>
              <w:keepLines w:val="0"/>
              <w:pageBreakBefore w:val="0"/>
              <w:widowControl w:val="0"/>
              <w:kinsoku/>
              <w:wordWrap/>
              <w:overflowPunct/>
              <w:topLinePunct w:val="0"/>
              <w:autoSpaceDE/>
              <w:autoSpaceDN/>
              <w:bidi w:val="0"/>
              <w:adjustRightInd w:val="0"/>
              <w:snapToGrid w:val="0"/>
              <w:spacing w:line="480" w:lineRule="auto"/>
              <w:ind w:firstLine="0" w:firstLineChars="0"/>
              <w:jc w:val="center"/>
              <w:textAlignment w:val="auto"/>
              <w:rPr>
                <w:rFonts w:hint="default"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lang w:val="en-US" w:eastAsia="zh-CN"/>
              </w:rPr>
              <w:t>2人</w:t>
            </w:r>
          </w:p>
        </w:tc>
        <w:tc>
          <w:tcPr>
            <w:tcW w:w="714" w:type="pct"/>
            <w:noWrap/>
            <w:vAlign w:val="center"/>
          </w:tcPr>
          <w:p w14:paraId="66923DCD">
            <w:pPr>
              <w:keepNext w:val="0"/>
              <w:keepLines w:val="0"/>
              <w:pageBreakBefore w:val="0"/>
              <w:widowControl w:val="0"/>
              <w:kinsoku/>
              <w:wordWrap/>
              <w:overflowPunct/>
              <w:topLinePunct w:val="0"/>
              <w:autoSpaceDE/>
              <w:autoSpaceDN/>
              <w:bidi w:val="0"/>
              <w:adjustRightInd w:val="0"/>
              <w:snapToGrid w:val="0"/>
              <w:spacing w:line="480" w:lineRule="auto"/>
              <w:ind w:firstLine="0" w:firstLineChars="0"/>
              <w:jc w:val="center"/>
              <w:textAlignment w:val="auto"/>
              <w:rPr>
                <w:rFonts w:hint="eastAsia" w:ascii="Times New Roman" w:hAnsi="Times New Roman" w:eastAsia="宋体" w:cs="Times New Roman"/>
                <w:color w:val="000000"/>
                <w:sz w:val="24"/>
                <w:szCs w:val="24"/>
                <w:lang w:val="en-US" w:eastAsia="zh-CN"/>
              </w:rPr>
            </w:pPr>
          </w:p>
        </w:tc>
        <w:tc>
          <w:tcPr>
            <w:tcW w:w="536" w:type="pct"/>
            <w:noWrap/>
            <w:vAlign w:val="center"/>
          </w:tcPr>
          <w:p w14:paraId="5458DB89">
            <w:pPr>
              <w:keepNext w:val="0"/>
              <w:keepLines w:val="0"/>
              <w:pageBreakBefore w:val="0"/>
              <w:widowControl w:val="0"/>
              <w:kinsoku/>
              <w:wordWrap/>
              <w:overflowPunct/>
              <w:topLinePunct w:val="0"/>
              <w:autoSpaceDE/>
              <w:autoSpaceDN/>
              <w:bidi w:val="0"/>
              <w:adjustRightInd w:val="0"/>
              <w:snapToGrid w:val="0"/>
              <w:spacing w:line="480" w:lineRule="auto"/>
              <w:ind w:firstLine="0" w:firstLineChars="0"/>
              <w:jc w:val="center"/>
              <w:textAlignment w:val="auto"/>
              <w:rPr>
                <w:rFonts w:hint="eastAsia" w:ascii="Times New Roman" w:hAnsi="Times New Roman" w:eastAsia="宋体" w:cs="Times New Roman"/>
                <w:color w:val="000000"/>
                <w:sz w:val="24"/>
                <w:szCs w:val="24"/>
                <w:lang w:val="en-US" w:eastAsia="zh-CN"/>
              </w:rPr>
            </w:pPr>
          </w:p>
        </w:tc>
        <w:tc>
          <w:tcPr>
            <w:tcW w:w="536" w:type="pct"/>
            <w:noWrap/>
            <w:vAlign w:val="center"/>
          </w:tcPr>
          <w:p w14:paraId="7C68B593">
            <w:pPr>
              <w:keepNext w:val="0"/>
              <w:keepLines w:val="0"/>
              <w:pageBreakBefore w:val="0"/>
              <w:widowControl w:val="0"/>
              <w:kinsoku/>
              <w:wordWrap/>
              <w:overflowPunct/>
              <w:topLinePunct w:val="0"/>
              <w:autoSpaceDE/>
              <w:autoSpaceDN/>
              <w:bidi w:val="0"/>
              <w:adjustRightInd w:val="0"/>
              <w:snapToGrid w:val="0"/>
              <w:spacing w:line="480" w:lineRule="auto"/>
              <w:ind w:firstLine="0" w:firstLineChars="0"/>
              <w:jc w:val="center"/>
              <w:textAlignment w:val="auto"/>
              <w:rPr>
                <w:rFonts w:hint="default" w:ascii="Times New Roman" w:hAnsi="Times New Roman" w:eastAsia="宋体" w:cs="Times New Roman"/>
                <w:color w:val="000000"/>
                <w:sz w:val="24"/>
                <w:szCs w:val="24"/>
                <w:lang w:val="en-US" w:eastAsia="zh-CN"/>
              </w:rPr>
            </w:pPr>
          </w:p>
        </w:tc>
      </w:tr>
      <w:tr w14:paraId="0C5FD6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55" w:type="pct"/>
            <w:shd w:val="clear" w:color="auto" w:fill="auto"/>
            <w:noWrap w:val="0"/>
            <w:vAlign w:val="center"/>
          </w:tcPr>
          <w:p w14:paraId="16524BD7">
            <w:pPr>
              <w:keepNext w:val="0"/>
              <w:keepLines w:val="0"/>
              <w:pageBreakBefore w:val="0"/>
              <w:widowControl w:val="0"/>
              <w:kinsoku/>
              <w:wordWrap/>
              <w:overflowPunct/>
              <w:topLinePunct w:val="0"/>
              <w:autoSpaceDE/>
              <w:autoSpaceDN/>
              <w:bidi w:val="0"/>
              <w:adjustRightInd w:val="0"/>
              <w:snapToGrid w:val="0"/>
              <w:spacing w:line="480" w:lineRule="auto"/>
              <w:ind w:firstLine="0" w:firstLineChars="0"/>
              <w:jc w:val="center"/>
              <w:textAlignment w:val="auto"/>
              <w:rPr>
                <w:rFonts w:hint="default"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lang w:val="en-US" w:eastAsia="zh-CN"/>
              </w:rPr>
              <w:t>6</w:t>
            </w:r>
          </w:p>
        </w:tc>
        <w:tc>
          <w:tcPr>
            <w:tcW w:w="502" w:type="pct"/>
            <w:shd w:val="clear" w:color="auto" w:fill="auto"/>
            <w:noWrap w:val="0"/>
            <w:vAlign w:val="center"/>
          </w:tcPr>
          <w:p w14:paraId="548D2FB5">
            <w:pPr>
              <w:keepNext w:val="0"/>
              <w:keepLines w:val="0"/>
              <w:pageBreakBefore w:val="0"/>
              <w:widowControl w:val="0"/>
              <w:kinsoku/>
              <w:wordWrap/>
              <w:overflowPunct/>
              <w:topLinePunct w:val="0"/>
              <w:autoSpaceDE/>
              <w:autoSpaceDN/>
              <w:bidi w:val="0"/>
              <w:adjustRightInd w:val="0"/>
              <w:snapToGrid w:val="0"/>
              <w:spacing w:line="480" w:lineRule="auto"/>
              <w:ind w:firstLine="0" w:firstLineChars="0"/>
              <w:jc w:val="center"/>
              <w:textAlignment w:val="auto"/>
              <w:rPr>
                <w:rFonts w:hint="eastAsia"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lang w:val="en-US" w:eastAsia="zh-CN"/>
              </w:rPr>
              <w:t>服务员</w:t>
            </w:r>
          </w:p>
        </w:tc>
        <w:tc>
          <w:tcPr>
            <w:tcW w:w="2091" w:type="pct"/>
            <w:shd w:val="clear" w:color="000000" w:fill="FFFFFF"/>
            <w:noWrap w:val="0"/>
            <w:vAlign w:val="center"/>
          </w:tcPr>
          <w:p w14:paraId="190DD757">
            <w:pPr>
              <w:keepNext w:val="0"/>
              <w:keepLines w:val="0"/>
              <w:pageBreakBefore w:val="0"/>
              <w:widowControl w:val="0"/>
              <w:kinsoku/>
              <w:wordWrap/>
              <w:overflowPunct/>
              <w:topLinePunct w:val="0"/>
              <w:autoSpaceDE/>
              <w:autoSpaceDN/>
              <w:bidi w:val="0"/>
              <w:adjustRightInd w:val="0"/>
              <w:snapToGrid w:val="0"/>
              <w:spacing w:line="480" w:lineRule="auto"/>
              <w:ind w:firstLine="0" w:firstLineChars="0"/>
              <w:jc w:val="center"/>
              <w:textAlignment w:val="auto"/>
              <w:rPr>
                <w:rFonts w:hint="eastAsia"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rPr>
              <w:t>主要负责每次上菜，拖地，擦桌子等所有灶务卫生工作</w:t>
            </w:r>
            <w:r>
              <w:rPr>
                <w:rFonts w:hint="eastAsia" w:ascii="Times New Roman" w:hAnsi="Times New Roman" w:eastAsia="宋体" w:cs="Times New Roman"/>
                <w:color w:val="000000"/>
                <w:sz w:val="24"/>
                <w:szCs w:val="24"/>
                <w:lang w:eastAsia="zh-CN"/>
              </w:rPr>
              <w:t>。</w:t>
            </w:r>
          </w:p>
        </w:tc>
        <w:tc>
          <w:tcPr>
            <w:tcW w:w="262" w:type="pct"/>
            <w:noWrap/>
            <w:vAlign w:val="center"/>
          </w:tcPr>
          <w:p w14:paraId="69D6EA9E">
            <w:pPr>
              <w:keepNext w:val="0"/>
              <w:keepLines w:val="0"/>
              <w:pageBreakBefore w:val="0"/>
              <w:widowControl w:val="0"/>
              <w:kinsoku/>
              <w:wordWrap/>
              <w:overflowPunct/>
              <w:topLinePunct w:val="0"/>
              <w:autoSpaceDE/>
              <w:autoSpaceDN/>
              <w:bidi w:val="0"/>
              <w:adjustRightInd w:val="0"/>
              <w:snapToGrid w:val="0"/>
              <w:spacing w:line="480" w:lineRule="auto"/>
              <w:ind w:firstLine="0" w:firstLineChars="0"/>
              <w:jc w:val="center"/>
              <w:textAlignment w:val="auto"/>
              <w:rPr>
                <w:rFonts w:hint="eastAsia"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lang w:val="en-US" w:eastAsia="zh-CN"/>
              </w:rPr>
              <w:t>3人</w:t>
            </w:r>
          </w:p>
        </w:tc>
        <w:tc>
          <w:tcPr>
            <w:tcW w:w="714" w:type="pct"/>
            <w:noWrap/>
            <w:vAlign w:val="center"/>
          </w:tcPr>
          <w:p w14:paraId="10BD30CD">
            <w:pPr>
              <w:keepNext w:val="0"/>
              <w:keepLines w:val="0"/>
              <w:pageBreakBefore w:val="0"/>
              <w:widowControl w:val="0"/>
              <w:kinsoku/>
              <w:wordWrap/>
              <w:overflowPunct/>
              <w:topLinePunct w:val="0"/>
              <w:autoSpaceDE/>
              <w:autoSpaceDN/>
              <w:bidi w:val="0"/>
              <w:adjustRightInd w:val="0"/>
              <w:snapToGrid w:val="0"/>
              <w:spacing w:line="480" w:lineRule="auto"/>
              <w:ind w:firstLine="0" w:firstLineChars="0"/>
              <w:jc w:val="center"/>
              <w:textAlignment w:val="auto"/>
              <w:rPr>
                <w:rFonts w:hint="eastAsia" w:ascii="Times New Roman" w:hAnsi="Times New Roman" w:eastAsia="宋体" w:cs="Times New Roman"/>
                <w:color w:val="000000"/>
                <w:sz w:val="24"/>
                <w:szCs w:val="24"/>
                <w:lang w:val="en-US" w:eastAsia="zh-CN"/>
              </w:rPr>
            </w:pPr>
          </w:p>
        </w:tc>
        <w:tc>
          <w:tcPr>
            <w:tcW w:w="536" w:type="pct"/>
            <w:noWrap/>
            <w:vAlign w:val="center"/>
          </w:tcPr>
          <w:p w14:paraId="5768533D">
            <w:pPr>
              <w:keepNext w:val="0"/>
              <w:keepLines w:val="0"/>
              <w:pageBreakBefore w:val="0"/>
              <w:widowControl w:val="0"/>
              <w:kinsoku/>
              <w:wordWrap/>
              <w:overflowPunct/>
              <w:topLinePunct w:val="0"/>
              <w:autoSpaceDE/>
              <w:autoSpaceDN/>
              <w:bidi w:val="0"/>
              <w:adjustRightInd w:val="0"/>
              <w:snapToGrid w:val="0"/>
              <w:spacing w:line="480" w:lineRule="auto"/>
              <w:ind w:firstLine="0" w:firstLineChars="0"/>
              <w:jc w:val="center"/>
              <w:textAlignment w:val="auto"/>
              <w:rPr>
                <w:rFonts w:hint="eastAsia" w:ascii="Times New Roman" w:hAnsi="Times New Roman" w:eastAsia="宋体" w:cs="Times New Roman"/>
                <w:color w:val="000000"/>
                <w:sz w:val="24"/>
                <w:szCs w:val="24"/>
                <w:lang w:val="en-US" w:eastAsia="zh-CN"/>
              </w:rPr>
            </w:pPr>
          </w:p>
        </w:tc>
        <w:tc>
          <w:tcPr>
            <w:tcW w:w="536" w:type="pct"/>
            <w:noWrap/>
            <w:vAlign w:val="center"/>
          </w:tcPr>
          <w:p w14:paraId="2C600D23">
            <w:pPr>
              <w:keepNext w:val="0"/>
              <w:keepLines w:val="0"/>
              <w:pageBreakBefore w:val="0"/>
              <w:widowControl w:val="0"/>
              <w:kinsoku/>
              <w:wordWrap/>
              <w:overflowPunct/>
              <w:topLinePunct w:val="0"/>
              <w:autoSpaceDE/>
              <w:autoSpaceDN/>
              <w:bidi w:val="0"/>
              <w:adjustRightInd w:val="0"/>
              <w:snapToGrid w:val="0"/>
              <w:spacing w:line="480" w:lineRule="auto"/>
              <w:ind w:firstLine="0" w:firstLineChars="0"/>
              <w:jc w:val="center"/>
              <w:textAlignment w:val="auto"/>
              <w:rPr>
                <w:rFonts w:hint="default" w:ascii="Times New Roman" w:hAnsi="Times New Roman" w:eastAsia="宋体" w:cs="Times New Roman"/>
                <w:color w:val="000000"/>
                <w:sz w:val="24"/>
                <w:szCs w:val="24"/>
                <w:lang w:val="en-US" w:eastAsia="zh-CN"/>
              </w:rPr>
            </w:pPr>
          </w:p>
        </w:tc>
      </w:tr>
      <w:tr w14:paraId="2D7884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950" w:type="pct"/>
            <w:gridSpan w:val="3"/>
            <w:shd w:val="clear" w:color="auto" w:fill="auto"/>
            <w:noWrap w:val="0"/>
            <w:vAlign w:val="center"/>
          </w:tcPr>
          <w:p w14:paraId="540A095D">
            <w:pPr>
              <w:keepNext w:val="0"/>
              <w:keepLines w:val="0"/>
              <w:pageBreakBefore w:val="0"/>
              <w:widowControl w:val="0"/>
              <w:kinsoku/>
              <w:wordWrap/>
              <w:overflowPunct/>
              <w:topLinePunct w:val="0"/>
              <w:autoSpaceDE/>
              <w:autoSpaceDN/>
              <w:bidi w:val="0"/>
              <w:adjustRightInd w:val="0"/>
              <w:snapToGrid w:val="0"/>
              <w:spacing w:line="480" w:lineRule="auto"/>
              <w:ind w:firstLine="0" w:firstLineChars="0"/>
              <w:jc w:val="center"/>
              <w:textAlignment w:val="auto"/>
              <w:rPr>
                <w:rFonts w:hint="default"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rPr>
              <w:t>合计</w:t>
            </w:r>
          </w:p>
        </w:tc>
        <w:tc>
          <w:tcPr>
            <w:tcW w:w="262" w:type="pct"/>
            <w:noWrap/>
            <w:vAlign w:val="center"/>
          </w:tcPr>
          <w:p w14:paraId="7D359588">
            <w:pPr>
              <w:keepNext w:val="0"/>
              <w:keepLines w:val="0"/>
              <w:pageBreakBefore w:val="0"/>
              <w:widowControl w:val="0"/>
              <w:kinsoku/>
              <w:wordWrap/>
              <w:overflowPunct/>
              <w:topLinePunct w:val="0"/>
              <w:autoSpaceDE/>
              <w:autoSpaceDN/>
              <w:bidi w:val="0"/>
              <w:adjustRightInd w:val="0"/>
              <w:snapToGrid w:val="0"/>
              <w:spacing w:line="480" w:lineRule="auto"/>
              <w:ind w:firstLine="0" w:firstLineChars="0"/>
              <w:jc w:val="center"/>
              <w:textAlignment w:val="auto"/>
              <w:rPr>
                <w:rFonts w:hint="default"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lang w:val="en-US" w:eastAsia="zh-CN"/>
              </w:rPr>
              <w:t>13人</w:t>
            </w:r>
          </w:p>
        </w:tc>
        <w:tc>
          <w:tcPr>
            <w:tcW w:w="1250" w:type="pct"/>
            <w:gridSpan w:val="2"/>
            <w:noWrap/>
            <w:vAlign w:val="center"/>
          </w:tcPr>
          <w:p w14:paraId="010BDA97">
            <w:pPr>
              <w:keepNext w:val="0"/>
              <w:keepLines w:val="0"/>
              <w:pageBreakBefore w:val="0"/>
              <w:widowControl w:val="0"/>
              <w:kinsoku/>
              <w:wordWrap/>
              <w:overflowPunct/>
              <w:topLinePunct w:val="0"/>
              <w:autoSpaceDE/>
              <w:autoSpaceDN/>
              <w:bidi w:val="0"/>
              <w:adjustRightInd w:val="0"/>
              <w:snapToGrid w:val="0"/>
              <w:spacing w:line="480" w:lineRule="auto"/>
              <w:ind w:firstLine="0" w:firstLineChars="0"/>
              <w:jc w:val="center"/>
              <w:textAlignment w:val="auto"/>
              <w:rPr>
                <w:rFonts w:hint="eastAsia" w:ascii="Times New Roman" w:hAnsi="Times New Roman" w:eastAsia="宋体" w:cs="Times New Roman"/>
                <w:color w:val="000000"/>
                <w:sz w:val="24"/>
                <w:szCs w:val="24"/>
                <w:lang w:val="en-US" w:eastAsia="zh-CN"/>
              </w:rPr>
            </w:pPr>
          </w:p>
        </w:tc>
        <w:tc>
          <w:tcPr>
            <w:tcW w:w="536" w:type="pct"/>
            <w:noWrap/>
            <w:vAlign w:val="center"/>
          </w:tcPr>
          <w:p w14:paraId="03B4334F">
            <w:pPr>
              <w:keepNext w:val="0"/>
              <w:keepLines w:val="0"/>
              <w:pageBreakBefore w:val="0"/>
              <w:widowControl w:val="0"/>
              <w:kinsoku/>
              <w:wordWrap/>
              <w:overflowPunct/>
              <w:topLinePunct w:val="0"/>
              <w:autoSpaceDE/>
              <w:autoSpaceDN/>
              <w:bidi w:val="0"/>
              <w:adjustRightInd w:val="0"/>
              <w:snapToGrid w:val="0"/>
              <w:spacing w:line="480" w:lineRule="auto"/>
              <w:ind w:firstLine="0" w:firstLineChars="0"/>
              <w:jc w:val="center"/>
              <w:textAlignment w:val="auto"/>
              <w:rPr>
                <w:rFonts w:hint="default" w:ascii="Times New Roman" w:hAnsi="Times New Roman" w:eastAsia="宋体" w:cs="Times New Roman"/>
                <w:color w:val="000000"/>
                <w:sz w:val="24"/>
                <w:szCs w:val="24"/>
                <w:lang w:val="en-US" w:eastAsia="zh-CN"/>
              </w:rPr>
            </w:pPr>
          </w:p>
        </w:tc>
      </w:tr>
    </w:tbl>
    <w:p w14:paraId="410C086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备注:1.供应商中标后上岗前需提供所有人员的健康证。2.供应商中标后</w:t>
      </w:r>
      <w:r>
        <w:rPr>
          <w:rFonts w:hint="eastAsia" w:ascii="宋体" w:hAnsi="宋体" w:cs="宋体"/>
          <w:color w:val="000000"/>
          <w:sz w:val="24"/>
          <w:szCs w:val="24"/>
          <w:lang w:val="en-US" w:eastAsia="zh-CN"/>
        </w:rPr>
        <w:t>提供《食品经营许可证》</w:t>
      </w:r>
      <w:r>
        <w:rPr>
          <w:rFonts w:hint="eastAsia" w:ascii="宋体" w:hAnsi="宋体" w:eastAsia="宋体" w:cs="宋体"/>
          <w:color w:val="000000"/>
          <w:sz w:val="24"/>
          <w:szCs w:val="24"/>
          <w:lang w:eastAsia="zh-CN"/>
        </w:rPr>
        <w:t>。</w:t>
      </w:r>
    </w:p>
    <w:p w14:paraId="2C341328"/>
    <w:p w14:paraId="70D0749C">
      <w:pPr>
        <w:rPr>
          <w:rFonts w:hint="default" w:ascii="宋体" w:hAnsi="宋体" w:eastAsia="宋体" w:cs="宋体"/>
          <w:b w:val="0"/>
          <w:bCs/>
          <w:color w:val="auto"/>
          <w:highlight w:val="none"/>
          <w:lang w:val="en-US" w:eastAsia="zh-CN"/>
        </w:rPr>
        <w:sectPr>
          <w:pgSz w:w="16840" w:h="11910" w:orient="landscape"/>
          <w:pgMar w:top="1440" w:right="1080" w:bottom="1440" w:left="1080" w:header="517" w:footer="1004" w:gutter="0"/>
          <w:pgNumType w:fmt="decimal"/>
          <w:cols w:space="720" w:num="1"/>
        </w:sectPr>
      </w:pPr>
    </w:p>
    <w:p w14:paraId="40C67F06">
      <w:pPr>
        <w:pStyle w:val="2"/>
        <w:spacing w:line="240" w:lineRule="auto"/>
        <w:jc w:val="center"/>
        <w:rPr>
          <w:rFonts w:hint="eastAsia" w:ascii="宋体" w:hAnsi="宋体" w:eastAsia="宋体" w:cs="宋体"/>
          <w:b w:val="0"/>
          <w:bCs/>
          <w:color w:val="auto"/>
          <w:highlight w:val="none"/>
        </w:rPr>
      </w:pPr>
      <w:r>
        <w:rPr>
          <w:rFonts w:hint="eastAsia" w:ascii="宋体" w:hAnsi="宋体" w:eastAsia="宋体" w:cs="宋体"/>
          <w:b w:val="0"/>
          <w:bCs/>
          <w:color w:val="auto"/>
          <w:highlight w:val="none"/>
        </w:rPr>
        <w:t xml:space="preserve">第七部分 </w:t>
      </w:r>
      <w:r>
        <w:rPr>
          <w:rFonts w:hint="eastAsia" w:ascii="宋体" w:hAnsi="宋体" w:eastAsia="宋体" w:cs="宋体"/>
          <w:b w:val="0"/>
          <w:bCs/>
          <w:color w:val="auto"/>
          <w:highlight w:val="none"/>
          <w:lang w:val="en-US" w:eastAsia="zh-CN"/>
        </w:rPr>
        <w:t xml:space="preserve"> </w:t>
      </w:r>
      <w:r>
        <w:rPr>
          <w:rFonts w:hint="eastAsia" w:ascii="宋体" w:hAnsi="宋体" w:eastAsia="宋体" w:cs="宋体"/>
          <w:b w:val="0"/>
          <w:bCs/>
          <w:color w:val="auto"/>
          <w:highlight w:val="none"/>
        </w:rPr>
        <w:t>评审方法</w:t>
      </w:r>
      <w:bookmarkEnd w:id="500"/>
      <w:bookmarkEnd w:id="514"/>
      <w:bookmarkEnd w:id="515"/>
    </w:p>
    <w:p w14:paraId="3C8DE72E">
      <w:pPr>
        <w:spacing w:line="480" w:lineRule="auto"/>
        <w:outlineLvl w:val="1"/>
        <w:rPr>
          <w:rFonts w:hint="eastAsia" w:ascii="宋体" w:hAnsi="宋体" w:eastAsia="宋体" w:cs="宋体"/>
          <w:bCs/>
          <w:color w:val="auto"/>
          <w:sz w:val="24"/>
          <w:szCs w:val="24"/>
          <w:highlight w:val="none"/>
        </w:rPr>
      </w:pPr>
      <w:bookmarkStart w:id="516" w:name="_Toc16422"/>
      <w:bookmarkStart w:id="517" w:name="_Toc29170"/>
      <w:r>
        <w:rPr>
          <w:rFonts w:hint="eastAsia" w:ascii="宋体" w:hAnsi="宋体" w:eastAsia="宋体" w:cs="宋体"/>
          <w:bCs/>
          <w:color w:val="auto"/>
          <w:sz w:val="24"/>
          <w:szCs w:val="24"/>
          <w:highlight w:val="none"/>
        </w:rPr>
        <w:t>一、评审方法：本次评审采用最低评审价法</w:t>
      </w:r>
      <w:bookmarkEnd w:id="516"/>
      <w:bookmarkEnd w:id="517"/>
    </w:p>
    <w:p w14:paraId="5D0CC9E5">
      <w:pPr>
        <w:spacing w:line="48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最低评审价法，是指响应文件满足谈判文件全部实质性要求，且谈判报价最低的供应商为成交候选人的评审方法。</w:t>
      </w:r>
    </w:p>
    <w:p w14:paraId="198671D4">
      <w:pPr>
        <w:spacing w:line="480" w:lineRule="auto"/>
        <w:outlineLvl w:val="1"/>
        <w:rPr>
          <w:rFonts w:hint="eastAsia" w:ascii="宋体" w:hAnsi="宋体" w:eastAsia="宋体" w:cs="宋体"/>
          <w:bCs/>
          <w:color w:val="auto"/>
          <w:sz w:val="24"/>
          <w:szCs w:val="24"/>
          <w:highlight w:val="none"/>
        </w:rPr>
      </w:pPr>
      <w:bookmarkStart w:id="518" w:name="_Toc31660"/>
      <w:bookmarkStart w:id="519" w:name="_Toc31372"/>
      <w:r>
        <w:rPr>
          <w:rFonts w:hint="eastAsia" w:ascii="宋体" w:hAnsi="宋体" w:eastAsia="宋体" w:cs="宋体"/>
          <w:bCs/>
          <w:color w:val="auto"/>
          <w:sz w:val="24"/>
          <w:szCs w:val="24"/>
          <w:highlight w:val="none"/>
        </w:rPr>
        <w:t>二、谈判程序</w:t>
      </w:r>
      <w:bookmarkEnd w:id="518"/>
      <w:bookmarkEnd w:id="519"/>
    </w:p>
    <w:p w14:paraId="6F2B20D1">
      <w:pPr>
        <w:spacing w:line="48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谈判的全过程分为第一次谈判报价、资格性审查、符合性审查、谈判过程、谈判承诺、最终报价、评审阶段。通过资质审查合格的各供应商，只有在响应文件及谈判承诺符合谈判文件要求和满足技术、商务需要的才有最终报价和评审的机会。</w:t>
      </w:r>
    </w:p>
    <w:p w14:paraId="30574EBE">
      <w:pPr>
        <w:spacing w:line="48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按照以下内容对谈判响应文件符合性审查，一项不合格其投标即为无效投标。</w:t>
      </w:r>
    </w:p>
    <w:p w14:paraId="260AB580">
      <w:pPr>
        <w:spacing w:line="48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1、对谈判响应文件的符合性审查：</w:t>
      </w:r>
    </w:p>
    <w:p w14:paraId="483C247D">
      <w:pPr>
        <w:spacing w:line="480" w:lineRule="auto"/>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1）谈判响应文件按照竞争性谈判文件的要求编写，响应文件组成符合要求；</w:t>
      </w:r>
    </w:p>
    <w:p w14:paraId="7EC1085A">
      <w:pPr>
        <w:spacing w:line="480" w:lineRule="auto"/>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2）谈判响应文件的项目名称、项目编号、编制、签字、加盖印章合格、有效；</w:t>
      </w:r>
    </w:p>
    <w:p w14:paraId="0F195198">
      <w:pPr>
        <w:spacing w:line="480" w:lineRule="auto"/>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3）按照谈判文件要求提供足够数量的谈判响应文件；</w:t>
      </w:r>
    </w:p>
    <w:p w14:paraId="77BA22F3">
      <w:pPr>
        <w:spacing w:line="480" w:lineRule="auto"/>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4）供应商在同一份谈判响应文件中，只有一个有效报价的；报价未超过竞争性谈判文件中规定的预算金额或者未与市场价格偏离较大、低于成本、形成不正当竞争的；</w:t>
      </w:r>
    </w:p>
    <w:p w14:paraId="42664BBE">
      <w:pPr>
        <w:spacing w:line="480" w:lineRule="auto"/>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5）谈判有效期符合竞争性谈判文件的要求；</w:t>
      </w:r>
    </w:p>
    <w:p w14:paraId="6DAD7ED8">
      <w:pPr>
        <w:spacing w:line="480" w:lineRule="auto"/>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6）供应商应保证服务质量标准及要求作出明确承诺并有经谈判代表签字加盖公章；</w:t>
      </w:r>
    </w:p>
    <w:p w14:paraId="02BE7986">
      <w:pPr>
        <w:spacing w:line="480" w:lineRule="auto"/>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7）实质性条款响应（商务和技术）：各项技术/服务/商务逐条响应并满足竞争性谈判文件要求；响应文件在各项技术/服务/商务响应方面未附加采购单位难以接受的条件。</w:t>
      </w:r>
    </w:p>
    <w:p w14:paraId="00CFC4B9">
      <w:pPr>
        <w:spacing w:line="480" w:lineRule="auto"/>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8）供应商有经谈判代表签字并盖章的针对本项目的具体服务承诺，包含接到项目后响应时间、报价合理性、后续服务及过程服务等内容等满足本项目需求。</w:t>
      </w:r>
    </w:p>
    <w:p w14:paraId="38AA3516">
      <w:pPr>
        <w:spacing w:line="480" w:lineRule="auto"/>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9）供应商有完整的项目实施方案，技术力量配备详细、实施时间、人员、财力调配、运输等说明，方案详细完整符合项目需求并做出明确的承诺；</w:t>
      </w:r>
    </w:p>
    <w:p w14:paraId="1C8AD700">
      <w:pPr>
        <w:spacing w:line="480" w:lineRule="auto"/>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10）供应商有经谈判代表签字并盖章的详细项目管理制度；</w:t>
      </w:r>
    </w:p>
    <w:p w14:paraId="4130A771">
      <w:pPr>
        <w:spacing w:line="480" w:lineRule="auto"/>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11）拟投入本项目的项目管理机构人员符合谈判文件要求，并对人员的真实性做出明确承诺；</w:t>
      </w:r>
    </w:p>
    <w:p w14:paraId="3AEC2539">
      <w:pPr>
        <w:spacing w:line="480" w:lineRule="auto"/>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12）满足谈判文件规定的其他要求，完全理解并接受法律法规和谈判文件对供应商的各项须知、规约要求和责任义务，没有出现法律法规或谈判文件明确规定的其他被视为“无效响应”的情形。</w:t>
      </w:r>
    </w:p>
    <w:p w14:paraId="64640B82">
      <w:pPr>
        <w:spacing w:line="480" w:lineRule="auto"/>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13）技术文件及服务方案：参照谈判文件各评审条款的要求，结合《采购内容及要求》编制符合本项目的响应方案。主要是针对本谈判项目的具体情况作出的实质性响应和满足。技术要求必须明确响应谈判文件要求，不得粘贴复制，否则按无效处理。服务方案必须科学合理、真实可行并适用于本服务项目，能充分体现出自身技术和专业优势，并经谈判代表签字及加盖单位公章。</w:t>
      </w:r>
    </w:p>
    <w:p w14:paraId="23018D30">
      <w:pPr>
        <w:spacing w:line="48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2</w:t>
      </w:r>
      <w:r>
        <w:rPr>
          <w:rFonts w:hint="eastAsia" w:ascii="宋体" w:hAnsi="宋体" w:eastAsia="宋体" w:cs="宋体"/>
          <w:bCs/>
          <w:color w:val="auto"/>
          <w:sz w:val="24"/>
          <w:szCs w:val="24"/>
          <w:highlight w:val="none"/>
        </w:rPr>
        <w:t>、第一次谈判报价。</w:t>
      </w:r>
    </w:p>
    <w:p w14:paraId="76CF2EDF">
      <w:pPr>
        <w:spacing w:line="48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3</w:t>
      </w:r>
      <w:r>
        <w:rPr>
          <w:rFonts w:hint="eastAsia" w:ascii="宋体" w:hAnsi="宋体" w:eastAsia="宋体" w:cs="宋体"/>
          <w:bCs/>
          <w:color w:val="auto"/>
          <w:sz w:val="24"/>
          <w:szCs w:val="24"/>
          <w:highlight w:val="none"/>
        </w:rPr>
        <w:t>、资格性审查</w:t>
      </w:r>
    </w:p>
    <w:p w14:paraId="4AA058C3">
      <w:pPr>
        <w:spacing w:line="48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开标结束后，</w:t>
      </w:r>
      <w:r>
        <w:rPr>
          <w:rFonts w:hint="eastAsia" w:ascii="宋体" w:hAnsi="宋体" w:eastAsia="宋体" w:cs="宋体"/>
          <w:bCs/>
          <w:color w:val="auto"/>
          <w:sz w:val="24"/>
          <w:szCs w:val="24"/>
          <w:highlight w:val="none"/>
          <w:lang w:val="en-US" w:eastAsia="zh-CN"/>
        </w:rPr>
        <w:t>评审</w:t>
      </w:r>
      <w:r>
        <w:rPr>
          <w:rFonts w:hint="eastAsia" w:ascii="宋体" w:hAnsi="宋体" w:eastAsia="宋体" w:cs="宋体"/>
          <w:bCs/>
          <w:color w:val="auto"/>
          <w:sz w:val="24"/>
          <w:szCs w:val="24"/>
          <w:highlight w:val="none"/>
        </w:rPr>
        <w:t>小组依法对供应商的资格证明文件进行审查，不符合竞争性谈判文件要求的按无效谈判响应处理，不得进入后续评审，签字确认检查结果。</w:t>
      </w:r>
    </w:p>
    <w:p w14:paraId="07F0AD61">
      <w:pPr>
        <w:spacing w:line="48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不符合竞争性谈判文件要求的按无效文件处理，不得进入后续评审工作。</w:t>
      </w:r>
    </w:p>
    <w:p w14:paraId="3EF562F6">
      <w:pPr>
        <w:spacing w:line="48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合格</w:t>
      </w:r>
      <w:r>
        <w:rPr>
          <w:rFonts w:hint="eastAsia" w:ascii="宋体" w:hAnsi="宋体" w:eastAsia="宋体" w:cs="宋体"/>
          <w:bCs/>
          <w:color w:val="auto"/>
          <w:sz w:val="24"/>
          <w:szCs w:val="24"/>
          <w:highlight w:val="none"/>
          <w:lang w:eastAsia="zh-CN"/>
        </w:rPr>
        <w:t>供应商</w:t>
      </w:r>
      <w:r>
        <w:rPr>
          <w:rFonts w:hint="eastAsia" w:ascii="宋体" w:hAnsi="宋体" w:eastAsia="宋体" w:cs="宋体"/>
          <w:bCs/>
          <w:color w:val="auto"/>
          <w:sz w:val="24"/>
          <w:szCs w:val="24"/>
          <w:highlight w:val="none"/>
        </w:rPr>
        <w:t>不足三家的，不得评标。</w:t>
      </w:r>
    </w:p>
    <w:p w14:paraId="5F57CC4B">
      <w:pPr>
        <w:spacing w:line="48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4</w:t>
      </w:r>
      <w:r>
        <w:rPr>
          <w:rFonts w:hint="eastAsia" w:ascii="宋体" w:hAnsi="宋体" w:eastAsia="宋体" w:cs="宋体"/>
          <w:bCs/>
          <w:color w:val="auto"/>
          <w:sz w:val="24"/>
          <w:szCs w:val="24"/>
          <w:highlight w:val="none"/>
        </w:rPr>
        <w:t>、谈判响应文件的符合性审查</w:t>
      </w:r>
    </w:p>
    <w:p w14:paraId="0CE8319A">
      <w:pPr>
        <w:spacing w:line="48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谈判小组依据谈判文件的规定，对谈判响应文件的有效性、完整性和对谈判文件的响应程度进行审查，以确定是否对谈判文件的全部实质性要求做出响应。</w:t>
      </w:r>
    </w:p>
    <w:p w14:paraId="17D400A4">
      <w:pPr>
        <w:spacing w:line="48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谈判小组要审查每份谈判响应文件是否实质上响应了谈判文件的要求。实质上没有响应谈判文件要求的投标作无效响应文件处理。谈判小组应告知有关供应商未通过审查的原因，供应商不得通过修正或撤销不符之处而使其成为实质上响应。</w:t>
      </w:r>
    </w:p>
    <w:p w14:paraId="586C64BE">
      <w:pPr>
        <w:spacing w:line="48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5</w:t>
      </w:r>
      <w:r>
        <w:rPr>
          <w:rFonts w:hint="eastAsia" w:ascii="宋体" w:hAnsi="宋体" w:eastAsia="宋体" w:cs="宋体"/>
          <w:bCs/>
          <w:color w:val="auto"/>
          <w:sz w:val="24"/>
          <w:szCs w:val="24"/>
          <w:highlight w:val="none"/>
        </w:rPr>
        <w:t>、谈判响应文件的澄清</w:t>
      </w:r>
    </w:p>
    <w:p w14:paraId="0356F828">
      <w:pPr>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谈判小组在对谈判响应文件的有效性、完整性和响应程度进行审查时，可以要求供应商对谈判响应文件中含义不明确、同类问题表述不一致或者有明显文字和计算错误的内容等做出必要的澄清、说明或者补正。</w:t>
      </w:r>
    </w:p>
    <w:p w14:paraId="6063F744">
      <w:pPr>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（2）依照</w:t>
      </w:r>
      <w:r>
        <w:rPr>
          <w:rFonts w:hint="eastAsia" w:ascii="宋体" w:hAnsi="宋体" w:eastAsia="宋体" w:cs="宋体"/>
          <w:color w:val="auto"/>
          <w:sz w:val="24"/>
          <w:szCs w:val="24"/>
          <w:highlight w:val="none"/>
        </w:rPr>
        <w:t>民法典</w:t>
      </w:r>
      <w:r>
        <w:rPr>
          <w:rFonts w:hint="eastAsia" w:ascii="宋体" w:hAnsi="宋体" w:eastAsia="宋体" w:cs="宋体"/>
          <w:bCs/>
          <w:color w:val="auto"/>
          <w:sz w:val="24"/>
          <w:szCs w:val="24"/>
          <w:highlight w:val="none"/>
        </w:rPr>
        <w:t>中的过失责任原则，澄清、说明或补正前谈判小组将按最不利于供应商的原则对谈判响应文件做出评判。</w:t>
      </w:r>
    </w:p>
    <w:p w14:paraId="1D87E0D9">
      <w:pPr>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（3）谈判小组要求供应商澄清、说明或者补正谈判响应文件应通过书面形式通知供应商。供应商应当在规定的澄清时限内按谈判小组要求的方式提交。</w:t>
      </w:r>
    </w:p>
    <w:p w14:paraId="12083E98">
      <w:pPr>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（4）供应商的澄清、说明或者补正不得超出谈判响应文件的范围或者改变谈判响应文件的实质性内容。澄清、说明或者补正的内容将作为合同履行的重要依据。</w:t>
      </w:r>
    </w:p>
    <w:p w14:paraId="23D190AE">
      <w:pPr>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6</w:t>
      </w:r>
      <w:r>
        <w:rPr>
          <w:rFonts w:hint="eastAsia" w:ascii="宋体" w:hAnsi="宋体" w:eastAsia="宋体" w:cs="宋体"/>
          <w:bCs/>
          <w:color w:val="auto"/>
          <w:sz w:val="24"/>
          <w:szCs w:val="24"/>
          <w:highlight w:val="none"/>
        </w:rPr>
        <w:t>、谈判过程</w:t>
      </w:r>
    </w:p>
    <w:p w14:paraId="06BAEE98">
      <w:pPr>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谈判小组应在符合性评审的基础上对各供应商的响应文件认真阅读，谈判小组必须对响应文件的采购内容等有关要求和供应商一对一谈判。</w:t>
      </w:r>
    </w:p>
    <w:p w14:paraId="24E732CA">
      <w:pPr>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7</w:t>
      </w:r>
      <w:r>
        <w:rPr>
          <w:rFonts w:hint="eastAsia" w:ascii="宋体" w:hAnsi="宋体" w:eastAsia="宋体" w:cs="宋体"/>
          <w:bCs/>
          <w:color w:val="auto"/>
          <w:sz w:val="24"/>
          <w:szCs w:val="24"/>
          <w:highlight w:val="none"/>
        </w:rPr>
        <w:t>、最终报价</w:t>
      </w:r>
    </w:p>
    <w:p w14:paraId="33E62851">
      <w:pPr>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资格性审查和符合性审查通过的供应商进入最终报价阶段。最终报价是供应商响应文件的有效组成部分。（最后报价相同时，可进行多次报价）</w:t>
      </w:r>
    </w:p>
    <w:p w14:paraId="4485DCC2">
      <w:pPr>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供应商在线进行最终报价。对成交供应商的最终报价出现明显低于或高于同业同期市场平均价的情形时，谈判小组应当在评审意见中详细说明推荐理由。</w:t>
      </w:r>
    </w:p>
    <w:p w14:paraId="421695B1">
      <w:pPr>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谈判小组应审查供应商是否具备“落实政府采购政策”的资格，如不符合相关文件要求或供应商未提供相关声明或证明材料，供应商不可以享受价格折扣优惠政策。</w:t>
      </w:r>
    </w:p>
    <w:p w14:paraId="31B3CF1B">
      <w:pPr>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供应商按照《政府采购促进中小企业发展管理办法》规定提供声明函内容不实的，属于提供虚假材料谋取中标、成交，依照《中华人民共和国政府采购法》等国家有关规定追究相应责任。适用招标投标法的政府采购工程建设项目，供应商按照本办法规定提供声明函内容不实的，属于弄虚作假骗取中标，依照《中华人民共和国招标投标法》等国家有关规定追究相应责任。</w:t>
      </w:r>
    </w:p>
    <w:p w14:paraId="29E055A4">
      <w:pPr>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8</w:t>
      </w:r>
      <w:r>
        <w:rPr>
          <w:rFonts w:hint="eastAsia" w:ascii="宋体" w:hAnsi="宋体" w:eastAsia="宋体" w:cs="宋体"/>
          <w:bCs/>
          <w:color w:val="auto"/>
          <w:sz w:val="24"/>
          <w:szCs w:val="24"/>
          <w:highlight w:val="none"/>
        </w:rPr>
        <w:t>、推荐成交候选人</w:t>
      </w:r>
    </w:p>
    <w:p w14:paraId="02A9E31B">
      <w:pPr>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经过最后报价，谈判小组按上述规则对最后报价做必要的价格扣除，按扣除后的价格由低到高的顺序推荐</w:t>
      </w:r>
      <w:bookmarkStart w:id="520" w:name="■Finalists_CH2_A■"/>
      <w:r>
        <w:rPr>
          <w:rFonts w:hint="eastAsia" w:ascii="宋体" w:hAnsi="宋体" w:eastAsia="宋体" w:cs="宋体"/>
          <w:bCs/>
          <w:color w:val="auto"/>
          <w:sz w:val="24"/>
          <w:szCs w:val="24"/>
          <w:highlight w:val="none"/>
        </w:rPr>
        <w:t>三名</w:t>
      </w:r>
      <w:bookmarkEnd w:id="520"/>
      <w:r>
        <w:rPr>
          <w:rFonts w:hint="eastAsia" w:ascii="宋体" w:hAnsi="宋体" w:eastAsia="宋体" w:cs="宋体"/>
          <w:bCs/>
          <w:color w:val="auto"/>
          <w:sz w:val="24"/>
          <w:szCs w:val="24"/>
          <w:highlight w:val="none"/>
        </w:rPr>
        <w:t>成交候选人。</w:t>
      </w:r>
    </w:p>
    <w:p w14:paraId="7CC604D4">
      <w:pPr>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9</w:t>
      </w:r>
      <w:r>
        <w:rPr>
          <w:rFonts w:hint="eastAsia" w:ascii="宋体" w:hAnsi="宋体" w:eastAsia="宋体" w:cs="宋体"/>
          <w:bCs/>
          <w:color w:val="auto"/>
          <w:sz w:val="24"/>
          <w:szCs w:val="24"/>
          <w:highlight w:val="none"/>
        </w:rPr>
        <w:t>、编写评审报告</w:t>
      </w:r>
    </w:p>
    <w:p w14:paraId="1E30B630">
      <w:pPr>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谈判小组应根据全体评审成员签字的原始评审记录和评审结果编写评审报告。评审报告应包括：谈判公告刊登的媒体名称、开标日期和地点；供应商名单和谈判小组成员名单；评审方法和标准；开标记录和评审情况及说明，包括无效供应商名单及原因；评审结果，确定的成交候选人名单或者经采购人委托直接确定的成交人；其他需要说明的情况，包括评审过程中供应商根据谈判小组要求进行的澄清、说明或者补正，谈判小组成员的更换等。</w:t>
      </w:r>
    </w:p>
    <w:p w14:paraId="18F06E43">
      <w:pPr>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谈判小组成员对需要共同认定的事项存在争议的，应当按照少数服从多数的原则做出结论。持不同意见的谈判小组成员应当在评审报告上签署不同意见及理由，否则视为同意评审报告。对拒绝说明理由的，报市财政局处理，并将其评审情况如实计入考核表。</w:t>
      </w:r>
    </w:p>
    <w:p w14:paraId="428EEE18">
      <w:pPr>
        <w:spacing w:line="360" w:lineRule="auto"/>
        <w:outlineLvl w:val="1"/>
        <w:rPr>
          <w:rFonts w:hint="eastAsia" w:ascii="宋体" w:hAnsi="宋体" w:eastAsia="宋体" w:cs="宋体"/>
          <w:bCs/>
          <w:color w:val="auto"/>
          <w:sz w:val="24"/>
          <w:szCs w:val="24"/>
          <w:highlight w:val="none"/>
        </w:rPr>
      </w:pPr>
      <w:bookmarkStart w:id="521" w:name="_Toc30849"/>
      <w:bookmarkStart w:id="522" w:name="_Toc10166"/>
      <w:r>
        <w:rPr>
          <w:rFonts w:hint="eastAsia" w:ascii="宋体" w:hAnsi="宋体" w:eastAsia="宋体" w:cs="宋体"/>
          <w:bCs/>
          <w:color w:val="auto"/>
          <w:sz w:val="24"/>
          <w:szCs w:val="24"/>
          <w:highlight w:val="none"/>
        </w:rPr>
        <w:t>三、成交：</w:t>
      </w:r>
      <w:bookmarkEnd w:id="521"/>
      <w:bookmarkEnd w:id="522"/>
    </w:p>
    <w:p w14:paraId="4886C88F">
      <w:pPr>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1、代理机构在评审工作结束后2个工作日内将评审报告送采购人。</w:t>
      </w:r>
    </w:p>
    <w:p w14:paraId="048CB596">
      <w:pPr>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2、采购人在收到评审报告之日起5个工作日内，在评审报告确定的成交候选人名单中按顺序确定成交供应商。</w:t>
      </w:r>
    </w:p>
    <w:p w14:paraId="7FE83C88">
      <w:pPr>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采购人在收到评审报告5个工作日内未按评审报告推荐的成交候选人顺序确定成交供应商，又不能说明合法理由的，视同按评审报告推荐的顺序确定成交供应商，代理机构将发布成交公告。</w:t>
      </w:r>
    </w:p>
    <w:p w14:paraId="17673D92">
      <w:pPr>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3、代理机构将在成交供应商确定之日起2个工作日内，发布媒体为【</w:t>
      </w: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 HYPERLINK "http://www.ccgp-shaanxi.gov.cn" </w:instrText>
      </w:r>
      <w:r>
        <w:rPr>
          <w:rFonts w:hint="eastAsia" w:ascii="宋体" w:hAnsi="宋体" w:eastAsia="宋体" w:cs="宋体"/>
          <w:bCs/>
          <w:color w:val="auto"/>
          <w:sz w:val="24"/>
          <w:szCs w:val="24"/>
          <w:highlight w:val="none"/>
        </w:rPr>
        <w:fldChar w:fldCharType="separate"/>
      </w:r>
      <w:r>
        <w:rPr>
          <w:rFonts w:hint="eastAsia" w:ascii="宋体" w:hAnsi="宋体" w:eastAsia="宋体" w:cs="宋体"/>
          <w:bCs/>
          <w:color w:val="auto"/>
          <w:sz w:val="24"/>
          <w:szCs w:val="24"/>
          <w:highlight w:val="none"/>
        </w:rPr>
        <w:t>陕西省政府采购网</w:t>
      </w:r>
      <w:r>
        <w:rPr>
          <w:rFonts w:hint="eastAsia" w:ascii="宋体" w:hAnsi="宋体" w:eastAsia="宋体" w:cs="宋体"/>
          <w:bCs/>
          <w:color w:val="auto"/>
          <w:sz w:val="24"/>
          <w:szCs w:val="24"/>
          <w:highlight w:val="none"/>
        </w:rPr>
        <w:fldChar w:fldCharType="end"/>
      </w:r>
      <w:r>
        <w:rPr>
          <w:rFonts w:hint="eastAsia" w:ascii="宋体" w:hAnsi="宋体" w:eastAsia="宋体" w:cs="宋体"/>
          <w:bCs/>
          <w:color w:val="auto"/>
          <w:sz w:val="24"/>
          <w:szCs w:val="24"/>
          <w:highlight w:val="none"/>
        </w:rPr>
        <w:t>（www.ccgp-shaanxi.gov.cn）】、【全国公共资源交易平台（陕西省）（http://www.sxggzyjy.cn/）】上公告成交结果。</w:t>
      </w:r>
    </w:p>
    <w:p w14:paraId="3CCB67B9">
      <w:pPr>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成交公告期限为1个工作日。</w:t>
      </w:r>
    </w:p>
    <w:p w14:paraId="6E4D8CFA">
      <w:pPr>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4、在公告成交结果的同时，代理机构向成交供应商发出成交通知书。</w:t>
      </w:r>
    </w:p>
    <w:p w14:paraId="37F64298">
      <w:pPr>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5、成交通知书发出后，采购人不得违法改变成交结果，成交供应商无正当理由不得放弃成交。</w:t>
      </w:r>
    </w:p>
    <w:p w14:paraId="5777AF40">
      <w:pPr>
        <w:keepNext w:val="0"/>
        <w:keepLines w:val="0"/>
        <w:pageBreakBefore w:val="0"/>
        <w:widowControl w:val="0"/>
        <w:kinsoku/>
        <w:wordWrap w:val="0"/>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auto"/>
          <w:sz w:val="24"/>
          <w:szCs w:val="24"/>
          <w:highlight w:val="none"/>
        </w:rPr>
      </w:pPr>
      <w:bookmarkStart w:id="618" w:name="_GoBack"/>
      <w:r>
        <w:rPr>
          <w:rFonts w:hint="eastAsia" w:ascii="宋体" w:hAnsi="宋体" w:eastAsia="宋体" w:cs="宋体"/>
          <w:b/>
          <w:bCs/>
          <w:color w:val="auto"/>
          <w:sz w:val="24"/>
          <w:szCs w:val="24"/>
          <w:highlight w:val="none"/>
        </w:rPr>
        <w:t>废标情形</w:t>
      </w:r>
    </w:p>
    <w:p w14:paraId="0FAFCE69">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w:t>
      </w:r>
      <w:r>
        <w:rPr>
          <w:rFonts w:hint="eastAsia" w:ascii="宋体" w:hAnsi="宋体" w:eastAsia="宋体" w:cs="宋体"/>
          <w:color w:val="auto"/>
          <w:sz w:val="24"/>
          <w:szCs w:val="24"/>
          <w:highlight w:val="none"/>
          <w:lang w:val="en-US" w:eastAsia="zh-CN"/>
        </w:rPr>
        <w:t>评审</w:t>
      </w:r>
      <w:r>
        <w:rPr>
          <w:rFonts w:hint="eastAsia" w:ascii="宋体" w:hAnsi="宋体" w:eastAsia="宋体" w:cs="宋体"/>
          <w:color w:val="auto"/>
          <w:sz w:val="24"/>
          <w:szCs w:val="24"/>
          <w:highlight w:val="none"/>
        </w:rPr>
        <w:t>小组发现</w:t>
      </w:r>
      <w:r>
        <w:rPr>
          <w:rFonts w:hint="eastAsia" w:ascii="宋体" w:hAnsi="宋体" w:eastAsia="宋体" w:cs="宋体"/>
          <w:color w:val="auto"/>
          <w:sz w:val="24"/>
          <w:szCs w:val="24"/>
          <w:highlight w:val="none"/>
          <w:lang w:val="en-US" w:eastAsia="zh-CN"/>
        </w:rPr>
        <w:t>招标</w:t>
      </w:r>
      <w:r>
        <w:rPr>
          <w:rFonts w:hint="eastAsia" w:ascii="宋体" w:hAnsi="宋体" w:eastAsia="宋体" w:cs="宋体"/>
          <w:color w:val="auto"/>
          <w:sz w:val="24"/>
          <w:szCs w:val="24"/>
          <w:highlight w:val="none"/>
        </w:rPr>
        <w:t>文件存在歧义、重大缺陷导致评标工作无法进行，或者</w:t>
      </w:r>
      <w:r>
        <w:rPr>
          <w:rFonts w:hint="eastAsia" w:ascii="宋体" w:hAnsi="宋体" w:eastAsia="宋体" w:cs="宋体"/>
          <w:color w:val="auto"/>
          <w:sz w:val="24"/>
          <w:szCs w:val="24"/>
          <w:highlight w:val="none"/>
          <w:lang w:val="en-US" w:eastAsia="zh-CN"/>
        </w:rPr>
        <w:t>招标</w:t>
      </w:r>
      <w:r>
        <w:rPr>
          <w:rFonts w:hint="eastAsia" w:ascii="宋体" w:hAnsi="宋体" w:eastAsia="宋体" w:cs="宋体"/>
          <w:color w:val="auto"/>
          <w:sz w:val="24"/>
          <w:szCs w:val="24"/>
          <w:highlight w:val="none"/>
        </w:rPr>
        <w:t>文件内容违反国家有关强制性规定的，应当停止评标工作，与</w:t>
      </w:r>
      <w:r>
        <w:rPr>
          <w:rFonts w:hint="eastAsia" w:ascii="宋体" w:hAnsi="宋体" w:eastAsia="宋体" w:cs="宋体"/>
          <w:color w:val="auto"/>
          <w:sz w:val="24"/>
          <w:szCs w:val="24"/>
          <w:highlight w:val="none"/>
          <w:lang w:val="en-US" w:eastAsia="zh-CN"/>
        </w:rPr>
        <w:t>采购人</w:t>
      </w:r>
      <w:r>
        <w:rPr>
          <w:rFonts w:hint="eastAsia" w:ascii="宋体" w:hAnsi="宋体" w:eastAsia="宋体" w:cs="宋体"/>
          <w:color w:val="auto"/>
          <w:sz w:val="24"/>
          <w:szCs w:val="24"/>
          <w:highlight w:val="none"/>
        </w:rPr>
        <w:t>或者采购代理机构沟通并作书面记录。</w:t>
      </w:r>
      <w:r>
        <w:rPr>
          <w:rFonts w:hint="eastAsia" w:ascii="宋体" w:hAnsi="宋体" w:eastAsia="宋体" w:cs="宋体"/>
          <w:color w:val="auto"/>
          <w:sz w:val="24"/>
          <w:szCs w:val="24"/>
          <w:highlight w:val="none"/>
          <w:lang w:val="en-US" w:eastAsia="zh-CN"/>
        </w:rPr>
        <w:t>采购人</w:t>
      </w:r>
      <w:r>
        <w:rPr>
          <w:rFonts w:hint="eastAsia" w:ascii="宋体" w:hAnsi="宋体" w:eastAsia="宋体" w:cs="宋体"/>
          <w:color w:val="auto"/>
          <w:sz w:val="24"/>
          <w:szCs w:val="24"/>
          <w:highlight w:val="none"/>
        </w:rPr>
        <w:t>或者采购代理机构确认后，应当</w:t>
      </w:r>
      <w:r>
        <w:rPr>
          <w:rFonts w:hint="eastAsia" w:ascii="宋体" w:hAnsi="宋体" w:eastAsia="宋体" w:cs="宋体"/>
          <w:color w:val="auto"/>
          <w:sz w:val="24"/>
          <w:szCs w:val="24"/>
          <w:highlight w:val="none"/>
          <w:lang w:val="en-US" w:eastAsia="zh-CN"/>
        </w:rPr>
        <w:t>招标</w:t>
      </w:r>
      <w:r>
        <w:rPr>
          <w:rFonts w:hint="eastAsia" w:ascii="宋体" w:hAnsi="宋体" w:eastAsia="宋体" w:cs="宋体"/>
          <w:color w:val="auto"/>
          <w:sz w:val="24"/>
          <w:szCs w:val="24"/>
          <w:highlight w:val="none"/>
        </w:rPr>
        <w:t>文件，重新组织采购活动。</w:t>
      </w:r>
    </w:p>
    <w:p w14:paraId="23761B7B">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（二）根据《政府采购法》第三十六条规定，在招标采购中，出现下列情形之一的，本项目按废标处理：</w:t>
      </w:r>
    </w:p>
    <w:p w14:paraId="1D293B79">
      <w:pPr>
        <w:keepNext w:val="0"/>
        <w:keepLines w:val="0"/>
        <w:pageBreakBefore w:val="0"/>
        <w:widowControl w:val="0"/>
        <w:numPr>
          <w:ilvl w:val="0"/>
          <w:numId w:val="8"/>
        </w:numPr>
        <w:kinsoku/>
        <w:wordWrap w:val="0"/>
        <w:overflowPunct/>
        <w:topLinePunct w:val="0"/>
        <w:autoSpaceDE/>
        <w:autoSpaceDN/>
        <w:bidi w:val="0"/>
        <w:adjustRightInd/>
        <w:snapToGrid/>
        <w:spacing w:line="360" w:lineRule="auto"/>
        <w:ind w:left="0" w:leftChars="0" w:firstLine="400" w:firstLineChars="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符合专业条件的供应商或者对招标文件作实质响应的供应商不足三家的；</w:t>
      </w:r>
    </w:p>
    <w:p w14:paraId="63C7B43D">
      <w:pPr>
        <w:keepNext w:val="0"/>
        <w:keepLines w:val="0"/>
        <w:pageBreakBefore w:val="0"/>
        <w:widowControl w:val="0"/>
        <w:numPr>
          <w:ilvl w:val="0"/>
          <w:numId w:val="8"/>
        </w:numPr>
        <w:kinsoku/>
        <w:wordWrap w:val="0"/>
        <w:overflowPunct/>
        <w:topLinePunct w:val="0"/>
        <w:autoSpaceDE/>
        <w:autoSpaceDN/>
        <w:bidi w:val="0"/>
        <w:adjustRightInd/>
        <w:snapToGrid/>
        <w:spacing w:line="360" w:lineRule="auto"/>
        <w:ind w:left="0" w:leftChars="0" w:firstLine="400" w:firstLineChars="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出现影响采购公正的违法、违规行为的；</w:t>
      </w:r>
    </w:p>
    <w:p w14:paraId="426BB6FD">
      <w:pPr>
        <w:keepNext w:val="0"/>
        <w:keepLines w:val="0"/>
        <w:pageBreakBefore w:val="0"/>
        <w:widowControl w:val="0"/>
        <w:numPr>
          <w:ilvl w:val="0"/>
          <w:numId w:val="8"/>
        </w:numPr>
        <w:kinsoku/>
        <w:wordWrap w:val="0"/>
        <w:overflowPunct/>
        <w:topLinePunct w:val="0"/>
        <w:autoSpaceDE/>
        <w:autoSpaceDN/>
        <w:bidi w:val="0"/>
        <w:adjustRightInd/>
        <w:snapToGrid/>
        <w:spacing w:line="360" w:lineRule="auto"/>
        <w:ind w:left="0" w:leftChars="0" w:firstLine="400" w:firstLineChars="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供应商的报价均超过了采购预算，采购人不能支付的；</w:t>
      </w:r>
    </w:p>
    <w:p w14:paraId="422374CA">
      <w:pPr>
        <w:keepNext w:val="0"/>
        <w:keepLines w:val="0"/>
        <w:pageBreakBefore w:val="0"/>
        <w:widowControl w:val="0"/>
        <w:numPr>
          <w:ilvl w:val="0"/>
          <w:numId w:val="8"/>
        </w:numPr>
        <w:kinsoku/>
        <w:wordWrap w:val="0"/>
        <w:overflowPunct/>
        <w:topLinePunct w:val="0"/>
        <w:autoSpaceDE/>
        <w:autoSpaceDN/>
        <w:bidi w:val="0"/>
        <w:adjustRightInd/>
        <w:snapToGrid/>
        <w:spacing w:line="360" w:lineRule="auto"/>
        <w:ind w:left="0" w:leftChars="0" w:firstLine="400" w:firstLineChars="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因重大变故，采购任务取消的。</w:t>
      </w:r>
    </w:p>
    <w:p w14:paraId="6F0EC1B7">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sectPr>
          <w:pgSz w:w="11910" w:h="16840"/>
          <w:pgMar w:top="1440" w:right="1080" w:bottom="1440" w:left="1080" w:header="517" w:footer="1004" w:gutter="0"/>
          <w:pgNumType w:fmt="decimal"/>
          <w:cols w:space="720" w:num="1"/>
        </w:sectPr>
      </w:pPr>
      <w:r>
        <w:rPr>
          <w:rFonts w:hint="eastAsia" w:ascii="宋体" w:hAnsi="宋体" w:eastAsia="宋体" w:cs="宋体"/>
          <w:color w:val="auto"/>
          <w:sz w:val="24"/>
          <w:szCs w:val="24"/>
          <w:highlight w:val="none"/>
        </w:rPr>
        <w:t>废标后，</w:t>
      </w:r>
      <w:r>
        <w:rPr>
          <w:rFonts w:hint="eastAsia" w:ascii="宋体" w:hAnsi="宋体" w:eastAsia="宋体" w:cs="宋体"/>
          <w:color w:val="auto"/>
          <w:sz w:val="24"/>
          <w:szCs w:val="24"/>
          <w:highlight w:val="none"/>
          <w:lang w:val="en-US" w:eastAsia="zh-CN"/>
        </w:rPr>
        <w:t>采购人应当将废标理由通知所有投标供应商，由</w:t>
      </w:r>
      <w:r>
        <w:rPr>
          <w:rFonts w:hint="eastAsia" w:ascii="宋体" w:hAnsi="宋体" w:eastAsia="宋体" w:cs="宋体"/>
          <w:color w:val="auto"/>
          <w:sz w:val="24"/>
          <w:szCs w:val="24"/>
          <w:highlight w:val="none"/>
        </w:rPr>
        <w:t>采购代理机构</w:t>
      </w:r>
      <w:r>
        <w:rPr>
          <w:rFonts w:hint="eastAsia" w:ascii="宋体" w:hAnsi="宋体" w:eastAsia="宋体" w:cs="宋体"/>
          <w:color w:val="auto"/>
          <w:sz w:val="24"/>
          <w:szCs w:val="24"/>
          <w:highlight w:val="none"/>
          <w:lang w:val="en-US" w:eastAsia="zh-CN"/>
        </w:rPr>
        <w:t>在原公告媒体上</w:t>
      </w:r>
      <w:r>
        <w:rPr>
          <w:rFonts w:hint="eastAsia" w:ascii="宋体" w:hAnsi="宋体" w:eastAsia="宋体" w:cs="宋体"/>
          <w:color w:val="auto"/>
          <w:sz w:val="24"/>
          <w:szCs w:val="24"/>
          <w:highlight w:val="none"/>
        </w:rPr>
        <w:t>发布废标公告。</w:t>
      </w:r>
      <w:bookmarkEnd w:id="618"/>
    </w:p>
    <w:bookmarkEnd w:id="501"/>
    <w:bookmarkEnd w:id="502"/>
    <w:bookmarkEnd w:id="503"/>
    <w:bookmarkEnd w:id="504"/>
    <w:bookmarkEnd w:id="505"/>
    <w:bookmarkEnd w:id="506"/>
    <w:bookmarkEnd w:id="507"/>
    <w:bookmarkEnd w:id="508"/>
    <w:bookmarkEnd w:id="509"/>
    <w:bookmarkEnd w:id="510"/>
    <w:bookmarkEnd w:id="511"/>
    <w:p w14:paraId="04548389">
      <w:pPr>
        <w:pStyle w:val="2"/>
        <w:jc w:val="center"/>
        <w:rPr>
          <w:rFonts w:hint="eastAsia" w:ascii="宋体" w:hAnsi="宋体" w:eastAsia="宋体" w:cs="宋体"/>
          <w:b w:val="0"/>
          <w:bCs/>
          <w:color w:val="auto"/>
          <w:sz w:val="40"/>
          <w:szCs w:val="18"/>
          <w:highlight w:val="none"/>
        </w:rPr>
      </w:pPr>
      <w:bookmarkStart w:id="523" w:name="_Toc6694"/>
      <w:r>
        <w:rPr>
          <w:rFonts w:hint="eastAsia" w:ascii="宋体" w:hAnsi="宋体" w:eastAsia="宋体" w:cs="宋体"/>
          <w:b w:val="0"/>
          <w:bCs/>
          <w:color w:val="auto"/>
          <w:sz w:val="40"/>
          <w:szCs w:val="18"/>
          <w:highlight w:val="none"/>
        </w:rPr>
        <w:t>第八部分  竞争性谈判响应文件格式</w:t>
      </w:r>
      <w:bookmarkEnd w:id="523"/>
    </w:p>
    <w:p w14:paraId="21726CEA">
      <w:pPr>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32"/>
          <w:szCs w:val="32"/>
          <w:highlight w:val="none"/>
        </w:rPr>
        <w:t>（封面）</w:t>
      </w: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kern w:val="0"/>
          <w:sz w:val="36"/>
          <w:szCs w:val="36"/>
          <w:highlight w:val="none"/>
          <w:bdr w:val="single" w:color="auto" w:sz="4" w:space="0"/>
        </w:rPr>
        <w:t>正/副本</w:t>
      </w:r>
    </w:p>
    <w:p w14:paraId="707D2824">
      <w:pPr>
        <w:spacing w:line="360" w:lineRule="auto"/>
        <w:jc w:val="lef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采购项目编号：</w:t>
      </w:r>
    </w:p>
    <w:p w14:paraId="56553EE5">
      <w:pPr>
        <w:rPr>
          <w:rFonts w:hint="eastAsia" w:ascii="宋体" w:hAnsi="宋体" w:eastAsia="宋体" w:cs="宋体"/>
          <w:bCs/>
          <w:color w:val="auto"/>
          <w:highlight w:val="none"/>
        </w:rPr>
      </w:pPr>
    </w:p>
    <w:p w14:paraId="5D3B7301">
      <w:pPr>
        <w:pStyle w:val="8"/>
        <w:rPr>
          <w:rFonts w:hint="eastAsia" w:ascii="宋体" w:hAnsi="宋体" w:eastAsia="宋体" w:cs="宋体"/>
          <w:bCs/>
          <w:color w:val="auto"/>
          <w:highlight w:val="none"/>
        </w:rPr>
      </w:pPr>
      <w:r>
        <w:rPr>
          <w:rFonts w:hint="eastAsia" w:ascii="宋体" w:hAnsi="宋体" w:eastAsia="宋体" w:cs="宋体"/>
          <w:bCs/>
          <w:color w:val="auto"/>
          <w:spacing w:val="15"/>
          <w:sz w:val="48"/>
          <w:szCs w:val="48"/>
          <w:highlight w:val="none"/>
          <w:u w:val="single"/>
        </w:rPr>
        <w:t xml:space="preserve">           （项目名称）                            </w:t>
      </w:r>
    </w:p>
    <w:p w14:paraId="7E6A81C5">
      <w:pPr>
        <w:rPr>
          <w:rFonts w:hint="eastAsia" w:ascii="宋体" w:hAnsi="宋体" w:eastAsia="宋体" w:cs="宋体"/>
          <w:bCs/>
          <w:color w:val="auto"/>
          <w:highlight w:val="none"/>
        </w:rPr>
      </w:pPr>
    </w:p>
    <w:p w14:paraId="66112AC2">
      <w:pPr>
        <w:spacing w:line="360" w:lineRule="auto"/>
        <w:jc w:val="center"/>
        <w:rPr>
          <w:rFonts w:hint="eastAsia" w:ascii="宋体" w:hAnsi="宋体" w:eastAsia="宋体" w:cs="宋体"/>
          <w:bCs/>
          <w:color w:val="auto"/>
          <w:sz w:val="72"/>
          <w:szCs w:val="72"/>
          <w:highlight w:val="none"/>
        </w:rPr>
      </w:pPr>
    </w:p>
    <w:p w14:paraId="2D834792">
      <w:pPr>
        <w:spacing w:line="360" w:lineRule="auto"/>
        <w:jc w:val="center"/>
        <w:rPr>
          <w:rFonts w:hint="eastAsia" w:ascii="宋体" w:hAnsi="宋体" w:eastAsia="宋体" w:cs="宋体"/>
          <w:bCs/>
          <w:color w:val="auto"/>
          <w:sz w:val="72"/>
          <w:szCs w:val="72"/>
          <w:highlight w:val="none"/>
        </w:rPr>
      </w:pPr>
    </w:p>
    <w:p w14:paraId="2D4E614F">
      <w:pPr>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72"/>
          <w:szCs w:val="72"/>
          <w:highlight w:val="none"/>
        </w:rPr>
        <w:t>竞争性谈判响应文件</w:t>
      </w:r>
      <w:r>
        <w:rPr>
          <w:rFonts w:hint="eastAsia" w:ascii="宋体" w:hAnsi="宋体" w:eastAsia="宋体" w:cs="宋体"/>
          <w:bCs/>
          <w:color w:val="auto"/>
          <w:sz w:val="24"/>
          <w:szCs w:val="24"/>
          <w:highlight w:val="none"/>
        </w:rPr>
        <w:t xml:space="preserve"> </w:t>
      </w:r>
    </w:p>
    <w:p w14:paraId="79218670">
      <w:pPr>
        <w:spacing w:line="360" w:lineRule="auto"/>
        <w:rPr>
          <w:rFonts w:hint="eastAsia" w:ascii="宋体" w:hAnsi="宋体" w:eastAsia="宋体" w:cs="宋体"/>
          <w:bCs/>
          <w:color w:val="auto"/>
          <w:sz w:val="24"/>
          <w:szCs w:val="24"/>
          <w:highlight w:val="none"/>
        </w:rPr>
      </w:pPr>
    </w:p>
    <w:p w14:paraId="08965424">
      <w:pPr>
        <w:pStyle w:val="8"/>
        <w:rPr>
          <w:rFonts w:hint="eastAsia" w:ascii="宋体" w:hAnsi="宋体" w:eastAsia="宋体" w:cs="宋体"/>
          <w:bCs/>
          <w:color w:val="auto"/>
          <w:highlight w:val="none"/>
        </w:rPr>
      </w:pPr>
    </w:p>
    <w:p w14:paraId="6DC2E2C7">
      <w:pPr>
        <w:rPr>
          <w:rFonts w:hint="eastAsia" w:ascii="宋体" w:hAnsi="宋体" w:eastAsia="宋体" w:cs="宋体"/>
          <w:bCs/>
          <w:color w:val="auto"/>
          <w:highlight w:val="none"/>
        </w:rPr>
      </w:pPr>
    </w:p>
    <w:p w14:paraId="2F768081">
      <w:pPr>
        <w:pStyle w:val="5"/>
        <w:rPr>
          <w:rFonts w:hint="eastAsia" w:ascii="宋体" w:hAnsi="宋体" w:eastAsia="宋体" w:cs="宋体"/>
          <w:bCs/>
          <w:color w:val="auto"/>
          <w:highlight w:val="none"/>
        </w:rPr>
      </w:pPr>
    </w:p>
    <w:p w14:paraId="1762173E">
      <w:pPr>
        <w:pStyle w:val="5"/>
        <w:rPr>
          <w:rFonts w:hint="eastAsia" w:ascii="宋体" w:hAnsi="宋体" w:eastAsia="宋体" w:cs="宋体"/>
          <w:bCs/>
          <w:color w:val="auto"/>
          <w:highlight w:val="none"/>
        </w:rPr>
      </w:pPr>
    </w:p>
    <w:p w14:paraId="33A317C8">
      <w:pPr>
        <w:pStyle w:val="5"/>
        <w:rPr>
          <w:rFonts w:hint="eastAsia" w:ascii="宋体" w:hAnsi="宋体" w:eastAsia="宋体" w:cs="宋体"/>
          <w:bCs/>
          <w:color w:val="auto"/>
          <w:highlight w:val="none"/>
        </w:rPr>
      </w:pPr>
    </w:p>
    <w:p w14:paraId="6F90A966">
      <w:pPr>
        <w:rPr>
          <w:rFonts w:hint="eastAsia" w:ascii="宋体" w:hAnsi="宋体" w:eastAsia="宋体" w:cs="宋体"/>
          <w:bCs/>
          <w:color w:val="auto"/>
          <w:highlight w:val="none"/>
        </w:rPr>
      </w:pPr>
    </w:p>
    <w:p w14:paraId="24CCD8B9">
      <w:pPr>
        <w:spacing w:line="360" w:lineRule="auto"/>
        <w:ind w:firstLine="1680" w:firstLineChars="600"/>
        <w:jc w:val="both"/>
        <w:rPr>
          <w:rFonts w:hint="eastAsia" w:ascii="宋体" w:hAnsi="宋体" w:eastAsia="宋体" w:cs="宋体"/>
          <w:bCs/>
          <w:color w:val="auto"/>
          <w:sz w:val="28"/>
          <w:szCs w:val="22"/>
          <w:highlight w:val="none"/>
        </w:rPr>
      </w:pPr>
      <w:r>
        <w:rPr>
          <w:rFonts w:hint="eastAsia" w:ascii="宋体" w:hAnsi="宋体" w:eastAsia="宋体" w:cs="宋体"/>
          <w:bCs/>
          <w:color w:val="auto"/>
          <w:sz w:val="28"/>
          <w:szCs w:val="22"/>
          <w:highlight w:val="none"/>
        </w:rPr>
        <w:t>供应商名称：</w:t>
      </w:r>
      <w:r>
        <w:rPr>
          <w:rFonts w:hint="eastAsia" w:ascii="宋体" w:hAnsi="宋体" w:eastAsia="宋体" w:cs="宋体"/>
          <w:bCs/>
          <w:color w:val="auto"/>
          <w:sz w:val="28"/>
          <w:highlight w:val="none"/>
          <w:u w:val="single"/>
        </w:rPr>
        <w:t xml:space="preserve">                     </w:t>
      </w:r>
      <w:r>
        <w:rPr>
          <w:rFonts w:hint="eastAsia" w:ascii="宋体" w:hAnsi="宋体" w:eastAsia="宋体" w:cs="宋体"/>
          <w:bCs/>
          <w:color w:val="auto"/>
          <w:sz w:val="28"/>
          <w:szCs w:val="22"/>
          <w:highlight w:val="none"/>
        </w:rPr>
        <w:t>（盖章）</w:t>
      </w:r>
    </w:p>
    <w:p w14:paraId="21ABEDE1">
      <w:pPr>
        <w:spacing w:line="360" w:lineRule="auto"/>
        <w:ind w:firstLine="1260" w:firstLineChars="450"/>
        <w:rPr>
          <w:rFonts w:hint="eastAsia" w:ascii="宋体" w:hAnsi="宋体" w:eastAsia="宋体" w:cs="宋体"/>
          <w:bCs/>
          <w:color w:val="auto"/>
          <w:sz w:val="28"/>
          <w:szCs w:val="22"/>
          <w:highlight w:val="none"/>
        </w:rPr>
      </w:pPr>
    </w:p>
    <w:p w14:paraId="64C817FE">
      <w:pPr>
        <w:spacing w:line="360" w:lineRule="auto"/>
        <w:ind w:firstLine="1680" w:firstLineChars="600"/>
        <w:rPr>
          <w:rFonts w:hint="eastAsia" w:ascii="宋体" w:hAnsi="宋体" w:eastAsia="宋体" w:cs="宋体"/>
          <w:bCs/>
          <w:color w:val="auto"/>
          <w:sz w:val="28"/>
          <w:szCs w:val="22"/>
          <w:highlight w:val="none"/>
        </w:rPr>
      </w:pPr>
      <w:r>
        <w:rPr>
          <w:rFonts w:hint="eastAsia" w:ascii="宋体" w:hAnsi="宋体" w:eastAsia="宋体" w:cs="宋体"/>
          <w:bCs/>
          <w:color w:val="auto"/>
          <w:sz w:val="28"/>
          <w:szCs w:val="22"/>
          <w:highlight w:val="none"/>
        </w:rPr>
        <w:t>法定代表人或被授权人（签字或盖章）：</w:t>
      </w:r>
    </w:p>
    <w:p w14:paraId="1B6D02B0">
      <w:pPr>
        <w:spacing w:line="360" w:lineRule="auto"/>
        <w:jc w:val="center"/>
        <w:rPr>
          <w:rFonts w:hint="eastAsia" w:ascii="宋体" w:hAnsi="宋体" w:eastAsia="宋体" w:cs="宋体"/>
          <w:bCs/>
          <w:color w:val="auto"/>
          <w:sz w:val="28"/>
          <w:szCs w:val="22"/>
          <w:highlight w:val="none"/>
        </w:rPr>
      </w:pPr>
    </w:p>
    <w:p w14:paraId="32F1DE6B">
      <w:pPr>
        <w:spacing w:line="360" w:lineRule="auto"/>
        <w:ind w:firstLine="1680" w:firstLineChars="600"/>
        <w:rPr>
          <w:rFonts w:hint="eastAsia" w:ascii="宋体" w:hAnsi="宋体" w:eastAsia="宋体" w:cs="宋体"/>
          <w:bCs/>
          <w:color w:val="auto"/>
          <w:sz w:val="28"/>
          <w:szCs w:val="22"/>
          <w:highlight w:val="none"/>
        </w:rPr>
      </w:pPr>
      <w:r>
        <w:rPr>
          <w:rFonts w:hint="eastAsia" w:ascii="宋体" w:hAnsi="宋体" w:eastAsia="宋体" w:cs="宋体"/>
          <w:bCs/>
          <w:color w:val="auto"/>
          <w:sz w:val="28"/>
          <w:szCs w:val="22"/>
          <w:highlight w:val="none"/>
        </w:rPr>
        <w:t xml:space="preserve">日       期：     年   月   日 </w:t>
      </w:r>
    </w:p>
    <w:p w14:paraId="56256AC0">
      <w:pPr>
        <w:rPr>
          <w:rFonts w:hint="eastAsia" w:ascii="宋体" w:hAnsi="宋体" w:eastAsia="宋体" w:cs="宋体"/>
          <w:bCs/>
          <w:color w:val="auto"/>
          <w:sz w:val="24"/>
          <w:szCs w:val="24"/>
          <w:highlight w:val="none"/>
        </w:rPr>
        <w:sectPr>
          <w:footnotePr>
            <w:pos w:val="beneathText"/>
          </w:footnotePr>
          <w:type w:val="continuous"/>
          <w:pgSz w:w="11906" w:h="16838"/>
          <w:pgMar w:top="1440" w:right="1080" w:bottom="1440" w:left="1080" w:header="1091" w:footer="1134" w:gutter="0"/>
          <w:pgNumType w:fmt="decimal"/>
          <w:cols w:space="720" w:num="1"/>
          <w:titlePg/>
          <w:docGrid w:type="lines" w:linePitch="312" w:charSpace="0"/>
        </w:sectPr>
      </w:pPr>
      <w:bookmarkStart w:id="524" w:name="_Toc357087380"/>
      <w:bookmarkStart w:id="525" w:name="_Toc21305"/>
    </w:p>
    <w:p w14:paraId="63E9EDCE">
      <w:pPr>
        <w:tabs>
          <w:tab w:val="left" w:pos="3329"/>
        </w:tabs>
        <w:jc w:val="center"/>
        <w:rPr>
          <w:rFonts w:hint="eastAsia" w:ascii="宋体" w:hAnsi="宋体" w:eastAsia="宋体" w:cs="宋体"/>
          <w:bCs/>
          <w:color w:val="auto"/>
          <w:sz w:val="44"/>
          <w:highlight w:val="none"/>
        </w:rPr>
        <w:sectPr>
          <w:type w:val="continuous"/>
          <w:pgSz w:w="11906" w:h="16838"/>
          <w:pgMar w:top="1440" w:right="1080" w:bottom="1440" w:left="1080" w:header="720" w:footer="720" w:gutter="0"/>
          <w:pgNumType w:fmt="decimal"/>
          <w:cols w:space="720" w:num="1"/>
          <w:docGrid w:type="lines" w:linePitch="312" w:charSpace="0"/>
        </w:sectPr>
      </w:pPr>
      <w:bookmarkStart w:id="526" w:name="_Toc24244"/>
      <w:bookmarkStart w:id="527" w:name="_Toc15746"/>
      <w:bookmarkStart w:id="528" w:name="_Toc465958130"/>
      <w:bookmarkStart w:id="529" w:name="_Toc30709"/>
      <w:bookmarkStart w:id="530" w:name="_Toc6250"/>
      <w:bookmarkStart w:id="531" w:name="_Toc22764"/>
    </w:p>
    <w:bookmarkEnd w:id="524"/>
    <w:bookmarkEnd w:id="525"/>
    <w:bookmarkEnd w:id="526"/>
    <w:bookmarkEnd w:id="527"/>
    <w:bookmarkEnd w:id="528"/>
    <w:bookmarkEnd w:id="529"/>
    <w:bookmarkEnd w:id="530"/>
    <w:bookmarkEnd w:id="531"/>
    <w:p w14:paraId="5035CFB3">
      <w:pPr>
        <w:spacing w:line="360" w:lineRule="auto"/>
        <w:jc w:val="center"/>
        <w:outlineLvl w:val="0"/>
        <w:rPr>
          <w:rFonts w:hint="eastAsia" w:ascii="宋体" w:hAnsi="宋体" w:eastAsia="宋体" w:cs="宋体"/>
          <w:bCs/>
          <w:color w:val="auto"/>
          <w:sz w:val="44"/>
          <w:highlight w:val="none"/>
        </w:rPr>
      </w:pPr>
      <w:bookmarkStart w:id="532" w:name="_Toc31289"/>
      <w:bookmarkStart w:id="533" w:name="_Toc14495"/>
      <w:bookmarkStart w:id="534" w:name="_Toc8917"/>
      <w:bookmarkStart w:id="535" w:name="_Toc15466"/>
      <w:bookmarkStart w:id="536" w:name="_Toc8935"/>
      <w:bookmarkStart w:id="537" w:name="_Toc465958141"/>
      <w:bookmarkStart w:id="538" w:name="_Toc30563"/>
      <w:bookmarkStart w:id="539" w:name="_Toc1595"/>
      <w:bookmarkStart w:id="540" w:name="_Toc13680"/>
      <w:r>
        <w:rPr>
          <w:rFonts w:hint="eastAsia" w:ascii="宋体" w:hAnsi="宋体" w:eastAsia="宋体" w:cs="宋体"/>
          <w:bCs/>
          <w:color w:val="auto"/>
          <w:sz w:val="44"/>
          <w:highlight w:val="none"/>
        </w:rPr>
        <w:t>目  录</w:t>
      </w:r>
      <w:bookmarkEnd w:id="532"/>
      <w:bookmarkEnd w:id="533"/>
    </w:p>
    <w:p w14:paraId="7FADC4E6">
      <w:pPr>
        <w:spacing w:line="360" w:lineRule="auto"/>
        <w:jc w:val="center"/>
        <w:rPr>
          <w:rFonts w:hint="eastAsia" w:ascii="宋体" w:hAnsi="宋体" w:eastAsia="宋体" w:cs="宋体"/>
          <w:bCs/>
          <w:color w:val="auto"/>
          <w:sz w:val="32"/>
          <w:szCs w:val="22"/>
          <w:highlight w:val="none"/>
        </w:rPr>
      </w:pPr>
      <w:r>
        <w:rPr>
          <w:rFonts w:hint="eastAsia" w:ascii="宋体" w:hAnsi="宋体" w:eastAsia="宋体" w:cs="宋体"/>
          <w:bCs/>
          <w:color w:val="auto"/>
          <w:kern w:val="0"/>
          <w:sz w:val="24"/>
          <w:szCs w:val="24"/>
          <w:highlight w:val="none"/>
        </w:rPr>
        <w:t>(引用三级目录）</w:t>
      </w:r>
      <w:r>
        <w:rPr>
          <w:rFonts w:hint="eastAsia" w:ascii="宋体" w:hAnsi="宋体" w:eastAsia="宋体" w:cs="宋体"/>
          <w:bCs/>
          <w:color w:val="auto"/>
          <w:highlight w:val="none"/>
        </w:rPr>
        <w:br w:type="page"/>
      </w:r>
      <w:r>
        <w:rPr>
          <w:rFonts w:hint="eastAsia" w:ascii="宋体" w:hAnsi="宋体" w:eastAsia="宋体" w:cs="宋体"/>
          <w:bCs/>
          <w:color w:val="auto"/>
          <w:sz w:val="32"/>
          <w:szCs w:val="22"/>
          <w:highlight w:val="none"/>
        </w:rPr>
        <w:t>一、响应函</w:t>
      </w:r>
    </w:p>
    <w:p w14:paraId="6ED09784">
      <w:pPr>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致：</w:t>
      </w:r>
      <w:r>
        <w:rPr>
          <w:rFonts w:hint="eastAsia" w:ascii="宋体" w:hAnsi="宋体" w:cs="宋体"/>
          <w:bCs/>
          <w:color w:val="auto"/>
          <w:sz w:val="24"/>
          <w:szCs w:val="24"/>
          <w:highlight w:val="none"/>
          <w:lang w:eastAsia="zh-CN"/>
        </w:rPr>
        <w:t>鹏泽项目管理有限公司</w:t>
      </w:r>
    </w:p>
    <w:p w14:paraId="173C95CC">
      <w:pPr>
        <w:spacing w:line="360" w:lineRule="auto"/>
        <w:ind w:firstLine="540" w:firstLineChars="225"/>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根据已收到贵方的采购项目编号为（采购项目编号）的（采购项目名称）的竞争性谈判文件，签字代表</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(全名、职务)经正式授权并代表 (供应商名称、地址、统一社会信用代码）提交包含下述内容的竞争性谈判响应文件。</w:t>
      </w:r>
    </w:p>
    <w:p w14:paraId="0A33A9A6">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(1) 响应函</w:t>
      </w:r>
    </w:p>
    <w:p w14:paraId="3873859E">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(2) 报价一览表</w:t>
      </w:r>
    </w:p>
    <w:p w14:paraId="29204234">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(3) 按供应商须知要求提供的全部文件和竞争性谈判文件要求的响应文件。</w:t>
      </w:r>
    </w:p>
    <w:p w14:paraId="559A19E7">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(4) 供应商资格证明文件。</w:t>
      </w:r>
    </w:p>
    <w:p w14:paraId="52AC1001">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ab/>
      </w:r>
      <w:r>
        <w:rPr>
          <w:rFonts w:hint="eastAsia" w:ascii="宋体" w:hAnsi="宋体" w:eastAsia="宋体" w:cs="宋体"/>
          <w:bCs/>
          <w:color w:val="auto"/>
          <w:sz w:val="24"/>
          <w:szCs w:val="24"/>
          <w:highlight w:val="none"/>
        </w:rPr>
        <w:t>据此函，签字代表宣布同意如下：</w:t>
      </w:r>
    </w:p>
    <w:p w14:paraId="173201A0">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rPr>
        <w:tab/>
      </w:r>
      <w:r>
        <w:rPr>
          <w:rFonts w:hint="eastAsia" w:ascii="宋体" w:hAnsi="宋体" w:eastAsia="宋体" w:cs="宋体"/>
          <w:bCs/>
          <w:color w:val="auto"/>
          <w:sz w:val="24"/>
          <w:szCs w:val="24"/>
          <w:highlight w:val="none"/>
        </w:rPr>
        <w:t>1. 所附报价一览表中的投标报价为：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 元（即：大写金额</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w:t>
      </w:r>
    </w:p>
    <w:p w14:paraId="7C7C7E59">
      <w:pPr>
        <w:spacing w:line="360" w:lineRule="auto"/>
        <w:ind w:firstLine="42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 供应商将按竞争性谈判文件的规定履行合同责任和义务；</w:t>
      </w:r>
    </w:p>
    <w:p w14:paraId="4FD2009F">
      <w:pPr>
        <w:spacing w:line="360" w:lineRule="auto"/>
        <w:ind w:firstLine="42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 供应商已详细审查全部竞争性谈判文件，包括修改文件（如有的话）以及全部参考资料和有关附件。我们完全理解并同意放弃对这方面有不明及误解的权利；</w:t>
      </w:r>
    </w:p>
    <w:p w14:paraId="26226DA0">
      <w:pPr>
        <w:spacing w:line="360" w:lineRule="auto"/>
        <w:ind w:firstLine="42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 </w:t>
      </w:r>
      <w:r>
        <w:rPr>
          <w:rFonts w:hint="eastAsia" w:ascii="宋体" w:hAnsi="宋体" w:eastAsia="宋体" w:cs="宋体"/>
          <w:bCs/>
          <w:color w:val="auto"/>
          <w:sz w:val="24"/>
          <w:highlight w:val="none"/>
        </w:rPr>
        <w:t>我方的竞争性谈判响应文件在开标之日起有效期为</w:t>
      </w:r>
      <w:r>
        <w:rPr>
          <w:rFonts w:hint="eastAsia" w:ascii="宋体" w:hAnsi="宋体" w:eastAsia="宋体" w:cs="宋体"/>
          <w:bCs/>
          <w:color w:val="auto"/>
          <w:sz w:val="24"/>
          <w:highlight w:val="none"/>
          <w:lang w:val="en-US" w:eastAsia="zh-CN"/>
        </w:rPr>
        <w:t xml:space="preserve"> </w:t>
      </w:r>
      <w:r>
        <w:rPr>
          <w:rFonts w:hint="eastAsia" w:ascii="宋体" w:hAnsi="宋体" w:eastAsia="宋体" w:cs="宋体"/>
          <w:bCs/>
          <w:color w:val="auto"/>
          <w:sz w:val="24"/>
          <w:szCs w:val="24"/>
          <w:highlight w:val="none"/>
        </w:rPr>
        <w:t>日历天</w:t>
      </w:r>
      <w:r>
        <w:rPr>
          <w:rFonts w:hint="eastAsia" w:ascii="宋体" w:hAnsi="宋体" w:eastAsia="宋体" w:cs="宋体"/>
          <w:bCs/>
          <w:color w:val="auto"/>
          <w:sz w:val="24"/>
          <w:highlight w:val="none"/>
        </w:rPr>
        <w:t>，</w:t>
      </w:r>
      <w:r>
        <w:rPr>
          <w:rFonts w:hint="eastAsia" w:ascii="宋体" w:hAnsi="宋体" w:eastAsia="宋体" w:cs="宋体"/>
          <w:bCs/>
          <w:color w:val="auto"/>
          <w:sz w:val="24"/>
          <w:szCs w:val="24"/>
          <w:highlight w:val="none"/>
        </w:rPr>
        <w:t>如成交，延长至合同执行完毕时止；</w:t>
      </w:r>
    </w:p>
    <w:p w14:paraId="0B8BA3E0">
      <w:pPr>
        <w:spacing w:line="360" w:lineRule="auto"/>
        <w:ind w:firstLine="42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5</w:t>
      </w:r>
      <w:r>
        <w:rPr>
          <w:rFonts w:hint="eastAsia" w:ascii="宋体" w:hAnsi="宋体" w:eastAsia="宋体" w:cs="宋体"/>
          <w:bCs/>
          <w:color w:val="auto"/>
          <w:sz w:val="24"/>
          <w:szCs w:val="24"/>
          <w:highlight w:val="none"/>
        </w:rPr>
        <w:t>. 供应商同意提供按照贵方可能要求的与其报价有关的一切数据或资料；</w:t>
      </w:r>
    </w:p>
    <w:p w14:paraId="7EAA7366">
      <w:pPr>
        <w:spacing w:line="360" w:lineRule="auto"/>
        <w:ind w:firstLine="42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6</w:t>
      </w:r>
      <w:r>
        <w:rPr>
          <w:rFonts w:hint="eastAsia" w:ascii="宋体" w:hAnsi="宋体" w:eastAsia="宋体" w:cs="宋体"/>
          <w:bCs/>
          <w:color w:val="auto"/>
          <w:sz w:val="24"/>
          <w:szCs w:val="24"/>
          <w:highlight w:val="none"/>
        </w:rPr>
        <w:t>.</w:t>
      </w:r>
      <w:r>
        <w:rPr>
          <w:rFonts w:hint="eastAsia" w:ascii="宋体" w:hAnsi="宋体" w:eastAsia="宋体" w:cs="宋体"/>
          <w:bCs/>
          <w:color w:val="auto"/>
          <w:spacing w:val="4"/>
          <w:sz w:val="24"/>
          <w:highlight w:val="none"/>
        </w:rPr>
        <w:t>我们同意，如果成交，向代理机构交纳招标代理服务费</w:t>
      </w:r>
      <w:r>
        <w:rPr>
          <w:rFonts w:hint="eastAsia" w:ascii="宋体" w:hAnsi="宋体" w:eastAsia="宋体" w:cs="宋体"/>
          <w:bCs/>
          <w:color w:val="auto"/>
          <w:sz w:val="24"/>
          <w:szCs w:val="24"/>
          <w:highlight w:val="none"/>
        </w:rPr>
        <w:t>。</w:t>
      </w:r>
    </w:p>
    <w:p w14:paraId="663CEE99">
      <w:pPr>
        <w:spacing w:line="360" w:lineRule="auto"/>
        <w:ind w:firstLine="42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7</w:t>
      </w:r>
      <w:r>
        <w:rPr>
          <w:rFonts w:hint="eastAsia" w:ascii="宋体" w:hAnsi="宋体" w:eastAsia="宋体" w:cs="宋体"/>
          <w:bCs/>
          <w:color w:val="auto"/>
          <w:sz w:val="24"/>
          <w:szCs w:val="24"/>
          <w:highlight w:val="none"/>
        </w:rPr>
        <w:t>. 与本谈判有关的一切正式往来通讯请寄：</w:t>
      </w:r>
    </w:p>
    <w:p w14:paraId="1D6116B1">
      <w:pPr>
        <w:spacing w:line="360" w:lineRule="auto"/>
        <w:ind w:firstLine="360" w:firstLineChars="15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地址：</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   邮编：</w:t>
      </w:r>
      <w:r>
        <w:rPr>
          <w:rFonts w:hint="eastAsia" w:ascii="宋体" w:hAnsi="宋体" w:eastAsia="宋体" w:cs="宋体"/>
          <w:bCs/>
          <w:color w:val="auto"/>
          <w:sz w:val="24"/>
          <w:szCs w:val="24"/>
          <w:highlight w:val="none"/>
          <w:u w:val="single"/>
        </w:rPr>
        <w:t xml:space="preserve">                    </w:t>
      </w:r>
    </w:p>
    <w:p w14:paraId="141FF5C9">
      <w:pPr>
        <w:spacing w:line="360" w:lineRule="auto"/>
        <w:ind w:firstLine="360" w:firstLineChars="15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电话：</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  传真：</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 </w:t>
      </w:r>
    </w:p>
    <w:p w14:paraId="703493D8">
      <w:pPr>
        <w:spacing w:line="360" w:lineRule="auto"/>
        <w:ind w:firstLine="360" w:firstLineChars="15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供应商代表姓名、职务：</w:t>
      </w:r>
      <w:r>
        <w:rPr>
          <w:rFonts w:hint="eastAsia" w:ascii="宋体" w:hAnsi="宋体" w:eastAsia="宋体" w:cs="宋体"/>
          <w:bCs/>
          <w:color w:val="auto"/>
          <w:sz w:val="24"/>
          <w:szCs w:val="24"/>
          <w:highlight w:val="none"/>
          <w:u w:val="single"/>
        </w:rPr>
        <w:t xml:space="preserve">                                   </w:t>
      </w:r>
    </w:p>
    <w:p w14:paraId="4799903B">
      <w:pPr>
        <w:spacing w:line="360" w:lineRule="auto"/>
        <w:ind w:firstLine="360" w:firstLineChars="15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供应商名称：</w:t>
      </w:r>
      <w:r>
        <w:rPr>
          <w:rFonts w:hint="eastAsia" w:ascii="宋体" w:hAnsi="宋体" w:eastAsia="宋体" w:cs="宋体"/>
          <w:bCs/>
          <w:color w:val="auto"/>
          <w:sz w:val="24"/>
          <w:szCs w:val="24"/>
          <w:highlight w:val="none"/>
          <w:u w:val="single"/>
        </w:rPr>
        <w:t xml:space="preserve">                    （公章）</w:t>
      </w:r>
    </w:p>
    <w:p w14:paraId="57EFD519">
      <w:pPr>
        <w:spacing w:line="360" w:lineRule="auto"/>
        <w:ind w:firstLine="360" w:firstLineChars="15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法定代表人（负责人）或被授权代表签字或盖章：</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 </w:t>
      </w:r>
    </w:p>
    <w:p w14:paraId="41E44669">
      <w:pPr>
        <w:spacing w:line="360" w:lineRule="auto"/>
        <w:ind w:firstLine="360" w:firstLineChars="15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日期：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年</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月</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日</w:t>
      </w:r>
    </w:p>
    <w:p w14:paraId="7AC5A609">
      <w:pPr>
        <w:pStyle w:val="3"/>
        <w:jc w:val="center"/>
        <w:rPr>
          <w:rFonts w:hint="eastAsia" w:ascii="宋体" w:hAnsi="宋体" w:eastAsia="宋体" w:cs="宋体"/>
          <w:b w:val="0"/>
          <w:bCs/>
          <w:color w:val="auto"/>
          <w:highlight w:val="none"/>
        </w:rPr>
        <w:sectPr>
          <w:pgSz w:w="11906" w:h="16838"/>
          <w:pgMar w:top="1440" w:right="1080" w:bottom="1440" w:left="1080" w:header="720" w:footer="720" w:gutter="0"/>
          <w:pgNumType w:fmt="decimal"/>
          <w:cols w:space="720" w:num="1"/>
          <w:docGrid w:type="lines" w:linePitch="312" w:charSpace="0"/>
        </w:sectPr>
      </w:pPr>
      <w:bookmarkStart w:id="541" w:name="_Toc18055"/>
      <w:bookmarkStart w:id="542" w:name="_Toc5990"/>
    </w:p>
    <w:p w14:paraId="23A85019">
      <w:pPr>
        <w:pStyle w:val="3"/>
        <w:jc w:val="center"/>
        <w:rPr>
          <w:rFonts w:hint="eastAsia" w:ascii="宋体" w:hAnsi="宋体" w:eastAsia="宋体" w:cs="宋体"/>
          <w:b w:val="0"/>
          <w:bCs/>
          <w:color w:val="auto"/>
          <w:highlight w:val="none"/>
        </w:rPr>
      </w:pPr>
      <w:bookmarkStart w:id="543" w:name="_Toc8874"/>
      <w:r>
        <w:rPr>
          <w:rFonts w:hint="eastAsia" w:ascii="宋体" w:hAnsi="宋体" w:eastAsia="宋体" w:cs="宋体"/>
          <w:b w:val="0"/>
          <w:bCs/>
          <w:color w:val="auto"/>
          <w:highlight w:val="none"/>
        </w:rPr>
        <w:t>二、</w:t>
      </w:r>
      <w:r>
        <w:rPr>
          <w:rFonts w:hint="eastAsia" w:ascii="宋体" w:hAnsi="宋体" w:eastAsia="宋体" w:cs="宋体"/>
          <w:b w:val="0"/>
          <w:bCs/>
          <w:color w:val="auto"/>
          <w:highlight w:val="none"/>
          <w:lang w:val="en-US" w:eastAsia="zh-CN"/>
        </w:rPr>
        <w:t>第一次</w:t>
      </w:r>
      <w:r>
        <w:rPr>
          <w:rFonts w:hint="eastAsia" w:ascii="宋体" w:hAnsi="宋体" w:eastAsia="宋体" w:cs="宋体"/>
          <w:b w:val="0"/>
          <w:bCs/>
          <w:color w:val="auto"/>
          <w:highlight w:val="none"/>
          <w:lang w:eastAsia="zh-CN"/>
        </w:rPr>
        <w:t>谈判</w:t>
      </w:r>
      <w:r>
        <w:rPr>
          <w:rFonts w:hint="eastAsia" w:ascii="宋体" w:hAnsi="宋体" w:eastAsia="宋体" w:cs="宋体"/>
          <w:b w:val="0"/>
          <w:bCs/>
          <w:color w:val="auto"/>
          <w:highlight w:val="none"/>
        </w:rPr>
        <w:t>报价表</w:t>
      </w:r>
      <w:bookmarkEnd w:id="541"/>
      <w:bookmarkEnd w:id="542"/>
      <w:bookmarkEnd w:id="543"/>
    </w:p>
    <w:p w14:paraId="08556DD7">
      <w:pPr>
        <w:jc w:val="center"/>
        <w:outlineLvl w:val="1"/>
        <w:rPr>
          <w:rFonts w:hint="eastAsia" w:ascii="宋体" w:hAnsi="宋体" w:eastAsia="宋体" w:cs="宋体"/>
          <w:bCs/>
          <w:color w:val="auto"/>
          <w:sz w:val="28"/>
          <w:szCs w:val="28"/>
          <w:highlight w:val="none"/>
        </w:rPr>
      </w:pPr>
      <w:bookmarkStart w:id="544" w:name="_Toc16594"/>
      <w:bookmarkStart w:id="545" w:name="_Toc18506"/>
      <w:r>
        <w:rPr>
          <w:rFonts w:hint="eastAsia" w:ascii="宋体" w:hAnsi="宋体" w:eastAsia="宋体" w:cs="宋体"/>
          <w:bCs/>
          <w:color w:val="auto"/>
          <w:sz w:val="28"/>
          <w:szCs w:val="28"/>
          <w:highlight w:val="none"/>
        </w:rPr>
        <w:t>2.1报价一览表</w:t>
      </w:r>
      <w:bookmarkEnd w:id="544"/>
      <w:bookmarkEnd w:id="545"/>
    </w:p>
    <w:p w14:paraId="7552C70D">
      <w:pP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项目编号：</w:t>
      </w:r>
    </w:p>
    <w:p w14:paraId="291A6D79">
      <w:pPr>
        <w:pStyle w:val="8"/>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项目名称：</w:t>
      </w:r>
    </w:p>
    <w:tbl>
      <w:tblPr>
        <w:tblStyle w:val="24"/>
        <w:tblW w:w="10179" w:type="dxa"/>
        <w:tblInd w:w="0" w:type="dxa"/>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225"/>
        <w:gridCol w:w="7954"/>
      </w:tblGrid>
      <w:tr w14:paraId="3E7DAD9F">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1143" w:hRule="atLeast"/>
        </w:trPr>
        <w:tc>
          <w:tcPr>
            <w:tcW w:w="2225" w:type="dxa"/>
            <w:tcBorders>
              <w:bottom w:val="single" w:color="auto" w:sz="4" w:space="0"/>
            </w:tcBorders>
            <w:noWrap w:val="0"/>
            <w:vAlign w:val="center"/>
          </w:tcPr>
          <w:p w14:paraId="53AB5906">
            <w:pPr>
              <w:spacing w:line="360" w:lineRule="auto"/>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标题</w:t>
            </w:r>
          </w:p>
        </w:tc>
        <w:tc>
          <w:tcPr>
            <w:tcW w:w="7954" w:type="dxa"/>
            <w:noWrap w:val="0"/>
            <w:vAlign w:val="center"/>
          </w:tcPr>
          <w:p w14:paraId="4AA81819">
            <w:pPr>
              <w:pStyle w:val="2"/>
              <w:spacing w:line="360" w:lineRule="auto"/>
              <w:jc w:val="center"/>
              <w:rPr>
                <w:rFonts w:hint="eastAsia" w:ascii="宋体" w:hAnsi="宋体" w:eastAsia="宋体" w:cs="宋体"/>
                <w:b w:val="0"/>
                <w:bCs/>
                <w:color w:val="auto"/>
                <w:kern w:val="2"/>
                <w:sz w:val="24"/>
                <w:highlight w:val="none"/>
                <w:lang w:val="en-US" w:eastAsia="zh-CN"/>
              </w:rPr>
            </w:pPr>
            <w:bookmarkStart w:id="546" w:name="_Toc20415"/>
            <w:bookmarkStart w:id="547" w:name="_Toc16912"/>
            <w:r>
              <w:rPr>
                <w:rFonts w:hint="eastAsia" w:ascii="宋体" w:hAnsi="宋体" w:eastAsia="宋体" w:cs="宋体"/>
                <w:b w:val="0"/>
                <w:bCs/>
                <w:color w:val="auto"/>
                <w:kern w:val="2"/>
                <w:sz w:val="24"/>
                <w:highlight w:val="none"/>
                <w:lang w:val="en-US" w:eastAsia="zh-CN"/>
              </w:rPr>
              <w:t>内容</w:t>
            </w:r>
            <w:bookmarkEnd w:id="546"/>
            <w:bookmarkEnd w:id="547"/>
          </w:p>
        </w:tc>
      </w:tr>
      <w:tr w14:paraId="602BE733">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1053" w:hRule="atLeast"/>
        </w:trPr>
        <w:tc>
          <w:tcPr>
            <w:tcW w:w="2225" w:type="dxa"/>
            <w:tcBorders>
              <w:bottom w:val="single" w:color="auto" w:sz="4" w:space="0"/>
            </w:tcBorders>
            <w:noWrap w:val="0"/>
            <w:vAlign w:val="center"/>
          </w:tcPr>
          <w:p w14:paraId="053A85E8">
            <w:pPr>
              <w:spacing w:line="360" w:lineRule="auto"/>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谈判报价（合计）</w:t>
            </w:r>
          </w:p>
        </w:tc>
        <w:tc>
          <w:tcPr>
            <w:tcW w:w="7954" w:type="dxa"/>
            <w:tcBorders>
              <w:bottom w:val="single" w:color="auto" w:sz="4" w:space="0"/>
            </w:tcBorders>
            <w:noWrap w:val="0"/>
            <w:vAlign w:val="center"/>
          </w:tcPr>
          <w:p w14:paraId="105ECBF8">
            <w:pPr>
              <w:spacing w:line="360" w:lineRule="auto"/>
              <w:jc w:val="center"/>
              <w:rPr>
                <w:rFonts w:hint="eastAsia" w:ascii="宋体" w:hAnsi="宋体" w:eastAsia="宋体" w:cs="宋体"/>
                <w:bCs/>
                <w:color w:val="auto"/>
                <w:sz w:val="24"/>
                <w:highlight w:val="none"/>
              </w:rPr>
            </w:pPr>
          </w:p>
        </w:tc>
      </w:tr>
      <w:tr w14:paraId="77A7CEC6">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1037" w:hRule="atLeast"/>
        </w:trPr>
        <w:tc>
          <w:tcPr>
            <w:tcW w:w="2225" w:type="dxa"/>
            <w:noWrap w:val="0"/>
            <w:vAlign w:val="center"/>
          </w:tcPr>
          <w:p w14:paraId="33E7314E">
            <w:pPr>
              <w:spacing w:line="360" w:lineRule="auto"/>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供应商</w:t>
            </w:r>
          </w:p>
          <w:p w14:paraId="22028756">
            <w:pPr>
              <w:spacing w:line="360" w:lineRule="auto"/>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（公司名称）</w:t>
            </w:r>
          </w:p>
        </w:tc>
        <w:tc>
          <w:tcPr>
            <w:tcW w:w="7954" w:type="dxa"/>
            <w:noWrap w:val="0"/>
            <w:vAlign w:val="top"/>
          </w:tcPr>
          <w:p w14:paraId="7540F510">
            <w:pPr>
              <w:spacing w:line="360" w:lineRule="auto"/>
              <w:rPr>
                <w:rFonts w:hint="eastAsia" w:ascii="宋体" w:hAnsi="宋体" w:eastAsia="宋体" w:cs="宋体"/>
                <w:bCs/>
                <w:color w:val="auto"/>
                <w:sz w:val="24"/>
                <w:highlight w:val="none"/>
              </w:rPr>
            </w:pPr>
          </w:p>
        </w:tc>
      </w:tr>
      <w:tr w14:paraId="2850AC87">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1270" w:hRule="atLeast"/>
        </w:trPr>
        <w:tc>
          <w:tcPr>
            <w:tcW w:w="2225" w:type="dxa"/>
            <w:noWrap w:val="0"/>
            <w:vAlign w:val="center"/>
          </w:tcPr>
          <w:p w14:paraId="613BC6F7">
            <w:pPr>
              <w:spacing w:line="360" w:lineRule="auto"/>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服务期</w:t>
            </w:r>
          </w:p>
        </w:tc>
        <w:tc>
          <w:tcPr>
            <w:tcW w:w="7954" w:type="dxa"/>
            <w:noWrap w:val="0"/>
            <w:vAlign w:val="top"/>
          </w:tcPr>
          <w:p w14:paraId="708AAAD9">
            <w:pPr>
              <w:spacing w:line="360" w:lineRule="auto"/>
              <w:rPr>
                <w:rFonts w:hint="eastAsia" w:ascii="宋体" w:hAnsi="宋体" w:eastAsia="宋体" w:cs="宋体"/>
                <w:bCs/>
                <w:color w:val="auto"/>
                <w:sz w:val="24"/>
                <w:highlight w:val="none"/>
              </w:rPr>
            </w:pPr>
          </w:p>
        </w:tc>
      </w:tr>
      <w:tr w14:paraId="43D2E92C">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1220" w:hRule="atLeast"/>
        </w:trPr>
        <w:tc>
          <w:tcPr>
            <w:tcW w:w="2225" w:type="dxa"/>
            <w:noWrap w:val="0"/>
            <w:vAlign w:val="center"/>
          </w:tcPr>
          <w:p w14:paraId="414A387D">
            <w:pPr>
              <w:spacing w:line="360" w:lineRule="auto"/>
              <w:jc w:val="center"/>
              <w:rPr>
                <w:rFonts w:hint="default"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服务质量</w:t>
            </w:r>
          </w:p>
        </w:tc>
        <w:tc>
          <w:tcPr>
            <w:tcW w:w="7954" w:type="dxa"/>
            <w:noWrap w:val="0"/>
            <w:vAlign w:val="top"/>
          </w:tcPr>
          <w:p w14:paraId="79C2F04F">
            <w:pPr>
              <w:spacing w:line="360" w:lineRule="auto"/>
              <w:rPr>
                <w:rFonts w:hint="eastAsia" w:ascii="宋体" w:hAnsi="宋体" w:eastAsia="宋体" w:cs="宋体"/>
                <w:bCs/>
                <w:color w:val="auto"/>
                <w:sz w:val="24"/>
                <w:highlight w:val="none"/>
              </w:rPr>
            </w:pPr>
          </w:p>
        </w:tc>
      </w:tr>
      <w:tr w14:paraId="6B0FD9DF">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2318" w:hRule="atLeast"/>
        </w:trPr>
        <w:tc>
          <w:tcPr>
            <w:tcW w:w="10179" w:type="dxa"/>
            <w:gridSpan w:val="2"/>
            <w:noWrap w:val="0"/>
            <w:vAlign w:val="center"/>
          </w:tcPr>
          <w:p w14:paraId="33F6E609">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备注：</w:t>
            </w:r>
            <w:r>
              <w:rPr>
                <w:rFonts w:hint="eastAsia" w:asciiTheme="minorEastAsia" w:hAnsiTheme="minorEastAsia" w:eastAsiaTheme="minorEastAsia" w:cstheme="minorEastAsia"/>
                <w:color w:val="auto"/>
                <w:highlight w:val="none"/>
                <w:lang w:val="en-US" w:eastAsia="zh-CN"/>
              </w:rPr>
              <w:t>1、谈判报价是供应商响应本项目要求的全部工作内容的价格体现，包括完成采购内容所需的直接费、间接费、利润、税金及其它相关的一切费用。供应商在报价时应充分考虑所有可能发生的费用，竞争性谈判文件未列明，而供应商认为应当计取的费用均应列入报价中。报价时不论是否计取，采购人均按已计取对待。</w:t>
            </w:r>
          </w:p>
          <w:p w14:paraId="7AF1EE4F">
            <w:pPr>
              <w:spacing w:line="360" w:lineRule="auto"/>
              <w:rPr>
                <w:rFonts w:hint="eastAsia" w:ascii="宋体" w:hAnsi="宋体" w:eastAsia="宋体" w:cs="宋体"/>
                <w:bCs/>
                <w:color w:val="auto"/>
                <w:sz w:val="24"/>
                <w:highlight w:val="none"/>
              </w:rPr>
            </w:pPr>
            <w:r>
              <w:rPr>
                <w:rFonts w:hint="eastAsia" w:asciiTheme="minorEastAsia" w:hAnsiTheme="minorEastAsia" w:eastAsiaTheme="minorEastAsia" w:cstheme="minorEastAsia"/>
                <w:color w:val="auto"/>
                <w:highlight w:val="none"/>
              </w:rPr>
              <w:t>2、 以上费用均为含税价格。</w:t>
            </w:r>
          </w:p>
        </w:tc>
      </w:tr>
    </w:tbl>
    <w:p w14:paraId="2EF5119F">
      <w:pPr>
        <w:spacing w:line="360" w:lineRule="auto"/>
        <w:rPr>
          <w:rFonts w:hint="eastAsia" w:ascii="宋体" w:hAnsi="宋体" w:eastAsia="宋体" w:cs="宋体"/>
          <w:bCs/>
          <w:color w:val="auto"/>
          <w:sz w:val="24"/>
          <w:szCs w:val="24"/>
          <w:highlight w:val="none"/>
        </w:rPr>
      </w:pPr>
    </w:p>
    <w:p w14:paraId="409906EE">
      <w:pPr>
        <w:spacing w:line="360" w:lineRule="auto"/>
        <w:ind w:right="-161"/>
        <w:rPr>
          <w:rFonts w:hint="eastAsia" w:ascii="宋体" w:hAnsi="宋体" w:eastAsia="宋体" w:cs="宋体"/>
          <w:bCs/>
          <w:color w:val="auto"/>
          <w:sz w:val="24"/>
          <w:szCs w:val="24"/>
          <w:highlight w:val="none"/>
        </w:rPr>
      </w:pPr>
    </w:p>
    <w:p w14:paraId="6DAD49DC">
      <w:pPr>
        <w:ind w:right="-161" w:firstLine="2640" w:firstLineChars="1100"/>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法定代表人或被授权代表（签字或盖章）：</w:t>
      </w:r>
      <w:r>
        <w:rPr>
          <w:rFonts w:hint="eastAsia" w:ascii="宋体" w:hAnsi="宋体" w:eastAsia="宋体" w:cs="宋体"/>
          <w:bCs/>
          <w:color w:val="auto"/>
          <w:sz w:val="24"/>
          <w:szCs w:val="24"/>
          <w:highlight w:val="none"/>
          <w:u w:val="single"/>
        </w:rPr>
        <w:t xml:space="preserve">                           </w:t>
      </w:r>
    </w:p>
    <w:p w14:paraId="40F1F6A7">
      <w:pPr>
        <w:ind w:right="-161" w:firstLine="2640" w:firstLineChars="1100"/>
        <w:rPr>
          <w:rFonts w:hint="eastAsia" w:ascii="宋体" w:hAnsi="宋体" w:eastAsia="宋体" w:cs="宋体"/>
          <w:bCs/>
          <w:color w:val="auto"/>
          <w:sz w:val="24"/>
          <w:szCs w:val="24"/>
          <w:highlight w:val="none"/>
          <w:u w:val="single"/>
        </w:rPr>
      </w:pPr>
    </w:p>
    <w:p w14:paraId="2C0830F6">
      <w:pPr>
        <w:ind w:right="-161" w:firstLine="2640" w:firstLineChars="1100"/>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供    应    商  （公  章）：</w:t>
      </w:r>
      <w:r>
        <w:rPr>
          <w:rFonts w:hint="eastAsia" w:ascii="宋体" w:hAnsi="宋体" w:eastAsia="宋体" w:cs="宋体"/>
          <w:bCs/>
          <w:color w:val="auto"/>
          <w:sz w:val="24"/>
          <w:szCs w:val="24"/>
          <w:highlight w:val="none"/>
          <w:u w:val="single"/>
        </w:rPr>
        <w:t xml:space="preserve">                           </w:t>
      </w:r>
    </w:p>
    <w:p w14:paraId="57B7C8CB">
      <w:pPr>
        <w:ind w:right="-161" w:firstLine="2640" w:firstLineChars="1100"/>
        <w:rPr>
          <w:rFonts w:hint="eastAsia" w:ascii="宋体" w:hAnsi="宋体" w:eastAsia="宋体" w:cs="宋体"/>
          <w:bCs/>
          <w:color w:val="auto"/>
          <w:sz w:val="24"/>
          <w:szCs w:val="24"/>
          <w:highlight w:val="none"/>
          <w:u w:val="single"/>
        </w:rPr>
      </w:pPr>
    </w:p>
    <w:p w14:paraId="602EEE0B">
      <w:pPr>
        <w:ind w:right="-161" w:firstLine="2640" w:firstLineChars="11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日                     期 ：</w:t>
      </w:r>
      <w:r>
        <w:rPr>
          <w:rFonts w:hint="eastAsia" w:ascii="宋体" w:hAnsi="宋体" w:eastAsia="宋体" w:cs="宋体"/>
          <w:bCs/>
          <w:color w:val="auto"/>
          <w:sz w:val="24"/>
          <w:szCs w:val="24"/>
          <w:highlight w:val="none"/>
          <w:u w:val="single"/>
        </w:rPr>
        <w:t xml:space="preserve">                           </w:t>
      </w:r>
    </w:p>
    <w:p w14:paraId="2F73FA2D">
      <w:pPr>
        <w:spacing w:line="480" w:lineRule="auto"/>
        <w:ind w:right="-161"/>
        <w:jc w:val="center"/>
        <w:rPr>
          <w:rFonts w:hint="eastAsia" w:ascii="宋体" w:hAnsi="宋体" w:eastAsia="宋体" w:cs="宋体"/>
          <w:bCs/>
          <w:color w:val="auto"/>
          <w:sz w:val="36"/>
          <w:szCs w:val="16"/>
          <w:highlight w:val="none"/>
        </w:rPr>
        <w:sectPr>
          <w:pgSz w:w="11906" w:h="16838"/>
          <w:pgMar w:top="1440" w:right="1080" w:bottom="1440" w:left="1080" w:header="720" w:footer="720" w:gutter="0"/>
          <w:pgNumType w:fmt="decimal"/>
          <w:cols w:space="720" w:num="1"/>
          <w:docGrid w:type="lines" w:linePitch="312" w:charSpace="0"/>
        </w:sectPr>
      </w:pPr>
    </w:p>
    <w:p w14:paraId="781E0A0E">
      <w:pPr>
        <w:jc w:val="center"/>
        <w:outlineLvl w:val="1"/>
        <w:rPr>
          <w:rFonts w:hint="eastAsia" w:ascii="宋体" w:hAnsi="宋体" w:eastAsia="宋体" w:cs="宋体"/>
          <w:bCs/>
          <w:color w:val="auto"/>
          <w:sz w:val="28"/>
          <w:szCs w:val="28"/>
          <w:highlight w:val="none"/>
        </w:rPr>
      </w:pPr>
      <w:bookmarkStart w:id="548" w:name="_Toc30169"/>
      <w:bookmarkStart w:id="549" w:name="_Toc4303"/>
      <w:r>
        <w:rPr>
          <w:rFonts w:hint="eastAsia" w:ascii="宋体" w:hAnsi="宋体" w:eastAsia="宋体" w:cs="宋体"/>
          <w:bCs/>
          <w:color w:val="auto"/>
          <w:sz w:val="28"/>
          <w:szCs w:val="28"/>
          <w:highlight w:val="none"/>
        </w:rPr>
        <w:t>2.2分项报价表</w:t>
      </w:r>
      <w:bookmarkEnd w:id="548"/>
      <w:bookmarkEnd w:id="549"/>
    </w:p>
    <w:p w14:paraId="3DB00E8C">
      <w:pPr>
        <w:spacing w:line="480" w:lineRule="auto"/>
        <w:ind w:right="-161"/>
        <w:jc w:val="center"/>
        <w:rPr>
          <w:rFonts w:hint="eastAsia" w:ascii="宋体" w:hAnsi="宋体" w:eastAsia="宋体" w:cs="宋体"/>
          <w:bCs/>
          <w:color w:val="auto"/>
          <w:sz w:val="36"/>
          <w:szCs w:val="16"/>
          <w:highlight w:val="none"/>
        </w:rPr>
        <w:sectPr>
          <w:pgSz w:w="11906" w:h="16838"/>
          <w:pgMar w:top="1440" w:right="1080" w:bottom="1440" w:left="1080" w:header="720" w:footer="1134" w:gutter="0"/>
          <w:pgNumType w:fmt="decimal"/>
          <w:cols w:space="720" w:num="1"/>
          <w:docGrid w:type="lines" w:linePitch="312" w:charSpace="0"/>
        </w:sectPr>
      </w:pPr>
      <w:bookmarkStart w:id="550" w:name="_Toc7664"/>
      <w:r>
        <w:rPr>
          <w:rFonts w:hint="eastAsia" w:ascii="宋体" w:hAnsi="宋体" w:eastAsia="宋体" w:cs="宋体"/>
          <w:bCs/>
          <w:color w:val="auto"/>
          <w:sz w:val="36"/>
          <w:szCs w:val="16"/>
          <w:highlight w:val="none"/>
        </w:rPr>
        <w:t>自拟</w:t>
      </w:r>
      <w:bookmarkEnd w:id="550"/>
    </w:p>
    <w:p w14:paraId="65181F04">
      <w:pPr>
        <w:spacing w:line="480" w:lineRule="auto"/>
        <w:ind w:right="-161"/>
        <w:jc w:val="center"/>
        <w:outlineLvl w:val="0"/>
        <w:rPr>
          <w:rFonts w:hint="eastAsia" w:ascii="宋体" w:hAnsi="宋体" w:eastAsia="宋体" w:cs="宋体"/>
          <w:bCs/>
          <w:color w:val="auto"/>
          <w:sz w:val="24"/>
          <w:szCs w:val="24"/>
          <w:highlight w:val="none"/>
          <w:u w:val="single"/>
        </w:rPr>
      </w:pPr>
      <w:bookmarkStart w:id="551" w:name="_Toc26985"/>
      <w:bookmarkStart w:id="552" w:name="_Toc17920"/>
      <w:bookmarkStart w:id="553" w:name="_Toc31552"/>
      <w:r>
        <w:rPr>
          <w:rFonts w:hint="eastAsia" w:ascii="宋体" w:hAnsi="宋体" w:eastAsia="宋体" w:cs="宋体"/>
          <w:bCs/>
          <w:color w:val="auto"/>
          <w:sz w:val="36"/>
          <w:szCs w:val="16"/>
          <w:highlight w:val="none"/>
        </w:rPr>
        <w:t>三、资格证明文件</w:t>
      </w:r>
      <w:bookmarkEnd w:id="551"/>
      <w:bookmarkEnd w:id="552"/>
      <w:bookmarkEnd w:id="553"/>
    </w:p>
    <w:p w14:paraId="6A8BD194">
      <w:pPr>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竞争性谈判响应文件中附以下资质证明文件加盖公章。</w:t>
      </w:r>
    </w:p>
    <w:p w14:paraId="01EF61B3">
      <w:pPr>
        <w:rPr>
          <w:rFonts w:hint="eastAsia" w:ascii="宋体" w:hAnsi="宋体" w:eastAsia="宋体" w:cs="宋体"/>
          <w:bCs/>
          <w:color w:val="auto"/>
          <w:highlight w:val="none"/>
        </w:rPr>
      </w:pPr>
    </w:p>
    <w:p w14:paraId="1D65467E">
      <w:pPr>
        <w:spacing w:line="360" w:lineRule="auto"/>
        <w:ind w:firstLine="720" w:firstLineChars="300"/>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1、供应商为本项目提供的资格证明要求见供应商须知前附表；</w:t>
      </w:r>
    </w:p>
    <w:p w14:paraId="7373474E">
      <w:pPr>
        <w:spacing w:line="360" w:lineRule="auto"/>
        <w:ind w:firstLine="720" w:firstLineChars="300"/>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2、供应商按照竞争性谈判文件要求提供本项目所需要的其他资质证明材料。</w:t>
      </w:r>
    </w:p>
    <w:p w14:paraId="11E9029C">
      <w:pPr>
        <w:spacing w:line="360" w:lineRule="auto"/>
        <w:ind w:firstLine="720" w:firstLineChars="300"/>
        <w:rPr>
          <w:rFonts w:hint="eastAsia" w:ascii="宋体" w:hAnsi="宋体" w:eastAsia="宋体" w:cs="宋体"/>
          <w:bCs/>
          <w:color w:val="auto"/>
          <w:highlight w:val="none"/>
        </w:rPr>
      </w:pPr>
      <w:r>
        <w:rPr>
          <w:rFonts w:hint="eastAsia" w:ascii="宋体" w:hAnsi="宋体" w:eastAsia="宋体" w:cs="宋体"/>
          <w:bCs/>
          <w:color w:val="auto"/>
          <w:kern w:val="0"/>
          <w:sz w:val="24"/>
          <w:szCs w:val="24"/>
          <w:highlight w:val="none"/>
        </w:rPr>
        <w:t>3、其他可以证明供应商实力的文件。</w:t>
      </w:r>
    </w:p>
    <w:p w14:paraId="20B7CA41">
      <w:pPr>
        <w:pStyle w:val="2"/>
        <w:spacing w:line="360" w:lineRule="exact"/>
        <w:jc w:val="center"/>
        <w:rPr>
          <w:rFonts w:hint="eastAsia" w:ascii="宋体" w:hAnsi="宋体" w:eastAsia="宋体" w:cs="宋体"/>
          <w:b w:val="0"/>
          <w:bCs/>
          <w:color w:val="auto"/>
          <w:sz w:val="32"/>
          <w:szCs w:val="15"/>
          <w:highlight w:val="none"/>
        </w:rPr>
        <w:sectPr>
          <w:pgSz w:w="11906" w:h="16838"/>
          <w:pgMar w:top="1440" w:right="1080" w:bottom="1440" w:left="1080" w:header="1134" w:footer="1191" w:gutter="0"/>
          <w:pgNumType w:fmt="decimal"/>
          <w:cols w:space="720" w:num="1"/>
          <w:docGrid w:type="lines" w:linePitch="312" w:charSpace="0"/>
        </w:sectPr>
      </w:pPr>
    </w:p>
    <w:p w14:paraId="0B0A0382">
      <w:pPr>
        <w:pStyle w:val="2"/>
        <w:spacing w:line="360" w:lineRule="exact"/>
        <w:jc w:val="left"/>
        <w:rPr>
          <w:rFonts w:hint="eastAsia" w:ascii="宋体" w:hAnsi="宋体" w:eastAsia="宋体" w:cs="宋体"/>
          <w:b w:val="0"/>
          <w:bCs/>
          <w:color w:val="auto"/>
          <w:sz w:val="32"/>
          <w:szCs w:val="32"/>
          <w:highlight w:val="none"/>
          <w:shd w:val="clear" w:color="auto" w:fill="FFFFFF"/>
          <w:lang w:val="en-US" w:eastAsia="zh-CN"/>
        </w:rPr>
      </w:pPr>
      <w:bookmarkStart w:id="554" w:name="_Toc20898"/>
      <w:bookmarkStart w:id="555" w:name="_Toc3332"/>
      <w:bookmarkStart w:id="556" w:name="_Toc317"/>
      <w:r>
        <w:rPr>
          <w:rFonts w:hint="eastAsia" w:ascii="宋体" w:hAnsi="宋体" w:eastAsia="宋体" w:cs="宋体"/>
          <w:b w:val="0"/>
          <w:bCs/>
          <w:color w:val="auto"/>
          <w:sz w:val="32"/>
          <w:szCs w:val="32"/>
          <w:highlight w:val="none"/>
          <w:shd w:val="clear" w:color="auto" w:fill="FFFFFF"/>
          <w:lang w:eastAsia="zh-CN"/>
        </w:rPr>
        <w:t>附件：</w:t>
      </w:r>
      <w:r>
        <w:rPr>
          <w:rFonts w:hint="eastAsia" w:ascii="宋体" w:hAnsi="宋体" w:eastAsia="宋体" w:cs="宋体"/>
          <w:b w:val="0"/>
          <w:bCs/>
          <w:color w:val="auto"/>
          <w:sz w:val="32"/>
          <w:szCs w:val="32"/>
          <w:highlight w:val="none"/>
          <w:shd w:val="clear" w:color="auto" w:fill="FFFFFF"/>
          <w:lang w:val="en-US" w:eastAsia="zh-CN"/>
        </w:rPr>
        <w:t>1</w:t>
      </w:r>
      <w:bookmarkEnd w:id="554"/>
      <w:bookmarkEnd w:id="555"/>
      <w:bookmarkEnd w:id="556"/>
    </w:p>
    <w:p w14:paraId="3F5029F8">
      <w:pPr>
        <w:pStyle w:val="2"/>
        <w:spacing w:line="360" w:lineRule="auto"/>
        <w:jc w:val="center"/>
        <w:rPr>
          <w:rFonts w:hint="eastAsia" w:ascii="宋体" w:hAnsi="宋体" w:eastAsia="宋体" w:cs="宋体"/>
          <w:b w:val="0"/>
          <w:bCs/>
          <w:color w:val="auto"/>
          <w:sz w:val="28"/>
          <w:szCs w:val="28"/>
          <w:highlight w:val="none"/>
        </w:rPr>
      </w:pPr>
      <w:bookmarkStart w:id="557" w:name="_Toc16697"/>
      <w:bookmarkStart w:id="558" w:name="_Toc13129"/>
      <w:r>
        <w:rPr>
          <w:rFonts w:hint="eastAsia" w:ascii="宋体" w:hAnsi="宋体" w:eastAsia="宋体" w:cs="宋体"/>
          <w:b w:val="0"/>
          <w:bCs/>
          <w:color w:val="auto"/>
          <w:sz w:val="40"/>
          <w:szCs w:val="40"/>
          <w:highlight w:val="none"/>
          <w:shd w:val="clear" w:color="auto" w:fill="FFFFFF"/>
        </w:rPr>
        <w:t>榆林市政府采购</w:t>
      </w:r>
      <w:r>
        <w:rPr>
          <w:rFonts w:hint="eastAsia" w:ascii="宋体" w:hAnsi="宋体" w:eastAsia="宋体" w:cs="宋体"/>
          <w:b w:val="0"/>
          <w:bCs/>
          <w:color w:val="auto"/>
          <w:sz w:val="40"/>
          <w:szCs w:val="40"/>
          <w:highlight w:val="none"/>
          <w:shd w:val="clear" w:color="auto" w:fill="FFFFFF"/>
          <w:lang w:val="en-US" w:eastAsia="zh-CN"/>
        </w:rPr>
        <w:t>服务</w:t>
      </w:r>
      <w:r>
        <w:rPr>
          <w:rFonts w:hint="eastAsia" w:ascii="宋体" w:hAnsi="宋体" w:eastAsia="宋体" w:cs="宋体"/>
          <w:b w:val="0"/>
          <w:bCs/>
          <w:color w:val="auto"/>
          <w:sz w:val="40"/>
          <w:szCs w:val="40"/>
          <w:highlight w:val="none"/>
          <w:shd w:val="clear" w:color="auto" w:fill="FFFFFF"/>
        </w:rPr>
        <w:t>类项目供应商信用承诺书</w:t>
      </w:r>
      <w:bookmarkEnd w:id="557"/>
      <w:bookmarkEnd w:id="558"/>
    </w:p>
    <w:p w14:paraId="73408B5A">
      <w:pPr>
        <w:pStyle w:val="21"/>
        <w:shd w:val="clear" w:color="auto" w:fill="FFFFFF"/>
        <w:adjustRightInd w:val="0"/>
        <w:snapToGrid w:val="0"/>
        <w:spacing w:before="0" w:beforeAutospacing="0" w:after="150" w:afterAutospacing="0" w:line="560" w:lineRule="exact"/>
        <w:ind w:firstLine="480"/>
        <w:jc w:val="both"/>
        <w:rPr>
          <w:rFonts w:hint="eastAsia" w:ascii="宋体" w:hAnsi="宋体" w:eastAsia="宋体" w:cs="宋体"/>
          <w:bCs/>
          <w:color w:val="auto"/>
          <w:szCs w:val="24"/>
          <w:highlight w:val="none"/>
        </w:rPr>
      </w:pPr>
      <w:bookmarkStart w:id="559" w:name="_Toc8477"/>
      <w:r>
        <w:rPr>
          <w:rFonts w:hint="eastAsia" w:ascii="宋体" w:hAnsi="宋体" w:eastAsia="宋体" w:cs="宋体"/>
          <w:bCs/>
          <w:color w:val="auto"/>
          <w:szCs w:val="24"/>
          <w:highlight w:val="none"/>
          <w:shd w:val="clear" w:color="auto" w:fill="FFFFFF"/>
        </w:rPr>
        <w:t>市场主体名称：</w:t>
      </w:r>
    </w:p>
    <w:p w14:paraId="5F8DF1D2">
      <w:pPr>
        <w:pStyle w:val="21"/>
        <w:shd w:val="clear" w:color="auto" w:fill="FFFFFF"/>
        <w:adjustRightInd w:val="0"/>
        <w:snapToGrid w:val="0"/>
        <w:spacing w:before="0" w:beforeAutospacing="0" w:after="150" w:afterAutospacing="0" w:line="560" w:lineRule="exact"/>
        <w:ind w:firstLine="480"/>
        <w:jc w:val="both"/>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shd w:val="clear" w:color="auto" w:fill="FFFFFF"/>
        </w:rPr>
        <w:t>证件类型：统一社会信用代码</w:t>
      </w:r>
    </w:p>
    <w:p w14:paraId="49D009AB">
      <w:pPr>
        <w:pStyle w:val="21"/>
        <w:shd w:val="clear" w:color="auto" w:fill="FFFFFF"/>
        <w:adjustRightInd w:val="0"/>
        <w:snapToGrid w:val="0"/>
        <w:spacing w:before="0" w:beforeAutospacing="0" w:after="150" w:afterAutospacing="0" w:line="560" w:lineRule="exact"/>
        <w:ind w:firstLine="480"/>
        <w:jc w:val="both"/>
        <w:rPr>
          <w:rFonts w:hint="eastAsia" w:ascii="宋体" w:hAnsi="宋体" w:eastAsia="宋体" w:cs="宋体"/>
          <w:bCs/>
          <w:color w:val="auto"/>
          <w:szCs w:val="24"/>
          <w:highlight w:val="none"/>
          <w:shd w:val="clear" w:color="auto" w:fill="FFFFFF"/>
        </w:rPr>
      </w:pPr>
      <w:r>
        <w:rPr>
          <w:rFonts w:hint="eastAsia" w:ascii="宋体" w:hAnsi="宋体" w:eastAsia="宋体" w:cs="宋体"/>
          <w:bCs/>
          <w:color w:val="auto"/>
          <w:szCs w:val="24"/>
          <w:highlight w:val="none"/>
          <w:shd w:val="clear" w:color="auto" w:fill="FFFFFF"/>
        </w:rPr>
        <w:t>证件号码：</w:t>
      </w:r>
    </w:p>
    <w:p w14:paraId="1EAD4C8C">
      <w:pPr>
        <w:pStyle w:val="21"/>
        <w:shd w:val="clear" w:color="auto" w:fill="FFFFFF"/>
        <w:adjustRightInd w:val="0"/>
        <w:snapToGrid w:val="0"/>
        <w:spacing w:before="0" w:beforeAutospacing="0" w:after="150" w:afterAutospacing="0" w:line="560" w:lineRule="exact"/>
        <w:ind w:firstLine="480"/>
        <w:jc w:val="both"/>
        <w:rPr>
          <w:rFonts w:hint="eastAsia" w:ascii="宋体" w:hAnsi="宋体" w:eastAsia="宋体" w:cs="宋体"/>
          <w:bCs/>
          <w:color w:val="auto"/>
          <w:szCs w:val="24"/>
          <w:highlight w:val="none"/>
          <w:shd w:val="clear" w:color="auto" w:fill="FFFFFF"/>
        </w:rPr>
      </w:pPr>
      <w:r>
        <w:rPr>
          <w:rFonts w:hint="eastAsia" w:ascii="宋体" w:hAnsi="宋体" w:eastAsia="宋体" w:cs="宋体"/>
          <w:bCs/>
          <w:color w:val="auto"/>
          <w:szCs w:val="24"/>
          <w:highlight w:val="none"/>
          <w:shd w:val="clear" w:color="auto" w:fill="FFFFFF"/>
        </w:rPr>
        <w:t>法人代表：</w:t>
      </w:r>
    </w:p>
    <w:p w14:paraId="723732A3">
      <w:pPr>
        <w:pStyle w:val="21"/>
        <w:shd w:val="clear" w:color="auto" w:fill="FFFFFF"/>
        <w:adjustRightInd w:val="0"/>
        <w:snapToGrid w:val="0"/>
        <w:spacing w:before="0" w:beforeAutospacing="0" w:after="150" w:afterAutospacing="0" w:line="560" w:lineRule="exact"/>
        <w:ind w:firstLine="480"/>
        <w:jc w:val="both"/>
        <w:rPr>
          <w:rFonts w:hint="eastAsia" w:ascii="宋体" w:hAnsi="宋体" w:eastAsia="宋体" w:cs="宋体"/>
          <w:bCs/>
          <w:color w:val="auto"/>
          <w:szCs w:val="24"/>
          <w:highlight w:val="none"/>
          <w:shd w:val="clear" w:color="auto" w:fill="FFFFFF"/>
        </w:rPr>
      </w:pPr>
      <w:r>
        <w:rPr>
          <w:rFonts w:hint="eastAsia" w:ascii="宋体" w:hAnsi="宋体" w:eastAsia="宋体" w:cs="宋体"/>
          <w:bCs/>
          <w:color w:val="auto"/>
          <w:szCs w:val="24"/>
          <w:highlight w:val="none"/>
          <w:shd w:val="clear" w:color="auto" w:fill="FFFFFF"/>
        </w:rPr>
        <w:t>承诺有效期限：   年    月    日—    年    月     日（承诺期限为1年）</w:t>
      </w:r>
    </w:p>
    <w:p w14:paraId="1088DD95">
      <w:pPr>
        <w:pStyle w:val="21"/>
        <w:shd w:val="clear" w:color="auto" w:fill="FFFFFF"/>
        <w:adjustRightInd w:val="0"/>
        <w:snapToGrid w:val="0"/>
        <w:spacing w:before="0" w:beforeAutospacing="0" w:after="150" w:afterAutospacing="0" w:line="560" w:lineRule="exact"/>
        <w:ind w:firstLine="480"/>
        <w:jc w:val="both"/>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shd w:val="clear" w:color="auto" w:fill="FFFFFF"/>
        </w:rPr>
        <w:t>承诺内容：</w:t>
      </w:r>
    </w:p>
    <w:p w14:paraId="0A2E175A">
      <w:pPr>
        <w:pStyle w:val="21"/>
        <w:shd w:val="clear" w:color="auto" w:fill="FFFFFF"/>
        <w:adjustRightInd w:val="0"/>
        <w:snapToGrid w:val="0"/>
        <w:spacing w:before="0" w:beforeAutospacing="0" w:after="150" w:afterAutospacing="0" w:line="560" w:lineRule="exact"/>
        <w:ind w:firstLine="640"/>
        <w:jc w:val="both"/>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shd w:val="clear" w:color="auto" w:fill="FFFFFF"/>
        </w:rPr>
        <w:t>为维护公开、公平、公正的政府采购市场秩序，树立诚实守信的政府采购供应商形象，本单位自愿做出以下承诺：</w:t>
      </w:r>
    </w:p>
    <w:p w14:paraId="5B7FF11B">
      <w:pPr>
        <w:pStyle w:val="21"/>
        <w:shd w:val="clear" w:color="auto" w:fill="FFFFFF"/>
        <w:adjustRightInd w:val="0"/>
        <w:snapToGrid w:val="0"/>
        <w:spacing w:before="0" w:beforeAutospacing="0" w:after="150" w:afterAutospacing="0" w:line="560" w:lineRule="exact"/>
        <w:ind w:firstLine="640"/>
        <w:jc w:val="both"/>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shd w:val="clear" w:color="auto" w:fill="FFFFFF"/>
        </w:rPr>
        <w:t>一、承诺本单位严格遵守国家法律、法规和规章，全面履行应尽的责任和义务，全面做到履约守信，具备《政府采购法》第二十二条第一款规定的条件；</w:t>
      </w:r>
    </w:p>
    <w:p w14:paraId="4AAFF839">
      <w:pPr>
        <w:pStyle w:val="21"/>
        <w:shd w:val="clear" w:color="auto" w:fill="FFFFFF"/>
        <w:adjustRightInd w:val="0"/>
        <w:snapToGrid w:val="0"/>
        <w:spacing w:before="0" w:beforeAutospacing="0" w:after="150" w:afterAutospacing="0" w:line="560" w:lineRule="exact"/>
        <w:ind w:firstLine="640"/>
        <w:jc w:val="both"/>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shd w:val="clear" w:color="auto" w:fill="FFFFFF"/>
        </w:rPr>
        <w:t>二、承诺本单位提供给注册登记部门、行业管理部门、司法部门、行业组织以及在政府采购活动中提交的所有资料均合法、真实、有效，无任何伪造、修改、虚假成份，并对所提供资料的真实性负责；</w:t>
      </w:r>
    </w:p>
    <w:p w14:paraId="007531CB">
      <w:pPr>
        <w:pStyle w:val="21"/>
        <w:shd w:val="clear" w:color="auto" w:fill="FFFFFF"/>
        <w:adjustRightInd w:val="0"/>
        <w:snapToGrid w:val="0"/>
        <w:spacing w:before="0" w:beforeAutospacing="0" w:after="150" w:afterAutospacing="0" w:line="560" w:lineRule="exact"/>
        <w:ind w:firstLine="640"/>
        <w:jc w:val="both"/>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shd w:val="clear" w:color="auto" w:fill="FFFFFF"/>
        </w:rPr>
        <w:t>三、承诺本单位严格依法开展生产经营活动，主动接受行业监管，自愿接受依法开展的日常检查；违法失信经营后将自愿接受约束和惩戒，并依法承担相应责任；</w:t>
      </w:r>
    </w:p>
    <w:p w14:paraId="0DB6448B">
      <w:pPr>
        <w:pStyle w:val="21"/>
        <w:shd w:val="clear" w:color="auto" w:fill="FFFFFF"/>
        <w:adjustRightInd w:val="0"/>
        <w:snapToGrid w:val="0"/>
        <w:spacing w:before="0" w:beforeAutospacing="0" w:after="150" w:afterAutospacing="0" w:line="560" w:lineRule="exact"/>
        <w:ind w:firstLine="640"/>
        <w:jc w:val="both"/>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shd w:val="clear" w:color="auto" w:fill="FFFFFF"/>
        </w:rPr>
        <w:t>四、承诺本单位自觉接受行政管理部门、行业组织、社会公众、新闻舆论的监督；</w:t>
      </w:r>
    </w:p>
    <w:p w14:paraId="63FE51AC">
      <w:pPr>
        <w:pStyle w:val="21"/>
        <w:shd w:val="clear" w:color="auto" w:fill="FFFFFF"/>
        <w:adjustRightInd w:val="0"/>
        <w:snapToGrid w:val="0"/>
        <w:spacing w:before="0" w:beforeAutospacing="0" w:after="150" w:afterAutospacing="0" w:line="560" w:lineRule="exact"/>
        <w:ind w:firstLine="640"/>
        <w:jc w:val="both"/>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shd w:val="clear" w:color="auto" w:fill="FFFFFF"/>
        </w:rPr>
        <w:t>五、承诺本单位自我约束、自我管理，重合同、守信用，不制假售假、商标侵权、虚假宣传、违约毁约、恶意逃债、偷税漏税、价格欺诈、垄断和不正当竞争，维护经营者、消费者的合法权益；</w:t>
      </w:r>
    </w:p>
    <w:p w14:paraId="508FF637">
      <w:pPr>
        <w:pStyle w:val="21"/>
        <w:shd w:val="clear" w:color="auto" w:fill="FFFFFF"/>
        <w:adjustRightInd w:val="0"/>
        <w:snapToGrid w:val="0"/>
        <w:spacing w:before="0" w:beforeAutospacing="0" w:after="150" w:afterAutospacing="0" w:line="560" w:lineRule="exact"/>
        <w:ind w:firstLine="640"/>
        <w:jc w:val="both"/>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shd w:val="clear" w:color="auto" w:fill="FFFFFF"/>
        </w:rPr>
        <w:t>六、承诺本单位提出政府采购质疑和投诉坚持依法依规、诚实信用原则，在全国范围12个月内没有三次以上查无实据的政府采购投诉；</w:t>
      </w:r>
    </w:p>
    <w:p w14:paraId="5D44EDA6">
      <w:pPr>
        <w:pStyle w:val="21"/>
        <w:shd w:val="clear" w:color="auto" w:fill="FFFFFF"/>
        <w:adjustRightInd w:val="0"/>
        <w:snapToGrid w:val="0"/>
        <w:spacing w:before="0" w:beforeAutospacing="0" w:after="150" w:afterAutospacing="0" w:line="560" w:lineRule="exact"/>
        <w:ind w:firstLine="640"/>
        <w:jc w:val="both"/>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shd w:val="clear" w:color="auto" w:fill="FFFFFF"/>
        </w:rPr>
        <w:t>七、根据政府采购相关法律法规的规定需要作出的其他承诺：</w:t>
      </w:r>
      <w:r>
        <w:rPr>
          <w:rFonts w:hint="eastAsia" w:ascii="宋体" w:hAnsi="宋体" w:eastAsia="宋体" w:cs="宋体"/>
          <w:bCs/>
          <w:color w:val="auto"/>
          <w:szCs w:val="24"/>
          <w:highlight w:val="none"/>
          <w:u w:val="single"/>
          <w:shd w:val="clear" w:color="auto" w:fill="FFFFFF"/>
        </w:rPr>
        <w:t>                                                              </w:t>
      </w:r>
    </w:p>
    <w:p w14:paraId="0C244B23">
      <w:pPr>
        <w:pStyle w:val="21"/>
        <w:shd w:val="clear" w:color="auto" w:fill="FFFFFF"/>
        <w:adjustRightInd w:val="0"/>
        <w:snapToGrid w:val="0"/>
        <w:spacing w:before="0" w:beforeAutospacing="0" w:after="150" w:afterAutospacing="0" w:line="560" w:lineRule="exact"/>
        <w:ind w:firstLine="640"/>
        <w:jc w:val="both"/>
        <w:rPr>
          <w:rFonts w:hint="eastAsia" w:ascii="宋体" w:hAnsi="宋体" w:eastAsia="宋体" w:cs="宋体"/>
          <w:bCs/>
          <w:color w:val="auto"/>
          <w:szCs w:val="24"/>
          <w:highlight w:val="none"/>
          <w:shd w:val="clear" w:color="auto" w:fill="FFFFFF"/>
        </w:rPr>
      </w:pPr>
      <w:r>
        <w:rPr>
          <w:rFonts w:hint="eastAsia" w:ascii="宋体" w:hAnsi="宋体" w:eastAsia="宋体" w:cs="宋体"/>
          <w:bCs/>
          <w:color w:val="auto"/>
          <w:szCs w:val="24"/>
          <w:highlight w:val="none"/>
          <w:shd w:val="clear" w:color="auto" w:fill="FFFFFF"/>
        </w:rPr>
        <w:t>八、按照信用信息管理有关要求，本单位同意将以上承诺在各级信用信息共享平台公示，接受社会监督。若违背以上承诺，同意依据相关规定记入企业信用档案和在各级信用信息共享平台公示；性质严重的，同意承担相应法律后果和责任，并依法依规列入严重失信名单。</w:t>
      </w:r>
    </w:p>
    <w:p w14:paraId="3205D26D">
      <w:pPr>
        <w:pStyle w:val="21"/>
        <w:shd w:val="clear" w:color="auto" w:fill="FFFFFF"/>
        <w:adjustRightInd w:val="0"/>
        <w:snapToGrid w:val="0"/>
        <w:spacing w:before="0" w:beforeAutospacing="0" w:after="150" w:afterAutospacing="0" w:line="560" w:lineRule="exact"/>
        <w:ind w:firstLine="640"/>
        <w:jc w:val="both"/>
        <w:rPr>
          <w:rFonts w:hint="eastAsia" w:ascii="宋体" w:hAnsi="宋体" w:eastAsia="宋体" w:cs="宋体"/>
          <w:bCs/>
          <w:color w:val="auto"/>
          <w:szCs w:val="24"/>
          <w:highlight w:val="none"/>
          <w:shd w:val="clear" w:color="auto" w:fill="FFFFFF"/>
        </w:rPr>
      </w:pPr>
      <w:r>
        <w:rPr>
          <w:rFonts w:hint="eastAsia" w:ascii="宋体" w:hAnsi="宋体" w:eastAsia="宋体" w:cs="宋体"/>
          <w:bCs/>
          <w:color w:val="auto"/>
          <w:szCs w:val="24"/>
          <w:highlight w:val="none"/>
          <w:shd w:val="clear" w:color="auto" w:fill="FFFFFF"/>
        </w:rPr>
        <w:t>         </w:t>
      </w:r>
    </w:p>
    <w:p w14:paraId="4A5B2F95">
      <w:pPr>
        <w:pStyle w:val="21"/>
        <w:shd w:val="clear" w:color="auto" w:fill="FFFFFF"/>
        <w:adjustRightInd w:val="0"/>
        <w:snapToGrid w:val="0"/>
        <w:spacing w:before="0" w:beforeAutospacing="0" w:after="150" w:afterAutospacing="0" w:line="560" w:lineRule="exact"/>
        <w:ind w:firstLine="640"/>
        <w:jc w:val="both"/>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shd w:val="clear" w:color="auto" w:fill="FFFFFF"/>
        </w:rPr>
        <w:t xml:space="preserve">              承诺单位（盖章）：</w:t>
      </w:r>
    </w:p>
    <w:p w14:paraId="5E08E1C4">
      <w:pPr>
        <w:pStyle w:val="21"/>
        <w:shd w:val="clear" w:color="auto" w:fill="FFFFFF"/>
        <w:adjustRightInd w:val="0"/>
        <w:snapToGrid w:val="0"/>
        <w:spacing w:before="0" w:beforeAutospacing="0" w:after="150" w:afterAutospacing="0" w:line="560" w:lineRule="exact"/>
        <w:ind w:firstLine="1687" w:firstLineChars="703"/>
        <w:jc w:val="both"/>
        <w:rPr>
          <w:rFonts w:hint="eastAsia" w:ascii="宋体" w:hAnsi="宋体" w:eastAsia="宋体" w:cs="宋体"/>
          <w:bCs/>
          <w:color w:val="auto"/>
          <w:szCs w:val="24"/>
          <w:highlight w:val="none"/>
          <w:shd w:val="clear" w:color="auto" w:fill="FFFFFF"/>
        </w:rPr>
      </w:pPr>
      <w:r>
        <w:rPr>
          <w:rFonts w:hint="eastAsia" w:ascii="宋体" w:hAnsi="宋体" w:eastAsia="宋体" w:cs="宋体"/>
          <w:bCs/>
          <w:color w:val="auto"/>
          <w:szCs w:val="24"/>
          <w:highlight w:val="none"/>
          <w:shd w:val="clear" w:color="auto" w:fill="FFFFFF"/>
        </w:rPr>
        <w:t>       法定代表人（负责人）：</w:t>
      </w:r>
    </w:p>
    <w:p w14:paraId="7AB10A5A">
      <w:pPr>
        <w:pStyle w:val="21"/>
        <w:shd w:val="clear" w:color="auto" w:fill="FFFFFF"/>
        <w:adjustRightInd w:val="0"/>
        <w:snapToGrid w:val="0"/>
        <w:spacing w:before="0" w:beforeAutospacing="0" w:after="150" w:afterAutospacing="0" w:line="560" w:lineRule="exact"/>
        <w:ind w:firstLine="2160" w:firstLineChars="900"/>
        <w:jc w:val="both"/>
        <w:rPr>
          <w:rFonts w:hint="eastAsia" w:ascii="宋体" w:hAnsi="宋体" w:eastAsia="宋体" w:cs="宋体"/>
          <w:bCs/>
          <w:color w:val="auto"/>
          <w:szCs w:val="24"/>
          <w:highlight w:val="none"/>
          <w:shd w:val="clear" w:color="auto" w:fill="FFFFFF"/>
        </w:rPr>
      </w:pPr>
      <w:r>
        <w:rPr>
          <w:rFonts w:hint="eastAsia" w:ascii="宋体" w:hAnsi="宋体" w:eastAsia="宋体" w:cs="宋体"/>
          <w:bCs/>
          <w:color w:val="auto"/>
          <w:szCs w:val="24"/>
          <w:highlight w:val="none"/>
          <w:shd w:val="clear" w:color="auto" w:fill="FFFFFF"/>
        </w:rPr>
        <w:t>法定代表人（负责人）身份证号：</w:t>
      </w:r>
    </w:p>
    <w:p w14:paraId="18652086">
      <w:pPr>
        <w:pStyle w:val="21"/>
        <w:shd w:val="clear" w:color="auto" w:fill="FFFFFF"/>
        <w:adjustRightInd w:val="0"/>
        <w:snapToGrid w:val="0"/>
        <w:spacing w:before="0" w:beforeAutospacing="0" w:after="150" w:afterAutospacing="0" w:line="560" w:lineRule="exact"/>
        <w:ind w:firstLine="640"/>
        <w:jc w:val="both"/>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shd w:val="clear" w:color="auto" w:fill="FFFFFF"/>
        </w:rPr>
        <w:t>         承诺日期：</w:t>
      </w:r>
    </w:p>
    <w:p w14:paraId="5D818B80">
      <w:pPr>
        <w:pStyle w:val="21"/>
        <w:shd w:val="clear" w:color="auto" w:fill="FFFFFF"/>
        <w:adjustRightInd w:val="0"/>
        <w:snapToGrid w:val="0"/>
        <w:spacing w:before="0" w:beforeAutospacing="0" w:after="150" w:afterAutospacing="0" w:line="360" w:lineRule="auto"/>
        <w:ind w:firstLine="480" w:firstLineChars="200"/>
        <w:jc w:val="both"/>
        <w:rPr>
          <w:rFonts w:hint="eastAsia" w:ascii="宋体" w:hAnsi="宋体" w:eastAsia="宋体" w:cs="宋体"/>
          <w:bCs/>
          <w:color w:val="auto"/>
          <w:szCs w:val="24"/>
          <w:highlight w:val="none"/>
          <w:shd w:val="clear" w:color="auto" w:fill="FFFFFF"/>
        </w:rPr>
      </w:pPr>
      <w:r>
        <w:rPr>
          <w:rFonts w:hint="eastAsia" w:ascii="宋体" w:hAnsi="宋体" w:eastAsia="宋体" w:cs="宋体"/>
          <w:bCs/>
          <w:color w:val="auto"/>
          <w:szCs w:val="24"/>
          <w:highlight w:val="none"/>
          <w:shd w:val="clear" w:color="auto" w:fill="FFFFFF"/>
        </w:rPr>
        <w:t>注：法定代表人或负责人、主体名称发生变更的应当重新做出承诺；承诺书标题按照工程类、货物类、服务类确定。</w:t>
      </w:r>
    </w:p>
    <w:p w14:paraId="2C27D2B4">
      <w:pPr>
        <w:pStyle w:val="8"/>
        <w:adjustRightInd w:val="0"/>
        <w:snapToGrid w:val="0"/>
        <w:spacing w:line="500" w:lineRule="exact"/>
        <w:rPr>
          <w:rFonts w:hint="eastAsia" w:ascii="宋体" w:hAnsi="宋体" w:eastAsia="宋体" w:cs="宋体"/>
          <w:bCs/>
          <w:color w:val="auto"/>
          <w:kern w:val="0"/>
          <w:sz w:val="24"/>
          <w:szCs w:val="24"/>
          <w:highlight w:val="none"/>
          <w:shd w:val="clear" w:color="070000" w:fill="FFFFFF"/>
        </w:rPr>
      </w:pP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kern w:val="0"/>
          <w:sz w:val="24"/>
          <w:szCs w:val="24"/>
          <w:highlight w:val="none"/>
          <w:shd w:val="clear" w:color="070000" w:fill="FFFFFF"/>
        </w:rPr>
        <w:t xml:space="preserve"> </w:t>
      </w:r>
    </w:p>
    <w:p w14:paraId="1176146D">
      <w:pPr>
        <w:pStyle w:val="2"/>
        <w:spacing w:line="360" w:lineRule="exact"/>
        <w:jc w:val="left"/>
        <w:rPr>
          <w:rFonts w:hint="eastAsia" w:ascii="宋体" w:hAnsi="宋体" w:eastAsia="宋体" w:cs="宋体"/>
          <w:b w:val="0"/>
          <w:bCs/>
          <w:color w:val="auto"/>
          <w:sz w:val="32"/>
          <w:szCs w:val="32"/>
          <w:highlight w:val="none"/>
          <w:shd w:val="clear" w:color="auto" w:fill="FFFFFF"/>
          <w:lang w:eastAsia="zh-CN"/>
        </w:rPr>
        <w:sectPr>
          <w:pgSz w:w="11906" w:h="16838"/>
          <w:pgMar w:top="1440" w:right="1080" w:bottom="1440" w:left="1080" w:header="720" w:footer="1191" w:gutter="0"/>
          <w:pgNumType w:fmt="decimal"/>
          <w:cols w:space="720" w:num="1"/>
          <w:docGrid w:type="lines" w:linePitch="312" w:charSpace="0"/>
        </w:sectPr>
      </w:pPr>
    </w:p>
    <w:p w14:paraId="5FB98D2F">
      <w:pPr>
        <w:pStyle w:val="2"/>
        <w:spacing w:line="360" w:lineRule="exact"/>
        <w:jc w:val="left"/>
        <w:rPr>
          <w:rFonts w:hint="eastAsia" w:ascii="宋体" w:hAnsi="宋体" w:eastAsia="宋体" w:cs="宋体"/>
          <w:b w:val="0"/>
          <w:bCs/>
          <w:color w:val="auto"/>
          <w:sz w:val="32"/>
          <w:szCs w:val="32"/>
          <w:highlight w:val="none"/>
          <w:shd w:val="clear" w:color="auto" w:fill="FFFFFF"/>
          <w:lang w:val="en-US" w:eastAsia="zh-CN"/>
        </w:rPr>
      </w:pPr>
      <w:bookmarkStart w:id="560" w:name="_Toc21837"/>
      <w:bookmarkStart w:id="561" w:name="_Toc894"/>
      <w:r>
        <w:rPr>
          <w:rFonts w:hint="eastAsia" w:ascii="宋体" w:hAnsi="宋体" w:eastAsia="宋体" w:cs="宋体"/>
          <w:b w:val="0"/>
          <w:bCs/>
          <w:color w:val="auto"/>
          <w:sz w:val="32"/>
          <w:szCs w:val="32"/>
          <w:highlight w:val="none"/>
          <w:shd w:val="clear" w:color="auto" w:fill="FFFFFF"/>
          <w:lang w:eastAsia="zh-CN"/>
        </w:rPr>
        <w:t>附件：</w:t>
      </w:r>
      <w:r>
        <w:rPr>
          <w:rFonts w:hint="eastAsia" w:ascii="宋体" w:hAnsi="宋体" w:eastAsia="宋体" w:cs="宋体"/>
          <w:b w:val="0"/>
          <w:bCs/>
          <w:color w:val="auto"/>
          <w:sz w:val="32"/>
          <w:szCs w:val="32"/>
          <w:highlight w:val="none"/>
          <w:shd w:val="clear" w:color="auto" w:fill="FFFFFF"/>
          <w:lang w:val="en-US" w:eastAsia="zh-CN"/>
        </w:rPr>
        <w:t>2</w:t>
      </w:r>
      <w:bookmarkEnd w:id="559"/>
      <w:bookmarkEnd w:id="560"/>
      <w:bookmarkEnd w:id="561"/>
    </w:p>
    <w:p w14:paraId="77948E8D">
      <w:pPr>
        <w:spacing w:line="560" w:lineRule="exact"/>
        <w:ind w:right="-2"/>
        <w:jc w:val="center"/>
        <w:rPr>
          <w:rFonts w:hint="eastAsia" w:ascii="宋体" w:hAnsi="宋体" w:eastAsia="宋体" w:cs="宋体"/>
          <w:bCs/>
          <w:color w:val="auto"/>
          <w:kern w:val="0"/>
          <w:sz w:val="24"/>
          <w:highlight w:val="none"/>
        </w:rPr>
      </w:pPr>
      <w:r>
        <w:rPr>
          <w:rFonts w:hint="eastAsia" w:ascii="宋体" w:hAnsi="宋体" w:eastAsia="宋体" w:cs="宋体"/>
          <w:bCs/>
          <w:color w:val="auto"/>
          <w:sz w:val="40"/>
          <w:szCs w:val="40"/>
          <w:highlight w:val="none"/>
        </w:rPr>
        <w:t>投标信用承诺书</w:t>
      </w:r>
    </w:p>
    <w:p w14:paraId="626323E3">
      <w:pPr>
        <w:widowControl/>
        <w:spacing w:line="540" w:lineRule="exact"/>
        <w:jc w:val="left"/>
        <w:rPr>
          <w:rFonts w:hint="eastAsia" w:ascii="宋体" w:hAnsi="宋体" w:eastAsia="宋体" w:cs="宋体"/>
          <w:bCs/>
          <w:color w:val="auto"/>
          <w:kern w:val="0"/>
          <w:sz w:val="24"/>
          <w:highlight w:val="none"/>
          <w:u w:val="single"/>
        </w:rPr>
      </w:pPr>
      <w:r>
        <w:rPr>
          <w:rFonts w:hint="eastAsia" w:ascii="宋体" w:hAnsi="宋体" w:eastAsia="宋体" w:cs="宋体"/>
          <w:bCs/>
          <w:color w:val="auto"/>
          <w:kern w:val="0"/>
          <w:sz w:val="24"/>
          <w:highlight w:val="none"/>
        </w:rPr>
        <w:t>项目标段：</w:t>
      </w:r>
      <w:r>
        <w:rPr>
          <w:rFonts w:hint="eastAsia" w:ascii="宋体" w:hAnsi="宋体" w:eastAsia="宋体" w:cs="宋体"/>
          <w:bCs/>
          <w:color w:val="auto"/>
          <w:kern w:val="0"/>
          <w:sz w:val="24"/>
          <w:highlight w:val="none"/>
          <w:u w:val="single"/>
        </w:rPr>
        <w:t xml:space="preserve">                                                                  </w:t>
      </w:r>
    </w:p>
    <w:p w14:paraId="5BCF2782">
      <w:pPr>
        <w:widowControl/>
        <w:spacing w:line="540" w:lineRule="exact"/>
        <w:jc w:val="left"/>
        <w:rPr>
          <w:rFonts w:hint="eastAsia" w:ascii="宋体" w:hAnsi="宋体" w:eastAsia="宋体" w:cs="宋体"/>
          <w:bCs/>
          <w:color w:val="auto"/>
          <w:kern w:val="0"/>
          <w:sz w:val="24"/>
          <w:highlight w:val="none"/>
          <w:u w:val="single"/>
        </w:rPr>
      </w:pPr>
      <w:r>
        <w:rPr>
          <w:rFonts w:hint="eastAsia" w:ascii="宋体" w:hAnsi="宋体" w:eastAsia="宋体" w:cs="宋体"/>
          <w:bCs/>
          <w:color w:val="auto"/>
          <w:kern w:val="0"/>
          <w:sz w:val="24"/>
          <w:highlight w:val="none"/>
        </w:rPr>
        <w:t>投标人：</w:t>
      </w:r>
      <w:r>
        <w:rPr>
          <w:rFonts w:hint="eastAsia" w:ascii="宋体" w:hAnsi="宋体" w:eastAsia="宋体" w:cs="宋体"/>
          <w:bCs/>
          <w:color w:val="auto"/>
          <w:kern w:val="0"/>
          <w:sz w:val="24"/>
          <w:highlight w:val="none"/>
          <w:u w:val="single"/>
        </w:rPr>
        <w:t xml:space="preserve">                                                                    </w:t>
      </w:r>
    </w:p>
    <w:p w14:paraId="3A7B6B0F">
      <w:pPr>
        <w:widowControl/>
        <w:spacing w:line="540" w:lineRule="exact"/>
        <w:jc w:val="left"/>
        <w:rPr>
          <w:rFonts w:hint="eastAsia" w:ascii="宋体" w:hAnsi="宋体" w:eastAsia="宋体" w:cs="宋体"/>
          <w:bCs/>
          <w:color w:val="auto"/>
          <w:kern w:val="0"/>
          <w:sz w:val="24"/>
          <w:highlight w:val="none"/>
          <w:u w:val="single"/>
        </w:rPr>
      </w:pPr>
      <w:r>
        <w:rPr>
          <w:rFonts w:hint="eastAsia" w:ascii="宋体" w:hAnsi="宋体" w:eastAsia="宋体" w:cs="宋体"/>
          <w:bCs/>
          <w:color w:val="auto"/>
          <w:kern w:val="0"/>
          <w:sz w:val="24"/>
          <w:highlight w:val="none"/>
        </w:rPr>
        <w:t>统一社会信用代码：</w:t>
      </w:r>
      <w:r>
        <w:rPr>
          <w:rFonts w:hint="eastAsia" w:ascii="宋体" w:hAnsi="宋体" w:eastAsia="宋体" w:cs="宋体"/>
          <w:bCs/>
          <w:color w:val="auto"/>
          <w:kern w:val="0"/>
          <w:sz w:val="24"/>
          <w:highlight w:val="none"/>
          <w:u w:val="single"/>
        </w:rPr>
        <w:t xml:space="preserve">                               </w:t>
      </w:r>
      <w:r>
        <w:rPr>
          <w:rFonts w:hint="eastAsia" w:ascii="宋体" w:hAnsi="宋体" w:eastAsia="宋体" w:cs="宋体"/>
          <w:bCs/>
          <w:color w:val="auto"/>
          <w:kern w:val="0"/>
          <w:sz w:val="24"/>
          <w:highlight w:val="none"/>
        </w:rPr>
        <w:t>法人代表：</w:t>
      </w:r>
      <w:r>
        <w:rPr>
          <w:rFonts w:hint="eastAsia" w:ascii="宋体" w:hAnsi="宋体" w:eastAsia="宋体" w:cs="宋体"/>
          <w:bCs/>
          <w:color w:val="auto"/>
          <w:kern w:val="0"/>
          <w:sz w:val="24"/>
          <w:highlight w:val="none"/>
          <w:u w:val="single"/>
        </w:rPr>
        <w:t xml:space="preserve">                 </w:t>
      </w:r>
    </w:p>
    <w:p w14:paraId="2139CE46">
      <w:pPr>
        <w:widowControl/>
        <w:adjustRightInd w:val="0"/>
        <w:snapToGrid w:val="0"/>
        <w:spacing w:line="540" w:lineRule="exact"/>
        <w:ind w:firstLine="480" w:firstLineChars="200"/>
        <w:jc w:val="left"/>
        <w:rPr>
          <w:rFonts w:hint="eastAsia" w:ascii="宋体" w:hAnsi="宋体" w:eastAsia="宋体" w:cs="宋体"/>
          <w:bCs/>
          <w:color w:val="auto"/>
          <w:kern w:val="0"/>
          <w:sz w:val="24"/>
          <w:highlight w:val="none"/>
        </w:rPr>
      </w:pPr>
      <w:r>
        <w:rPr>
          <w:rFonts w:hint="eastAsia" w:ascii="宋体" w:hAnsi="宋体" w:eastAsia="宋体" w:cs="宋体"/>
          <w:bCs/>
          <w:color w:val="auto"/>
          <w:kern w:val="0"/>
          <w:sz w:val="24"/>
          <w:highlight w:val="none"/>
        </w:rPr>
        <w:t>在本项目标段招投标活动中，我公司（单位）自愿作出以下投标信用承诺：</w:t>
      </w:r>
    </w:p>
    <w:p w14:paraId="2456AE9E">
      <w:pPr>
        <w:widowControl/>
        <w:adjustRightInd w:val="0"/>
        <w:snapToGrid w:val="0"/>
        <w:spacing w:line="540" w:lineRule="exact"/>
        <w:ind w:firstLine="480" w:firstLineChars="200"/>
        <w:jc w:val="left"/>
        <w:rPr>
          <w:rFonts w:hint="eastAsia" w:ascii="宋体" w:hAnsi="宋体" w:eastAsia="宋体" w:cs="宋体"/>
          <w:bCs/>
          <w:color w:val="auto"/>
          <w:kern w:val="0"/>
          <w:sz w:val="24"/>
          <w:highlight w:val="none"/>
        </w:rPr>
      </w:pPr>
      <w:r>
        <w:rPr>
          <w:rFonts w:hint="eastAsia" w:ascii="宋体" w:hAnsi="宋体" w:eastAsia="宋体" w:cs="宋体"/>
          <w:bCs/>
          <w:color w:val="auto"/>
          <w:kern w:val="0"/>
          <w:sz w:val="24"/>
          <w:highlight w:val="none"/>
        </w:rPr>
        <w:t>（一）能严格遵守法律法规、职业道德和行业规范。</w:t>
      </w:r>
    </w:p>
    <w:p w14:paraId="31B04FC9">
      <w:pPr>
        <w:widowControl/>
        <w:adjustRightInd w:val="0"/>
        <w:snapToGrid w:val="0"/>
        <w:spacing w:line="540" w:lineRule="exact"/>
        <w:ind w:firstLine="480" w:firstLineChars="200"/>
        <w:jc w:val="left"/>
        <w:rPr>
          <w:rFonts w:hint="eastAsia" w:ascii="宋体" w:hAnsi="宋体" w:eastAsia="宋体" w:cs="宋体"/>
          <w:bCs/>
          <w:color w:val="auto"/>
          <w:kern w:val="0"/>
          <w:sz w:val="24"/>
          <w:highlight w:val="none"/>
        </w:rPr>
      </w:pPr>
      <w:r>
        <w:rPr>
          <w:rFonts w:hint="eastAsia" w:ascii="宋体" w:hAnsi="宋体" w:eastAsia="宋体" w:cs="宋体"/>
          <w:bCs/>
          <w:color w:val="auto"/>
          <w:kern w:val="0"/>
          <w:sz w:val="24"/>
          <w:highlight w:val="none"/>
        </w:rPr>
        <w:t>（二）不得有以下违法违规行为：1.围标串标；以他人名义或者其他方式弄虚作假投标；出让出租资格、资质证书供他人投标；恶意竞标、强揽工程；以暴力、威胁、利诱等手段阻止或者控制其他潜在投标人参与招投标活动。2.向招投标监督部门、交易中心、招标人、招标代理机构、评审委员会及其成员等当事主体赠送财物。3.投标截止后至中标人确定前，修改或者撤销投标文件。4.在被确定为中标人后无正当理由：不按照招标文件和投标文件与招标人签订合同；在签订合同时向招标人提出附加条件、或者改变投标文件的实质性内容；放弃中标；不按照招标文件的规定提交履约保证金。5.招投标法规定的其它违法违规行为。</w:t>
      </w:r>
    </w:p>
    <w:p w14:paraId="7A458E04">
      <w:pPr>
        <w:widowControl/>
        <w:adjustRightInd w:val="0"/>
        <w:snapToGrid w:val="0"/>
        <w:spacing w:line="540" w:lineRule="exact"/>
        <w:ind w:firstLine="480" w:firstLineChars="200"/>
        <w:jc w:val="left"/>
        <w:rPr>
          <w:rFonts w:hint="eastAsia" w:ascii="宋体" w:hAnsi="宋体" w:eastAsia="宋体" w:cs="宋体"/>
          <w:bCs/>
          <w:color w:val="auto"/>
          <w:kern w:val="0"/>
          <w:sz w:val="24"/>
          <w:highlight w:val="none"/>
        </w:rPr>
      </w:pPr>
      <w:r>
        <w:rPr>
          <w:rFonts w:hint="eastAsia" w:ascii="宋体" w:hAnsi="宋体" w:eastAsia="宋体" w:cs="宋体"/>
          <w:bCs/>
          <w:color w:val="auto"/>
          <w:kern w:val="0"/>
          <w:sz w:val="24"/>
          <w:highlight w:val="none"/>
        </w:rPr>
        <w:t>（三）若我公司（单位）及相关参与人员违背以上承诺事项，即被视为失信企业（法人），依据《关于对公共资源交易领域严重失信主体开展联合惩戒的备忘录》（发改法规[2018]457号），自愿接受1至3年内限制参与公共资源交易活动。</w:t>
      </w:r>
    </w:p>
    <w:p w14:paraId="75BD23AF">
      <w:pPr>
        <w:widowControl/>
        <w:adjustRightInd w:val="0"/>
        <w:snapToGrid w:val="0"/>
        <w:spacing w:line="540" w:lineRule="exact"/>
        <w:ind w:firstLine="480" w:firstLineChars="200"/>
        <w:jc w:val="left"/>
        <w:rPr>
          <w:rFonts w:hint="eastAsia" w:ascii="宋体" w:hAnsi="宋体" w:eastAsia="宋体" w:cs="宋体"/>
          <w:bCs/>
          <w:color w:val="auto"/>
          <w:kern w:val="0"/>
          <w:sz w:val="24"/>
          <w:highlight w:val="none"/>
        </w:rPr>
      </w:pPr>
    </w:p>
    <w:p w14:paraId="4A4973FE">
      <w:pPr>
        <w:widowControl/>
        <w:tabs>
          <w:tab w:val="left" w:pos="4395"/>
        </w:tabs>
        <w:adjustRightInd w:val="0"/>
        <w:snapToGrid w:val="0"/>
        <w:spacing w:line="500" w:lineRule="exact"/>
        <w:ind w:firstLine="480" w:firstLineChars="200"/>
        <w:jc w:val="left"/>
        <w:rPr>
          <w:rFonts w:hint="eastAsia" w:ascii="宋体" w:hAnsi="宋体" w:eastAsia="宋体" w:cs="宋体"/>
          <w:bCs/>
          <w:color w:val="auto"/>
          <w:kern w:val="0"/>
          <w:sz w:val="24"/>
          <w:highlight w:val="none"/>
        </w:rPr>
      </w:pPr>
      <w:r>
        <w:rPr>
          <w:rFonts w:hint="eastAsia" w:ascii="宋体" w:hAnsi="宋体" w:eastAsia="宋体" w:cs="宋体"/>
          <w:bCs/>
          <w:color w:val="auto"/>
          <w:kern w:val="0"/>
          <w:sz w:val="24"/>
          <w:highlight w:val="none"/>
        </w:rPr>
        <w:t>法定代表人（签章）：             投标人（盖章）：</w:t>
      </w:r>
    </w:p>
    <w:p w14:paraId="2D9B229A">
      <w:pPr>
        <w:adjustRightInd w:val="0"/>
        <w:snapToGrid w:val="0"/>
        <w:spacing w:line="500" w:lineRule="exact"/>
        <w:rPr>
          <w:rFonts w:hint="eastAsia" w:ascii="宋体" w:hAnsi="宋体" w:eastAsia="宋体" w:cs="宋体"/>
          <w:bCs/>
          <w:color w:val="auto"/>
          <w:kern w:val="0"/>
          <w:sz w:val="24"/>
          <w:highlight w:val="none"/>
        </w:rPr>
      </w:pPr>
    </w:p>
    <w:p w14:paraId="6A60625A">
      <w:pPr>
        <w:ind w:firstLine="4560" w:firstLineChars="1900"/>
        <w:rPr>
          <w:rFonts w:hint="eastAsia" w:ascii="宋体" w:hAnsi="宋体" w:eastAsia="宋体" w:cs="宋体"/>
          <w:bCs/>
          <w:color w:val="auto"/>
          <w:sz w:val="24"/>
          <w:szCs w:val="24"/>
          <w:highlight w:val="none"/>
          <w:u w:val="single"/>
        </w:rPr>
      </w:pPr>
      <w:r>
        <w:rPr>
          <w:rFonts w:hint="eastAsia" w:ascii="宋体" w:hAnsi="宋体" w:eastAsia="宋体" w:cs="宋体"/>
          <w:bCs/>
          <w:color w:val="auto"/>
          <w:kern w:val="0"/>
          <w:sz w:val="24"/>
          <w:highlight w:val="none"/>
        </w:rPr>
        <w:t>承诺时间：</w:t>
      </w:r>
      <w:r>
        <w:rPr>
          <w:rFonts w:hint="eastAsia" w:ascii="宋体" w:hAnsi="宋体" w:eastAsia="宋体" w:cs="宋体"/>
          <w:bCs/>
          <w:color w:val="auto"/>
          <w:kern w:val="0"/>
          <w:sz w:val="24"/>
          <w:highlight w:val="none"/>
          <w:u w:val="single"/>
        </w:rPr>
        <w:t xml:space="preserve">       </w:t>
      </w:r>
      <w:r>
        <w:rPr>
          <w:rFonts w:hint="eastAsia" w:ascii="宋体" w:hAnsi="宋体" w:eastAsia="宋体" w:cs="宋体"/>
          <w:bCs/>
          <w:color w:val="auto"/>
          <w:kern w:val="0"/>
          <w:sz w:val="24"/>
          <w:highlight w:val="none"/>
        </w:rPr>
        <w:t>年</w:t>
      </w:r>
      <w:r>
        <w:rPr>
          <w:rFonts w:hint="eastAsia" w:ascii="宋体" w:hAnsi="宋体" w:eastAsia="宋体" w:cs="宋体"/>
          <w:bCs/>
          <w:color w:val="auto"/>
          <w:kern w:val="0"/>
          <w:sz w:val="24"/>
          <w:highlight w:val="none"/>
          <w:u w:val="single"/>
        </w:rPr>
        <w:t xml:space="preserve">     </w:t>
      </w:r>
      <w:r>
        <w:rPr>
          <w:rFonts w:hint="eastAsia" w:ascii="宋体" w:hAnsi="宋体" w:eastAsia="宋体" w:cs="宋体"/>
          <w:bCs/>
          <w:color w:val="auto"/>
          <w:kern w:val="0"/>
          <w:sz w:val="24"/>
          <w:highlight w:val="none"/>
        </w:rPr>
        <w:t>月</w:t>
      </w:r>
      <w:r>
        <w:rPr>
          <w:rFonts w:hint="eastAsia" w:ascii="宋体" w:hAnsi="宋体" w:eastAsia="宋体" w:cs="宋体"/>
          <w:bCs/>
          <w:color w:val="auto"/>
          <w:kern w:val="0"/>
          <w:sz w:val="24"/>
          <w:highlight w:val="none"/>
          <w:u w:val="single"/>
        </w:rPr>
        <w:t xml:space="preserve">     </w:t>
      </w:r>
      <w:r>
        <w:rPr>
          <w:rFonts w:hint="eastAsia" w:ascii="宋体" w:hAnsi="宋体" w:eastAsia="宋体" w:cs="宋体"/>
          <w:bCs/>
          <w:color w:val="auto"/>
          <w:kern w:val="0"/>
          <w:sz w:val="24"/>
          <w:highlight w:val="none"/>
        </w:rPr>
        <w:t>日</w:t>
      </w:r>
    </w:p>
    <w:p w14:paraId="205C6067">
      <w:pPr>
        <w:pStyle w:val="8"/>
        <w:rPr>
          <w:rFonts w:hint="eastAsia" w:ascii="宋体" w:hAnsi="宋体" w:eastAsia="宋体" w:cs="宋体"/>
          <w:bCs/>
          <w:color w:val="auto"/>
          <w:sz w:val="24"/>
          <w:szCs w:val="24"/>
          <w:highlight w:val="none"/>
          <w:u w:val="single"/>
        </w:rPr>
      </w:pPr>
    </w:p>
    <w:p w14:paraId="7006C9F5">
      <w:pPr>
        <w:rPr>
          <w:rFonts w:hint="eastAsia" w:ascii="宋体" w:hAnsi="宋体" w:eastAsia="宋体" w:cs="宋体"/>
          <w:bCs/>
          <w:color w:val="auto"/>
          <w:sz w:val="24"/>
          <w:szCs w:val="24"/>
          <w:highlight w:val="none"/>
          <w:u w:val="single"/>
        </w:rPr>
      </w:pPr>
      <w:r>
        <w:rPr>
          <w:rFonts w:hint="eastAsia" w:ascii="宋体" w:hAnsi="宋体" w:eastAsia="宋体" w:cs="宋体"/>
          <w:bCs/>
          <w:color w:val="auto"/>
          <w:kern w:val="0"/>
          <w:sz w:val="24"/>
          <w:highlight w:val="none"/>
        </w:rPr>
        <w:t>说明：本承诺书效力和作用等同投标保证金，其有效期与投标有效期一致。</w:t>
      </w:r>
    </w:p>
    <w:p w14:paraId="333E8398">
      <w:pPr>
        <w:pStyle w:val="15"/>
        <w:jc w:val="center"/>
        <w:rPr>
          <w:rFonts w:hint="eastAsia" w:ascii="宋体" w:hAnsi="宋体" w:eastAsia="宋体" w:cs="宋体"/>
          <w:bCs/>
          <w:color w:val="auto"/>
          <w:sz w:val="32"/>
          <w:szCs w:val="22"/>
          <w:highlight w:val="none"/>
        </w:rPr>
        <w:sectPr>
          <w:pgSz w:w="11906" w:h="16838"/>
          <w:pgMar w:top="1440" w:right="1080" w:bottom="1440" w:left="1080" w:header="720" w:footer="1134" w:gutter="0"/>
          <w:pgNumType w:fmt="decimal"/>
          <w:cols w:space="720" w:num="1"/>
          <w:docGrid w:type="lines" w:linePitch="312" w:charSpace="0"/>
        </w:sectPr>
      </w:pPr>
    </w:p>
    <w:p w14:paraId="7DE7460E">
      <w:pPr>
        <w:pStyle w:val="15"/>
        <w:jc w:val="center"/>
        <w:outlineLvl w:val="0"/>
        <w:rPr>
          <w:rFonts w:hint="eastAsia" w:ascii="宋体" w:hAnsi="宋体" w:eastAsia="宋体" w:cs="宋体"/>
          <w:bCs/>
          <w:color w:val="auto"/>
          <w:highlight w:val="none"/>
          <w:lang w:eastAsia="zh-CN"/>
        </w:rPr>
      </w:pPr>
      <w:bookmarkStart w:id="562" w:name="_Toc10157"/>
      <w:bookmarkStart w:id="563" w:name="_Toc23670"/>
      <w:r>
        <w:rPr>
          <w:rFonts w:hint="eastAsia" w:ascii="宋体" w:hAnsi="宋体" w:eastAsia="宋体" w:cs="宋体"/>
          <w:bCs/>
          <w:color w:val="auto"/>
          <w:sz w:val="32"/>
          <w:szCs w:val="22"/>
          <w:highlight w:val="none"/>
        </w:rPr>
        <w:t>四、</w:t>
      </w:r>
      <w:bookmarkEnd w:id="562"/>
      <w:bookmarkEnd w:id="563"/>
      <w:r>
        <w:rPr>
          <w:rFonts w:hint="eastAsia" w:ascii="宋体" w:hAnsi="宋体" w:eastAsia="宋体" w:cs="宋体"/>
          <w:bCs/>
          <w:color w:val="auto"/>
          <w:sz w:val="32"/>
          <w:szCs w:val="22"/>
          <w:highlight w:val="none"/>
        </w:rPr>
        <w:t>技术文件及服务方案</w:t>
      </w:r>
    </w:p>
    <w:p w14:paraId="0C888DF0">
      <w:pPr>
        <w:jc w:val="center"/>
        <w:rPr>
          <w:rFonts w:hint="eastAsia" w:ascii="宋体" w:hAnsi="宋体" w:eastAsia="宋体" w:cs="宋体"/>
          <w:bCs/>
          <w:color w:val="auto"/>
          <w:sz w:val="24"/>
          <w:szCs w:val="24"/>
          <w:highlight w:val="none"/>
        </w:rPr>
      </w:pPr>
    </w:p>
    <w:p w14:paraId="304D0A47">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outlineLvl w:val="0"/>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rPr>
        <w:t>参照谈判文件各评审条款的要求，结合</w:t>
      </w:r>
      <w:r>
        <w:rPr>
          <w:rFonts w:hint="eastAsia" w:ascii="宋体" w:hAnsi="宋体" w:eastAsia="宋体" w:cs="宋体"/>
          <w:bCs/>
          <w:color w:val="auto"/>
          <w:sz w:val="28"/>
          <w:szCs w:val="28"/>
          <w:highlight w:val="none"/>
          <w:lang w:eastAsia="zh-CN"/>
        </w:rPr>
        <w:t>《采购内容及要求》</w:t>
      </w:r>
      <w:r>
        <w:rPr>
          <w:rFonts w:hint="eastAsia" w:ascii="宋体" w:hAnsi="宋体" w:eastAsia="宋体" w:cs="宋体"/>
          <w:bCs/>
          <w:color w:val="auto"/>
          <w:sz w:val="28"/>
          <w:szCs w:val="28"/>
          <w:highlight w:val="none"/>
        </w:rPr>
        <w:t>编制</w:t>
      </w:r>
      <w:r>
        <w:rPr>
          <w:rFonts w:hint="eastAsia" w:ascii="宋体" w:hAnsi="宋体" w:eastAsia="宋体" w:cs="宋体"/>
          <w:bCs/>
          <w:color w:val="auto"/>
          <w:sz w:val="28"/>
          <w:szCs w:val="28"/>
          <w:highlight w:val="none"/>
          <w:lang w:val="en-US" w:eastAsia="zh-CN"/>
        </w:rPr>
        <w:t>符合本项目的</w:t>
      </w:r>
      <w:r>
        <w:rPr>
          <w:rFonts w:hint="eastAsia" w:ascii="宋体" w:hAnsi="宋体" w:eastAsia="宋体" w:cs="宋体"/>
          <w:bCs/>
          <w:color w:val="auto"/>
          <w:sz w:val="28"/>
          <w:szCs w:val="28"/>
          <w:highlight w:val="none"/>
        </w:rPr>
        <w:t>响应方案。</w:t>
      </w:r>
      <w:r>
        <w:rPr>
          <w:rFonts w:hint="eastAsia" w:ascii="宋体" w:hAnsi="宋体" w:eastAsia="宋体" w:cs="宋体"/>
          <w:bCs/>
          <w:color w:val="auto"/>
          <w:sz w:val="28"/>
          <w:szCs w:val="28"/>
          <w:highlight w:val="none"/>
          <w:lang w:val="en-US" w:eastAsia="zh-CN"/>
        </w:rPr>
        <w:t>主要是针对本谈判项目的具体情况作出的实质性响应和满足。服务方案必须科学合理、真实可行并适用于本服务项目，能充分体现出自身技术和专业优势。</w:t>
      </w:r>
    </w:p>
    <w:p w14:paraId="7185702D">
      <w:pPr>
        <w:keepNext w:val="0"/>
        <w:keepLines w:val="0"/>
        <w:pageBreakBefore w:val="0"/>
        <w:widowControl w:val="0"/>
        <w:kinsoku/>
        <w:wordWrap/>
        <w:overflowPunct/>
        <w:topLinePunct w:val="0"/>
        <w:autoSpaceDE/>
        <w:autoSpaceDN/>
        <w:bidi w:val="0"/>
        <w:adjustRightInd/>
        <w:snapToGrid/>
        <w:ind w:firstLine="480" w:firstLineChars="200"/>
        <w:jc w:val="center"/>
        <w:textAlignment w:val="auto"/>
        <w:rPr>
          <w:rFonts w:hint="eastAsia" w:ascii="宋体" w:hAnsi="宋体" w:eastAsia="宋体" w:cs="宋体"/>
          <w:bCs/>
          <w:color w:val="auto"/>
          <w:sz w:val="24"/>
          <w:szCs w:val="24"/>
          <w:highlight w:val="none"/>
        </w:rPr>
        <w:sectPr>
          <w:pgSz w:w="11906" w:h="16838"/>
          <w:pgMar w:top="1440" w:right="1080" w:bottom="1440" w:left="1080" w:header="720" w:footer="1134" w:gutter="0"/>
          <w:pgNumType w:fmt="decimal"/>
          <w:cols w:space="720" w:num="1"/>
          <w:docGrid w:type="lines" w:linePitch="312" w:charSpace="0"/>
        </w:sectPr>
      </w:pPr>
    </w:p>
    <w:p w14:paraId="64B9711E">
      <w:pPr>
        <w:widowControl/>
        <w:spacing w:line="360" w:lineRule="auto"/>
        <w:ind w:firstLine="640" w:firstLineChars="200"/>
        <w:jc w:val="center"/>
        <w:rPr>
          <w:rFonts w:hint="eastAsia" w:ascii="宋体" w:hAnsi="宋体" w:eastAsia="宋体" w:cs="宋体"/>
          <w:bCs/>
          <w:color w:val="auto"/>
          <w:sz w:val="32"/>
          <w:szCs w:val="32"/>
          <w:highlight w:val="none"/>
        </w:rPr>
        <w:sectPr>
          <w:pgSz w:w="11906" w:h="16838"/>
          <w:pgMar w:top="1440" w:right="1080" w:bottom="1440" w:left="1080" w:header="1134" w:footer="1077" w:gutter="0"/>
          <w:pgNumType w:fmt="decimal"/>
          <w:cols w:space="720" w:num="1"/>
          <w:docGrid w:type="lines" w:linePitch="312" w:charSpace="0"/>
        </w:sectPr>
      </w:pPr>
      <w:r>
        <w:rPr>
          <w:rFonts w:hint="eastAsia" w:ascii="宋体" w:hAnsi="宋体" w:eastAsia="宋体" w:cs="宋体"/>
          <w:bCs/>
          <w:color w:val="auto"/>
          <w:sz w:val="32"/>
          <w:szCs w:val="32"/>
          <w:highlight w:val="none"/>
        </w:rPr>
        <w:t>五、谈判文件要求的其他材料</w:t>
      </w:r>
    </w:p>
    <w:p w14:paraId="418DA52B">
      <w:pPr>
        <w:numPr>
          <w:ilvl w:val="0"/>
          <w:numId w:val="0"/>
        </w:numPr>
        <w:spacing w:line="360" w:lineRule="atLeast"/>
        <w:ind w:left="4410" w:leftChars="0"/>
        <w:jc w:val="both"/>
        <w:outlineLvl w:val="0"/>
        <w:rPr>
          <w:rFonts w:hint="eastAsia" w:ascii="宋体" w:hAnsi="宋体" w:eastAsia="宋体" w:cs="宋体"/>
          <w:bCs/>
          <w:color w:val="auto"/>
          <w:sz w:val="30"/>
          <w:szCs w:val="30"/>
          <w:highlight w:val="none"/>
        </w:rPr>
      </w:pPr>
      <w:bookmarkStart w:id="564" w:name="_Toc32338"/>
      <w:bookmarkStart w:id="565" w:name="_Toc17270"/>
      <w:r>
        <w:rPr>
          <w:rFonts w:hint="eastAsia" w:ascii="宋体" w:hAnsi="宋体" w:eastAsia="宋体" w:cs="宋体"/>
          <w:bCs/>
          <w:color w:val="auto"/>
          <w:sz w:val="32"/>
          <w:szCs w:val="32"/>
          <w:highlight w:val="none"/>
        </w:rPr>
        <w:t>六</w:t>
      </w:r>
      <w:bookmarkEnd w:id="564"/>
      <w:bookmarkEnd w:id="565"/>
      <w:bookmarkStart w:id="566" w:name="_Toc13800"/>
      <w:bookmarkStart w:id="567" w:name="_Toc14730"/>
      <w:r>
        <w:rPr>
          <w:rFonts w:hint="eastAsia" w:ascii="宋体" w:hAnsi="宋体" w:cs="宋体"/>
          <w:bCs/>
          <w:color w:val="auto"/>
          <w:sz w:val="32"/>
          <w:szCs w:val="32"/>
          <w:highlight w:val="none"/>
          <w:lang w:eastAsia="zh-CN"/>
        </w:rPr>
        <w:t>、</w:t>
      </w:r>
      <w:r>
        <w:rPr>
          <w:rFonts w:hint="eastAsia" w:ascii="宋体" w:hAnsi="宋体" w:eastAsia="宋体" w:cs="宋体"/>
          <w:bCs/>
          <w:color w:val="auto"/>
          <w:sz w:val="30"/>
          <w:szCs w:val="30"/>
          <w:highlight w:val="none"/>
        </w:rPr>
        <w:t>偏离表</w:t>
      </w:r>
      <w:bookmarkEnd w:id="566"/>
      <w:bookmarkEnd w:id="567"/>
    </w:p>
    <w:p w14:paraId="0B028D5F">
      <w:pPr>
        <w:numPr>
          <w:ilvl w:val="0"/>
          <w:numId w:val="0"/>
        </w:numPr>
        <w:spacing w:line="360" w:lineRule="atLeast"/>
        <w:jc w:val="center"/>
        <w:outlineLvl w:val="0"/>
        <w:rPr>
          <w:rFonts w:hint="eastAsia" w:ascii="宋体" w:hAnsi="宋体" w:eastAsia="宋体" w:cs="宋体"/>
          <w:bCs/>
          <w:color w:val="auto"/>
          <w:sz w:val="30"/>
          <w:szCs w:val="30"/>
          <w:highlight w:val="none"/>
        </w:rPr>
      </w:pPr>
      <w:r>
        <w:rPr>
          <w:rFonts w:hint="eastAsia" w:ascii="宋体" w:hAnsi="宋体" w:cs="宋体"/>
          <w:bCs/>
          <w:color w:val="auto"/>
          <w:sz w:val="30"/>
          <w:szCs w:val="30"/>
          <w:highlight w:val="none"/>
          <w:lang w:val="en-US" w:eastAsia="zh-CN"/>
        </w:rPr>
        <w:t>6</w:t>
      </w:r>
      <w:r>
        <w:rPr>
          <w:rFonts w:hint="eastAsia" w:ascii="宋体" w:hAnsi="宋体" w:eastAsia="宋体" w:cs="宋体"/>
          <w:bCs/>
          <w:color w:val="auto"/>
          <w:sz w:val="30"/>
          <w:szCs w:val="30"/>
          <w:highlight w:val="none"/>
          <w:lang w:val="en-US" w:eastAsia="zh-CN"/>
        </w:rPr>
        <w:t>.1</w:t>
      </w:r>
      <w:r>
        <w:rPr>
          <w:rFonts w:hint="eastAsia" w:ascii="宋体" w:hAnsi="宋体" w:eastAsia="宋体" w:cs="宋体"/>
          <w:bCs/>
          <w:color w:val="auto"/>
          <w:sz w:val="30"/>
          <w:szCs w:val="30"/>
          <w:highlight w:val="none"/>
        </w:rPr>
        <w:t>商务偏离表</w:t>
      </w:r>
    </w:p>
    <w:p w14:paraId="2E4B1461">
      <w:pPr>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rPr>
        <w:t>供应商名称：</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    采购项目编号：</w:t>
      </w:r>
      <w:r>
        <w:rPr>
          <w:rFonts w:hint="eastAsia" w:ascii="宋体" w:hAnsi="宋体" w:eastAsia="宋体" w:cs="宋体"/>
          <w:bCs/>
          <w:color w:val="auto"/>
          <w:sz w:val="24"/>
          <w:highlight w:val="none"/>
          <w:u w:val="single"/>
        </w:rPr>
        <w:t xml:space="preserve">                    </w:t>
      </w:r>
    </w:p>
    <w:tbl>
      <w:tblPr>
        <w:tblStyle w:val="24"/>
        <w:tblW w:w="985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836"/>
        <w:gridCol w:w="3266"/>
        <w:gridCol w:w="3599"/>
        <w:gridCol w:w="1062"/>
        <w:gridCol w:w="1087"/>
      </w:tblGrid>
      <w:tr w14:paraId="4D4F7E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37" w:hRule="atLeast"/>
          <w:jc w:val="center"/>
        </w:trPr>
        <w:tc>
          <w:tcPr>
            <w:tcW w:w="836" w:type="dxa"/>
            <w:noWrap w:val="0"/>
            <w:vAlign w:val="top"/>
          </w:tcPr>
          <w:p w14:paraId="6EF2D9F8">
            <w:pPr>
              <w:spacing w:line="360" w:lineRule="auto"/>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序号</w:t>
            </w:r>
          </w:p>
        </w:tc>
        <w:tc>
          <w:tcPr>
            <w:tcW w:w="3266" w:type="dxa"/>
            <w:noWrap w:val="0"/>
            <w:vAlign w:val="top"/>
          </w:tcPr>
          <w:p w14:paraId="3E379F53">
            <w:pPr>
              <w:spacing w:line="360" w:lineRule="auto"/>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竞争性谈判文件商务要求</w:t>
            </w:r>
          </w:p>
        </w:tc>
        <w:tc>
          <w:tcPr>
            <w:tcW w:w="3599" w:type="dxa"/>
            <w:noWrap w:val="0"/>
            <w:vAlign w:val="top"/>
          </w:tcPr>
          <w:p w14:paraId="604AFC74">
            <w:pPr>
              <w:spacing w:line="360" w:lineRule="auto"/>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竞争性谈判响应文件商务响应</w:t>
            </w:r>
          </w:p>
        </w:tc>
        <w:tc>
          <w:tcPr>
            <w:tcW w:w="1062" w:type="dxa"/>
            <w:noWrap w:val="0"/>
            <w:vAlign w:val="top"/>
          </w:tcPr>
          <w:p w14:paraId="37E4BAAD">
            <w:pPr>
              <w:spacing w:line="360" w:lineRule="auto"/>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偏离情况</w:t>
            </w:r>
          </w:p>
        </w:tc>
        <w:tc>
          <w:tcPr>
            <w:tcW w:w="1087" w:type="dxa"/>
            <w:noWrap w:val="0"/>
            <w:vAlign w:val="top"/>
          </w:tcPr>
          <w:p w14:paraId="09209338">
            <w:pPr>
              <w:spacing w:line="360" w:lineRule="auto"/>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响应说明</w:t>
            </w:r>
          </w:p>
        </w:tc>
      </w:tr>
      <w:tr w14:paraId="0C8D7B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37" w:hRule="atLeast"/>
          <w:jc w:val="center"/>
        </w:trPr>
        <w:tc>
          <w:tcPr>
            <w:tcW w:w="836" w:type="dxa"/>
            <w:noWrap w:val="0"/>
            <w:vAlign w:val="top"/>
          </w:tcPr>
          <w:p w14:paraId="1978E027">
            <w:pPr>
              <w:spacing w:line="360" w:lineRule="auto"/>
              <w:jc w:val="center"/>
              <w:rPr>
                <w:rFonts w:hint="eastAsia" w:ascii="宋体" w:hAnsi="宋体" w:eastAsia="宋体" w:cs="宋体"/>
                <w:bCs/>
                <w:color w:val="auto"/>
                <w:sz w:val="24"/>
                <w:highlight w:val="none"/>
              </w:rPr>
            </w:pPr>
          </w:p>
        </w:tc>
        <w:tc>
          <w:tcPr>
            <w:tcW w:w="3266" w:type="dxa"/>
            <w:noWrap w:val="0"/>
            <w:vAlign w:val="top"/>
          </w:tcPr>
          <w:p w14:paraId="1D0FDFCA">
            <w:pPr>
              <w:spacing w:line="360" w:lineRule="auto"/>
              <w:jc w:val="center"/>
              <w:rPr>
                <w:rFonts w:hint="eastAsia" w:ascii="宋体" w:hAnsi="宋体" w:eastAsia="宋体" w:cs="宋体"/>
                <w:bCs/>
                <w:color w:val="auto"/>
                <w:sz w:val="24"/>
                <w:highlight w:val="none"/>
              </w:rPr>
            </w:pPr>
          </w:p>
        </w:tc>
        <w:tc>
          <w:tcPr>
            <w:tcW w:w="3599" w:type="dxa"/>
            <w:noWrap w:val="0"/>
            <w:vAlign w:val="top"/>
          </w:tcPr>
          <w:p w14:paraId="55A6362D">
            <w:pPr>
              <w:spacing w:line="360" w:lineRule="auto"/>
              <w:jc w:val="center"/>
              <w:rPr>
                <w:rFonts w:hint="eastAsia" w:ascii="宋体" w:hAnsi="宋体" w:eastAsia="宋体" w:cs="宋体"/>
                <w:bCs/>
                <w:color w:val="auto"/>
                <w:sz w:val="24"/>
                <w:highlight w:val="none"/>
              </w:rPr>
            </w:pPr>
          </w:p>
        </w:tc>
        <w:tc>
          <w:tcPr>
            <w:tcW w:w="1062" w:type="dxa"/>
            <w:noWrap w:val="0"/>
            <w:vAlign w:val="top"/>
          </w:tcPr>
          <w:p w14:paraId="14443CF2">
            <w:pPr>
              <w:spacing w:line="360" w:lineRule="auto"/>
              <w:jc w:val="center"/>
              <w:rPr>
                <w:rFonts w:hint="eastAsia" w:ascii="宋体" w:hAnsi="宋体" w:eastAsia="宋体" w:cs="宋体"/>
                <w:bCs/>
                <w:color w:val="auto"/>
                <w:sz w:val="24"/>
                <w:highlight w:val="none"/>
              </w:rPr>
            </w:pPr>
          </w:p>
        </w:tc>
        <w:tc>
          <w:tcPr>
            <w:tcW w:w="1087" w:type="dxa"/>
            <w:noWrap w:val="0"/>
            <w:vAlign w:val="top"/>
          </w:tcPr>
          <w:p w14:paraId="0375C166">
            <w:pPr>
              <w:spacing w:line="360" w:lineRule="auto"/>
              <w:jc w:val="center"/>
              <w:rPr>
                <w:rFonts w:hint="eastAsia" w:ascii="宋体" w:hAnsi="宋体" w:eastAsia="宋体" w:cs="宋体"/>
                <w:bCs/>
                <w:color w:val="auto"/>
                <w:sz w:val="24"/>
                <w:highlight w:val="none"/>
              </w:rPr>
            </w:pPr>
          </w:p>
        </w:tc>
      </w:tr>
      <w:tr w14:paraId="7B19B6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37" w:hRule="atLeast"/>
          <w:jc w:val="center"/>
        </w:trPr>
        <w:tc>
          <w:tcPr>
            <w:tcW w:w="836" w:type="dxa"/>
            <w:noWrap w:val="0"/>
            <w:vAlign w:val="top"/>
          </w:tcPr>
          <w:p w14:paraId="2CCE31E3">
            <w:pPr>
              <w:spacing w:line="360" w:lineRule="auto"/>
              <w:jc w:val="center"/>
              <w:rPr>
                <w:rFonts w:hint="eastAsia" w:ascii="宋体" w:hAnsi="宋体" w:eastAsia="宋体" w:cs="宋体"/>
                <w:bCs/>
                <w:color w:val="auto"/>
                <w:sz w:val="24"/>
                <w:highlight w:val="none"/>
              </w:rPr>
            </w:pPr>
          </w:p>
        </w:tc>
        <w:tc>
          <w:tcPr>
            <w:tcW w:w="3266" w:type="dxa"/>
            <w:noWrap w:val="0"/>
            <w:vAlign w:val="top"/>
          </w:tcPr>
          <w:p w14:paraId="7A41BC5F">
            <w:pPr>
              <w:spacing w:line="360" w:lineRule="auto"/>
              <w:jc w:val="center"/>
              <w:rPr>
                <w:rFonts w:hint="eastAsia" w:ascii="宋体" w:hAnsi="宋体" w:eastAsia="宋体" w:cs="宋体"/>
                <w:bCs/>
                <w:color w:val="auto"/>
                <w:sz w:val="24"/>
                <w:highlight w:val="none"/>
              </w:rPr>
            </w:pPr>
          </w:p>
        </w:tc>
        <w:tc>
          <w:tcPr>
            <w:tcW w:w="3599" w:type="dxa"/>
            <w:noWrap w:val="0"/>
            <w:vAlign w:val="top"/>
          </w:tcPr>
          <w:p w14:paraId="1F3084C0">
            <w:pPr>
              <w:spacing w:line="360" w:lineRule="auto"/>
              <w:jc w:val="center"/>
              <w:rPr>
                <w:rFonts w:hint="eastAsia" w:ascii="宋体" w:hAnsi="宋体" w:eastAsia="宋体" w:cs="宋体"/>
                <w:bCs/>
                <w:color w:val="auto"/>
                <w:sz w:val="24"/>
                <w:highlight w:val="none"/>
              </w:rPr>
            </w:pPr>
          </w:p>
        </w:tc>
        <w:tc>
          <w:tcPr>
            <w:tcW w:w="1062" w:type="dxa"/>
            <w:noWrap w:val="0"/>
            <w:vAlign w:val="top"/>
          </w:tcPr>
          <w:p w14:paraId="44729BF1">
            <w:pPr>
              <w:spacing w:line="360" w:lineRule="auto"/>
              <w:jc w:val="center"/>
              <w:rPr>
                <w:rFonts w:hint="eastAsia" w:ascii="宋体" w:hAnsi="宋体" w:eastAsia="宋体" w:cs="宋体"/>
                <w:bCs/>
                <w:color w:val="auto"/>
                <w:sz w:val="24"/>
                <w:highlight w:val="none"/>
              </w:rPr>
            </w:pPr>
          </w:p>
        </w:tc>
        <w:tc>
          <w:tcPr>
            <w:tcW w:w="1087" w:type="dxa"/>
            <w:noWrap w:val="0"/>
            <w:vAlign w:val="top"/>
          </w:tcPr>
          <w:p w14:paraId="13439896">
            <w:pPr>
              <w:spacing w:line="360" w:lineRule="auto"/>
              <w:jc w:val="center"/>
              <w:rPr>
                <w:rFonts w:hint="eastAsia" w:ascii="宋体" w:hAnsi="宋体" w:eastAsia="宋体" w:cs="宋体"/>
                <w:bCs/>
                <w:color w:val="auto"/>
                <w:sz w:val="24"/>
                <w:highlight w:val="none"/>
              </w:rPr>
            </w:pPr>
          </w:p>
        </w:tc>
      </w:tr>
      <w:tr w14:paraId="5A7D30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37" w:hRule="atLeast"/>
          <w:jc w:val="center"/>
        </w:trPr>
        <w:tc>
          <w:tcPr>
            <w:tcW w:w="836" w:type="dxa"/>
            <w:noWrap w:val="0"/>
            <w:vAlign w:val="top"/>
          </w:tcPr>
          <w:p w14:paraId="779B33D0">
            <w:pPr>
              <w:spacing w:line="360" w:lineRule="auto"/>
              <w:jc w:val="center"/>
              <w:rPr>
                <w:rFonts w:hint="eastAsia" w:ascii="宋体" w:hAnsi="宋体" w:eastAsia="宋体" w:cs="宋体"/>
                <w:bCs/>
                <w:color w:val="auto"/>
                <w:sz w:val="24"/>
                <w:highlight w:val="none"/>
              </w:rPr>
            </w:pPr>
          </w:p>
        </w:tc>
        <w:tc>
          <w:tcPr>
            <w:tcW w:w="3266" w:type="dxa"/>
            <w:noWrap w:val="0"/>
            <w:vAlign w:val="top"/>
          </w:tcPr>
          <w:p w14:paraId="3230526A">
            <w:pPr>
              <w:spacing w:line="360" w:lineRule="auto"/>
              <w:jc w:val="center"/>
              <w:rPr>
                <w:rFonts w:hint="eastAsia" w:ascii="宋体" w:hAnsi="宋体" w:eastAsia="宋体" w:cs="宋体"/>
                <w:bCs/>
                <w:color w:val="auto"/>
                <w:sz w:val="24"/>
                <w:highlight w:val="none"/>
              </w:rPr>
            </w:pPr>
          </w:p>
        </w:tc>
        <w:tc>
          <w:tcPr>
            <w:tcW w:w="3599" w:type="dxa"/>
            <w:noWrap w:val="0"/>
            <w:vAlign w:val="top"/>
          </w:tcPr>
          <w:p w14:paraId="5DD3C444">
            <w:pPr>
              <w:spacing w:line="360" w:lineRule="auto"/>
              <w:jc w:val="center"/>
              <w:rPr>
                <w:rFonts w:hint="eastAsia" w:ascii="宋体" w:hAnsi="宋体" w:eastAsia="宋体" w:cs="宋体"/>
                <w:bCs/>
                <w:color w:val="auto"/>
                <w:sz w:val="24"/>
                <w:highlight w:val="none"/>
              </w:rPr>
            </w:pPr>
          </w:p>
        </w:tc>
        <w:tc>
          <w:tcPr>
            <w:tcW w:w="1062" w:type="dxa"/>
            <w:noWrap w:val="0"/>
            <w:vAlign w:val="top"/>
          </w:tcPr>
          <w:p w14:paraId="0F6F8691">
            <w:pPr>
              <w:spacing w:line="360" w:lineRule="auto"/>
              <w:jc w:val="center"/>
              <w:rPr>
                <w:rFonts w:hint="eastAsia" w:ascii="宋体" w:hAnsi="宋体" w:eastAsia="宋体" w:cs="宋体"/>
                <w:bCs/>
                <w:color w:val="auto"/>
                <w:sz w:val="24"/>
                <w:highlight w:val="none"/>
              </w:rPr>
            </w:pPr>
          </w:p>
        </w:tc>
        <w:tc>
          <w:tcPr>
            <w:tcW w:w="1087" w:type="dxa"/>
            <w:noWrap w:val="0"/>
            <w:vAlign w:val="top"/>
          </w:tcPr>
          <w:p w14:paraId="5DD74736">
            <w:pPr>
              <w:spacing w:line="360" w:lineRule="auto"/>
              <w:jc w:val="center"/>
              <w:rPr>
                <w:rFonts w:hint="eastAsia" w:ascii="宋体" w:hAnsi="宋体" w:eastAsia="宋体" w:cs="宋体"/>
                <w:bCs/>
                <w:color w:val="auto"/>
                <w:sz w:val="24"/>
                <w:highlight w:val="none"/>
              </w:rPr>
            </w:pPr>
          </w:p>
        </w:tc>
      </w:tr>
      <w:tr w14:paraId="348219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37" w:hRule="atLeast"/>
          <w:jc w:val="center"/>
        </w:trPr>
        <w:tc>
          <w:tcPr>
            <w:tcW w:w="836" w:type="dxa"/>
            <w:noWrap w:val="0"/>
            <w:vAlign w:val="top"/>
          </w:tcPr>
          <w:p w14:paraId="4666E8A2">
            <w:pPr>
              <w:spacing w:line="360" w:lineRule="auto"/>
              <w:jc w:val="center"/>
              <w:rPr>
                <w:rFonts w:hint="eastAsia" w:ascii="宋体" w:hAnsi="宋体" w:eastAsia="宋体" w:cs="宋体"/>
                <w:bCs/>
                <w:color w:val="auto"/>
                <w:sz w:val="24"/>
                <w:highlight w:val="none"/>
              </w:rPr>
            </w:pPr>
          </w:p>
        </w:tc>
        <w:tc>
          <w:tcPr>
            <w:tcW w:w="3266" w:type="dxa"/>
            <w:noWrap w:val="0"/>
            <w:vAlign w:val="top"/>
          </w:tcPr>
          <w:p w14:paraId="27FB1CA0">
            <w:pPr>
              <w:spacing w:line="360" w:lineRule="auto"/>
              <w:jc w:val="center"/>
              <w:rPr>
                <w:rFonts w:hint="eastAsia" w:ascii="宋体" w:hAnsi="宋体" w:eastAsia="宋体" w:cs="宋体"/>
                <w:bCs/>
                <w:color w:val="auto"/>
                <w:sz w:val="24"/>
                <w:highlight w:val="none"/>
              </w:rPr>
            </w:pPr>
          </w:p>
        </w:tc>
        <w:tc>
          <w:tcPr>
            <w:tcW w:w="3599" w:type="dxa"/>
            <w:noWrap w:val="0"/>
            <w:vAlign w:val="top"/>
          </w:tcPr>
          <w:p w14:paraId="279747B9">
            <w:pPr>
              <w:spacing w:line="360" w:lineRule="auto"/>
              <w:jc w:val="center"/>
              <w:rPr>
                <w:rFonts w:hint="eastAsia" w:ascii="宋体" w:hAnsi="宋体" w:eastAsia="宋体" w:cs="宋体"/>
                <w:bCs/>
                <w:color w:val="auto"/>
                <w:sz w:val="24"/>
                <w:highlight w:val="none"/>
              </w:rPr>
            </w:pPr>
          </w:p>
        </w:tc>
        <w:tc>
          <w:tcPr>
            <w:tcW w:w="1062" w:type="dxa"/>
            <w:noWrap w:val="0"/>
            <w:vAlign w:val="top"/>
          </w:tcPr>
          <w:p w14:paraId="48CF44C9">
            <w:pPr>
              <w:spacing w:line="360" w:lineRule="auto"/>
              <w:jc w:val="center"/>
              <w:rPr>
                <w:rFonts w:hint="eastAsia" w:ascii="宋体" w:hAnsi="宋体" w:eastAsia="宋体" w:cs="宋体"/>
                <w:bCs/>
                <w:color w:val="auto"/>
                <w:sz w:val="24"/>
                <w:highlight w:val="none"/>
              </w:rPr>
            </w:pPr>
          </w:p>
        </w:tc>
        <w:tc>
          <w:tcPr>
            <w:tcW w:w="1087" w:type="dxa"/>
            <w:noWrap w:val="0"/>
            <w:vAlign w:val="top"/>
          </w:tcPr>
          <w:p w14:paraId="39167945">
            <w:pPr>
              <w:spacing w:line="360" w:lineRule="auto"/>
              <w:jc w:val="center"/>
              <w:rPr>
                <w:rFonts w:hint="eastAsia" w:ascii="宋体" w:hAnsi="宋体" w:eastAsia="宋体" w:cs="宋体"/>
                <w:bCs/>
                <w:color w:val="auto"/>
                <w:sz w:val="24"/>
                <w:highlight w:val="none"/>
              </w:rPr>
            </w:pPr>
          </w:p>
        </w:tc>
      </w:tr>
      <w:tr w14:paraId="0C5025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37" w:hRule="atLeast"/>
          <w:jc w:val="center"/>
        </w:trPr>
        <w:tc>
          <w:tcPr>
            <w:tcW w:w="836" w:type="dxa"/>
            <w:noWrap w:val="0"/>
            <w:vAlign w:val="top"/>
          </w:tcPr>
          <w:p w14:paraId="1A0D3B00">
            <w:pPr>
              <w:spacing w:line="360" w:lineRule="auto"/>
              <w:jc w:val="center"/>
              <w:rPr>
                <w:rFonts w:hint="eastAsia" w:ascii="宋体" w:hAnsi="宋体" w:eastAsia="宋体" w:cs="宋体"/>
                <w:bCs/>
                <w:color w:val="auto"/>
                <w:sz w:val="24"/>
                <w:highlight w:val="none"/>
              </w:rPr>
            </w:pPr>
          </w:p>
        </w:tc>
        <w:tc>
          <w:tcPr>
            <w:tcW w:w="3266" w:type="dxa"/>
            <w:noWrap w:val="0"/>
            <w:vAlign w:val="top"/>
          </w:tcPr>
          <w:p w14:paraId="4431826A">
            <w:pPr>
              <w:spacing w:line="360" w:lineRule="auto"/>
              <w:jc w:val="center"/>
              <w:rPr>
                <w:rFonts w:hint="eastAsia" w:ascii="宋体" w:hAnsi="宋体" w:eastAsia="宋体" w:cs="宋体"/>
                <w:bCs/>
                <w:color w:val="auto"/>
                <w:sz w:val="24"/>
                <w:highlight w:val="none"/>
              </w:rPr>
            </w:pPr>
          </w:p>
        </w:tc>
        <w:tc>
          <w:tcPr>
            <w:tcW w:w="3599" w:type="dxa"/>
            <w:noWrap w:val="0"/>
            <w:vAlign w:val="top"/>
          </w:tcPr>
          <w:p w14:paraId="2B8D620F">
            <w:pPr>
              <w:spacing w:line="360" w:lineRule="auto"/>
              <w:jc w:val="center"/>
              <w:rPr>
                <w:rFonts w:hint="eastAsia" w:ascii="宋体" w:hAnsi="宋体" w:eastAsia="宋体" w:cs="宋体"/>
                <w:bCs/>
                <w:color w:val="auto"/>
                <w:sz w:val="24"/>
                <w:highlight w:val="none"/>
              </w:rPr>
            </w:pPr>
          </w:p>
        </w:tc>
        <w:tc>
          <w:tcPr>
            <w:tcW w:w="1062" w:type="dxa"/>
            <w:noWrap w:val="0"/>
            <w:vAlign w:val="top"/>
          </w:tcPr>
          <w:p w14:paraId="0DAAF400">
            <w:pPr>
              <w:spacing w:line="360" w:lineRule="auto"/>
              <w:jc w:val="center"/>
              <w:rPr>
                <w:rFonts w:hint="eastAsia" w:ascii="宋体" w:hAnsi="宋体" w:eastAsia="宋体" w:cs="宋体"/>
                <w:bCs/>
                <w:color w:val="auto"/>
                <w:sz w:val="24"/>
                <w:highlight w:val="none"/>
              </w:rPr>
            </w:pPr>
          </w:p>
        </w:tc>
        <w:tc>
          <w:tcPr>
            <w:tcW w:w="1087" w:type="dxa"/>
            <w:noWrap w:val="0"/>
            <w:vAlign w:val="top"/>
          </w:tcPr>
          <w:p w14:paraId="77D52566">
            <w:pPr>
              <w:spacing w:line="360" w:lineRule="auto"/>
              <w:jc w:val="center"/>
              <w:rPr>
                <w:rFonts w:hint="eastAsia" w:ascii="宋体" w:hAnsi="宋体" w:eastAsia="宋体" w:cs="宋体"/>
                <w:bCs/>
                <w:color w:val="auto"/>
                <w:sz w:val="24"/>
                <w:highlight w:val="none"/>
              </w:rPr>
            </w:pPr>
          </w:p>
        </w:tc>
      </w:tr>
      <w:tr w14:paraId="71CC89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37" w:hRule="atLeast"/>
          <w:jc w:val="center"/>
        </w:trPr>
        <w:tc>
          <w:tcPr>
            <w:tcW w:w="836" w:type="dxa"/>
            <w:noWrap w:val="0"/>
            <w:vAlign w:val="top"/>
          </w:tcPr>
          <w:p w14:paraId="2AE84584">
            <w:pPr>
              <w:spacing w:line="360" w:lineRule="auto"/>
              <w:jc w:val="center"/>
              <w:rPr>
                <w:rFonts w:hint="eastAsia" w:ascii="宋体" w:hAnsi="宋体" w:eastAsia="宋体" w:cs="宋体"/>
                <w:bCs/>
                <w:color w:val="auto"/>
                <w:sz w:val="24"/>
                <w:highlight w:val="none"/>
              </w:rPr>
            </w:pPr>
          </w:p>
        </w:tc>
        <w:tc>
          <w:tcPr>
            <w:tcW w:w="3266" w:type="dxa"/>
            <w:noWrap w:val="0"/>
            <w:vAlign w:val="top"/>
          </w:tcPr>
          <w:p w14:paraId="51A1DE86">
            <w:pPr>
              <w:spacing w:line="360" w:lineRule="auto"/>
              <w:jc w:val="center"/>
              <w:rPr>
                <w:rFonts w:hint="eastAsia" w:ascii="宋体" w:hAnsi="宋体" w:eastAsia="宋体" w:cs="宋体"/>
                <w:bCs/>
                <w:color w:val="auto"/>
                <w:sz w:val="24"/>
                <w:highlight w:val="none"/>
              </w:rPr>
            </w:pPr>
          </w:p>
        </w:tc>
        <w:tc>
          <w:tcPr>
            <w:tcW w:w="3599" w:type="dxa"/>
            <w:noWrap w:val="0"/>
            <w:vAlign w:val="top"/>
          </w:tcPr>
          <w:p w14:paraId="25754CFC">
            <w:pPr>
              <w:spacing w:line="360" w:lineRule="auto"/>
              <w:jc w:val="center"/>
              <w:rPr>
                <w:rFonts w:hint="eastAsia" w:ascii="宋体" w:hAnsi="宋体" w:eastAsia="宋体" w:cs="宋体"/>
                <w:bCs/>
                <w:color w:val="auto"/>
                <w:sz w:val="24"/>
                <w:highlight w:val="none"/>
              </w:rPr>
            </w:pPr>
          </w:p>
        </w:tc>
        <w:tc>
          <w:tcPr>
            <w:tcW w:w="1062" w:type="dxa"/>
            <w:noWrap w:val="0"/>
            <w:vAlign w:val="top"/>
          </w:tcPr>
          <w:p w14:paraId="0B26B286">
            <w:pPr>
              <w:spacing w:line="360" w:lineRule="auto"/>
              <w:jc w:val="center"/>
              <w:rPr>
                <w:rFonts w:hint="eastAsia" w:ascii="宋体" w:hAnsi="宋体" w:eastAsia="宋体" w:cs="宋体"/>
                <w:bCs/>
                <w:color w:val="auto"/>
                <w:sz w:val="24"/>
                <w:highlight w:val="none"/>
              </w:rPr>
            </w:pPr>
          </w:p>
        </w:tc>
        <w:tc>
          <w:tcPr>
            <w:tcW w:w="1087" w:type="dxa"/>
            <w:noWrap w:val="0"/>
            <w:vAlign w:val="top"/>
          </w:tcPr>
          <w:p w14:paraId="1B09189F">
            <w:pPr>
              <w:spacing w:line="360" w:lineRule="auto"/>
              <w:jc w:val="center"/>
              <w:rPr>
                <w:rFonts w:hint="eastAsia" w:ascii="宋体" w:hAnsi="宋体" w:eastAsia="宋体" w:cs="宋体"/>
                <w:bCs/>
                <w:color w:val="auto"/>
                <w:sz w:val="24"/>
                <w:highlight w:val="none"/>
              </w:rPr>
            </w:pPr>
          </w:p>
        </w:tc>
      </w:tr>
      <w:tr w14:paraId="6A2205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37" w:hRule="atLeast"/>
          <w:jc w:val="center"/>
        </w:trPr>
        <w:tc>
          <w:tcPr>
            <w:tcW w:w="836" w:type="dxa"/>
            <w:noWrap w:val="0"/>
            <w:vAlign w:val="top"/>
          </w:tcPr>
          <w:p w14:paraId="52645C39">
            <w:pPr>
              <w:spacing w:line="360" w:lineRule="auto"/>
              <w:jc w:val="center"/>
              <w:rPr>
                <w:rFonts w:hint="eastAsia" w:ascii="宋体" w:hAnsi="宋体" w:eastAsia="宋体" w:cs="宋体"/>
                <w:bCs/>
                <w:color w:val="auto"/>
                <w:sz w:val="24"/>
                <w:highlight w:val="none"/>
              </w:rPr>
            </w:pPr>
          </w:p>
        </w:tc>
        <w:tc>
          <w:tcPr>
            <w:tcW w:w="3266" w:type="dxa"/>
            <w:noWrap w:val="0"/>
            <w:vAlign w:val="top"/>
          </w:tcPr>
          <w:p w14:paraId="410DA93E">
            <w:pPr>
              <w:spacing w:line="360" w:lineRule="auto"/>
              <w:jc w:val="center"/>
              <w:rPr>
                <w:rFonts w:hint="eastAsia" w:ascii="宋体" w:hAnsi="宋体" w:eastAsia="宋体" w:cs="宋体"/>
                <w:bCs/>
                <w:color w:val="auto"/>
                <w:sz w:val="24"/>
                <w:highlight w:val="none"/>
              </w:rPr>
            </w:pPr>
          </w:p>
        </w:tc>
        <w:tc>
          <w:tcPr>
            <w:tcW w:w="3599" w:type="dxa"/>
            <w:noWrap w:val="0"/>
            <w:vAlign w:val="top"/>
          </w:tcPr>
          <w:p w14:paraId="73807712">
            <w:pPr>
              <w:spacing w:line="360" w:lineRule="auto"/>
              <w:jc w:val="center"/>
              <w:rPr>
                <w:rFonts w:hint="eastAsia" w:ascii="宋体" w:hAnsi="宋体" w:eastAsia="宋体" w:cs="宋体"/>
                <w:bCs/>
                <w:color w:val="auto"/>
                <w:sz w:val="24"/>
                <w:highlight w:val="none"/>
              </w:rPr>
            </w:pPr>
          </w:p>
        </w:tc>
        <w:tc>
          <w:tcPr>
            <w:tcW w:w="1062" w:type="dxa"/>
            <w:noWrap w:val="0"/>
            <w:vAlign w:val="top"/>
          </w:tcPr>
          <w:p w14:paraId="5A5260E7">
            <w:pPr>
              <w:spacing w:line="360" w:lineRule="auto"/>
              <w:jc w:val="center"/>
              <w:rPr>
                <w:rFonts w:hint="eastAsia" w:ascii="宋体" w:hAnsi="宋体" w:eastAsia="宋体" w:cs="宋体"/>
                <w:bCs/>
                <w:color w:val="auto"/>
                <w:sz w:val="24"/>
                <w:highlight w:val="none"/>
              </w:rPr>
            </w:pPr>
          </w:p>
        </w:tc>
        <w:tc>
          <w:tcPr>
            <w:tcW w:w="1087" w:type="dxa"/>
            <w:noWrap w:val="0"/>
            <w:vAlign w:val="top"/>
          </w:tcPr>
          <w:p w14:paraId="07BA571F">
            <w:pPr>
              <w:spacing w:line="360" w:lineRule="auto"/>
              <w:jc w:val="center"/>
              <w:rPr>
                <w:rFonts w:hint="eastAsia" w:ascii="宋体" w:hAnsi="宋体" w:eastAsia="宋体" w:cs="宋体"/>
                <w:bCs/>
                <w:color w:val="auto"/>
                <w:sz w:val="24"/>
                <w:highlight w:val="none"/>
              </w:rPr>
            </w:pPr>
          </w:p>
        </w:tc>
      </w:tr>
      <w:tr w14:paraId="1EA182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37" w:hRule="atLeast"/>
          <w:jc w:val="center"/>
        </w:trPr>
        <w:tc>
          <w:tcPr>
            <w:tcW w:w="836" w:type="dxa"/>
            <w:noWrap w:val="0"/>
            <w:vAlign w:val="top"/>
          </w:tcPr>
          <w:p w14:paraId="4D331707">
            <w:pPr>
              <w:spacing w:line="360" w:lineRule="auto"/>
              <w:jc w:val="center"/>
              <w:rPr>
                <w:rFonts w:hint="eastAsia" w:ascii="宋体" w:hAnsi="宋体" w:eastAsia="宋体" w:cs="宋体"/>
                <w:bCs/>
                <w:color w:val="auto"/>
                <w:sz w:val="24"/>
                <w:highlight w:val="none"/>
              </w:rPr>
            </w:pPr>
          </w:p>
        </w:tc>
        <w:tc>
          <w:tcPr>
            <w:tcW w:w="3266" w:type="dxa"/>
            <w:noWrap w:val="0"/>
            <w:vAlign w:val="top"/>
          </w:tcPr>
          <w:p w14:paraId="0D317968">
            <w:pPr>
              <w:spacing w:line="360" w:lineRule="auto"/>
              <w:jc w:val="center"/>
              <w:rPr>
                <w:rFonts w:hint="eastAsia" w:ascii="宋体" w:hAnsi="宋体" w:eastAsia="宋体" w:cs="宋体"/>
                <w:bCs/>
                <w:color w:val="auto"/>
                <w:sz w:val="24"/>
                <w:highlight w:val="none"/>
              </w:rPr>
            </w:pPr>
          </w:p>
        </w:tc>
        <w:tc>
          <w:tcPr>
            <w:tcW w:w="3599" w:type="dxa"/>
            <w:noWrap w:val="0"/>
            <w:vAlign w:val="top"/>
          </w:tcPr>
          <w:p w14:paraId="215594AD">
            <w:pPr>
              <w:spacing w:line="360" w:lineRule="auto"/>
              <w:jc w:val="center"/>
              <w:rPr>
                <w:rFonts w:hint="eastAsia" w:ascii="宋体" w:hAnsi="宋体" w:eastAsia="宋体" w:cs="宋体"/>
                <w:bCs/>
                <w:color w:val="auto"/>
                <w:sz w:val="24"/>
                <w:highlight w:val="none"/>
              </w:rPr>
            </w:pPr>
          </w:p>
        </w:tc>
        <w:tc>
          <w:tcPr>
            <w:tcW w:w="1062" w:type="dxa"/>
            <w:noWrap w:val="0"/>
            <w:vAlign w:val="top"/>
          </w:tcPr>
          <w:p w14:paraId="079DAFAC">
            <w:pPr>
              <w:spacing w:line="360" w:lineRule="auto"/>
              <w:jc w:val="center"/>
              <w:rPr>
                <w:rFonts w:hint="eastAsia" w:ascii="宋体" w:hAnsi="宋体" w:eastAsia="宋体" w:cs="宋体"/>
                <w:bCs/>
                <w:color w:val="auto"/>
                <w:sz w:val="24"/>
                <w:highlight w:val="none"/>
              </w:rPr>
            </w:pPr>
          </w:p>
        </w:tc>
        <w:tc>
          <w:tcPr>
            <w:tcW w:w="1087" w:type="dxa"/>
            <w:noWrap w:val="0"/>
            <w:vAlign w:val="top"/>
          </w:tcPr>
          <w:p w14:paraId="70DE8FB6">
            <w:pPr>
              <w:spacing w:line="360" w:lineRule="auto"/>
              <w:jc w:val="center"/>
              <w:rPr>
                <w:rFonts w:hint="eastAsia" w:ascii="宋体" w:hAnsi="宋体" w:eastAsia="宋体" w:cs="宋体"/>
                <w:bCs/>
                <w:color w:val="auto"/>
                <w:sz w:val="24"/>
                <w:highlight w:val="none"/>
              </w:rPr>
            </w:pPr>
          </w:p>
        </w:tc>
      </w:tr>
      <w:tr w14:paraId="3D13EC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37" w:hRule="atLeast"/>
          <w:jc w:val="center"/>
        </w:trPr>
        <w:tc>
          <w:tcPr>
            <w:tcW w:w="836" w:type="dxa"/>
            <w:noWrap w:val="0"/>
            <w:vAlign w:val="top"/>
          </w:tcPr>
          <w:p w14:paraId="076C86D3">
            <w:pPr>
              <w:spacing w:line="360" w:lineRule="auto"/>
              <w:jc w:val="center"/>
              <w:rPr>
                <w:rFonts w:hint="eastAsia" w:ascii="宋体" w:hAnsi="宋体" w:eastAsia="宋体" w:cs="宋体"/>
                <w:bCs/>
                <w:color w:val="auto"/>
                <w:sz w:val="24"/>
                <w:highlight w:val="none"/>
              </w:rPr>
            </w:pPr>
          </w:p>
        </w:tc>
        <w:tc>
          <w:tcPr>
            <w:tcW w:w="3266" w:type="dxa"/>
            <w:noWrap w:val="0"/>
            <w:vAlign w:val="top"/>
          </w:tcPr>
          <w:p w14:paraId="06FCB070">
            <w:pPr>
              <w:spacing w:line="360" w:lineRule="auto"/>
              <w:jc w:val="center"/>
              <w:rPr>
                <w:rFonts w:hint="eastAsia" w:ascii="宋体" w:hAnsi="宋体" w:eastAsia="宋体" w:cs="宋体"/>
                <w:bCs/>
                <w:color w:val="auto"/>
                <w:sz w:val="24"/>
                <w:highlight w:val="none"/>
              </w:rPr>
            </w:pPr>
          </w:p>
        </w:tc>
        <w:tc>
          <w:tcPr>
            <w:tcW w:w="3599" w:type="dxa"/>
            <w:noWrap w:val="0"/>
            <w:vAlign w:val="top"/>
          </w:tcPr>
          <w:p w14:paraId="5C885066">
            <w:pPr>
              <w:spacing w:line="360" w:lineRule="auto"/>
              <w:jc w:val="center"/>
              <w:rPr>
                <w:rFonts w:hint="eastAsia" w:ascii="宋体" w:hAnsi="宋体" w:eastAsia="宋体" w:cs="宋体"/>
                <w:bCs/>
                <w:color w:val="auto"/>
                <w:sz w:val="24"/>
                <w:highlight w:val="none"/>
              </w:rPr>
            </w:pPr>
          </w:p>
        </w:tc>
        <w:tc>
          <w:tcPr>
            <w:tcW w:w="1062" w:type="dxa"/>
            <w:noWrap w:val="0"/>
            <w:vAlign w:val="top"/>
          </w:tcPr>
          <w:p w14:paraId="2B32D0BF">
            <w:pPr>
              <w:spacing w:line="360" w:lineRule="auto"/>
              <w:jc w:val="center"/>
              <w:rPr>
                <w:rFonts w:hint="eastAsia" w:ascii="宋体" w:hAnsi="宋体" w:eastAsia="宋体" w:cs="宋体"/>
                <w:bCs/>
                <w:color w:val="auto"/>
                <w:sz w:val="24"/>
                <w:highlight w:val="none"/>
              </w:rPr>
            </w:pPr>
          </w:p>
        </w:tc>
        <w:tc>
          <w:tcPr>
            <w:tcW w:w="1087" w:type="dxa"/>
            <w:noWrap w:val="0"/>
            <w:vAlign w:val="top"/>
          </w:tcPr>
          <w:p w14:paraId="0B5E22BD">
            <w:pPr>
              <w:spacing w:line="360" w:lineRule="auto"/>
              <w:jc w:val="center"/>
              <w:rPr>
                <w:rFonts w:hint="eastAsia" w:ascii="宋体" w:hAnsi="宋体" w:eastAsia="宋体" w:cs="宋体"/>
                <w:bCs/>
                <w:color w:val="auto"/>
                <w:sz w:val="24"/>
                <w:highlight w:val="none"/>
              </w:rPr>
            </w:pPr>
          </w:p>
        </w:tc>
      </w:tr>
      <w:tr w14:paraId="385212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37" w:hRule="atLeast"/>
          <w:jc w:val="center"/>
        </w:trPr>
        <w:tc>
          <w:tcPr>
            <w:tcW w:w="836" w:type="dxa"/>
            <w:noWrap w:val="0"/>
            <w:vAlign w:val="top"/>
          </w:tcPr>
          <w:p w14:paraId="53D9A265">
            <w:pPr>
              <w:spacing w:line="360" w:lineRule="auto"/>
              <w:jc w:val="center"/>
              <w:rPr>
                <w:rFonts w:hint="eastAsia" w:ascii="宋体" w:hAnsi="宋体" w:eastAsia="宋体" w:cs="宋体"/>
                <w:bCs/>
                <w:color w:val="auto"/>
                <w:sz w:val="24"/>
                <w:highlight w:val="none"/>
              </w:rPr>
            </w:pPr>
          </w:p>
        </w:tc>
        <w:tc>
          <w:tcPr>
            <w:tcW w:w="3266" w:type="dxa"/>
            <w:noWrap w:val="0"/>
            <w:vAlign w:val="top"/>
          </w:tcPr>
          <w:p w14:paraId="07782679">
            <w:pPr>
              <w:spacing w:line="360" w:lineRule="auto"/>
              <w:jc w:val="center"/>
              <w:rPr>
                <w:rFonts w:hint="eastAsia" w:ascii="宋体" w:hAnsi="宋体" w:eastAsia="宋体" w:cs="宋体"/>
                <w:bCs/>
                <w:color w:val="auto"/>
                <w:sz w:val="24"/>
                <w:highlight w:val="none"/>
              </w:rPr>
            </w:pPr>
          </w:p>
        </w:tc>
        <w:tc>
          <w:tcPr>
            <w:tcW w:w="3599" w:type="dxa"/>
            <w:noWrap w:val="0"/>
            <w:vAlign w:val="top"/>
          </w:tcPr>
          <w:p w14:paraId="0720718A">
            <w:pPr>
              <w:spacing w:line="360" w:lineRule="auto"/>
              <w:jc w:val="center"/>
              <w:rPr>
                <w:rFonts w:hint="eastAsia" w:ascii="宋体" w:hAnsi="宋体" w:eastAsia="宋体" w:cs="宋体"/>
                <w:bCs/>
                <w:color w:val="auto"/>
                <w:sz w:val="24"/>
                <w:highlight w:val="none"/>
              </w:rPr>
            </w:pPr>
          </w:p>
        </w:tc>
        <w:tc>
          <w:tcPr>
            <w:tcW w:w="1062" w:type="dxa"/>
            <w:noWrap w:val="0"/>
            <w:vAlign w:val="top"/>
          </w:tcPr>
          <w:p w14:paraId="074C9547">
            <w:pPr>
              <w:spacing w:line="360" w:lineRule="auto"/>
              <w:jc w:val="center"/>
              <w:rPr>
                <w:rFonts w:hint="eastAsia" w:ascii="宋体" w:hAnsi="宋体" w:eastAsia="宋体" w:cs="宋体"/>
                <w:bCs/>
                <w:color w:val="auto"/>
                <w:sz w:val="24"/>
                <w:highlight w:val="none"/>
              </w:rPr>
            </w:pPr>
          </w:p>
        </w:tc>
        <w:tc>
          <w:tcPr>
            <w:tcW w:w="1087" w:type="dxa"/>
            <w:noWrap w:val="0"/>
            <w:vAlign w:val="top"/>
          </w:tcPr>
          <w:p w14:paraId="3C49047E">
            <w:pPr>
              <w:spacing w:line="360" w:lineRule="auto"/>
              <w:jc w:val="center"/>
              <w:rPr>
                <w:rFonts w:hint="eastAsia" w:ascii="宋体" w:hAnsi="宋体" w:eastAsia="宋体" w:cs="宋体"/>
                <w:bCs/>
                <w:color w:val="auto"/>
                <w:sz w:val="24"/>
                <w:highlight w:val="none"/>
              </w:rPr>
            </w:pPr>
          </w:p>
        </w:tc>
      </w:tr>
      <w:tr w14:paraId="3CDC8A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37" w:hRule="atLeast"/>
          <w:jc w:val="center"/>
        </w:trPr>
        <w:tc>
          <w:tcPr>
            <w:tcW w:w="836" w:type="dxa"/>
            <w:noWrap w:val="0"/>
            <w:vAlign w:val="top"/>
          </w:tcPr>
          <w:p w14:paraId="5A634BA8">
            <w:pPr>
              <w:spacing w:line="360" w:lineRule="auto"/>
              <w:jc w:val="center"/>
              <w:rPr>
                <w:rFonts w:hint="eastAsia" w:ascii="宋体" w:hAnsi="宋体" w:eastAsia="宋体" w:cs="宋体"/>
                <w:bCs/>
                <w:color w:val="auto"/>
                <w:sz w:val="24"/>
                <w:highlight w:val="none"/>
              </w:rPr>
            </w:pPr>
          </w:p>
        </w:tc>
        <w:tc>
          <w:tcPr>
            <w:tcW w:w="3266" w:type="dxa"/>
            <w:noWrap w:val="0"/>
            <w:vAlign w:val="top"/>
          </w:tcPr>
          <w:p w14:paraId="3836690D">
            <w:pPr>
              <w:spacing w:line="360" w:lineRule="auto"/>
              <w:jc w:val="center"/>
              <w:rPr>
                <w:rFonts w:hint="eastAsia" w:ascii="宋体" w:hAnsi="宋体" w:eastAsia="宋体" w:cs="宋体"/>
                <w:bCs/>
                <w:color w:val="auto"/>
                <w:sz w:val="24"/>
                <w:highlight w:val="none"/>
              </w:rPr>
            </w:pPr>
          </w:p>
        </w:tc>
        <w:tc>
          <w:tcPr>
            <w:tcW w:w="3599" w:type="dxa"/>
            <w:noWrap w:val="0"/>
            <w:vAlign w:val="top"/>
          </w:tcPr>
          <w:p w14:paraId="019999B5">
            <w:pPr>
              <w:spacing w:line="360" w:lineRule="auto"/>
              <w:jc w:val="center"/>
              <w:rPr>
                <w:rFonts w:hint="eastAsia" w:ascii="宋体" w:hAnsi="宋体" w:eastAsia="宋体" w:cs="宋体"/>
                <w:bCs/>
                <w:color w:val="auto"/>
                <w:sz w:val="24"/>
                <w:highlight w:val="none"/>
              </w:rPr>
            </w:pPr>
          </w:p>
        </w:tc>
        <w:tc>
          <w:tcPr>
            <w:tcW w:w="1062" w:type="dxa"/>
            <w:noWrap w:val="0"/>
            <w:vAlign w:val="top"/>
          </w:tcPr>
          <w:p w14:paraId="4057D562">
            <w:pPr>
              <w:spacing w:line="360" w:lineRule="auto"/>
              <w:jc w:val="center"/>
              <w:rPr>
                <w:rFonts w:hint="eastAsia" w:ascii="宋体" w:hAnsi="宋体" w:eastAsia="宋体" w:cs="宋体"/>
                <w:bCs/>
                <w:color w:val="auto"/>
                <w:sz w:val="24"/>
                <w:highlight w:val="none"/>
              </w:rPr>
            </w:pPr>
          </w:p>
        </w:tc>
        <w:tc>
          <w:tcPr>
            <w:tcW w:w="1087" w:type="dxa"/>
            <w:noWrap w:val="0"/>
            <w:vAlign w:val="top"/>
          </w:tcPr>
          <w:p w14:paraId="086483EB">
            <w:pPr>
              <w:spacing w:line="360" w:lineRule="auto"/>
              <w:jc w:val="center"/>
              <w:rPr>
                <w:rFonts w:hint="eastAsia" w:ascii="宋体" w:hAnsi="宋体" w:eastAsia="宋体" w:cs="宋体"/>
                <w:bCs/>
                <w:color w:val="auto"/>
                <w:sz w:val="24"/>
                <w:highlight w:val="none"/>
              </w:rPr>
            </w:pPr>
          </w:p>
        </w:tc>
      </w:tr>
    </w:tbl>
    <w:p w14:paraId="7E07D00C">
      <w:pPr>
        <w:adjustRightInd w:val="0"/>
        <w:snapToGrid w:val="0"/>
        <w:spacing w:line="360" w:lineRule="auto"/>
        <w:rPr>
          <w:rFonts w:hint="eastAsia" w:ascii="宋体" w:hAnsi="宋体" w:eastAsia="宋体" w:cs="宋体"/>
          <w:bCs/>
          <w:color w:val="auto"/>
          <w:sz w:val="24"/>
          <w:highlight w:val="none"/>
        </w:rPr>
      </w:pPr>
    </w:p>
    <w:p w14:paraId="648B4406">
      <w:pPr>
        <w:adjustRightInd w:val="0"/>
        <w:snapToGrid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w:t>
      </w:r>
      <w:r>
        <w:rPr>
          <w:rFonts w:hint="eastAsia" w:ascii="宋体" w:hAnsi="宋体" w:eastAsia="宋体" w:cs="宋体"/>
          <w:bCs/>
          <w:color w:val="auto"/>
          <w:sz w:val="24"/>
          <w:szCs w:val="24"/>
          <w:highlight w:val="none"/>
        </w:rPr>
        <w:t>说明：</w:t>
      </w:r>
      <w:r>
        <w:rPr>
          <w:rFonts w:hint="eastAsia" w:ascii="宋体" w:hAnsi="宋体" w:eastAsia="宋体" w:cs="宋体"/>
          <w:bCs/>
          <w:color w:val="auto"/>
          <w:sz w:val="24"/>
          <w:highlight w:val="none"/>
        </w:rPr>
        <w:t>投标文件根据竞争性谈判文件商务要求须如实填写。</w:t>
      </w:r>
    </w:p>
    <w:p w14:paraId="6E439228">
      <w:pPr>
        <w:pStyle w:val="8"/>
        <w:ind w:left="630" w:leftChars="300"/>
        <w:rPr>
          <w:rFonts w:hint="eastAsia" w:ascii="宋体" w:hAnsi="宋体" w:eastAsia="宋体" w:cs="宋体"/>
          <w:bCs/>
          <w:color w:val="auto"/>
          <w:highlight w:val="none"/>
        </w:rPr>
      </w:pPr>
    </w:p>
    <w:p w14:paraId="55FC7F03">
      <w:pPr>
        <w:rPr>
          <w:rFonts w:hint="eastAsia" w:ascii="宋体" w:hAnsi="宋体" w:eastAsia="宋体" w:cs="宋体"/>
          <w:bCs/>
          <w:color w:val="auto"/>
          <w:highlight w:val="none"/>
        </w:rPr>
      </w:pPr>
    </w:p>
    <w:p w14:paraId="62134959">
      <w:pPr>
        <w:spacing w:line="360" w:lineRule="auto"/>
        <w:rPr>
          <w:rFonts w:hint="eastAsia" w:ascii="宋体" w:hAnsi="宋体" w:eastAsia="宋体" w:cs="宋体"/>
          <w:bCs/>
          <w:color w:val="auto"/>
          <w:sz w:val="24"/>
          <w:highlight w:val="none"/>
        </w:rPr>
      </w:pPr>
    </w:p>
    <w:p w14:paraId="7F606CF2">
      <w:pPr>
        <w:spacing w:line="360" w:lineRule="auto"/>
        <w:ind w:right="-161" w:firstLine="2640" w:firstLineChars="1100"/>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法定代表人或被授权代表（签字或盖章）：</w:t>
      </w:r>
      <w:r>
        <w:rPr>
          <w:rFonts w:hint="eastAsia" w:ascii="宋体" w:hAnsi="宋体" w:eastAsia="宋体" w:cs="宋体"/>
          <w:bCs/>
          <w:color w:val="auto"/>
          <w:sz w:val="24"/>
          <w:szCs w:val="24"/>
          <w:highlight w:val="none"/>
          <w:u w:val="single"/>
        </w:rPr>
        <w:t xml:space="preserve">                          </w:t>
      </w:r>
    </w:p>
    <w:p w14:paraId="50C3CCBA">
      <w:pPr>
        <w:spacing w:line="360" w:lineRule="auto"/>
        <w:ind w:right="-161" w:firstLine="2640" w:firstLineChars="11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供    应    商 （公   章）：</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              </w:t>
      </w:r>
    </w:p>
    <w:p w14:paraId="4A999295">
      <w:pPr>
        <w:spacing w:line="360" w:lineRule="auto"/>
        <w:ind w:right="-161" w:firstLine="2640" w:firstLineChars="1100"/>
        <w:rPr>
          <w:rFonts w:hint="eastAsia" w:ascii="宋体" w:hAnsi="宋体" w:eastAsia="宋体" w:cs="宋体"/>
          <w:bCs/>
          <w:color w:val="auto"/>
          <w:szCs w:val="32"/>
          <w:highlight w:val="none"/>
        </w:rPr>
      </w:pPr>
      <w:r>
        <w:rPr>
          <w:rFonts w:hint="eastAsia" w:ascii="宋体" w:hAnsi="宋体" w:eastAsia="宋体" w:cs="宋体"/>
          <w:bCs/>
          <w:color w:val="auto"/>
          <w:sz w:val="24"/>
          <w:szCs w:val="24"/>
          <w:highlight w:val="none"/>
        </w:rPr>
        <w:t>日                      期：</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 </w:t>
      </w:r>
    </w:p>
    <w:p w14:paraId="5CB6D9EE">
      <w:pPr>
        <w:jc w:val="center"/>
        <w:rPr>
          <w:rFonts w:hint="eastAsia" w:ascii="宋体" w:hAnsi="宋体" w:eastAsia="宋体" w:cs="宋体"/>
          <w:bCs/>
          <w:color w:val="auto"/>
          <w:sz w:val="32"/>
          <w:szCs w:val="32"/>
          <w:highlight w:val="none"/>
        </w:rPr>
        <w:sectPr>
          <w:pgSz w:w="11906" w:h="16838"/>
          <w:pgMar w:top="1440" w:right="1080" w:bottom="1440" w:left="1080" w:header="720" w:footer="1134" w:gutter="0"/>
          <w:pgNumType w:fmt="decimal"/>
          <w:cols w:space="720" w:num="1"/>
          <w:titlePg/>
          <w:docGrid w:type="lines" w:linePitch="312" w:charSpace="0"/>
        </w:sectPr>
      </w:pPr>
    </w:p>
    <w:p w14:paraId="52F30574">
      <w:pPr>
        <w:numPr>
          <w:ilvl w:val="0"/>
          <w:numId w:val="0"/>
        </w:numPr>
        <w:spacing w:line="360" w:lineRule="atLeast"/>
        <w:jc w:val="center"/>
        <w:outlineLvl w:val="0"/>
        <w:rPr>
          <w:rFonts w:hint="eastAsia" w:ascii="宋体" w:hAnsi="宋体" w:eastAsia="宋体" w:cs="宋体"/>
          <w:bCs/>
          <w:color w:val="auto"/>
          <w:sz w:val="30"/>
          <w:szCs w:val="30"/>
          <w:highlight w:val="none"/>
          <w:lang w:val="en-US" w:eastAsia="zh-CN"/>
        </w:rPr>
      </w:pPr>
      <w:bookmarkStart w:id="568" w:name="_Toc11797"/>
      <w:bookmarkStart w:id="569" w:name="_Toc5043"/>
      <w:bookmarkStart w:id="570" w:name="_Toc16173"/>
      <w:r>
        <w:rPr>
          <w:rFonts w:hint="eastAsia" w:ascii="宋体" w:hAnsi="宋体" w:cs="宋体"/>
          <w:bCs/>
          <w:color w:val="auto"/>
          <w:sz w:val="30"/>
          <w:szCs w:val="30"/>
          <w:highlight w:val="none"/>
          <w:lang w:val="en-US" w:eastAsia="zh-CN"/>
        </w:rPr>
        <w:t>6</w:t>
      </w:r>
      <w:r>
        <w:rPr>
          <w:rFonts w:hint="eastAsia" w:ascii="宋体" w:hAnsi="宋体" w:eastAsia="宋体" w:cs="宋体"/>
          <w:bCs/>
          <w:color w:val="auto"/>
          <w:sz w:val="30"/>
          <w:szCs w:val="30"/>
          <w:highlight w:val="none"/>
          <w:lang w:val="en-US" w:eastAsia="zh-CN"/>
        </w:rPr>
        <w:t>.2规格技术参数偏离表</w:t>
      </w:r>
    </w:p>
    <w:p w14:paraId="5AA845D4">
      <w:pPr>
        <w:spacing w:line="360" w:lineRule="auto"/>
        <w:rPr>
          <w:rFonts w:ascii="宋体" w:hAnsi="宋体" w:cs="宋体"/>
          <w:color w:val="auto"/>
          <w:sz w:val="24"/>
          <w:szCs w:val="24"/>
          <w:highlight w:val="none"/>
        </w:rPr>
      </w:pPr>
      <w:r>
        <w:rPr>
          <w:rFonts w:hint="eastAsia" w:ascii="宋体" w:hAnsi="宋体" w:cs="宋体"/>
          <w:color w:val="auto"/>
          <w:sz w:val="24"/>
          <w:highlight w:val="none"/>
        </w:rPr>
        <w:t>供应商名称</w:t>
      </w:r>
      <w:r>
        <w:rPr>
          <w:rFonts w:hint="eastAsia" w:ascii="宋体" w:hAnsi="宋体" w:cs="宋体"/>
          <w:color w:val="auto"/>
          <w:sz w:val="24"/>
          <w:szCs w:val="24"/>
          <w:highlight w:val="none"/>
        </w:rPr>
        <w:t>：</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采购项目编号：</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w:t>
      </w:r>
    </w:p>
    <w:tbl>
      <w:tblPr>
        <w:tblStyle w:val="24"/>
        <w:tblW w:w="9367"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2325"/>
        <w:gridCol w:w="1969"/>
        <w:gridCol w:w="2418"/>
        <w:gridCol w:w="1305"/>
        <w:gridCol w:w="1350"/>
      </w:tblGrid>
      <w:tr w14:paraId="6E92EE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18" w:hRule="exact"/>
          <w:jc w:val="center"/>
        </w:trPr>
        <w:tc>
          <w:tcPr>
            <w:tcW w:w="2325" w:type="dxa"/>
            <w:noWrap w:val="0"/>
            <w:vAlign w:val="center"/>
          </w:tcPr>
          <w:p w14:paraId="2C391D80">
            <w:pPr>
              <w:spacing w:line="360" w:lineRule="auto"/>
              <w:jc w:val="center"/>
              <w:rPr>
                <w:rFonts w:ascii="宋体" w:hAnsi="宋体" w:cs="宋体"/>
                <w:b/>
                <w:bCs/>
                <w:color w:val="auto"/>
                <w:sz w:val="24"/>
                <w:szCs w:val="24"/>
                <w:highlight w:val="none"/>
              </w:rPr>
            </w:pPr>
            <w:r>
              <w:rPr>
                <w:rFonts w:hint="eastAsia" w:ascii="宋体" w:hAnsi="宋体" w:cs="宋体"/>
                <w:b/>
                <w:bCs/>
                <w:color w:val="auto"/>
                <w:sz w:val="24"/>
                <w:szCs w:val="24"/>
                <w:highlight w:val="none"/>
              </w:rPr>
              <w:t>内容</w:t>
            </w:r>
          </w:p>
        </w:tc>
        <w:tc>
          <w:tcPr>
            <w:tcW w:w="1969" w:type="dxa"/>
            <w:noWrap w:val="0"/>
            <w:vAlign w:val="center"/>
          </w:tcPr>
          <w:p w14:paraId="04A71C0A">
            <w:pPr>
              <w:spacing w:line="360" w:lineRule="auto"/>
              <w:jc w:val="center"/>
              <w:rPr>
                <w:rFonts w:ascii="宋体" w:hAnsi="宋体" w:cs="宋体"/>
                <w:b/>
                <w:bCs/>
                <w:color w:val="auto"/>
                <w:sz w:val="24"/>
                <w:szCs w:val="24"/>
                <w:highlight w:val="none"/>
              </w:rPr>
            </w:pPr>
            <w:r>
              <w:rPr>
                <w:rFonts w:hint="eastAsia" w:ascii="宋体" w:hAnsi="宋体" w:cs="宋体"/>
                <w:b/>
                <w:bCs/>
                <w:color w:val="auto"/>
                <w:sz w:val="24"/>
                <w:szCs w:val="24"/>
                <w:highlight w:val="none"/>
              </w:rPr>
              <w:t>采购需求</w:t>
            </w:r>
          </w:p>
        </w:tc>
        <w:tc>
          <w:tcPr>
            <w:tcW w:w="2418" w:type="dxa"/>
            <w:noWrap w:val="0"/>
            <w:vAlign w:val="center"/>
          </w:tcPr>
          <w:p w14:paraId="50C887AD">
            <w:pPr>
              <w:spacing w:line="360" w:lineRule="auto"/>
              <w:jc w:val="center"/>
              <w:rPr>
                <w:rFonts w:ascii="宋体" w:hAnsi="宋体" w:cs="宋体"/>
                <w:b/>
                <w:bCs/>
                <w:color w:val="auto"/>
                <w:sz w:val="24"/>
                <w:szCs w:val="24"/>
                <w:highlight w:val="none"/>
              </w:rPr>
            </w:pPr>
            <w:r>
              <w:rPr>
                <w:rFonts w:hint="eastAsia" w:ascii="宋体" w:hAnsi="宋体" w:cs="宋体"/>
                <w:b/>
                <w:bCs/>
                <w:color w:val="auto"/>
                <w:sz w:val="24"/>
                <w:szCs w:val="24"/>
                <w:highlight w:val="none"/>
              </w:rPr>
              <w:t>投标响应</w:t>
            </w:r>
          </w:p>
        </w:tc>
        <w:tc>
          <w:tcPr>
            <w:tcW w:w="1305" w:type="dxa"/>
            <w:noWrap w:val="0"/>
            <w:vAlign w:val="center"/>
          </w:tcPr>
          <w:p w14:paraId="79E28157">
            <w:pPr>
              <w:spacing w:line="360" w:lineRule="auto"/>
              <w:jc w:val="center"/>
              <w:rPr>
                <w:rFonts w:ascii="宋体" w:hAnsi="宋体" w:cs="宋体"/>
                <w:b/>
                <w:bCs/>
                <w:color w:val="auto"/>
                <w:sz w:val="24"/>
                <w:szCs w:val="24"/>
                <w:highlight w:val="none"/>
              </w:rPr>
            </w:pPr>
            <w:r>
              <w:rPr>
                <w:rFonts w:hint="eastAsia" w:ascii="宋体" w:hAnsi="宋体" w:cs="宋体"/>
                <w:b/>
                <w:bCs/>
                <w:color w:val="auto"/>
                <w:sz w:val="24"/>
                <w:szCs w:val="24"/>
                <w:highlight w:val="none"/>
              </w:rPr>
              <w:t>偏离情况</w:t>
            </w:r>
          </w:p>
        </w:tc>
        <w:tc>
          <w:tcPr>
            <w:tcW w:w="1350" w:type="dxa"/>
            <w:noWrap w:val="0"/>
            <w:vAlign w:val="center"/>
          </w:tcPr>
          <w:p w14:paraId="4B020727">
            <w:pPr>
              <w:spacing w:line="360" w:lineRule="auto"/>
              <w:jc w:val="center"/>
              <w:rPr>
                <w:rFonts w:ascii="宋体" w:hAnsi="宋体" w:cs="宋体"/>
                <w:b/>
                <w:bCs/>
                <w:color w:val="auto"/>
                <w:sz w:val="24"/>
                <w:szCs w:val="24"/>
                <w:highlight w:val="none"/>
              </w:rPr>
            </w:pPr>
            <w:r>
              <w:rPr>
                <w:rFonts w:hint="eastAsia" w:ascii="宋体" w:hAnsi="宋体" w:cs="宋体"/>
                <w:b/>
                <w:bCs/>
                <w:color w:val="auto"/>
                <w:sz w:val="24"/>
                <w:szCs w:val="24"/>
                <w:highlight w:val="none"/>
              </w:rPr>
              <w:t>偏离说明</w:t>
            </w:r>
          </w:p>
        </w:tc>
      </w:tr>
      <w:tr w14:paraId="640AC7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18" w:hRule="exact"/>
          <w:jc w:val="center"/>
        </w:trPr>
        <w:tc>
          <w:tcPr>
            <w:tcW w:w="2325" w:type="dxa"/>
            <w:noWrap w:val="0"/>
            <w:vAlign w:val="center"/>
          </w:tcPr>
          <w:p w14:paraId="0B80A8B3">
            <w:pPr>
              <w:spacing w:line="360" w:lineRule="auto"/>
              <w:jc w:val="center"/>
              <w:rPr>
                <w:rFonts w:ascii="宋体" w:hAnsi="宋体" w:cs="宋体"/>
                <w:color w:val="auto"/>
                <w:sz w:val="24"/>
                <w:szCs w:val="24"/>
                <w:highlight w:val="none"/>
              </w:rPr>
            </w:pPr>
          </w:p>
        </w:tc>
        <w:tc>
          <w:tcPr>
            <w:tcW w:w="1969" w:type="dxa"/>
            <w:noWrap w:val="0"/>
            <w:vAlign w:val="center"/>
          </w:tcPr>
          <w:p w14:paraId="48E721F0">
            <w:pPr>
              <w:spacing w:line="360" w:lineRule="auto"/>
              <w:jc w:val="center"/>
              <w:rPr>
                <w:rFonts w:ascii="宋体" w:hAnsi="宋体" w:cs="宋体"/>
                <w:color w:val="auto"/>
                <w:sz w:val="24"/>
                <w:szCs w:val="24"/>
                <w:highlight w:val="none"/>
              </w:rPr>
            </w:pPr>
          </w:p>
        </w:tc>
        <w:tc>
          <w:tcPr>
            <w:tcW w:w="2418" w:type="dxa"/>
            <w:noWrap w:val="0"/>
            <w:vAlign w:val="center"/>
          </w:tcPr>
          <w:p w14:paraId="02DF936F">
            <w:pPr>
              <w:spacing w:line="360" w:lineRule="auto"/>
              <w:jc w:val="center"/>
              <w:rPr>
                <w:rFonts w:ascii="宋体" w:hAnsi="宋体" w:cs="宋体"/>
                <w:color w:val="auto"/>
                <w:sz w:val="24"/>
                <w:szCs w:val="24"/>
                <w:highlight w:val="none"/>
              </w:rPr>
            </w:pPr>
          </w:p>
        </w:tc>
        <w:tc>
          <w:tcPr>
            <w:tcW w:w="1305" w:type="dxa"/>
            <w:noWrap w:val="0"/>
            <w:vAlign w:val="center"/>
          </w:tcPr>
          <w:p w14:paraId="4BE25F95">
            <w:pPr>
              <w:spacing w:line="360" w:lineRule="auto"/>
              <w:jc w:val="center"/>
              <w:rPr>
                <w:rFonts w:ascii="宋体" w:hAnsi="宋体" w:cs="宋体"/>
                <w:color w:val="auto"/>
                <w:sz w:val="24"/>
                <w:szCs w:val="24"/>
                <w:highlight w:val="none"/>
              </w:rPr>
            </w:pPr>
          </w:p>
        </w:tc>
        <w:tc>
          <w:tcPr>
            <w:tcW w:w="1350" w:type="dxa"/>
            <w:noWrap w:val="0"/>
            <w:vAlign w:val="center"/>
          </w:tcPr>
          <w:p w14:paraId="6E4EC0A8">
            <w:pPr>
              <w:spacing w:line="360" w:lineRule="auto"/>
              <w:jc w:val="center"/>
              <w:rPr>
                <w:rFonts w:ascii="宋体" w:hAnsi="宋体" w:cs="宋体"/>
                <w:color w:val="auto"/>
                <w:sz w:val="24"/>
                <w:szCs w:val="24"/>
                <w:highlight w:val="none"/>
              </w:rPr>
            </w:pPr>
          </w:p>
        </w:tc>
      </w:tr>
      <w:tr w14:paraId="570D7A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18" w:hRule="exact"/>
          <w:jc w:val="center"/>
        </w:trPr>
        <w:tc>
          <w:tcPr>
            <w:tcW w:w="2325" w:type="dxa"/>
            <w:noWrap w:val="0"/>
            <w:vAlign w:val="center"/>
          </w:tcPr>
          <w:p w14:paraId="6338EF98">
            <w:pPr>
              <w:spacing w:line="360" w:lineRule="auto"/>
              <w:jc w:val="center"/>
              <w:rPr>
                <w:rFonts w:ascii="宋体" w:hAnsi="宋体" w:cs="宋体"/>
                <w:color w:val="auto"/>
                <w:sz w:val="24"/>
                <w:szCs w:val="24"/>
                <w:highlight w:val="none"/>
              </w:rPr>
            </w:pPr>
          </w:p>
        </w:tc>
        <w:tc>
          <w:tcPr>
            <w:tcW w:w="1969" w:type="dxa"/>
            <w:noWrap w:val="0"/>
            <w:vAlign w:val="center"/>
          </w:tcPr>
          <w:p w14:paraId="225F7763">
            <w:pPr>
              <w:spacing w:line="360" w:lineRule="auto"/>
              <w:jc w:val="center"/>
              <w:rPr>
                <w:rFonts w:ascii="宋体" w:hAnsi="宋体" w:cs="宋体"/>
                <w:color w:val="auto"/>
                <w:sz w:val="24"/>
                <w:szCs w:val="24"/>
                <w:highlight w:val="none"/>
              </w:rPr>
            </w:pPr>
          </w:p>
        </w:tc>
        <w:tc>
          <w:tcPr>
            <w:tcW w:w="2418" w:type="dxa"/>
            <w:noWrap w:val="0"/>
            <w:vAlign w:val="center"/>
          </w:tcPr>
          <w:p w14:paraId="170920BE">
            <w:pPr>
              <w:spacing w:line="360" w:lineRule="auto"/>
              <w:jc w:val="center"/>
              <w:rPr>
                <w:rFonts w:ascii="宋体" w:hAnsi="宋体" w:cs="宋体"/>
                <w:color w:val="auto"/>
                <w:sz w:val="24"/>
                <w:szCs w:val="24"/>
                <w:highlight w:val="none"/>
              </w:rPr>
            </w:pPr>
          </w:p>
        </w:tc>
        <w:tc>
          <w:tcPr>
            <w:tcW w:w="1305" w:type="dxa"/>
            <w:noWrap w:val="0"/>
            <w:vAlign w:val="center"/>
          </w:tcPr>
          <w:p w14:paraId="5D4665F4">
            <w:pPr>
              <w:spacing w:line="360" w:lineRule="auto"/>
              <w:jc w:val="center"/>
              <w:rPr>
                <w:rFonts w:ascii="宋体" w:hAnsi="宋体" w:cs="宋体"/>
                <w:color w:val="auto"/>
                <w:sz w:val="24"/>
                <w:szCs w:val="24"/>
                <w:highlight w:val="none"/>
              </w:rPr>
            </w:pPr>
          </w:p>
        </w:tc>
        <w:tc>
          <w:tcPr>
            <w:tcW w:w="1350" w:type="dxa"/>
            <w:noWrap w:val="0"/>
            <w:vAlign w:val="center"/>
          </w:tcPr>
          <w:p w14:paraId="287716D3">
            <w:pPr>
              <w:spacing w:line="360" w:lineRule="auto"/>
              <w:jc w:val="center"/>
              <w:rPr>
                <w:rFonts w:ascii="宋体" w:hAnsi="宋体" w:cs="宋体"/>
                <w:color w:val="auto"/>
                <w:sz w:val="24"/>
                <w:szCs w:val="24"/>
                <w:highlight w:val="none"/>
              </w:rPr>
            </w:pPr>
          </w:p>
        </w:tc>
      </w:tr>
      <w:tr w14:paraId="771C0F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18" w:hRule="exact"/>
          <w:jc w:val="center"/>
        </w:trPr>
        <w:tc>
          <w:tcPr>
            <w:tcW w:w="2325" w:type="dxa"/>
            <w:noWrap w:val="0"/>
            <w:vAlign w:val="center"/>
          </w:tcPr>
          <w:p w14:paraId="551D7068">
            <w:pPr>
              <w:spacing w:line="360" w:lineRule="auto"/>
              <w:jc w:val="center"/>
              <w:rPr>
                <w:rFonts w:ascii="宋体" w:hAnsi="宋体" w:cs="宋体"/>
                <w:color w:val="auto"/>
                <w:sz w:val="24"/>
                <w:szCs w:val="24"/>
                <w:highlight w:val="none"/>
              </w:rPr>
            </w:pPr>
          </w:p>
        </w:tc>
        <w:tc>
          <w:tcPr>
            <w:tcW w:w="1969" w:type="dxa"/>
            <w:noWrap w:val="0"/>
            <w:vAlign w:val="center"/>
          </w:tcPr>
          <w:p w14:paraId="1E9700FC">
            <w:pPr>
              <w:spacing w:line="360" w:lineRule="auto"/>
              <w:jc w:val="center"/>
              <w:rPr>
                <w:rFonts w:ascii="宋体" w:hAnsi="宋体" w:cs="宋体"/>
                <w:color w:val="auto"/>
                <w:sz w:val="24"/>
                <w:szCs w:val="24"/>
                <w:highlight w:val="none"/>
              </w:rPr>
            </w:pPr>
          </w:p>
        </w:tc>
        <w:tc>
          <w:tcPr>
            <w:tcW w:w="2418" w:type="dxa"/>
            <w:noWrap w:val="0"/>
            <w:vAlign w:val="center"/>
          </w:tcPr>
          <w:p w14:paraId="5D8D6BAF">
            <w:pPr>
              <w:spacing w:line="360" w:lineRule="auto"/>
              <w:jc w:val="center"/>
              <w:rPr>
                <w:rFonts w:ascii="宋体" w:hAnsi="宋体" w:cs="宋体"/>
                <w:color w:val="auto"/>
                <w:sz w:val="24"/>
                <w:szCs w:val="24"/>
                <w:highlight w:val="none"/>
              </w:rPr>
            </w:pPr>
          </w:p>
        </w:tc>
        <w:tc>
          <w:tcPr>
            <w:tcW w:w="1305" w:type="dxa"/>
            <w:noWrap w:val="0"/>
            <w:vAlign w:val="center"/>
          </w:tcPr>
          <w:p w14:paraId="7292863A">
            <w:pPr>
              <w:spacing w:line="360" w:lineRule="auto"/>
              <w:jc w:val="center"/>
              <w:rPr>
                <w:rFonts w:ascii="宋体" w:hAnsi="宋体" w:cs="宋体"/>
                <w:color w:val="auto"/>
                <w:sz w:val="24"/>
                <w:szCs w:val="24"/>
                <w:highlight w:val="none"/>
              </w:rPr>
            </w:pPr>
          </w:p>
        </w:tc>
        <w:tc>
          <w:tcPr>
            <w:tcW w:w="1350" w:type="dxa"/>
            <w:noWrap w:val="0"/>
            <w:vAlign w:val="center"/>
          </w:tcPr>
          <w:p w14:paraId="390707AD">
            <w:pPr>
              <w:spacing w:line="360" w:lineRule="auto"/>
              <w:jc w:val="center"/>
              <w:rPr>
                <w:rFonts w:ascii="宋体" w:hAnsi="宋体" w:cs="宋体"/>
                <w:color w:val="auto"/>
                <w:sz w:val="24"/>
                <w:szCs w:val="24"/>
                <w:highlight w:val="none"/>
              </w:rPr>
            </w:pPr>
          </w:p>
        </w:tc>
      </w:tr>
      <w:tr w14:paraId="4672C2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18" w:hRule="exact"/>
          <w:jc w:val="center"/>
        </w:trPr>
        <w:tc>
          <w:tcPr>
            <w:tcW w:w="2325" w:type="dxa"/>
            <w:noWrap w:val="0"/>
            <w:vAlign w:val="center"/>
          </w:tcPr>
          <w:p w14:paraId="6F24F1B7">
            <w:pPr>
              <w:spacing w:line="360" w:lineRule="auto"/>
              <w:jc w:val="center"/>
              <w:rPr>
                <w:rFonts w:ascii="宋体" w:hAnsi="宋体" w:cs="宋体"/>
                <w:color w:val="auto"/>
                <w:sz w:val="24"/>
                <w:szCs w:val="24"/>
                <w:highlight w:val="none"/>
              </w:rPr>
            </w:pPr>
          </w:p>
        </w:tc>
        <w:tc>
          <w:tcPr>
            <w:tcW w:w="1969" w:type="dxa"/>
            <w:noWrap w:val="0"/>
            <w:vAlign w:val="center"/>
          </w:tcPr>
          <w:p w14:paraId="462DABEF">
            <w:pPr>
              <w:spacing w:line="360" w:lineRule="auto"/>
              <w:jc w:val="center"/>
              <w:rPr>
                <w:rFonts w:ascii="宋体" w:hAnsi="宋体" w:cs="宋体"/>
                <w:color w:val="auto"/>
                <w:sz w:val="24"/>
                <w:szCs w:val="24"/>
                <w:highlight w:val="none"/>
              </w:rPr>
            </w:pPr>
          </w:p>
        </w:tc>
        <w:tc>
          <w:tcPr>
            <w:tcW w:w="2418" w:type="dxa"/>
            <w:noWrap w:val="0"/>
            <w:vAlign w:val="center"/>
          </w:tcPr>
          <w:p w14:paraId="7C18D819">
            <w:pPr>
              <w:spacing w:line="360" w:lineRule="auto"/>
              <w:jc w:val="center"/>
              <w:rPr>
                <w:rFonts w:ascii="宋体" w:hAnsi="宋体" w:cs="宋体"/>
                <w:color w:val="auto"/>
                <w:sz w:val="24"/>
                <w:szCs w:val="24"/>
                <w:highlight w:val="none"/>
              </w:rPr>
            </w:pPr>
          </w:p>
        </w:tc>
        <w:tc>
          <w:tcPr>
            <w:tcW w:w="1305" w:type="dxa"/>
            <w:noWrap w:val="0"/>
            <w:vAlign w:val="center"/>
          </w:tcPr>
          <w:p w14:paraId="0FAB5C8B">
            <w:pPr>
              <w:spacing w:line="360" w:lineRule="auto"/>
              <w:jc w:val="center"/>
              <w:rPr>
                <w:rFonts w:ascii="宋体" w:hAnsi="宋体" w:cs="宋体"/>
                <w:color w:val="auto"/>
                <w:sz w:val="24"/>
                <w:szCs w:val="24"/>
                <w:highlight w:val="none"/>
              </w:rPr>
            </w:pPr>
          </w:p>
        </w:tc>
        <w:tc>
          <w:tcPr>
            <w:tcW w:w="1350" w:type="dxa"/>
            <w:noWrap w:val="0"/>
            <w:vAlign w:val="center"/>
          </w:tcPr>
          <w:p w14:paraId="2CA61277">
            <w:pPr>
              <w:spacing w:line="360" w:lineRule="auto"/>
              <w:jc w:val="center"/>
              <w:rPr>
                <w:rFonts w:ascii="宋体" w:hAnsi="宋体" w:cs="宋体"/>
                <w:color w:val="auto"/>
                <w:sz w:val="24"/>
                <w:szCs w:val="24"/>
                <w:highlight w:val="none"/>
              </w:rPr>
            </w:pPr>
          </w:p>
        </w:tc>
      </w:tr>
      <w:tr w14:paraId="413A2F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18" w:hRule="exact"/>
          <w:jc w:val="center"/>
        </w:trPr>
        <w:tc>
          <w:tcPr>
            <w:tcW w:w="2325" w:type="dxa"/>
            <w:noWrap w:val="0"/>
            <w:vAlign w:val="center"/>
          </w:tcPr>
          <w:p w14:paraId="3D639B40">
            <w:pPr>
              <w:spacing w:line="360" w:lineRule="auto"/>
              <w:jc w:val="center"/>
              <w:rPr>
                <w:rFonts w:ascii="宋体" w:hAnsi="宋体" w:cs="宋体"/>
                <w:color w:val="auto"/>
                <w:sz w:val="24"/>
                <w:szCs w:val="24"/>
                <w:highlight w:val="none"/>
              </w:rPr>
            </w:pPr>
          </w:p>
        </w:tc>
        <w:tc>
          <w:tcPr>
            <w:tcW w:w="1969" w:type="dxa"/>
            <w:noWrap w:val="0"/>
            <w:vAlign w:val="center"/>
          </w:tcPr>
          <w:p w14:paraId="28F13117">
            <w:pPr>
              <w:spacing w:line="360" w:lineRule="auto"/>
              <w:jc w:val="center"/>
              <w:rPr>
                <w:rFonts w:ascii="宋体" w:hAnsi="宋体" w:cs="宋体"/>
                <w:color w:val="auto"/>
                <w:sz w:val="24"/>
                <w:szCs w:val="24"/>
                <w:highlight w:val="none"/>
              </w:rPr>
            </w:pPr>
          </w:p>
        </w:tc>
        <w:tc>
          <w:tcPr>
            <w:tcW w:w="2418" w:type="dxa"/>
            <w:noWrap w:val="0"/>
            <w:vAlign w:val="center"/>
          </w:tcPr>
          <w:p w14:paraId="3A8BE540">
            <w:pPr>
              <w:spacing w:line="360" w:lineRule="auto"/>
              <w:jc w:val="center"/>
              <w:rPr>
                <w:rFonts w:ascii="宋体" w:hAnsi="宋体" w:cs="宋体"/>
                <w:color w:val="auto"/>
                <w:sz w:val="24"/>
                <w:szCs w:val="24"/>
                <w:highlight w:val="none"/>
              </w:rPr>
            </w:pPr>
          </w:p>
        </w:tc>
        <w:tc>
          <w:tcPr>
            <w:tcW w:w="1305" w:type="dxa"/>
            <w:noWrap w:val="0"/>
            <w:vAlign w:val="center"/>
          </w:tcPr>
          <w:p w14:paraId="372A11C8">
            <w:pPr>
              <w:spacing w:line="360" w:lineRule="auto"/>
              <w:jc w:val="center"/>
              <w:rPr>
                <w:rFonts w:ascii="宋体" w:hAnsi="宋体" w:cs="宋体"/>
                <w:color w:val="auto"/>
                <w:sz w:val="24"/>
                <w:szCs w:val="24"/>
                <w:highlight w:val="none"/>
              </w:rPr>
            </w:pPr>
          </w:p>
        </w:tc>
        <w:tc>
          <w:tcPr>
            <w:tcW w:w="1350" w:type="dxa"/>
            <w:noWrap w:val="0"/>
            <w:vAlign w:val="center"/>
          </w:tcPr>
          <w:p w14:paraId="2A737684">
            <w:pPr>
              <w:spacing w:line="360" w:lineRule="auto"/>
              <w:jc w:val="center"/>
              <w:rPr>
                <w:rFonts w:ascii="宋体" w:hAnsi="宋体" w:cs="宋体"/>
                <w:color w:val="auto"/>
                <w:sz w:val="24"/>
                <w:szCs w:val="24"/>
                <w:highlight w:val="none"/>
              </w:rPr>
            </w:pPr>
          </w:p>
        </w:tc>
      </w:tr>
      <w:tr w14:paraId="534FB4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18" w:hRule="exact"/>
          <w:jc w:val="center"/>
        </w:trPr>
        <w:tc>
          <w:tcPr>
            <w:tcW w:w="2325" w:type="dxa"/>
            <w:noWrap w:val="0"/>
            <w:vAlign w:val="center"/>
          </w:tcPr>
          <w:p w14:paraId="0B949DB5">
            <w:pPr>
              <w:spacing w:line="360" w:lineRule="auto"/>
              <w:jc w:val="center"/>
              <w:rPr>
                <w:rFonts w:ascii="宋体" w:hAnsi="宋体" w:cs="宋体"/>
                <w:color w:val="auto"/>
                <w:sz w:val="24"/>
                <w:szCs w:val="24"/>
                <w:highlight w:val="none"/>
              </w:rPr>
            </w:pPr>
          </w:p>
        </w:tc>
        <w:tc>
          <w:tcPr>
            <w:tcW w:w="1969" w:type="dxa"/>
            <w:noWrap w:val="0"/>
            <w:vAlign w:val="center"/>
          </w:tcPr>
          <w:p w14:paraId="30857517">
            <w:pPr>
              <w:spacing w:line="360" w:lineRule="auto"/>
              <w:jc w:val="center"/>
              <w:rPr>
                <w:rFonts w:ascii="宋体" w:hAnsi="宋体" w:cs="宋体"/>
                <w:color w:val="auto"/>
                <w:sz w:val="24"/>
                <w:szCs w:val="24"/>
                <w:highlight w:val="none"/>
              </w:rPr>
            </w:pPr>
          </w:p>
        </w:tc>
        <w:tc>
          <w:tcPr>
            <w:tcW w:w="2418" w:type="dxa"/>
            <w:noWrap w:val="0"/>
            <w:vAlign w:val="center"/>
          </w:tcPr>
          <w:p w14:paraId="059E6E54">
            <w:pPr>
              <w:spacing w:line="360" w:lineRule="auto"/>
              <w:jc w:val="center"/>
              <w:rPr>
                <w:rFonts w:ascii="宋体" w:hAnsi="宋体" w:cs="宋体"/>
                <w:color w:val="auto"/>
                <w:sz w:val="24"/>
                <w:szCs w:val="24"/>
                <w:highlight w:val="none"/>
              </w:rPr>
            </w:pPr>
          </w:p>
        </w:tc>
        <w:tc>
          <w:tcPr>
            <w:tcW w:w="1305" w:type="dxa"/>
            <w:noWrap w:val="0"/>
            <w:vAlign w:val="center"/>
          </w:tcPr>
          <w:p w14:paraId="4FE1ACCD">
            <w:pPr>
              <w:spacing w:line="360" w:lineRule="auto"/>
              <w:jc w:val="center"/>
              <w:rPr>
                <w:rFonts w:ascii="宋体" w:hAnsi="宋体" w:cs="宋体"/>
                <w:color w:val="auto"/>
                <w:sz w:val="24"/>
                <w:szCs w:val="24"/>
                <w:highlight w:val="none"/>
              </w:rPr>
            </w:pPr>
          </w:p>
        </w:tc>
        <w:tc>
          <w:tcPr>
            <w:tcW w:w="1350" w:type="dxa"/>
            <w:noWrap w:val="0"/>
            <w:vAlign w:val="center"/>
          </w:tcPr>
          <w:p w14:paraId="38B4B0BA">
            <w:pPr>
              <w:spacing w:line="360" w:lineRule="auto"/>
              <w:jc w:val="center"/>
              <w:rPr>
                <w:rFonts w:ascii="宋体" w:hAnsi="宋体" w:cs="宋体"/>
                <w:color w:val="auto"/>
                <w:sz w:val="24"/>
                <w:szCs w:val="24"/>
                <w:highlight w:val="none"/>
              </w:rPr>
            </w:pPr>
          </w:p>
        </w:tc>
      </w:tr>
      <w:tr w14:paraId="544EC3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18" w:hRule="exact"/>
          <w:jc w:val="center"/>
        </w:trPr>
        <w:tc>
          <w:tcPr>
            <w:tcW w:w="2325" w:type="dxa"/>
            <w:noWrap w:val="0"/>
            <w:vAlign w:val="center"/>
          </w:tcPr>
          <w:p w14:paraId="2A3CA996">
            <w:pPr>
              <w:spacing w:line="360" w:lineRule="auto"/>
              <w:jc w:val="center"/>
              <w:rPr>
                <w:rFonts w:ascii="宋体" w:hAnsi="宋体" w:cs="宋体"/>
                <w:color w:val="auto"/>
                <w:sz w:val="24"/>
                <w:szCs w:val="24"/>
                <w:highlight w:val="none"/>
              </w:rPr>
            </w:pPr>
          </w:p>
        </w:tc>
        <w:tc>
          <w:tcPr>
            <w:tcW w:w="1969" w:type="dxa"/>
            <w:noWrap w:val="0"/>
            <w:vAlign w:val="center"/>
          </w:tcPr>
          <w:p w14:paraId="4A7A918D">
            <w:pPr>
              <w:spacing w:line="360" w:lineRule="auto"/>
              <w:jc w:val="center"/>
              <w:rPr>
                <w:rFonts w:ascii="宋体" w:hAnsi="宋体" w:cs="宋体"/>
                <w:color w:val="auto"/>
                <w:sz w:val="24"/>
                <w:szCs w:val="24"/>
                <w:highlight w:val="none"/>
              </w:rPr>
            </w:pPr>
          </w:p>
        </w:tc>
        <w:tc>
          <w:tcPr>
            <w:tcW w:w="2418" w:type="dxa"/>
            <w:noWrap w:val="0"/>
            <w:vAlign w:val="center"/>
          </w:tcPr>
          <w:p w14:paraId="2B4268D6">
            <w:pPr>
              <w:spacing w:line="360" w:lineRule="auto"/>
              <w:jc w:val="center"/>
              <w:rPr>
                <w:rFonts w:ascii="宋体" w:hAnsi="宋体" w:cs="宋体"/>
                <w:color w:val="auto"/>
                <w:sz w:val="24"/>
                <w:szCs w:val="24"/>
                <w:highlight w:val="none"/>
              </w:rPr>
            </w:pPr>
          </w:p>
        </w:tc>
        <w:tc>
          <w:tcPr>
            <w:tcW w:w="1305" w:type="dxa"/>
            <w:noWrap w:val="0"/>
            <w:vAlign w:val="center"/>
          </w:tcPr>
          <w:p w14:paraId="7011B552">
            <w:pPr>
              <w:spacing w:line="360" w:lineRule="auto"/>
              <w:jc w:val="center"/>
              <w:rPr>
                <w:rFonts w:ascii="宋体" w:hAnsi="宋体" w:cs="宋体"/>
                <w:color w:val="auto"/>
                <w:sz w:val="24"/>
                <w:szCs w:val="24"/>
                <w:highlight w:val="none"/>
              </w:rPr>
            </w:pPr>
          </w:p>
        </w:tc>
        <w:tc>
          <w:tcPr>
            <w:tcW w:w="1350" w:type="dxa"/>
            <w:noWrap w:val="0"/>
            <w:vAlign w:val="center"/>
          </w:tcPr>
          <w:p w14:paraId="7B0D175D">
            <w:pPr>
              <w:spacing w:line="360" w:lineRule="auto"/>
              <w:jc w:val="center"/>
              <w:rPr>
                <w:rFonts w:ascii="宋体" w:hAnsi="宋体" w:cs="宋体"/>
                <w:color w:val="auto"/>
                <w:sz w:val="24"/>
                <w:szCs w:val="24"/>
                <w:highlight w:val="none"/>
              </w:rPr>
            </w:pPr>
          </w:p>
        </w:tc>
      </w:tr>
      <w:tr w14:paraId="106293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18" w:hRule="exact"/>
          <w:jc w:val="center"/>
        </w:trPr>
        <w:tc>
          <w:tcPr>
            <w:tcW w:w="2325" w:type="dxa"/>
            <w:noWrap w:val="0"/>
            <w:vAlign w:val="center"/>
          </w:tcPr>
          <w:p w14:paraId="3353278A">
            <w:pPr>
              <w:spacing w:line="360" w:lineRule="auto"/>
              <w:jc w:val="center"/>
              <w:rPr>
                <w:rFonts w:ascii="宋体" w:hAnsi="宋体" w:cs="宋体"/>
                <w:color w:val="auto"/>
                <w:sz w:val="24"/>
                <w:szCs w:val="24"/>
                <w:highlight w:val="none"/>
              </w:rPr>
            </w:pPr>
          </w:p>
        </w:tc>
        <w:tc>
          <w:tcPr>
            <w:tcW w:w="1969" w:type="dxa"/>
            <w:noWrap w:val="0"/>
            <w:vAlign w:val="center"/>
          </w:tcPr>
          <w:p w14:paraId="262FCEDA">
            <w:pPr>
              <w:spacing w:line="360" w:lineRule="auto"/>
              <w:jc w:val="center"/>
              <w:rPr>
                <w:rFonts w:ascii="宋体" w:hAnsi="宋体" w:cs="宋体"/>
                <w:color w:val="auto"/>
                <w:sz w:val="24"/>
                <w:szCs w:val="24"/>
                <w:highlight w:val="none"/>
              </w:rPr>
            </w:pPr>
          </w:p>
        </w:tc>
        <w:tc>
          <w:tcPr>
            <w:tcW w:w="2418" w:type="dxa"/>
            <w:noWrap w:val="0"/>
            <w:vAlign w:val="center"/>
          </w:tcPr>
          <w:p w14:paraId="106E6AB0">
            <w:pPr>
              <w:spacing w:line="360" w:lineRule="auto"/>
              <w:jc w:val="center"/>
              <w:rPr>
                <w:rFonts w:ascii="宋体" w:hAnsi="宋体" w:cs="宋体"/>
                <w:color w:val="auto"/>
                <w:sz w:val="24"/>
                <w:szCs w:val="24"/>
                <w:highlight w:val="none"/>
              </w:rPr>
            </w:pPr>
          </w:p>
        </w:tc>
        <w:tc>
          <w:tcPr>
            <w:tcW w:w="1305" w:type="dxa"/>
            <w:noWrap w:val="0"/>
            <w:vAlign w:val="center"/>
          </w:tcPr>
          <w:p w14:paraId="2851E5CA">
            <w:pPr>
              <w:spacing w:line="360" w:lineRule="auto"/>
              <w:jc w:val="center"/>
              <w:rPr>
                <w:rFonts w:ascii="宋体" w:hAnsi="宋体" w:cs="宋体"/>
                <w:color w:val="auto"/>
                <w:sz w:val="24"/>
                <w:szCs w:val="24"/>
                <w:highlight w:val="none"/>
              </w:rPr>
            </w:pPr>
          </w:p>
        </w:tc>
        <w:tc>
          <w:tcPr>
            <w:tcW w:w="1350" w:type="dxa"/>
            <w:noWrap w:val="0"/>
            <w:vAlign w:val="center"/>
          </w:tcPr>
          <w:p w14:paraId="52882DF9">
            <w:pPr>
              <w:spacing w:line="360" w:lineRule="auto"/>
              <w:jc w:val="center"/>
              <w:rPr>
                <w:rFonts w:ascii="宋体" w:hAnsi="宋体" w:cs="宋体"/>
                <w:color w:val="auto"/>
                <w:sz w:val="24"/>
                <w:szCs w:val="24"/>
                <w:highlight w:val="none"/>
              </w:rPr>
            </w:pPr>
          </w:p>
        </w:tc>
      </w:tr>
      <w:tr w14:paraId="22CDF6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18" w:hRule="exact"/>
          <w:jc w:val="center"/>
        </w:trPr>
        <w:tc>
          <w:tcPr>
            <w:tcW w:w="2325" w:type="dxa"/>
            <w:noWrap w:val="0"/>
            <w:vAlign w:val="center"/>
          </w:tcPr>
          <w:p w14:paraId="577E05F2">
            <w:pPr>
              <w:spacing w:line="360" w:lineRule="auto"/>
              <w:jc w:val="center"/>
              <w:rPr>
                <w:rFonts w:ascii="宋体" w:hAnsi="宋体" w:cs="宋体"/>
                <w:color w:val="auto"/>
                <w:sz w:val="24"/>
                <w:szCs w:val="24"/>
                <w:highlight w:val="none"/>
              </w:rPr>
            </w:pPr>
          </w:p>
        </w:tc>
        <w:tc>
          <w:tcPr>
            <w:tcW w:w="1969" w:type="dxa"/>
            <w:noWrap w:val="0"/>
            <w:vAlign w:val="center"/>
          </w:tcPr>
          <w:p w14:paraId="6D7AF707">
            <w:pPr>
              <w:spacing w:line="360" w:lineRule="auto"/>
              <w:jc w:val="center"/>
              <w:rPr>
                <w:rFonts w:ascii="宋体" w:hAnsi="宋体" w:cs="宋体"/>
                <w:color w:val="auto"/>
                <w:sz w:val="24"/>
                <w:szCs w:val="24"/>
                <w:highlight w:val="none"/>
              </w:rPr>
            </w:pPr>
          </w:p>
        </w:tc>
        <w:tc>
          <w:tcPr>
            <w:tcW w:w="2418" w:type="dxa"/>
            <w:noWrap w:val="0"/>
            <w:vAlign w:val="center"/>
          </w:tcPr>
          <w:p w14:paraId="54609B6E">
            <w:pPr>
              <w:spacing w:line="360" w:lineRule="auto"/>
              <w:jc w:val="center"/>
              <w:rPr>
                <w:rFonts w:ascii="宋体" w:hAnsi="宋体" w:cs="宋体"/>
                <w:color w:val="auto"/>
                <w:sz w:val="24"/>
                <w:szCs w:val="24"/>
                <w:highlight w:val="none"/>
              </w:rPr>
            </w:pPr>
          </w:p>
        </w:tc>
        <w:tc>
          <w:tcPr>
            <w:tcW w:w="1305" w:type="dxa"/>
            <w:noWrap w:val="0"/>
            <w:vAlign w:val="center"/>
          </w:tcPr>
          <w:p w14:paraId="0DC2B784">
            <w:pPr>
              <w:spacing w:line="360" w:lineRule="auto"/>
              <w:jc w:val="center"/>
              <w:rPr>
                <w:rFonts w:ascii="宋体" w:hAnsi="宋体" w:cs="宋体"/>
                <w:color w:val="auto"/>
                <w:sz w:val="24"/>
                <w:szCs w:val="24"/>
                <w:highlight w:val="none"/>
              </w:rPr>
            </w:pPr>
          </w:p>
        </w:tc>
        <w:tc>
          <w:tcPr>
            <w:tcW w:w="1350" w:type="dxa"/>
            <w:noWrap w:val="0"/>
            <w:vAlign w:val="center"/>
          </w:tcPr>
          <w:p w14:paraId="787C78BC">
            <w:pPr>
              <w:spacing w:line="360" w:lineRule="auto"/>
              <w:jc w:val="center"/>
              <w:rPr>
                <w:rFonts w:ascii="宋体" w:hAnsi="宋体" w:cs="宋体"/>
                <w:color w:val="auto"/>
                <w:sz w:val="24"/>
                <w:szCs w:val="24"/>
                <w:highlight w:val="none"/>
              </w:rPr>
            </w:pPr>
          </w:p>
        </w:tc>
      </w:tr>
      <w:tr w14:paraId="5D7C14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18" w:hRule="exact"/>
          <w:jc w:val="center"/>
        </w:trPr>
        <w:tc>
          <w:tcPr>
            <w:tcW w:w="2325" w:type="dxa"/>
            <w:noWrap w:val="0"/>
            <w:vAlign w:val="center"/>
          </w:tcPr>
          <w:p w14:paraId="11CBC10A">
            <w:pPr>
              <w:spacing w:line="360" w:lineRule="auto"/>
              <w:jc w:val="center"/>
              <w:rPr>
                <w:rFonts w:ascii="宋体" w:hAnsi="宋体" w:cs="宋体"/>
                <w:color w:val="auto"/>
                <w:sz w:val="24"/>
                <w:szCs w:val="24"/>
                <w:highlight w:val="none"/>
              </w:rPr>
            </w:pPr>
          </w:p>
        </w:tc>
        <w:tc>
          <w:tcPr>
            <w:tcW w:w="1969" w:type="dxa"/>
            <w:noWrap w:val="0"/>
            <w:vAlign w:val="center"/>
          </w:tcPr>
          <w:p w14:paraId="7518361B">
            <w:pPr>
              <w:spacing w:line="360" w:lineRule="auto"/>
              <w:jc w:val="center"/>
              <w:rPr>
                <w:rFonts w:ascii="宋体" w:hAnsi="宋体" w:cs="宋体"/>
                <w:color w:val="auto"/>
                <w:sz w:val="24"/>
                <w:szCs w:val="24"/>
                <w:highlight w:val="none"/>
              </w:rPr>
            </w:pPr>
          </w:p>
        </w:tc>
        <w:tc>
          <w:tcPr>
            <w:tcW w:w="2418" w:type="dxa"/>
            <w:noWrap w:val="0"/>
            <w:vAlign w:val="center"/>
          </w:tcPr>
          <w:p w14:paraId="16A90E61">
            <w:pPr>
              <w:spacing w:line="360" w:lineRule="auto"/>
              <w:jc w:val="center"/>
              <w:rPr>
                <w:rFonts w:ascii="宋体" w:hAnsi="宋体" w:cs="宋体"/>
                <w:color w:val="auto"/>
                <w:sz w:val="24"/>
                <w:szCs w:val="24"/>
                <w:highlight w:val="none"/>
              </w:rPr>
            </w:pPr>
          </w:p>
        </w:tc>
        <w:tc>
          <w:tcPr>
            <w:tcW w:w="1305" w:type="dxa"/>
            <w:noWrap w:val="0"/>
            <w:vAlign w:val="center"/>
          </w:tcPr>
          <w:p w14:paraId="66277EED">
            <w:pPr>
              <w:spacing w:line="360" w:lineRule="auto"/>
              <w:jc w:val="center"/>
              <w:rPr>
                <w:rFonts w:ascii="宋体" w:hAnsi="宋体" w:cs="宋体"/>
                <w:color w:val="auto"/>
                <w:sz w:val="24"/>
                <w:szCs w:val="24"/>
                <w:highlight w:val="none"/>
              </w:rPr>
            </w:pPr>
          </w:p>
        </w:tc>
        <w:tc>
          <w:tcPr>
            <w:tcW w:w="1350" w:type="dxa"/>
            <w:noWrap w:val="0"/>
            <w:vAlign w:val="center"/>
          </w:tcPr>
          <w:p w14:paraId="57E60957">
            <w:pPr>
              <w:spacing w:line="360" w:lineRule="auto"/>
              <w:jc w:val="center"/>
              <w:rPr>
                <w:rFonts w:ascii="宋体" w:hAnsi="宋体" w:cs="宋体"/>
                <w:color w:val="auto"/>
                <w:sz w:val="24"/>
                <w:szCs w:val="24"/>
                <w:highlight w:val="none"/>
              </w:rPr>
            </w:pPr>
          </w:p>
        </w:tc>
      </w:tr>
      <w:tr w14:paraId="2725D0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18" w:hRule="exact"/>
          <w:jc w:val="center"/>
        </w:trPr>
        <w:tc>
          <w:tcPr>
            <w:tcW w:w="2325" w:type="dxa"/>
            <w:noWrap w:val="0"/>
            <w:vAlign w:val="center"/>
          </w:tcPr>
          <w:p w14:paraId="76F7BD78">
            <w:pPr>
              <w:spacing w:line="360" w:lineRule="auto"/>
              <w:jc w:val="center"/>
              <w:rPr>
                <w:rFonts w:ascii="宋体" w:hAnsi="宋体" w:cs="宋体"/>
                <w:color w:val="auto"/>
                <w:sz w:val="24"/>
                <w:szCs w:val="24"/>
                <w:highlight w:val="none"/>
              </w:rPr>
            </w:pPr>
          </w:p>
        </w:tc>
        <w:tc>
          <w:tcPr>
            <w:tcW w:w="1969" w:type="dxa"/>
            <w:noWrap w:val="0"/>
            <w:vAlign w:val="center"/>
          </w:tcPr>
          <w:p w14:paraId="1C6C7739">
            <w:pPr>
              <w:spacing w:line="360" w:lineRule="auto"/>
              <w:jc w:val="center"/>
              <w:rPr>
                <w:rFonts w:ascii="宋体" w:hAnsi="宋体" w:cs="宋体"/>
                <w:color w:val="auto"/>
                <w:sz w:val="24"/>
                <w:szCs w:val="24"/>
                <w:highlight w:val="none"/>
              </w:rPr>
            </w:pPr>
          </w:p>
        </w:tc>
        <w:tc>
          <w:tcPr>
            <w:tcW w:w="2418" w:type="dxa"/>
            <w:noWrap w:val="0"/>
            <w:vAlign w:val="center"/>
          </w:tcPr>
          <w:p w14:paraId="4CC39CED">
            <w:pPr>
              <w:spacing w:line="360" w:lineRule="auto"/>
              <w:jc w:val="center"/>
              <w:rPr>
                <w:rFonts w:ascii="宋体" w:hAnsi="宋体" w:cs="宋体"/>
                <w:color w:val="auto"/>
                <w:sz w:val="24"/>
                <w:szCs w:val="24"/>
                <w:highlight w:val="none"/>
              </w:rPr>
            </w:pPr>
          </w:p>
        </w:tc>
        <w:tc>
          <w:tcPr>
            <w:tcW w:w="1305" w:type="dxa"/>
            <w:noWrap w:val="0"/>
            <w:vAlign w:val="center"/>
          </w:tcPr>
          <w:p w14:paraId="2F997B1E">
            <w:pPr>
              <w:spacing w:line="360" w:lineRule="auto"/>
              <w:jc w:val="center"/>
              <w:rPr>
                <w:rFonts w:ascii="宋体" w:hAnsi="宋体" w:cs="宋体"/>
                <w:color w:val="auto"/>
                <w:sz w:val="24"/>
                <w:szCs w:val="24"/>
                <w:highlight w:val="none"/>
              </w:rPr>
            </w:pPr>
          </w:p>
        </w:tc>
        <w:tc>
          <w:tcPr>
            <w:tcW w:w="1350" w:type="dxa"/>
            <w:noWrap w:val="0"/>
            <w:vAlign w:val="center"/>
          </w:tcPr>
          <w:p w14:paraId="7626E924">
            <w:pPr>
              <w:spacing w:line="360" w:lineRule="auto"/>
              <w:jc w:val="center"/>
              <w:rPr>
                <w:rFonts w:ascii="宋体" w:hAnsi="宋体" w:cs="宋体"/>
                <w:color w:val="auto"/>
                <w:sz w:val="24"/>
                <w:szCs w:val="24"/>
                <w:highlight w:val="none"/>
              </w:rPr>
            </w:pPr>
          </w:p>
        </w:tc>
      </w:tr>
    </w:tbl>
    <w:p w14:paraId="0CCF3EBC">
      <w:pPr>
        <w:pStyle w:val="12"/>
        <w:spacing w:line="360" w:lineRule="auto"/>
        <w:rPr>
          <w:rFonts w:hint="default" w:hAnsi="宋体" w:cs="宋体"/>
          <w:color w:val="auto"/>
          <w:highlight w:val="none"/>
        </w:rPr>
      </w:pPr>
      <w:r>
        <w:rPr>
          <w:rFonts w:hAnsi="宋体" w:cs="宋体"/>
          <w:color w:val="auto"/>
          <w:highlight w:val="none"/>
        </w:rPr>
        <w:t>说明：</w:t>
      </w:r>
    </w:p>
    <w:p w14:paraId="1923AD04">
      <w:pPr>
        <w:autoSpaceDE w:val="0"/>
        <w:autoSpaceDN w:val="0"/>
        <w:adjustRightIn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1、请按项目的实际技术参数，偏离情况填写：优于、等于或低于，偏离说明对偏离情况做出详细说明。</w:t>
      </w:r>
    </w:p>
    <w:p w14:paraId="47353ACC">
      <w:pPr>
        <w:spacing w:line="480" w:lineRule="auto"/>
        <w:ind w:right="-161" w:firstLine="2640" w:firstLineChars="1100"/>
        <w:rPr>
          <w:rFonts w:ascii="宋体" w:hAnsi="宋体" w:cs="宋体"/>
          <w:color w:val="auto"/>
          <w:sz w:val="24"/>
          <w:highlight w:val="none"/>
        </w:rPr>
      </w:pPr>
    </w:p>
    <w:p w14:paraId="0D8CDB52">
      <w:pPr>
        <w:spacing w:line="480" w:lineRule="auto"/>
        <w:ind w:right="-161" w:firstLine="2640" w:firstLineChars="1100"/>
        <w:rPr>
          <w:rFonts w:ascii="宋体" w:hAnsi="宋体" w:cs="宋体"/>
          <w:color w:val="auto"/>
          <w:sz w:val="24"/>
          <w:highlight w:val="none"/>
          <w:u w:val="single"/>
        </w:rPr>
      </w:pPr>
      <w:r>
        <w:rPr>
          <w:rFonts w:hint="eastAsia" w:ascii="宋体" w:hAnsi="宋体" w:cs="宋体"/>
          <w:color w:val="auto"/>
          <w:sz w:val="24"/>
          <w:szCs w:val="24"/>
          <w:highlight w:val="none"/>
        </w:rPr>
        <w:t>法定代表人或被授权代表（</w:t>
      </w:r>
      <w:r>
        <w:rPr>
          <w:rFonts w:hint="eastAsia" w:ascii="宋体" w:hAnsi="宋体" w:cs="宋体"/>
          <w:color w:val="auto"/>
          <w:sz w:val="24"/>
          <w:highlight w:val="none"/>
        </w:rPr>
        <w:t>签字或盖章</w:t>
      </w:r>
      <w:r>
        <w:rPr>
          <w:rFonts w:hint="eastAsia" w:ascii="宋体" w:hAnsi="宋体" w:cs="宋体"/>
          <w:color w:val="auto"/>
          <w:sz w:val="24"/>
          <w:szCs w:val="24"/>
          <w:highlight w:val="none"/>
        </w:rPr>
        <w:t>）</w:t>
      </w:r>
      <w:r>
        <w:rPr>
          <w:rFonts w:hint="eastAsia" w:ascii="宋体" w:hAnsi="宋体" w:cs="宋体"/>
          <w:color w:val="auto"/>
          <w:sz w:val="24"/>
          <w:highlight w:val="none"/>
        </w:rPr>
        <w:t>：</w:t>
      </w:r>
      <w:r>
        <w:rPr>
          <w:rFonts w:hint="eastAsia" w:ascii="宋体" w:hAnsi="宋体" w:cs="宋体"/>
          <w:color w:val="auto"/>
          <w:sz w:val="24"/>
          <w:highlight w:val="none"/>
          <w:u w:val="single"/>
        </w:rPr>
        <w:t xml:space="preserve">                      </w:t>
      </w:r>
    </w:p>
    <w:p w14:paraId="776096B9">
      <w:pPr>
        <w:spacing w:line="480" w:lineRule="auto"/>
        <w:ind w:right="480" w:firstLine="2640" w:firstLineChars="11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供    应    商 （公   章）：</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   </w:t>
      </w:r>
    </w:p>
    <w:p w14:paraId="77234CAF">
      <w:pPr>
        <w:spacing w:line="480" w:lineRule="auto"/>
        <w:ind w:right="480" w:firstLine="2640" w:firstLineChars="1100"/>
        <w:rPr>
          <w:rFonts w:hint="eastAsia" w:ascii="宋体" w:hAnsi="宋体" w:cs="宋体"/>
          <w:color w:val="auto"/>
          <w:highlight w:val="none"/>
          <w:u w:val="single"/>
        </w:rPr>
      </w:pPr>
      <w:r>
        <w:rPr>
          <w:rFonts w:hint="eastAsia" w:ascii="宋体" w:hAnsi="宋体" w:cs="宋体"/>
          <w:color w:val="auto"/>
          <w:sz w:val="24"/>
          <w:highlight w:val="none"/>
        </w:rPr>
        <w:t>日                    期：</w:t>
      </w:r>
      <w:r>
        <w:rPr>
          <w:rFonts w:hint="eastAsia" w:ascii="宋体" w:hAnsi="宋体" w:cs="宋体"/>
          <w:color w:val="auto"/>
          <w:highlight w:val="none"/>
          <w:u w:val="single"/>
        </w:rPr>
        <w:t xml:space="preserve">                      </w:t>
      </w:r>
    </w:p>
    <w:p w14:paraId="7B3D731A">
      <w:pPr>
        <w:pStyle w:val="3"/>
        <w:adjustRightInd w:val="0"/>
        <w:spacing w:line="360" w:lineRule="exact"/>
        <w:jc w:val="center"/>
        <w:textAlignment w:val="baseline"/>
        <w:rPr>
          <w:rFonts w:hint="eastAsia" w:ascii="宋体" w:hAnsi="宋体" w:eastAsia="宋体" w:cs="宋体"/>
          <w:b w:val="0"/>
          <w:bCs/>
          <w:color w:val="auto"/>
          <w:szCs w:val="22"/>
          <w:highlight w:val="none"/>
          <w:lang w:eastAsia="zh-CN"/>
        </w:rPr>
        <w:sectPr>
          <w:pgSz w:w="11906" w:h="16838"/>
          <w:pgMar w:top="1440" w:right="1080" w:bottom="1440" w:left="1080" w:header="1020" w:footer="1191" w:gutter="0"/>
          <w:pgNumType w:fmt="decimal"/>
          <w:cols w:space="720" w:num="1"/>
          <w:titlePg/>
          <w:docGrid w:type="lines" w:linePitch="312" w:charSpace="0"/>
        </w:sectPr>
      </w:pPr>
    </w:p>
    <w:p w14:paraId="3932B6F9">
      <w:pPr>
        <w:pStyle w:val="3"/>
        <w:adjustRightInd w:val="0"/>
        <w:spacing w:line="360" w:lineRule="exact"/>
        <w:jc w:val="center"/>
        <w:textAlignment w:val="baseline"/>
        <w:rPr>
          <w:rFonts w:hint="eastAsia" w:ascii="宋体" w:hAnsi="宋体" w:eastAsia="宋体" w:cs="宋体"/>
          <w:b w:val="0"/>
          <w:bCs/>
          <w:color w:val="auto"/>
          <w:szCs w:val="22"/>
          <w:highlight w:val="none"/>
        </w:rPr>
      </w:pPr>
      <w:r>
        <w:rPr>
          <w:rFonts w:hint="eastAsia" w:ascii="宋体" w:hAnsi="宋体" w:eastAsia="宋体" w:cs="宋体"/>
          <w:b w:val="0"/>
          <w:bCs/>
          <w:color w:val="auto"/>
          <w:szCs w:val="22"/>
          <w:highlight w:val="none"/>
          <w:lang w:val="en-US" w:eastAsia="zh-CN"/>
        </w:rPr>
        <w:t>七</w:t>
      </w:r>
      <w:r>
        <w:rPr>
          <w:rFonts w:hint="eastAsia" w:ascii="宋体" w:hAnsi="宋体" w:eastAsia="宋体" w:cs="宋体"/>
          <w:b w:val="0"/>
          <w:bCs/>
          <w:color w:val="auto"/>
          <w:szCs w:val="22"/>
          <w:highlight w:val="none"/>
        </w:rPr>
        <w:t>、法定代表人证明书及法定代表人授权委托书</w:t>
      </w:r>
      <w:bookmarkEnd w:id="568"/>
      <w:bookmarkEnd w:id="569"/>
      <w:bookmarkEnd w:id="570"/>
    </w:p>
    <w:p w14:paraId="57818EA7">
      <w:pPr>
        <w:pStyle w:val="3"/>
        <w:adjustRightInd w:val="0"/>
        <w:spacing w:line="360" w:lineRule="exact"/>
        <w:jc w:val="center"/>
        <w:textAlignment w:val="baseline"/>
        <w:rPr>
          <w:rFonts w:hint="eastAsia" w:ascii="宋体" w:hAnsi="宋体" w:eastAsia="宋体" w:cs="宋体"/>
          <w:b w:val="0"/>
          <w:bCs/>
          <w:color w:val="auto"/>
          <w:szCs w:val="22"/>
          <w:highlight w:val="none"/>
        </w:rPr>
      </w:pPr>
      <w:bookmarkStart w:id="571" w:name="_Toc17776"/>
      <w:bookmarkStart w:id="572" w:name="_Toc3768"/>
      <w:bookmarkStart w:id="573" w:name="_Toc17914"/>
      <w:r>
        <w:rPr>
          <w:rFonts w:hint="eastAsia" w:ascii="宋体" w:hAnsi="宋体" w:eastAsia="宋体" w:cs="宋体"/>
          <w:b w:val="0"/>
          <w:bCs/>
          <w:color w:val="auto"/>
          <w:szCs w:val="22"/>
          <w:highlight w:val="none"/>
          <w:lang w:val="en-US" w:eastAsia="zh-CN"/>
        </w:rPr>
        <w:t>7</w:t>
      </w:r>
      <w:r>
        <w:rPr>
          <w:rFonts w:hint="eastAsia" w:ascii="宋体" w:hAnsi="宋体" w:eastAsia="宋体" w:cs="宋体"/>
          <w:b w:val="0"/>
          <w:bCs/>
          <w:color w:val="auto"/>
          <w:szCs w:val="22"/>
          <w:highlight w:val="none"/>
        </w:rPr>
        <w:t>.1法定代表人证明书</w:t>
      </w:r>
      <w:bookmarkEnd w:id="571"/>
      <w:bookmarkEnd w:id="572"/>
      <w:bookmarkEnd w:id="573"/>
    </w:p>
    <w:tbl>
      <w:tblPr>
        <w:tblStyle w:val="24"/>
        <w:tblW w:w="96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5"/>
        <w:gridCol w:w="2234"/>
        <w:gridCol w:w="2234"/>
        <w:gridCol w:w="187"/>
        <w:gridCol w:w="2230"/>
        <w:gridCol w:w="2190"/>
      </w:tblGrid>
      <w:tr w14:paraId="6F70E2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9660" w:type="dxa"/>
            <w:gridSpan w:val="6"/>
            <w:noWrap w:val="0"/>
            <w:vAlign w:val="center"/>
          </w:tcPr>
          <w:p w14:paraId="47C11EC6">
            <w:pPr>
              <w:tabs>
                <w:tab w:val="left" w:pos="210"/>
              </w:tabs>
              <w:spacing w:line="320" w:lineRule="exact"/>
              <w:rPr>
                <w:rFonts w:hint="eastAsia" w:ascii="宋体" w:hAnsi="宋体" w:eastAsia="宋体" w:cs="宋体"/>
                <w:bCs/>
                <w:color w:val="auto"/>
                <w:kern w:val="0"/>
                <w:sz w:val="24"/>
                <w:highlight w:val="none"/>
                <w:lang w:eastAsia="zh-CN"/>
              </w:rPr>
            </w:pPr>
            <w:r>
              <w:rPr>
                <w:rFonts w:hint="eastAsia" w:ascii="宋体" w:hAnsi="宋体" w:eastAsia="宋体" w:cs="宋体"/>
                <w:bCs/>
                <w:color w:val="auto"/>
                <w:kern w:val="0"/>
                <w:sz w:val="24"/>
                <w:highlight w:val="none"/>
              </w:rPr>
              <w:t>致：</w:t>
            </w:r>
            <w:r>
              <w:rPr>
                <w:rFonts w:hint="eastAsia" w:ascii="宋体" w:hAnsi="宋体" w:cs="宋体"/>
                <w:bCs/>
                <w:color w:val="auto"/>
                <w:kern w:val="0"/>
                <w:sz w:val="24"/>
                <w:highlight w:val="none"/>
                <w:lang w:eastAsia="zh-CN"/>
              </w:rPr>
              <w:t>鹏泽项目管理有限公司</w:t>
            </w:r>
          </w:p>
        </w:tc>
      </w:tr>
      <w:tr w14:paraId="0A206E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1" w:hRule="atLeast"/>
          <w:jc w:val="center"/>
        </w:trPr>
        <w:tc>
          <w:tcPr>
            <w:tcW w:w="585" w:type="dxa"/>
            <w:vMerge w:val="restart"/>
            <w:noWrap w:val="0"/>
            <w:vAlign w:val="center"/>
          </w:tcPr>
          <w:p w14:paraId="1CBF7376">
            <w:pPr>
              <w:tabs>
                <w:tab w:val="left" w:pos="210"/>
              </w:tabs>
              <w:spacing w:line="320" w:lineRule="exact"/>
              <w:jc w:val="center"/>
              <w:rPr>
                <w:rFonts w:hint="eastAsia" w:ascii="宋体" w:hAnsi="宋体" w:eastAsia="宋体" w:cs="宋体"/>
                <w:bCs/>
                <w:color w:val="auto"/>
                <w:kern w:val="0"/>
                <w:sz w:val="24"/>
                <w:highlight w:val="none"/>
              </w:rPr>
            </w:pPr>
            <w:r>
              <w:rPr>
                <w:rFonts w:hint="eastAsia" w:ascii="宋体" w:hAnsi="宋体" w:eastAsia="宋体" w:cs="宋体"/>
                <w:bCs/>
                <w:color w:val="auto"/>
                <w:kern w:val="0"/>
                <w:sz w:val="24"/>
                <w:highlight w:val="none"/>
              </w:rPr>
              <w:t>企</w:t>
            </w:r>
          </w:p>
          <w:p w14:paraId="2291A886">
            <w:pPr>
              <w:tabs>
                <w:tab w:val="left" w:pos="210"/>
              </w:tabs>
              <w:spacing w:line="320" w:lineRule="exact"/>
              <w:jc w:val="center"/>
              <w:rPr>
                <w:rFonts w:hint="eastAsia" w:ascii="宋体" w:hAnsi="宋体" w:eastAsia="宋体" w:cs="宋体"/>
                <w:bCs/>
                <w:color w:val="auto"/>
                <w:kern w:val="0"/>
                <w:sz w:val="24"/>
                <w:highlight w:val="none"/>
              </w:rPr>
            </w:pPr>
          </w:p>
          <w:p w14:paraId="391480BF">
            <w:pPr>
              <w:tabs>
                <w:tab w:val="left" w:pos="210"/>
              </w:tabs>
              <w:spacing w:line="320" w:lineRule="exact"/>
              <w:jc w:val="center"/>
              <w:rPr>
                <w:rFonts w:hint="eastAsia" w:ascii="宋体" w:hAnsi="宋体" w:eastAsia="宋体" w:cs="宋体"/>
                <w:bCs/>
                <w:color w:val="auto"/>
                <w:kern w:val="0"/>
                <w:sz w:val="24"/>
                <w:highlight w:val="none"/>
              </w:rPr>
            </w:pPr>
            <w:r>
              <w:rPr>
                <w:rFonts w:hint="eastAsia" w:ascii="宋体" w:hAnsi="宋体" w:eastAsia="宋体" w:cs="宋体"/>
                <w:bCs/>
                <w:color w:val="auto"/>
                <w:kern w:val="0"/>
                <w:sz w:val="24"/>
                <w:highlight w:val="none"/>
              </w:rPr>
              <w:t>业</w:t>
            </w:r>
          </w:p>
          <w:p w14:paraId="7926E111">
            <w:pPr>
              <w:tabs>
                <w:tab w:val="left" w:pos="210"/>
              </w:tabs>
              <w:spacing w:line="320" w:lineRule="exact"/>
              <w:jc w:val="center"/>
              <w:rPr>
                <w:rFonts w:hint="eastAsia" w:ascii="宋体" w:hAnsi="宋体" w:eastAsia="宋体" w:cs="宋体"/>
                <w:bCs/>
                <w:color w:val="auto"/>
                <w:kern w:val="0"/>
                <w:sz w:val="24"/>
                <w:highlight w:val="none"/>
              </w:rPr>
            </w:pPr>
          </w:p>
          <w:p w14:paraId="2E8CEA53">
            <w:pPr>
              <w:tabs>
                <w:tab w:val="left" w:pos="210"/>
              </w:tabs>
              <w:spacing w:line="320" w:lineRule="exact"/>
              <w:jc w:val="center"/>
              <w:rPr>
                <w:rFonts w:hint="eastAsia" w:ascii="宋体" w:hAnsi="宋体" w:eastAsia="宋体" w:cs="宋体"/>
                <w:bCs/>
                <w:color w:val="auto"/>
                <w:kern w:val="0"/>
                <w:sz w:val="24"/>
                <w:highlight w:val="none"/>
              </w:rPr>
            </w:pPr>
            <w:r>
              <w:rPr>
                <w:rFonts w:hint="eastAsia" w:ascii="宋体" w:hAnsi="宋体" w:eastAsia="宋体" w:cs="宋体"/>
                <w:bCs/>
                <w:color w:val="auto"/>
                <w:kern w:val="0"/>
                <w:sz w:val="24"/>
                <w:highlight w:val="none"/>
              </w:rPr>
              <w:t>法</w:t>
            </w:r>
          </w:p>
          <w:p w14:paraId="3C7BFD28">
            <w:pPr>
              <w:tabs>
                <w:tab w:val="left" w:pos="210"/>
              </w:tabs>
              <w:spacing w:line="320" w:lineRule="exact"/>
              <w:jc w:val="center"/>
              <w:rPr>
                <w:rFonts w:hint="eastAsia" w:ascii="宋体" w:hAnsi="宋体" w:eastAsia="宋体" w:cs="宋体"/>
                <w:bCs/>
                <w:color w:val="auto"/>
                <w:kern w:val="0"/>
                <w:sz w:val="24"/>
                <w:highlight w:val="none"/>
              </w:rPr>
            </w:pPr>
          </w:p>
          <w:p w14:paraId="244D12F7">
            <w:pPr>
              <w:tabs>
                <w:tab w:val="left" w:pos="210"/>
              </w:tabs>
              <w:spacing w:line="320" w:lineRule="exact"/>
              <w:jc w:val="center"/>
              <w:rPr>
                <w:rFonts w:hint="eastAsia" w:ascii="宋体" w:hAnsi="宋体" w:eastAsia="宋体" w:cs="宋体"/>
                <w:bCs/>
                <w:color w:val="auto"/>
                <w:kern w:val="0"/>
                <w:sz w:val="24"/>
                <w:highlight w:val="none"/>
              </w:rPr>
            </w:pPr>
            <w:r>
              <w:rPr>
                <w:rFonts w:hint="eastAsia" w:ascii="宋体" w:hAnsi="宋体" w:eastAsia="宋体" w:cs="宋体"/>
                <w:bCs/>
                <w:color w:val="auto"/>
                <w:kern w:val="0"/>
                <w:sz w:val="24"/>
                <w:highlight w:val="none"/>
              </w:rPr>
              <w:t>人</w:t>
            </w:r>
          </w:p>
        </w:tc>
        <w:tc>
          <w:tcPr>
            <w:tcW w:w="2234" w:type="dxa"/>
            <w:noWrap w:val="0"/>
            <w:vAlign w:val="center"/>
          </w:tcPr>
          <w:p w14:paraId="5E046B3F">
            <w:pPr>
              <w:tabs>
                <w:tab w:val="left" w:pos="210"/>
              </w:tabs>
              <w:spacing w:line="320" w:lineRule="exact"/>
              <w:jc w:val="center"/>
              <w:rPr>
                <w:rFonts w:hint="eastAsia" w:ascii="宋体" w:hAnsi="宋体" w:eastAsia="宋体" w:cs="宋体"/>
                <w:bCs/>
                <w:color w:val="auto"/>
                <w:kern w:val="0"/>
                <w:sz w:val="24"/>
                <w:highlight w:val="none"/>
              </w:rPr>
            </w:pPr>
            <w:r>
              <w:rPr>
                <w:rFonts w:hint="eastAsia" w:ascii="宋体" w:hAnsi="宋体" w:eastAsia="宋体" w:cs="宋体"/>
                <w:bCs/>
                <w:color w:val="auto"/>
                <w:kern w:val="0"/>
                <w:sz w:val="24"/>
                <w:highlight w:val="none"/>
              </w:rPr>
              <w:t>企业名称</w:t>
            </w:r>
          </w:p>
        </w:tc>
        <w:tc>
          <w:tcPr>
            <w:tcW w:w="6841" w:type="dxa"/>
            <w:gridSpan w:val="4"/>
            <w:noWrap w:val="0"/>
            <w:vAlign w:val="center"/>
          </w:tcPr>
          <w:p w14:paraId="2C9A7F01">
            <w:pPr>
              <w:tabs>
                <w:tab w:val="left" w:pos="210"/>
              </w:tabs>
              <w:spacing w:line="320" w:lineRule="exact"/>
              <w:jc w:val="center"/>
              <w:rPr>
                <w:rFonts w:hint="eastAsia" w:ascii="宋体" w:hAnsi="宋体" w:eastAsia="宋体" w:cs="宋体"/>
                <w:bCs/>
                <w:color w:val="auto"/>
                <w:kern w:val="0"/>
                <w:sz w:val="24"/>
                <w:highlight w:val="none"/>
              </w:rPr>
            </w:pPr>
          </w:p>
        </w:tc>
      </w:tr>
      <w:tr w14:paraId="229E73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1" w:hRule="atLeast"/>
          <w:jc w:val="center"/>
        </w:trPr>
        <w:tc>
          <w:tcPr>
            <w:tcW w:w="585" w:type="dxa"/>
            <w:vMerge w:val="continue"/>
            <w:noWrap w:val="0"/>
            <w:vAlign w:val="center"/>
          </w:tcPr>
          <w:p w14:paraId="39333B9F">
            <w:pPr>
              <w:tabs>
                <w:tab w:val="left" w:pos="210"/>
              </w:tabs>
              <w:spacing w:line="320" w:lineRule="exact"/>
              <w:jc w:val="center"/>
              <w:rPr>
                <w:rFonts w:hint="eastAsia" w:ascii="宋体" w:hAnsi="宋体" w:eastAsia="宋体" w:cs="宋体"/>
                <w:bCs/>
                <w:color w:val="auto"/>
                <w:kern w:val="0"/>
                <w:sz w:val="24"/>
                <w:highlight w:val="none"/>
              </w:rPr>
            </w:pPr>
          </w:p>
        </w:tc>
        <w:tc>
          <w:tcPr>
            <w:tcW w:w="2234" w:type="dxa"/>
            <w:noWrap w:val="0"/>
            <w:vAlign w:val="center"/>
          </w:tcPr>
          <w:p w14:paraId="4C679231">
            <w:pPr>
              <w:tabs>
                <w:tab w:val="left" w:pos="210"/>
              </w:tabs>
              <w:spacing w:line="320" w:lineRule="exact"/>
              <w:jc w:val="center"/>
              <w:rPr>
                <w:rFonts w:hint="eastAsia" w:ascii="宋体" w:hAnsi="宋体" w:eastAsia="宋体" w:cs="宋体"/>
                <w:bCs/>
                <w:color w:val="auto"/>
                <w:kern w:val="0"/>
                <w:sz w:val="24"/>
                <w:highlight w:val="none"/>
              </w:rPr>
            </w:pPr>
            <w:r>
              <w:rPr>
                <w:rFonts w:hint="eastAsia" w:ascii="宋体" w:hAnsi="宋体" w:eastAsia="宋体" w:cs="宋体"/>
                <w:bCs/>
                <w:color w:val="auto"/>
                <w:kern w:val="0"/>
                <w:sz w:val="24"/>
                <w:highlight w:val="none"/>
              </w:rPr>
              <w:t>法定地址</w:t>
            </w:r>
          </w:p>
        </w:tc>
        <w:tc>
          <w:tcPr>
            <w:tcW w:w="6841" w:type="dxa"/>
            <w:gridSpan w:val="4"/>
            <w:noWrap w:val="0"/>
            <w:vAlign w:val="center"/>
          </w:tcPr>
          <w:p w14:paraId="48CB01AB">
            <w:pPr>
              <w:tabs>
                <w:tab w:val="left" w:pos="210"/>
              </w:tabs>
              <w:spacing w:line="320" w:lineRule="exact"/>
              <w:jc w:val="center"/>
              <w:rPr>
                <w:rFonts w:hint="eastAsia" w:ascii="宋体" w:hAnsi="宋体" w:eastAsia="宋体" w:cs="宋体"/>
                <w:bCs/>
                <w:color w:val="auto"/>
                <w:kern w:val="0"/>
                <w:sz w:val="24"/>
                <w:highlight w:val="none"/>
              </w:rPr>
            </w:pPr>
          </w:p>
        </w:tc>
      </w:tr>
      <w:tr w14:paraId="3273C8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1" w:hRule="atLeast"/>
          <w:jc w:val="center"/>
        </w:trPr>
        <w:tc>
          <w:tcPr>
            <w:tcW w:w="585" w:type="dxa"/>
            <w:vMerge w:val="continue"/>
            <w:noWrap w:val="0"/>
            <w:vAlign w:val="center"/>
          </w:tcPr>
          <w:p w14:paraId="0785C165">
            <w:pPr>
              <w:tabs>
                <w:tab w:val="left" w:pos="210"/>
              </w:tabs>
              <w:spacing w:line="320" w:lineRule="exact"/>
              <w:jc w:val="center"/>
              <w:rPr>
                <w:rFonts w:hint="eastAsia" w:ascii="宋体" w:hAnsi="宋体" w:eastAsia="宋体" w:cs="宋体"/>
                <w:bCs/>
                <w:color w:val="auto"/>
                <w:kern w:val="0"/>
                <w:sz w:val="24"/>
                <w:highlight w:val="none"/>
              </w:rPr>
            </w:pPr>
          </w:p>
        </w:tc>
        <w:tc>
          <w:tcPr>
            <w:tcW w:w="2234" w:type="dxa"/>
            <w:noWrap w:val="0"/>
            <w:vAlign w:val="center"/>
          </w:tcPr>
          <w:p w14:paraId="3EAF4444">
            <w:pPr>
              <w:tabs>
                <w:tab w:val="left" w:pos="210"/>
              </w:tabs>
              <w:spacing w:line="320" w:lineRule="exact"/>
              <w:jc w:val="center"/>
              <w:rPr>
                <w:rFonts w:hint="eastAsia" w:ascii="宋体" w:hAnsi="宋体" w:eastAsia="宋体" w:cs="宋体"/>
                <w:bCs/>
                <w:color w:val="auto"/>
                <w:kern w:val="0"/>
                <w:sz w:val="24"/>
                <w:highlight w:val="none"/>
              </w:rPr>
            </w:pPr>
            <w:r>
              <w:rPr>
                <w:rFonts w:hint="eastAsia" w:ascii="宋体" w:hAnsi="宋体" w:eastAsia="宋体" w:cs="宋体"/>
                <w:bCs/>
                <w:color w:val="auto"/>
                <w:kern w:val="0"/>
                <w:sz w:val="24"/>
                <w:highlight w:val="none"/>
              </w:rPr>
              <w:t>邮政编码</w:t>
            </w:r>
          </w:p>
        </w:tc>
        <w:tc>
          <w:tcPr>
            <w:tcW w:w="6841" w:type="dxa"/>
            <w:gridSpan w:val="4"/>
            <w:noWrap w:val="0"/>
            <w:vAlign w:val="center"/>
          </w:tcPr>
          <w:p w14:paraId="4F2D99E6">
            <w:pPr>
              <w:tabs>
                <w:tab w:val="left" w:pos="210"/>
              </w:tabs>
              <w:spacing w:line="320" w:lineRule="exact"/>
              <w:jc w:val="center"/>
              <w:rPr>
                <w:rFonts w:hint="eastAsia" w:ascii="宋体" w:hAnsi="宋体" w:eastAsia="宋体" w:cs="宋体"/>
                <w:bCs/>
                <w:color w:val="auto"/>
                <w:kern w:val="0"/>
                <w:sz w:val="24"/>
                <w:highlight w:val="none"/>
              </w:rPr>
            </w:pPr>
          </w:p>
        </w:tc>
      </w:tr>
      <w:tr w14:paraId="75710D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2" w:hRule="atLeast"/>
          <w:jc w:val="center"/>
        </w:trPr>
        <w:tc>
          <w:tcPr>
            <w:tcW w:w="585" w:type="dxa"/>
            <w:vMerge w:val="continue"/>
            <w:noWrap w:val="0"/>
            <w:vAlign w:val="center"/>
          </w:tcPr>
          <w:p w14:paraId="1DE62ADB">
            <w:pPr>
              <w:tabs>
                <w:tab w:val="left" w:pos="210"/>
              </w:tabs>
              <w:spacing w:line="320" w:lineRule="exact"/>
              <w:jc w:val="center"/>
              <w:rPr>
                <w:rFonts w:hint="eastAsia" w:ascii="宋体" w:hAnsi="宋体" w:eastAsia="宋体" w:cs="宋体"/>
                <w:bCs/>
                <w:color w:val="auto"/>
                <w:kern w:val="0"/>
                <w:sz w:val="24"/>
                <w:highlight w:val="none"/>
              </w:rPr>
            </w:pPr>
          </w:p>
        </w:tc>
        <w:tc>
          <w:tcPr>
            <w:tcW w:w="2234" w:type="dxa"/>
            <w:noWrap w:val="0"/>
            <w:vAlign w:val="center"/>
          </w:tcPr>
          <w:p w14:paraId="078A635B">
            <w:pPr>
              <w:tabs>
                <w:tab w:val="left" w:pos="210"/>
              </w:tabs>
              <w:spacing w:line="320" w:lineRule="exact"/>
              <w:jc w:val="center"/>
              <w:rPr>
                <w:rFonts w:hint="eastAsia" w:ascii="宋体" w:hAnsi="宋体" w:eastAsia="宋体" w:cs="宋体"/>
                <w:bCs/>
                <w:color w:val="auto"/>
                <w:kern w:val="0"/>
                <w:sz w:val="24"/>
                <w:highlight w:val="none"/>
              </w:rPr>
            </w:pPr>
            <w:r>
              <w:rPr>
                <w:rFonts w:hint="eastAsia" w:ascii="宋体" w:hAnsi="宋体" w:eastAsia="宋体" w:cs="宋体"/>
                <w:bCs/>
                <w:color w:val="auto"/>
                <w:kern w:val="0"/>
                <w:sz w:val="24"/>
                <w:highlight w:val="none"/>
              </w:rPr>
              <w:t>工商登记机关</w:t>
            </w:r>
          </w:p>
        </w:tc>
        <w:tc>
          <w:tcPr>
            <w:tcW w:w="6841" w:type="dxa"/>
            <w:gridSpan w:val="4"/>
            <w:noWrap w:val="0"/>
            <w:vAlign w:val="center"/>
          </w:tcPr>
          <w:p w14:paraId="6683D226">
            <w:pPr>
              <w:tabs>
                <w:tab w:val="left" w:pos="210"/>
              </w:tabs>
              <w:spacing w:line="320" w:lineRule="exact"/>
              <w:jc w:val="center"/>
              <w:rPr>
                <w:rFonts w:hint="eastAsia" w:ascii="宋体" w:hAnsi="宋体" w:eastAsia="宋体" w:cs="宋体"/>
                <w:bCs/>
                <w:color w:val="auto"/>
                <w:kern w:val="0"/>
                <w:sz w:val="24"/>
                <w:highlight w:val="none"/>
              </w:rPr>
            </w:pPr>
          </w:p>
        </w:tc>
      </w:tr>
      <w:tr w14:paraId="08A397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jc w:val="center"/>
        </w:trPr>
        <w:tc>
          <w:tcPr>
            <w:tcW w:w="585" w:type="dxa"/>
            <w:vMerge w:val="continue"/>
            <w:noWrap w:val="0"/>
            <w:vAlign w:val="center"/>
          </w:tcPr>
          <w:p w14:paraId="54EE623D">
            <w:pPr>
              <w:tabs>
                <w:tab w:val="left" w:pos="210"/>
              </w:tabs>
              <w:spacing w:line="320" w:lineRule="exact"/>
              <w:jc w:val="center"/>
              <w:rPr>
                <w:rFonts w:hint="eastAsia" w:ascii="宋体" w:hAnsi="宋体" w:eastAsia="宋体" w:cs="宋体"/>
                <w:bCs/>
                <w:color w:val="auto"/>
                <w:kern w:val="0"/>
                <w:sz w:val="24"/>
                <w:highlight w:val="none"/>
              </w:rPr>
            </w:pPr>
          </w:p>
        </w:tc>
        <w:tc>
          <w:tcPr>
            <w:tcW w:w="2234" w:type="dxa"/>
            <w:noWrap w:val="0"/>
            <w:vAlign w:val="center"/>
          </w:tcPr>
          <w:p w14:paraId="6656D773">
            <w:pPr>
              <w:tabs>
                <w:tab w:val="left" w:pos="210"/>
              </w:tabs>
              <w:spacing w:line="320" w:lineRule="exact"/>
              <w:jc w:val="center"/>
              <w:rPr>
                <w:rFonts w:hint="eastAsia" w:ascii="宋体" w:hAnsi="宋体" w:eastAsia="宋体" w:cs="宋体"/>
                <w:bCs/>
                <w:color w:val="auto"/>
                <w:kern w:val="0"/>
                <w:sz w:val="24"/>
                <w:highlight w:val="none"/>
              </w:rPr>
            </w:pPr>
            <w:r>
              <w:rPr>
                <w:rFonts w:hint="eastAsia" w:ascii="宋体" w:hAnsi="宋体" w:eastAsia="宋体" w:cs="宋体"/>
                <w:bCs/>
                <w:color w:val="auto"/>
                <w:kern w:val="0"/>
                <w:sz w:val="24"/>
                <w:highlight w:val="none"/>
              </w:rPr>
              <w:t>税务登记机关</w:t>
            </w:r>
          </w:p>
        </w:tc>
        <w:tc>
          <w:tcPr>
            <w:tcW w:w="6841" w:type="dxa"/>
            <w:gridSpan w:val="4"/>
            <w:noWrap w:val="0"/>
            <w:vAlign w:val="center"/>
          </w:tcPr>
          <w:p w14:paraId="201DF167">
            <w:pPr>
              <w:tabs>
                <w:tab w:val="left" w:pos="210"/>
              </w:tabs>
              <w:spacing w:line="320" w:lineRule="exact"/>
              <w:jc w:val="center"/>
              <w:rPr>
                <w:rFonts w:hint="eastAsia" w:ascii="宋体" w:hAnsi="宋体" w:eastAsia="宋体" w:cs="宋体"/>
                <w:bCs/>
                <w:color w:val="auto"/>
                <w:kern w:val="0"/>
                <w:sz w:val="24"/>
                <w:highlight w:val="none"/>
              </w:rPr>
            </w:pPr>
          </w:p>
        </w:tc>
      </w:tr>
      <w:tr w14:paraId="426E72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2" w:hRule="atLeast"/>
          <w:jc w:val="center"/>
        </w:trPr>
        <w:tc>
          <w:tcPr>
            <w:tcW w:w="585" w:type="dxa"/>
            <w:vMerge w:val="continue"/>
            <w:noWrap w:val="0"/>
            <w:vAlign w:val="center"/>
          </w:tcPr>
          <w:p w14:paraId="08903FE5">
            <w:pPr>
              <w:tabs>
                <w:tab w:val="left" w:pos="210"/>
              </w:tabs>
              <w:spacing w:line="320" w:lineRule="exact"/>
              <w:jc w:val="center"/>
              <w:rPr>
                <w:rFonts w:hint="eastAsia" w:ascii="宋体" w:hAnsi="宋体" w:eastAsia="宋体" w:cs="宋体"/>
                <w:bCs/>
                <w:color w:val="auto"/>
                <w:kern w:val="0"/>
                <w:sz w:val="24"/>
                <w:highlight w:val="none"/>
              </w:rPr>
            </w:pPr>
          </w:p>
        </w:tc>
        <w:tc>
          <w:tcPr>
            <w:tcW w:w="2234" w:type="dxa"/>
            <w:noWrap w:val="0"/>
            <w:vAlign w:val="center"/>
          </w:tcPr>
          <w:p w14:paraId="05BF7917">
            <w:pPr>
              <w:tabs>
                <w:tab w:val="left" w:pos="210"/>
              </w:tabs>
              <w:spacing w:line="320" w:lineRule="exact"/>
              <w:jc w:val="center"/>
              <w:rPr>
                <w:rFonts w:hint="eastAsia" w:ascii="宋体" w:hAnsi="宋体" w:eastAsia="宋体" w:cs="宋体"/>
                <w:bCs/>
                <w:color w:val="auto"/>
                <w:kern w:val="0"/>
                <w:sz w:val="24"/>
                <w:highlight w:val="none"/>
              </w:rPr>
            </w:pPr>
            <w:r>
              <w:rPr>
                <w:rFonts w:hint="eastAsia" w:ascii="宋体" w:hAnsi="宋体" w:eastAsia="宋体" w:cs="宋体"/>
                <w:bCs/>
                <w:color w:val="auto"/>
                <w:kern w:val="0"/>
                <w:sz w:val="24"/>
                <w:highlight w:val="none"/>
              </w:rPr>
              <w:t>机构代码证号</w:t>
            </w:r>
          </w:p>
        </w:tc>
        <w:tc>
          <w:tcPr>
            <w:tcW w:w="6841" w:type="dxa"/>
            <w:gridSpan w:val="4"/>
            <w:noWrap w:val="0"/>
            <w:vAlign w:val="center"/>
          </w:tcPr>
          <w:p w14:paraId="2340F065">
            <w:pPr>
              <w:tabs>
                <w:tab w:val="left" w:pos="210"/>
              </w:tabs>
              <w:spacing w:line="320" w:lineRule="exact"/>
              <w:jc w:val="center"/>
              <w:rPr>
                <w:rFonts w:hint="eastAsia" w:ascii="宋体" w:hAnsi="宋体" w:eastAsia="宋体" w:cs="宋体"/>
                <w:bCs/>
                <w:color w:val="auto"/>
                <w:kern w:val="0"/>
                <w:sz w:val="24"/>
                <w:highlight w:val="none"/>
              </w:rPr>
            </w:pPr>
          </w:p>
        </w:tc>
      </w:tr>
      <w:tr w14:paraId="0A723A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1" w:hRule="atLeast"/>
          <w:jc w:val="center"/>
        </w:trPr>
        <w:tc>
          <w:tcPr>
            <w:tcW w:w="585" w:type="dxa"/>
            <w:vMerge w:val="restart"/>
            <w:noWrap w:val="0"/>
            <w:vAlign w:val="center"/>
          </w:tcPr>
          <w:p w14:paraId="7FC35F12">
            <w:pPr>
              <w:tabs>
                <w:tab w:val="left" w:pos="210"/>
              </w:tabs>
              <w:spacing w:line="320" w:lineRule="exact"/>
              <w:jc w:val="center"/>
              <w:rPr>
                <w:rFonts w:hint="eastAsia" w:ascii="宋体" w:hAnsi="宋体" w:eastAsia="宋体" w:cs="宋体"/>
                <w:bCs/>
                <w:color w:val="auto"/>
                <w:kern w:val="0"/>
                <w:sz w:val="24"/>
                <w:highlight w:val="none"/>
              </w:rPr>
            </w:pPr>
            <w:r>
              <w:rPr>
                <w:rFonts w:hint="eastAsia" w:ascii="宋体" w:hAnsi="宋体" w:eastAsia="宋体" w:cs="宋体"/>
                <w:bCs/>
                <w:color w:val="auto"/>
                <w:kern w:val="0"/>
                <w:sz w:val="24"/>
                <w:highlight w:val="none"/>
              </w:rPr>
              <w:t>法定代表人</w:t>
            </w:r>
          </w:p>
        </w:tc>
        <w:tc>
          <w:tcPr>
            <w:tcW w:w="2234" w:type="dxa"/>
            <w:noWrap w:val="0"/>
            <w:vAlign w:val="center"/>
          </w:tcPr>
          <w:p w14:paraId="79D83CD8">
            <w:pPr>
              <w:tabs>
                <w:tab w:val="left" w:pos="210"/>
              </w:tabs>
              <w:spacing w:line="320" w:lineRule="exact"/>
              <w:jc w:val="center"/>
              <w:rPr>
                <w:rFonts w:hint="eastAsia" w:ascii="宋体" w:hAnsi="宋体" w:eastAsia="宋体" w:cs="宋体"/>
                <w:bCs/>
                <w:color w:val="auto"/>
                <w:kern w:val="0"/>
                <w:sz w:val="24"/>
                <w:highlight w:val="none"/>
              </w:rPr>
            </w:pPr>
            <w:r>
              <w:rPr>
                <w:rFonts w:hint="eastAsia" w:ascii="宋体" w:hAnsi="宋体" w:eastAsia="宋体" w:cs="宋体"/>
                <w:bCs/>
                <w:color w:val="auto"/>
                <w:kern w:val="0"/>
                <w:sz w:val="24"/>
                <w:highlight w:val="none"/>
              </w:rPr>
              <w:t>姓名</w:t>
            </w:r>
          </w:p>
        </w:tc>
        <w:tc>
          <w:tcPr>
            <w:tcW w:w="2421" w:type="dxa"/>
            <w:gridSpan w:val="2"/>
            <w:noWrap w:val="0"/>
            <w:vAlign w:val="center"/>
          </w:tcPr>
          <w:p w14:paraId="1950222B">
            <w:pPr>
              <w:tabs>
                <w:tab w:val="left" w:pos="210"/>
              </w:tabs>
              <w:spacing w:line="320" w:lineRule="exact"/>
              <w:jc w:val="center"/>
              <w:rPr>
                <w:rFonts w:hint="eastAsia" w:ascii="宋体" w:hAnsi="宋体" w:eastAsia="宋体" w:cs="宋体"/>
                <w:bCs/>
                <w:color w:val="auto"/>
                <w:kern w:val="0"/>
                <w:sz w:val="24"/>
                <w:highlight w:val="none"/>
              </w:rPr>
            </w:pPr>
            <w:r>
              <w:rPr>
                <w:rFonts w:hint="eastAsia" w:ascii="宋体" w:hAnsi="宋体" w:eastAsia="宋体" w:cs="宋体"/>
                <w:bCs/>
                <w:color w:val="auto"/>
                <w:kern w:val="0"/>
                <w:sz w:val="24"/>
                <w:highlight w:val="none"/>
              </w:rPr>
              <w:t>（签名）</w:t>
            </w:r>
          </w:p>
        </w:tc>
        <w:tc>
          <w:tcPr>
            <w:tcW w:w="2230" w:type="dxa"/>
            <w:noWrap w:val="0"/>
            <w:vAlign w:val="center"/>
          </w:tcPr>
          <w:p w14:paraId="4DAC2500">
            <w:pPr>
              <w:tabs>
                <w:tab w:val="left" w:pos="210"/>
              </w:tabs>
              <w:spacing w:line="320" w:lineRule="exact"/>
              <w:jc w:val="center"/>
              <w:rPr>
                <w:rFonts w:hint="eastAsia" w:ascii="宋体" w:hAnsi="宋体" w:eastAsia="宋体" w:cs="宋体"/>
                <w:bCs/>
                <w:color w:val="auto"/>
                <w:kern w:val="0"/>
                <w:sz w:val="24"/>
                <w:highlight w:val="none"/>
              </w:rPr>
            </w:pPr>
            <w:r>
              <w:rPr>
                <w:rFonts w:hint="eastAsia" w:ascii="宋体" w:hAnsi="宋体" w:eastAsia="宋体" w:cs="宋体"/>
                <w:bCs/>
                <w:color w:val="auto"/>
                <w:kern w:val="0"/>
                <w:sz w:val="24"/>
                <w:highlight w:val="none"/>
              </w:rPr>
              <w:t>性别</w:t>
            </w:r>
          </w:p>
        </w:tc>
        <w:tc>
          <w:tcPr>
            <w:tcW w:w="2190" w:type="dxa"/>
            <w:noWrap w:val="0"/>
            <w:vAlign w:val="center"/>
          </w:tcPr>
          <w:p w14:paraId="3F643265">
            <w:pPr>
              <w:tabs>
                <w:tab w:val="left" w:pos="210"/>
              </w:tabs>
              <w:spacing w:line="320" w:lineRule="exact"/>
              <w:jc w:val="center"/>
              <w:rPr>
                <w:rFonts w:hint="eastAsia" w:ascii="宋体" w:hAnsi="宋体" w:eastAsia="宋体" w:cs="宋体"/>
                <w:bCs/>
                <w:color w:val="auto"/>
                <w:kern w:val="0"/>
                <w:sz w:val="24"/>
                <w:highlight w:val="none"/>
              </w:rPr>
            </w:pPr>
          </w:p>
        </w:tc>
      </w:tr>
      <w:tr w14:paraId="4FFC04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1" w:hRule="atLeast"/>
          <w:jc w:val="center"/>
        </w:trPr>
        <w:tc>
          <w:tcPr>
            <w:tcW w:w="585" w:type="dxa"/>
            <w:vMerge w:val="continue"/>
            <w:noWrap w:val="0"/>
            <w:vAlign w:val="center"/>
          </w:tcPr>
          <w:p w14:paraId="16D6424E">
            <w:pPr>
              <w:tabs>
                <w:tab w:val="left" w:pos="210"/>
              </w:tabs>
              <w:spacing w:line="320" w:lineRule="exact"/>
              <w:jc w:val="center"/>
              <w:rPr>
                <w:rFonts w:hint="eastAsia" w:ascii="宋体" w:hAnsi="宋体" w:eastAsia="宋体" w:cs="宋体"/>
                <w:bCs/>
                <w:color w:val="auto"/>
                <w:kern w:val="0"/>
                <w:sz w:val="24"/>
                <w:highlight w:val="none"/>
              </w:rPr>
            </w:pPr>
          </w:p>
        </w:tc>
        <w:tc>
          <w:tcPr>
            <w:tcW w:w="2234" w:type="dxa"/>
            <w:noWrap w:val="0"/>
            <w:vAlign w:val="center"/>
          </w:tcPr>
          <w:p w14:paraId="63E035E7">
            <w:pPr>
              <w:tabs>
                <w:tab w:val="left" w:pos="210"/>
              </w:tabs>
              <w:spacing w:line="320" w:lineRule="exact"/>
              <w:jc w:val="center"/>
              <w:rPr>
                <w:rFonts w:hint="eastAsia" w:ascii="宋体" w:hAnsi="宋体" w:eastAsia="宋体" w:cs="宋体"/>
                <w:bCs/>
                <w:color w:val="auto"/>
                <w:kern w:val="0"/>
                <w:sz w:val="24"/>
                <w:highlight w:val="none"/>
              </w:rPr>
            </w:pPr>
            <w:r>
              <w:rPr>
                <w:rFonts w:hint="eastAsia" w:ascii="宋体" w:hAnsi="宋体" w:eastAsia="宋体" w:cs="宋体"/>
                <w:bCs/>
                <w:color w:val="auto"/>
                <w:kern w:val="0"/>
                <w:sz w:val="24"/>
                <w:highlight w:val="none"/>
              </w:rPr>
              <w:t>职务</w:t>
            </w:r>
          </w:p>
        </w:tc>
        <w:tc>
          <w:tcPr>
            <w:tcW w:w="2421" w:type="dxa"/>
            <w:gridSpan w:val="2"/>
            <w:noWrap w:val="0"/>
            <w:vAlign w:val="center"/>
          </w:tcPr>
          <w:p w14:paraId="1229AC30">
            <w:pPr>
              <w:tabs>
                <w:tab w:val="left" w:pos="210"/>
              </w:tabs>
              <w:spacing w:line="320" w:lineRule="exact"/>
              <w:jc w:val="center"/>
              <w:rPr>
                <w:rFonts w:hint="eastAsia" w:ascii="宋体" w:hAnsi="宋体" w:eastAsia="宋体" w:cs="宋体"/>
                <w:bCs/>
                <w:color w:val="auto"/>
                <w:kern w:val="0"/>
                <w:sz w:val="24"/>
                <w:highlight w:val="none"/>
              </w:rPr>
            </w:pPr>
          </w:p>
        </w:tc>
        <w:tc>
          <w:tcPr>
            <w:tcW w:w="2230" w:type="dxa"/>
            <w:noWrap w:val="0"/>
            <w:vAlign w:val="center"/>
          </w:tcPr>
          <w:p w14:paraId="608E4687">
            <w:pPr>
              <w:tabs>
                <w:tab w:val="left" w:pos="210"/>
              </w:tabs>
              <w:spacing w:line="320" w:lineRule="exact"/>
              <w:jc w:val="center"/>
              <w:rPr>
                <w:rFonts w:hint="eastAsia" w:ascii="宋体" w:hAnsi="宋体" w:eastAsia="宋体" w:cs="宋体"/>
                <w:bCs/>
                <w:color w:val="auto"/>
                <w:kern w:val="0"/>
                <w:sz w:val="24"/>
                <w:highlight w:val="none"/>
              </w:rPr>
            </w:pPr>
            <w:r>
              <w:rPr>
                <w:rFonts w:hint="eastAsia" w:ascii="宋体" w:hAnsi="宋体" w:eastAsia="宋体" w:cs="宋体"/>
                <w:bCs/>
                <w:color w:val="auto"/>
                <w:kern w:val="0"/>
                <w:sz w:val="24"/>
                <w:highlight w:val="none"/>
              </w:rPr>
              <w:t>联系电话</w:t>
            </w:r>
          </w:p>
        </w:tc>
        <w:tc>
          <w:tcPr>
            <w:tcW w:w="2190" w:type="dxa"/>
            <w:noWrap w:val="0"/>
            <w:vAlign w:val="center"/>
          </w:tcPr>
          <w:p w14:paraId="43A1317F">
            <w:pPr>
              <w:tabs>
                <w:tab w:val="left" w:pos="210"/>
              </w:tabs>
              <w:spacing w:line="320" w:lineRule="exact"/>
              <w:jc w:val="center"/>
              <w:rPr>
                <w:rFonts w:hint="eastAsia" w:ascii="宋体" w:hAnsi="宋体" w:eastAsia="宋体" w:cs="宋体"/>
                <w:bCs/>
                <w:color w:val="auto"/>
                <w:kern w:val="0"/>
                <w:sz w:val="24"/>
                <w:highlight w:val="none"/>
              </w:rPr>
            </w:pPr>
          </w:p>
        </w:tc>
      </w:tr>
      <w:tr w14:paraId="486390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2" w:hRule="atLeast"/>
          <w:jc w:val="center"/>
        </w:trPr>
        <w:tc>
          <w:tcPr>
            <w:tcW w:w="585" w:type="dxa"/>
            <w:vMerge w:val="continue"/>
            <w:noWrap w:val="0"/>
            <w:vAlign w:val="center"/>
          </w:tcPr>
          <w:p w14:paraId="60529769">
            <w:pPr>
              <w:tabs>
                <w:tab w:val="left" w:pos="210"/>
              </w:tabs>
              <w:spacing w:line="320" w:lineRule="exact"/>
              <w:jc w:val="center"/>
              <w:rPr>
                <w:rFonts w:hint="eastAsia" w:ascii="宋体" w:hAnsi="宋体" w:eastAsia="宋体" w:cs="宋体"/>
                <w:bCs/>
                <w:color w:val="auto"/>
                <w:kern w:val="0"/>
                <w:sz w:val="24"/>
                <w:highlight w:val="none"/>
              </w:rPr>
            </w:pPr>
          </w:p>
        </w:tc>
        <w:tc>
          <w:tcPr>
            <w:tcW w:w="2234" w:type="dxa"/>
            <w:noWrap w:val="0"/>
            <w:vAlign w:val="center"/>
          </w:tcPr>
          <w:p w14:paraId="77B5EDE8">
            <w:pPr>
              <w:tabs>
                <w:tab w:val="left" w:pos="210"/>
              </w:tabs>
              <w:spacing w:line="320" w:lineRule="exact"/>
              <w:jc w:val="center"/>
              <w:rPr>
                <w:rFonts w:hint="eastAsia" w:ascii="宋体" w:hAnsi="宋体" w:eastAsia="宋体" w:cs="宋体"/>
                <w:bCs/>
                <w:color w:val="auto"/>
                <w:kern w:val="0"/>
                <w:sz w:val="24"/>
                <w:highlight w:val="none"/>
              </w:rPr>
            </w:pPr>
            <w:r>
              <w:rPr>
                <w:rFonts w:hint="eastAsia" w:ascii="宋体" w:hAnsi="宋体" w:eastAsia="宋体" w:cs="宋体"/>
                <w:bCs/>
                <w:color w:val="auto"/>
                <w:kern w:val="0"/>
                <w:sz w:val="24"/>
                <w:highlight w:val="none"/>
              </w:rPr>
              <w:t>传真</w:t>
            </w:r>
          </w:p>
        </w:tc>
        <w:tc>
          <w:tcPr>
            <w:tcW w:w="6841" w:type="dxa"/>
            <w:gridSpan w:val="4"/>
            <w:noWrap w:val="0"/>
            <w:vAlign w:val="center"/>
          </w:tcPr>
          <w:p w14:paraId="734CA8E9">
            <w:pPr>
              <w:tabs>
                <w:tab w:val="left" w:pos="210"/>
              </w:tabs>
              <w:spacing w:line="320" w:lineRule="exact"/>
              <w:jc w:val="center"/>
              <w:rPr>
                <w:rFonts w:hint="eastAsia" w:ascii="宋体" w:hAnsi="宋体" w:eastAsia="宋体" w:cs="宋体"/>
                <w:bCs/>
                <w:color w:val="auto"/>
                <w:kern w:val="0"/>
                <w:sz w:val="24"/>
                <w:highlight w:val="none"/>
              </w:rPr>
            </w:pPr>
          </w:p>
        </w:tc>
      </w:tr>
      <w:tr w14:paraId="05D992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40" w:hRule="atLeast"/>
          <w:jc w:val="center"/>
        </w:trPr>
        <w:tc>
          <w:tcPr>
            <w:tcW w:w="5053" w:type="dxa"/>
            <w:gridSpan w:val="3"/>
            <w:vMerge w:val="restart"/>
            <w:noWrap w:val="0"/>
            <w:vAlign w:val="center"/>
          </w:tcPr>
          <w:p w14:paraId="6C4728FA">
            <w:pPr>
              <w:tabs>
                <w:tab w:val="left" w:pos="210"/>
              </w:tabs>
              <w:spacing w:line="320" w:lineRule="exact"/>
              <w:jc w:val="center"/>
              <w:rPr>
                <w:rFonts w:hint="eastAsia" w:ascii="宋体" w:hAnsi="宋体" w:eastAsia="宋体" w:cs="宋体"/>
                <w:bCs/>
                <w:color w:val="auto"/>
                <w:kern w:val="0"/>
                <w:sz w:val="24"/>
                <w:highlight w:val="none"/>
              </w:rPr>
            </w:pPr>
            <w:r>
              <w:rPr>
                <w:rFonts w:hint="eastAsia" w:ascii="宋体" w:hAnsi="宋体" w:eastAsia="宋体" w:cs="宋体"/>
                <w:bCs/>
                <w:color w:val="auto"/>
                <w:kern w:val="0"/>
                <w:sz w:val="24"/>
                <w:highlight w:val="none"/>
              </w:rPr>
              <w:t>法定代表人身份证（正反面）复印件</w:t>
            </w:r>
          </w:p>
        </w:tc>
        <w:tc>
          <w:tcPr>
            <w:tcW w:w="4607" w:type="dxa"/>
            <w:gridSpan w:val="3"/>
            <w:noWrap w:val="0"/>
            <w:vAlign w:val="center"/>
          </w:tcPr>
          <w:p w14:paraId="0ECA88D9">
            <w:pPr>
              <w:tabs>
                <w:tab w:val="left" w:pos="210"/>
              </w:tabs>
              <w:spacing w:line="320" w:lineRule="exact"/>
              <w:jc w:val="center"/>
              <w:rPr>
                <w:rFonts w:hint="eastAsia" w:ascii="宋体" w:hAnsi="宋体" w:eastAsia="宋体" w:cs="宋体"/>
                <w:bCs/>
                <w:color w:val="auto"/>
                <w:kern w:val="0"/>
                <w:sz w:val="24"/>
                <w:highlight w:val="none"/>
              </w:rPr>
            </w:pPr>
            <w:r>
              <w:rPr>
                <w:rFonts w:hint="eastAsia" w:ascii="宋体" w:hAnsi="宋体" w:eastAsia="宋体" w:cs="宋体"/>
                <w:bCs/>
                <w:color w:val="auto"/>
                <w:kern w:val="0"/>
                <w:sz w:val="24"/>
                <w:highlight w:val="none"/>
              </w:rPr>
              <w:t>法定代表人</w:t>
            </w:r>
            <w:r>
              <w:rPr>
                <w:rFonts w:hint="eastAsia" w:ascii="宋体" w:hAnsi="宋体" w:eastAsia="宋体" w:cs="宋体"/>
                <w:bCs/>
                <w:color w:val="auto"/>
                <w:sz w:val="24"/>
                <w:szCs w:val="24"/>
                <w:highlight w:val="none"/>
              </w:rPr>
              <w:t>（签字或盖章）</w:t>
            </w:r>
          </w:p>
        </w:tc>
      </w:tr>
      <w:tr w14:paraId="7BBBD4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64" w:hRule="atLeast"/>
          <w:jc w:val="center"/>
        </w:trPr>
        <w:tc>
          <w:tcPr>
            <w:tcW w:w="5053" w:type="dxa"/>
            <w:gridSpan w:val="3"/>
            <w:vMerge w:val="continue"/>
            <w:tcBorders>
              <w:bottom w:val="single" w:color="auto" w:sz="4" w:space="0"/>
            </w:tcBorders>
            <w:noWrap w:val="0"/>
            <w:vAlign w:val="center"/>
          </w:tcPr>
          <w:p w14:paraId="5087F76A">
            <w:pPr>
              <w:tabs>
                <w:tab w:val="left" w:pos="210"/>
              </w:tabs>
              <w:spacing w:line="320" w:lineRule="exact"/>
              <w:jc w:val="center"/>
              <w:rPr>
                <w:rFonts w:hint="eastAsia" w:ascii="宋体" w:hAnsi="宋体" w:eastAsia="宋体" w:cs="宋体"/>
                <w:bCs/>
                <w:color w:val="auto"/>
                <w:kern w:val="0"/>
                <w:sz w:val="24"/>
                <w:highlight w:val="none"/>
              </w:rPr>
            </w:pPr>
          </w:p>
        </w:tc>
        <w:tc>
          <w:tcPr>
            <w:tcW w:w="4607" w:type="dxa"/>
            <w:gridSpan w:val="3"/>
            <w:tcBorders>
              <w:bottom w:val="single" w:color="auto" w:sz="4" w:space="0"/>
            </w:tcBorders>
            <w:noWrap w:val="0"/>
            <w:vAlign w:val="bottom"/>
          </w:tcPr>
          <w:p w14:paraId="1E2FA8CE">
            <w:pPr>
              <w:tabs>
                <w:tab w:val="left" w:pos="210"/>
              </w:tabs>
              <w:spacing w:line="320" w:lineRule="exact"/>
              <w:jc w:val="center"/>
              <w:rPr>
                <w:rFonts w:hint="eastAsia" w:ascii="宋体" w:hAnsi="宋体" w:eastAsia="宋体" w:cs="宋体"/>
                <w:bCs/>
                <w:color w:val="auto"/>
                <w:kern w:val="0"/>
                <w:sz w:val="24"/>
                <w:highlight w:val="none"/>
              </w:rPr>
            </w:pPr>
            <w:r>
              <w:rPr>
                <w:rFonts w:hint="eastAsia" w:ascii="宋体" w:hAnsi="宋体" w:eastAsia="宋体" w:cs="宋体"/>
                <w:bCs/>
                <w:color w:val="auto"/>
                <w:kern w:val="0"/>
                <w:sz w:val="24"/>
                <w:highlight w:val="none"/>
              </w:rPr>
              <w:t>（公章）</w:t>
            </w:r>
          </w:p>
          <w:p w14:paraId="5895A69B">
            <w:pPr>
              <w:tabs>
                <w:tab w:val="left" w:pos="210"/>
              </w:tabs>
              <w:spacing w:line="320" w:lineRule="exact"/>
              <w:jc w:val="center"/>
              <w:rPr>
                <w:rFonts w:hint="eastAsia" w:ascii="宋体" w:hAnsi="宋体" w:eastAsia="宋体" w:cs="宋体"/>
                <w:bCs/>
                <w:color w:val="auto"/>
                <w:kern w:val="0"/>
                <w:sz w:val="24"/>
                <w:highlight w:val="none"/>
              </w:rPr>
            </w:pPr>
          </w:p>
          <w:p w14:paraId="73BD6904">
            <w:pPr>
              <w:tabs>
                <w:tab w:val="left" w:pos="210"/>
              </w:tabs>
              <w:spacing w:line="320" w:lineRule="exact"/>
              <w:jc w:val="center"/>
              <w:rPr>
                <w:rFonts w:hint="eastAsia" w:ascii="宋体" w:hAnsi="宋体" w:eastAsia="宋体" w:cs="宋体"/>
                <w:bCs/>
                <w:color w:val="auto"/>
                <w:kern w:val="0"/>
                <w:sz w:val="24"/>
                <w:highlight w:val="none"/>
              </w:rPr>
            </w:pPr>
          </w:p>
          <w:p w14:paraId="587F5B3A">
            <w:pPr>
              <w:tabs>
                <w:tab w:val="left" w:pos="210"/>
              </w:tabs>
              <w:spacing w:line="320" w:lineRule="exact"/>
              <w:jc w:val="center"/>
              <w:rPr>
                <w:rFonts w:hint="eastAsia" w:ascii="宋体" w:hAnsi="宋体" w:eastAsia="宋体" w:cs="宋体"/>
                <w:bCs/>
                <w:color w:val="auto"/>
                <w:kern w:val="0"/>
                <w:sz w:val="24"/>
                <w:highlight w:val="none"/>
              </w:rPr>
            </w:pPr>
          </w:p>
          <w:p w14:paraId="53248201">
            <w:pPr>
              <w:tabs>
                <w:tab w:val="left" w:pos="210"/>
              </w:tabs>
              <w:spacing w:line="320" w:lineRule="exact"/>
              <w:jc w:val="right"/>
              <w:rPr>
                <w:rFonts w:hint="eastAsia" w:ascii="宋体" w:hAnsi="宋体" w:eastAsia="宋体" w:cs="宋体"/>
                <w:bCs/>
                <w:color w:val="auto"/>
                <w:kern w:val="0"/>
                <w:sz w:val="24"/>
                <w:highlight w:val="none"/>
              </w:rPr>
            </w:pPr>
            <w:r>
              <w:rPr>
                <w:rFonts w:hint="eastAsia" w:ascii="宋体" w:hAnsi="宋体" w:eastAsia="宋体" w:cs="宋体"/>
                <w:bCs/>
                <w:color w:val="auto"/>
                <w:kern w:val="0"/>
                <w:sz w:val="24"/>
                <w:highlight w:val="none"/>
              </w:rPr>
              <w:t xml:space="preserve">年  月  日 </w:t>
            </w:r>
          </w:p>
        </w:tc>
      </w:tr>
    </w:tbl>
    <w:p w14:paraId="4D5C44F6">
      <w:pPr>
        <w:pStyle w:val="3"/>
        <w:adjustRightInd w:val="0"/>
        <w:spacing w:line="360" w:lineRule="auto"/>
        <w:jc w:val="center"/>
        <w:textAlignment w:val="baseline"/>
        <w:rPr>
          <w:rFonts w:hint="eastAsia" w:ascii="宋体" w:hAnsi="宋体" w:eastAsia="宋体" w:cs="宋体"/>
          <w:b w:val="0"/>
          <w:bCs/>
          <w:color w:val="auto"/>
          <w:szCs w:val="22"/>
          <w:highlight w:val="none"/>
        </w:rPr>
        <w:sectPr>
          <w:pgSz w:w="11906" w:h="16838"/>
          <w:pgMar w:top="1440" w:right="1080" w:bottom="1440" w:left="1080" w:header="1020" w:footer="1191" w:gutter="0"/>
          <w:pgNumType w:fmt="decimal"/>
          <w:cols w:space="720" w:num="1"/>
          <w:titlePg/>
          <w:docGrid w:type="lines" w:linePitch="312" w:charSpace="0"/>
        </w:sectPr>
      </w:pPr>
    </w:p>
    <w:p w14:paraId="081F2EAA">
      <w:pPr>
        <w:pStyle w:val="3"/>
        <w:adjustRightInd w:val="0"/>
        <w:spacing w:line="360" w:lineRule="auto"/>
        <w:jc w:val="center"/>
        <w:textAlignment w:val="baseline"/>
        <w:rPr>
          <w:rFonts w:hint="eastAsia" w:ascii="宋体" w:hAnsi="宋体" w:eastAsia="宋体" w:cs="宋体"/>
          <w:b w:val="0"/>
          <w:bCs/>
          <w:color w:val="auto"/>
          <w:sz w:val="24"/>
          <w:szCs w:val="24"/>
          <w:highlight w:val="none"/>
        </w:rPr>
      </w:pPr>
      <w:bookmarkStart w:id="574" w:name="_Toc10664"/>
      <w:bookmarkStart w:id="575" w:name="_Toc19215"/>
      <w:bookmarkStart w:id="576" w:name="_Toc14866"/>
      <w:r>
        <w:rPr>
          <w:rFonts w:hint="eastAsia" w:ascii="宋体" w:hAnsi="宋体" w:eastAsia="宋体" w:cs="宋体"/>
          <w:b w:val="0"/>
          <w:bCs/>
          <w:color w:val="auto"/>
          <w:szCs w:val="22"/>
          <w:highlight w:val="none"/>
          <w:lang w:val="en-US" w:eastAsia="zh-CN"/>
        </w:rPr>
        <w:t>7</w:t>
      </w:r>
      <w:r>
        <w:rPr>
          <w:rFonts w:hint="eastAsia" w:ascii="宋体" w:hAnsi="宋体" w:eastAsia="宋体" w:cs="宋体"/>
          <w:b w:val="0"/>
          <w:bCs/>
          <w:color w:val="auto"/>
          <w:szCs w:val="22"/>
          <w:highlight w:val="none"/>
        </w:rPr>
        <w:t>.2法定代表人授权委托书</w:t>
      </w:r>
      <w:bookmarkEnd w:id="574"/>
      <w:bookmarkEnd w:id="575"/>
      <w:bookmarkEnd w:id="576"/>
    </w:p>
    <w:p w14:paraId="73DC214B">
      <w:pPr>
        <w:tabs>
          <w:tab w:val="left" w:pos="8820"/>
        </w:tabs>
        <w:spacing w:line="480" w:lineRule="auto"/>
        <w:ind w:firstLine="570"/>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本授权委托书声明：我</w:t>
      </w:r>
      <w:r>
        <w:rPr>
          <w:rFonts w:hint="eastAsia" w:ascii="宋体" w:hAnsi="宋体" w:eastAsia="宋体" w:cs="宋体"/>
          <w:bCs/>
          <w:color w:val="auto"/>
          <w:sz w:val="24"/>
          <w:szCs w:val="24"/>
          <w:highlight w:val="none"/>
          <w:u w:val="single"/>
        </w:rPr>
        <w:t>（法定代表人姓名）</w:t>
      </w:r>
      <w:r>
        <w:rPr>
          <w:rFonts w:hint="eastAsia" w:ascii="宋体" w:hAnsi="宋体" w:eastAsia="宋体" w:cs="宋体"/>
          <w:bCs/>
          <w:color w:val="auto"/>
          <w:sz w:val="24"/>
          <w:szCs w:val="24"/>
          <w:highlight w:val="none"/>
        </w:rPr>
        <w:t>系注册于</w:t>
      </w:r>
      <w:r>
        <w:rPr>
          <w:rFonts w:hint="eastAsia" w:ascii="宋体" w:hAnsi="宋体" w:eastAsia="宋体" w:cs="宋体"/>
          <w:bCs/>
          <w:color w:val="auto"/>
          <w:sz w:val="24"/>
          <w:szCs w:val="24"/>
          <w:highlight w:val="none"/>
          <w:u w:val="single"/>
        </w:rPr>
        <w:t xml:space="preserve">  （供应商地址）           </w:t>
      </w:r>
      <w:r>
        <w:rPr>
          <w:rFonts w:hint="eastAsia" w:ascii="宋体" w:hAnsi="宋体" w:eastAsia="宋体" w:cs="宋体"/>
          <w:bCs/>
          <w:color w:val="auto"/>
          <w:sz w:val="24"/>
          <w:szCs w:val="24"/>
          <w:highlight w:val="none"/>
        </w:rPr>
        <w:t>的</w:t>
      </w:r>
      <w:r>
        <w:rPr>
          <w:rFonts w:hint="eastAsia" w:ascii="宋体" w:hAnsi="宋体" w:eastAsia="宋体" w:cs="宋体"/>
          <w:bCs/>
          <w:color w:val="auto"/>
          <w:sz w:val="24"/>
          <w:szCs w:val="24"/>
          <w:highlight w:val="none"/>
          <w:u w:val="single"/>
        </w:rPr>
        <w:t xml:space="preserve">（供应商名称）  </w:t>
      </w:r>
      <w:r>
        <w:rPr>
          <w:rFonts w:hint="eastAsia" w:ascii="宋体" w:hAnsi="宋体" w:eastAsia="宋体" w:cs="宋体"/>
          <w:bCs/>
          <w:color w:val="auto"/>
          <w:sz w:val="24"/>
          <w:szCs w:val="24"/>
          <w:highlight w:val="none"/>
        </w:rPr>
        <w:t>的法定代表人，现代表公司授权下面签字的</w:t>
      </w:r>
      <w:r>
        <w:rPr>
          <w:rFonts w:hint="eastAsia" w:ascii="宋体" w:hAnsi="宋体" w:eastAsia="宋体" w:cs="宋体"/>
          <w:bCs/>
          <w:color w:val="auto"/>
          <w:sz w:val="24"/>
          <w:szCs w:val="24"/>
          <w:highlight w:val="none"/>
          <w:u w:val="single"/>
        </w:rPr>
        <w:t>（被授权人的姓名、职务）</w:t>
      </w:r>
      <w:r>
        <w:rPr>
          <w:rFonts w:hint="eastAsia" w:ascii="宋体" w:hAnsi="宋体" w:eastAsia="宋体" w:cs="宋体"/>
          <w:bCs/>
          <w:color w:val="auto"/>
          <w:sz w:val="24"/>
          <w:szCs w:val="24"/>
          <w:highlight w:val="none"/>
        </w:rPr>
        <w:t>为我公司合法代理人，代表本公司参加</w:t>
      </w:r>
      <w:r>
        <w:rPr>
          <w:rFonts w:hint="eastAsia" w:ascii="宋体" w:hAnsi="宋体" w:eastAsia="宋体" w:cs="宋体"/>
          <w:bCs/>
          <w:color w:val="auto"/>
          <w:sz w:val="24"/>
          <w:szCs w:val="24"/>
          <w:highlight w:val="none"/>
          <w:u w:val="single"/>
        </w:rPr>
        <w:t xml:space="preserve">  （采购项目名称） (采购项目编号)为             </w:t>
      </w:r>
      <w:r>
        <w:rPr>
          <w:rFonts w:hint="eastAsia" w:ascii="宋体" w:hAnsi="宋体" w:eastAsia="宋体" w:cs="宋体"/>
          <w:bCs/>
          <w:color w:val="auto"/>
          <w:sz w:val="24"/>
          <w:szCs w:val="24"/>
          <w:highlight w:val="none"/>
        </w:rPr>
        <w:t xml:space="preserve"> 的谈判活动。代理人在本次谈判中所签署的一切文件和处理的一切有关事宜，我公司均予承认。</w:t>
      </w:r>
    </w:p>
    <w:p w14:paraId="2C76CBBD">
      <w:pPr>
        <w:spacing w:line="48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本授权书于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年</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月</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日签字（盖章）生效，有效期自谈判之日起</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天，特此声明。</w:t>
      </w:r>
    </w:p>
    <w:p w14:paraId="2F69F6C5">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w:t>
      </w:r>
      <w:bookmarkStart w:id="577" w:name="_Toc25728"/>
      <w:r>
        <w:rPr>
          <w:rFonts w:hint="eastAsia" w:ascii="宋体" w:hAnsi="宋体" w:eastAsia="宋体" w:cs="宋体"/>
          <w:bCs/>
          <w:color w:val="auto"/>
          <w:sz w:val="24"/>
          <w:szCs w:val="24"/>
          <w:highlight w:val="none"/>
        </w:rPr>
        <w:t>附：法定代表人、被授权人身份证复印件。（注：如使用二代身份证需复印正、反两面）</w:t>
      </w:r>
      <w:bookmarkEnd w:id="577"/>
    </w:p>
    <w:tbl>
      <w:tblPr>
        <w:tblStyle w:val="2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76"/>
        <w:gridCol w:w="4350"/>
      </w:tblGrid>
      <w:tr w14:paraId="6F3DE7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6" w:hRule="atLeast"/>
          <w:jc w:val="center"/>
        </w:trPr>
        <w:tc>
          <w:tcPr>
            <w:tcW w:w="4276" w:type="dxa"/>
            <w:tcBorders>
              <w:top w:val="single" w:color="auto" w:sz="4" w:space="0"/>
              <w:left w:val="single" w:color="auto" w:sz="4" w:space="0"/>
              <w:bottom w:val="single" w:color="auto" w:sz="4" w:space="0"/>
              <w:right w:val="single" w:color="auto" w:sz="4" w:space="0"/>
            </w:tcBorders>
            <w:noWrap w:val="0"/>
            <w:vAlign w:val="center"/>
          </w:tcPr>
          <w:p w14:paraId="5716B7ED">
            <w:pPr>
              <w:spacing w:line="360" w:lineRule="auto"/>
              <w:jc w:val="center"/>
              <w:rPr>
                <w:rFonts w:hint="eastAsia" w:ascii="宋体" w:hAnsi="宋体" w:eastAsia="宋体" w:cs="宋体"/>
                <w:bCs/>
                <w:color w:val="auto"/>
                <w:sz w:val="24"/>
                <w:szCs w:val="24"/>
                <w:highlight w:val="none"/>
              </w:rPr>
            </w:pPr>
          </w:p>
          <w:p w14:paraId="3AEB0E67">
            <w:pPr>
              <w:spacing w:line="360" w:lineRule="auto"/>
              <w:jc w:val="center"/>
              <w:rPr>
                <w:rFonts w:hint="eastAsia" w:ascii="宋体" w:hAnsi="宋体" w:eastAsia="宋体" w:cs="宋体"/>
                <w:bCs/>
                <w:color w:val="auto"/>
                <w:sz w:val="24"/>
                <w:szCs w:val="24"/>
                <w:highlight w:val="none"/>
              </w:rPr>
            </w:pPr>
            <w:bookmarkStart w:id="578" w:name="_Toc12402"/>
            <w:r>
              <w:rPr>
                <w:rFonts w:hint="eastAsia" w:ascii="宋体" w:hAnsi="宋体" w:eastAsia="宋体" w:cs="宋体"/>
                <w:bCs/>
                <w:color w:val="auto"/>
                <w:sz w:val="24"/>
                <w:szCs w:val="24"/>
                <w:highlight w:val="none"/>
              </w:rPr>
              <w:t>法定代表人身份证复印件</w:t>
            </w:r>
            <w:bookmarkEnd w:id="578"/>
          </w:p>
          <w:p w14:paraId="1DA2C0A2">
            <w:pPr>
              <w:spacing w:line="360" w:lineRule="auto"/>
              <w:jc w:val="center"/>
              <w:rPr>
                <w:rFonts w:hint="eastAsia" w:ascii="宋体" w:hAnsi="宋体" w:eastAsia="宋体" w:cs="宋体"/>
                <w:bCs/>
                <w:color w:val="auto"/>
                <w:sz w:val="24"/>
                <w:szCs w:val="24"/>
                <w:highlight w:val="none"/>
              </w:rPr>
            </w:pPr>
          </w:p>
        </w:tc>
        <w:tc>
          <w:tcPr>
            <w:tcW w:w="4350" w:type="dxa"/>
            <w:tcBorders>
              <w:left w:val="single" w:color="auto" w:sz="4" w:space="0"/>
            </w:tcBorders>
            <w:noWrap w:val="0"/>
            <w:vAlign w:val="center"/>
          </w:tcPr>
          <w:p w14:paraId="4525E9ED">
            <w:pPr>
              <w:spacing w:line="360" w:lineRule="auto"/>
              <w:jc w:val="center"/>
              <w:rPr>
                <w:rFonts w:hint="eastAsia" w:ascii="宋体" w:hAnsi="宋体" w:eastAsia="宋体" w:cs="宋体"/>
                <w:bCs/>
                <w:color w:val="auto"/>
                <w:sz w:val="24"/>
                <w:szCs w:val="24"/>
                <w:highlight w:val="none"/>
              </w:rPr>
            </w:pPr>
            <w:bookmarkStart w:id="579" w:name="_Toc14557"/>
            <w:r>
              <w:rPr>
                <w:rFonts w:hint="eastAsia" w:ascii="宋体" w:hAnsi="宋体" w:eastAsia="宋体" w:cs="宋体"/>
                <w:bCs/>
                <w:color w:val="auto"/>
                <w:sz w:val="24"/>
                <w:szCs w:val="24"/>
                <w:highlight w:val="none"/>
              </w:rPr>
              <w:t>被授权人身份证复印件</w:t>
            </w:r>
            <w:bookmarkEnd w:id="579"/>
          </w:p>
        </w:tc>
      </w:tr>
      <w:tr w14:paraId="11B3EE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93" w:hRule="atLeast"/>
          <w:jc w:val="center"/>
        </w:trPr>
        <w:tc>
          <w:tcPr>
            <w:tcW w:w="4276" w:type="dxa"/>
            <w:tcBorders>
              <w:top w:val="single" w:color="auto" w:sz="4" w:space="0"/>
              <w:left w:val="single" w:color="auto" w:sz="4" w:space="0"/>
              <w:bottom w:val="single" w:color="auto" w:sz="4" w:space="0"/>
              <w:right w:val="single" w:color="auto" w:sz="4" w:space="0"/>
            </w:tcBorders>
            <w:noWrap w:val="0"/>
            <w:vAlign w:val="center"/>
          </w:tcPr>
          <w:p w14:paraId="085E99AF">
            <w:pPr>
              <w:spacing w:line="360" w:lineRule="auto"/>
              <w:jc w:val="center"/>
              <w:rPr>
                <w:rFonts w:hint="eastAsia" w:ascii="宋体" w:hAnsi="宋体" w:eastAsia="宋体" w:cs="宋体"/>
                <w:bCs/>
                <w:color w:val="auto"/>
                <w:sz w:val="24"/>
                <w:szCs w:val="24"/>
                <w:highlight w:val="none"/>
              </w:rPr>
            </w:pPr>
            <w:bookmarkStart w:id="580" w:name="_Toc12556"/>
            <w:r>
              <w:rPr>
                <w:rFonts w:hint="eastAsia" w:ascii="宋体" w:hAnsi="宋体" w:eastAsia="宋体" w:cs="宋体"/>
                <w:bCs/>
                <w:color w:val="auto"/>
                <w:sz w:val="24"/>
                <w:szCs w:val="24"/>
                <w:highlight w:val="none"/>
              </w:rPr>
              <w:t>法定代表人身份证复印件</w:t>
            </w:r>
            <w:bookmarkEnd w:id="580"/>
          </w:p>
          <w:p w14:paraId="20AF2E02">
            <w:pPr>
              <w:spacing w:line="360" w:lineRule="auto"/>
              <w:jc w:val="center"/>
              <w:rPr>
                <w:rFonts w:hint="eastAsia" w:ascii="宋体" w:hAnsi="宋体" w:eastAsia="宋体" w:cs="宋体"/>
                <w:bCs/>
                <w:color w:val="auto"/>
                <w:sz w:val="24"/>
                <w:szCs w:val="24"/>
                <w:highlight w:val="none"/>
              </w:rPr>
            </w:pPr>
          </w:p>
        </w:tc>
        <w:tc>
          <w:tcPr>
            <w:tcW w:w="4350" w:type="dxa"/>
            <w:tcBorders>
              <w:left w:val="single" w:color="auto" w:sz="4" w:space="0"/>
            </w:tcBorders>
            <w:noWrap w:val="0"/>
            <w:vAlign w:val="center"/>
          </w:tcPr>
          <w:p w14:paraId="25FB2386">
            <w:pPr>
              <w:spacing w:line="360" w:lineRule="auto"/>
              <w:jc w:val="center"/>
              <w:rPr>
                <w:rFonts w:hint="eastAsia" w:ascii="宋体" w:hAnsi="宋体" w:eastAsia="宋体" w:cs="宋体"/>
                <w:bCs/>
                <w:color w:val="auto"/>
                <w:sz w:val="24"/>
                <w:szCs w:val="24"/>
                <w:highlight w:val="none"/>
              </w:rPr>
            </w:pPr>
            <w:bookmarkStart w:id="581" w:name="_Toc20892"/>
            <w:r>
              <w:rPr>
                <w:rFonts w:hint="eastAsia" w:ascii="宋体" w:hAnsi="宋体" w:eastAsia="宋体" w:cs="宋体"/>
                <w:bCs/>
                <w:color w:val="auto"/>
                <w:sz w:val="24"/>
                <w:szCs w:val="24"/>
                <w:highlight w:val="none"/>
              </w:rPr>
              <w:t>被授权人身份证复印件</w:t>
            </w:r>
            <w:bookmarkEnd w:id="581"/>
          </w:p>
          <w:p w14:paraId="5631ED6B">
            <w:pPr>
              <w:spacing w:line="360" w:lineRule="auto"/>
              <w:jc w:val="center"/>
              <w:rPr>
                <w:rFonts w:hint="eastAsia" w:ascii="宋体" w:hAnsi="宋体" w:eastAsia="宋体" w:cs="宋体"/>
                <w:bCs/>
                <w:color w:val="auto"/>
                <w:sz w:val="24"/>
                <w:szCs w:val="24"/>
                <w:highlight w:val="none"/>
              </w:rPr>
            </w:pPr>
          </w:p>
        </w:tc>
      </w:tr>
    </w:tbl>
    <w:p w14:paraId="4AFD4650">
      <w:pPr>
        <w:spacing w:line="360" w:lineRule="auto"/>
        <w:ind w:left="360" w:firstLine="480" w:firstLineChars="200"/>
        <w:jc w:val="left"/>
        <w:rPr>
          <w:rFonts w:hint="eastAsia" w:ascii="宋体" w:hAnsi="宋体" w:eastAsia="宋体" w:cs="宋体"/>
          <w:bCs/>
          <w:color w:val="auto"/>
          <w:highlight w:val="none"/>
        </w:rPr>
      </w:pPr>
      <w:r>
        <w:rPr>
          <w:rFonts w:hint="eastAsia" w:ascii="宋体" w:hAnsi="宋体" w:eastAsia="宋体" w:cs="宋体"/>
          <w:bCs/>
          <w:color w:val="auto"/>
          <w:sz w:val="24"/>
          <w:szCs w:val="24"/>
          <w:highlight w:val="none"/>
        </w:rPr>
        <w:t>注：此授权书的有效期应与竞争性谈判响应文件有效期一致。身份证正反面复印件必须依次加盖单位鲜章，否则视为无效。</w:t>
      </w:r>
    </w:p>
    <w:p w14:paraId="58D9D86E">
      <w:pPr>
        <w:spacing w:line="360" w:lineRule="auto"/>
        <w:ind w:firstLine="3360" w:firstLineChars="14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供应商：</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（公章）</w:t>
      </w:r>
    </w:p>
    <w:p w14:paraId="332F1D98">
      <w:pPr>
        <w:spacing w:line="360" w:lineRule="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                            法定代表人（签字并盖章）：</w:t>
      </w:r>
      <w:r>
        <w:rPr>
          <w:rFonts w:hint="eastAsia" w:ascii="宋体" w:hAnsi="宋体" w:eastAsia="宋体" w:cs="宋体"/>
          <w:bCs/>
          <w:color w:val="auto"/>
          <w:sz w:val="24"/>
          <w:szCs w:val="24"/>
          <w:highlight w:val="none"/>
          <w:u w:val="single"/>
        </w:rPr>
        <w:t xml:space="preserve">                  </w:t>
      </w:r>
    </w:p>
    <w:p w14:paraId="0AA35F6E">
      <w:pPr>
        <w:spacing w:line="360" w:lineRule="auto"/>
        <w:rPr>
          <w:rFonts w:hint="eastAsia" w:ascii="宋体" w:hAnsi="宋体" w:eastAsia="宋体" w:cs="宋体"/>
          <w:bCs/>
          <w:color w:val="auto"/>
          <w:sz w:val="32"/>
          <w:highlight w:val="none"/>
        </w:rPr>
      </w:pPr>
    </w:p>
    <w:p w14:paraId="1E3BF5BE">
      <w:pPr>
        <w:pStyle w:val="3"/>
        <w:jc w:val="center"/>
        <w:rPr>
          <w:rFonts w:hint="eastAsia" w:ascii="宋体" w:hAnsi="宋体" w:eastAsia="宋体" w:cs="宋体"/>
          <w:b w:val="0"/>
          <w:bCs/>
          <w:color w:val="auto"/>
          <w:highlight w:val="none"/>
        </w:rPr>
        <w:sectPr>
          <w:pgSz w:w="11906" w:h="16838"/>
          <w:pgMar w:top="1440" w:right="1080" w:bottom="1440" w:left="1080" w:header="720" w:footer="1134" w:gutter="0"/>
          <w:pgNumType w:fmt="decimal"/>
          <w:cols w:space="720" w:num="1"/>
          <w:titlePg/>
          <w:docGrid w:type="lines" w:linePitch="312" w:charSpace="0"/>
        </w:sectPr>
      </w:pPr>
    </w:p>
    <w:p w14:paraId="792120B7">
      <w:pPr>
        <w:pStyle w:val="3"/>
        <w:adjustRightInd w:val="0"/>
        <w:spacing w:line="360" w:lineRule="auto"/>
        <w:jc w:val="center"/>
        <w:textAlignment w:val="baseline"/>
        <w:rPr>
          <w:rFonts w:hint="eastAsia" w:ascii="宋体" w:hAnsi="宋体" w:eastAsia="宋体" w:cs="宋体"/>
          <w:b w:val="0"/>
          <w:bCs/>
          <w:color w:val="auto"/>
          <w:highlight w:val="none"/>
        </w:rPr>
      </w:pPr>
      <w:bookmarkStart w:id="582" w:name="_Toc23618"/>
      <w:bookmarkStart w:id="583" w:name="_Toc3458"/>
      <w:bookmarkStart w:id="584" w:name="_Toc16464"/>
      <w:r>
        <w:rPr>
          <w:rFonts w:hint="eastAsia" w:ascii="宋体" w:hAnsi="宋体" w:eastAsia="宋体" w:cs="宋体"/>
          <w:b w:val="0"/>
          <w:bCs/>
          <w:color w:val="auto"/>
          <w:highlight w:val="none"/>
          <w:lang w:val="en-US" w:eastAsia="zh-CN"/>
        </w:rPr>
        <w:t>八</w:t>
      </w:r>
      <w:r>
        <w:rPr>
          <w:rFonts w:hint="eastAsia" w:ascii="宋体" w:hAnsi="宋体" w:eastAsia="宋体" w:cs="宋体"/>
          <w:b w:val="0"/>
          <w:bCs/>
          <w:color w:val="auto"/>
          <w:highlight w:val="none"/>
        </w:rPr>
        <w:t>、</w:t>
      </w:r>
      <w:r>
        <w:rPr>
          <w:rFonts w:hint="eastAsia" w:ascii="宋体" w:hAnsi="宋体" w:eastAsia="宋体" w:cs="宋体"/>
          <w:b w:val="0"/>
          <w:bCs/>
          <w:color w:val="auto"/>
          <w:szCs w:val="22"/>
          <w:highlight w:val="none"/>
        </w:rPr>
        <w:t>拟投入本项目的人员一览表</w:t>
      </w:r>
      <w:bookmarkEnd w:id="582"/>
      <w:bookmarkEnd w:id="583"/>
      <w:bookmarkEnd w:id="584"/>
    </w:p>
    <w:tbl>
      <w:tblPr>
        <w:tblStyle w:val="2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3"/>
        <w:gridCol w:w="1205"/>
        <w:gridCol w:w="913"/>
        <w:gridCol w:w="1204"/>
        <w:gridCol w:w="1205"/>
        <w:gridCol w:w="1173"/>
        <w:gridCol w:w="1167"/>
        <w:gridCol w:w="2054"/>
      </w:tblGrid>
      <w:tr w14:paraId="14789B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913" w:type="dxa"/>
            <w:noWrap w:val="0"/>
            <w:vAlign w:val="top"/>
          </w:tcPr>
          <w:p w14:paraId="36367CA8">
            <w:pPr>
              <w:spacing w:line="360" w:lineRule="auto"/>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序号</w:t>
            </w:r>
          </w:p>
        </w:tc>
        <w:tc>
          <w:tcPr>
            <w:tcW w:w="1205" w:type="dxa"/>
            <w:noWrap w:val="0"/>
            <w:vAlign w:val="top"/>
          </w:tcPr>
          <w:p w14:paraId="5EFA46AB">
            <w:pPr>
              <w:spacing w:line="360" w:lineRule="auto"/>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姓名</w:t>
            </w:r>
          </w:p>
        </w:tc>
        <w:tc>
          <w:tcPr>
            <w:tcW w:w="913" w:type="dxa"/>
            <w:noWrap w:val="0"/>
            <w:vAlign w:val="top"/>
          </w:tcPr>
          <w:p w14:paraId="77CA809E">
            <w:pPr>
              <w:spacing w:line="360" w:lineRule="auto"/>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性别</w:t>
            </w:r>
          </w:p>
        </w:tc>
        <w:tc>
          <w:tcPr>
            <w:tcW w:w="1204" w:type="dxa"/>
            <w:noWrap w:val="0"/>
            <w:vAlign w:val="top"/>
          </w:tcPr>
          <w:p w14:paraId="23ABC12A">
            <w:pPr>
              <w:spacing w:line="360" w:lineRule="auto"/>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年龄</w:t>
            </w:r>
          </w:p>
        </w:tc>
        <w:tc>
          <w:tcPr>
            <w:tcW w:w="1205" w:type="dxa"/>
            <w:noWrap w:val="0"/>
            <w:vAlign w:val="top"/>
          </w:tcPr>
          <w:p w14:paraId="12EAAAD0">
            <w:pPr>
              <w:spacing w:line="360" w:lineRule="auto"/>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职务</w:t>
            </w:r>
          </w:p>
        </w:tc>
        <w:tc>
          <w:tcPr>
            <w:tcW w:w="1173" w:type="dxa"/>
            <w:noWrap w:val="0"/>
            <w:vAlign w:val="top"/>
          </w:tcPr>
          <w:p w14:paraId="6B65C736">
            <w:pPr>
              <w:spacing w:line="360" w:lineRule="auto"/>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职称</w:t>
            </w:r>
          </w:p>
        </w:tc>
        <w:tc>
          <w:tcPr>
            <w:tcW w:w="1167" w:type="dxa"/>
            <w:noWrap w:val="0"/>
            <w:vAlign w:val="top"/>
          </w:tcPr>
          <w:p w14:paraId="71BF9B0E">
            <w:pPr>
              <w:spacing w:line="360" w:lineRule="auto"/>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学历</w:t>
            </w:r>
          </w:p>
        </w:tc>
        <w:tc>
          <w:tcPr>
            <w:tcW w:w="2054" w:type="dxa"/>
            <w:noWrap w:val="0"/>
            <w:vAlign w:val="top"/>
          </w:tcPr>
          <w:p w14:paraId="34F4E89B">
            <w:pPr>
              <w:spacing w:line="360" w:lineRule="auto"/>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参加工作年限</w:t>
            </w:r>
          </w:p>
        </w:tc>
      </w:tr>
      <w:tr w14:paraId="167E6A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913" w:type="dxa"/>
            <w:noWrap w:val="0"/>
            <w:vAlign w:val="top"/>
          </w:tcPr>
          <w:p w14:paraId="63387B57">
            <w:pPr>
              <w:spacing w:line="360" w:lineRule="auto"/>
              <w:rPr>
                <w:rFonts w:hint="eastAsia" w:ascii="宋体" w:hAnsi="宋体" w:eastAsia="宋体" w:cs="宋体"/>
                <w:bCs/>
                <w:color w:val="auto"/>
                <w:sz w:val="24"/>
                <w:highlight w:val="none"/>
              </w:rPr>
            </w:pPr>
          </w:p>
        </w:tc>
        <w:tc>
          <w:tcPr>
            <w:tcW w:w="1205" w:type="dxa"/>
            <w:noWrap w:val="0"/>
            <w:vAlign w:val="top"/>
          </w:tcPr>
          <w:p w14:paraId="67ACFA07">
            <w:pPr>
              <w:spacing w:line="360" w:lineRule="auto"/>
              <w:rPr>
                <w:rFonts w:hint="eastAsia" w:ascii="宋体" w:hAnsi="宋体" w:eastAsia="宋体" w:cs="宋体"/>
                <w:bCs/>
                <w:color w:val="auto"/>
                <w:sz w:val="24"/>
                <w:highlight w:val="none"/>
              </w:rPr>
            </w:pPr>
          </w:p>
        </w:tc>
        <w:tc>
          <w:tcPr>
            <w:tcW w:w="913" w:type="dxa"/>
            <w:noWrap w:val="0"/>
            <w:vAlign w:val="top"/>
          </w:tcPr>
          <w:p w14:paraId="57B8A97B">
            <w:pPr>
              <w:spacing w:line="360" w:lineRule="auto"/>
              <w:rPr>
                <w:rFonts w:hint="eastAsia" w:ascii="宋体" w:hAnsi="宋体" w:eastAsia="宋体" w:cs="宋体"/>
                <w:bCs/>
                <w:color w:val="auto"/>
                <w:sz w:val="24"/>
                <w:highlight w:val="none"/>
              </w:rPr>
            </w:pPr>
          </w:p>
        </w:tc>
        <w:tc>
          <w:tcPr>
            <w:tcW w:w="1204" w:type="dxa"/>
            <w:noWrap w:val="0"/>
            <w:vAlign w:val="top"/>
          </w:tcPr>
          <w:p w14:paraId="03A1D2D1">
            <w:pPr>
              <w:spacing w:line="360" w:lineRule="auto"/>
              <w:rPr>
                <w:rFonts w:hint="eastAsia" w:ascii="宋体" w:hAnsi="宋体" w:eastAsia="宋体" w:cs="宋体"/>
                <w:bCs/>
                <w:color w:val="auto"/>
                <w:sz w:val="24"/>
                <w:highlight w:val="none"/>
              </w:rPr>
            </w:pPr>
          </w:p>
        </w:tc>
        <w:tc>
          <w:tcPr>
            <w:tcW w:w="1205" w:type="dxa"/>
            <w:noWrap w:val="0"/>
            <w:vAlign w:val="top"/>
          </w:tcPr>
          <w:p w14:paraId="50CB7206">
            <w:pPr>
              <w:spacing w:line="360" w:lineRule="auto"/>
              <w:rPr>
                <w:rFonts w:hint="eastAsia" w:ascii="宋体" w:hAnsi="宋体" w:eastAsia="宋体" w:cs="宋体"/>
                <w:bCs/>
                <w:color w:val="auto"/>
                <w:sz w:val="24"/>
                <w:highlight w:val="none"/>
              </w:rPr>
            </w:pPr>
          </w:p>
        </w:tc>
        <w:tc>
          <w:tcPr>
            <w:tcW w:w="1173" w:type="dxa"/>
            <w:noWrap w:val="0"/>
            <w:vAlign w:val="top"/>
          </w:tcPr>
          <w:p w14:paraId="6077536C">
            <w:pPr>
              <w:spacing w:line="360" w:lineRule="auto"/>
              <w:rPr>
                <w:rFonts w:hint="eastAsia" w:ascii="宋体" w:hAnsi="宋体" w:eastAsia="宋体" w:cs="宋体"/>
                <w:bCs/>
                <w:color w:val="auto"/>
                <w:sz w:val="24"/>
                <w:highlight w:val="none"/>
              </w:rPr>
            </w:pPr>
          </w:p>
        </w:tc>
        <w:tc>
          <w:tcPr>
            <w:tcW w:w="1167" w:type="dxa"/>
            <w:noWrap w:val="0"/>
            <w:vAlign w:val="top"/>
          </w:tcPr>
          <w:p w14:paraId="6F516696">
            <w:pPr>
              <w:spacing w:line="360" w:lineRule="auto"/>
              <w:rPr>
                <w:rFonts w:hint="eastAsia" w:ascii="宋体" w:hAnsi="宋体" w:eastAsia="宋体" w:cs="宋体"/>
                <w:bCs/>
                <w:color w:val="auto"/>
                <w:sz w:val="24"/>
                <w:highlight w:val="none"/>
              </w:rPr>
            </w:pPr>
          </w:p>
        </w:tc>
        <w:tc>
          <w:tcPr>
            <w:tcW w:w="2054" w:type="dxa"/>
            <w:noWrap w:val="0"/>
            <w:vAlign w:val="top"/>
          </w:tcPr>
          <w:p w14:paraId="5606DB8F">
            <w:pPr>
              <w:spacing w:line="360" w:lineRule="auto"/>
              <w:rPr>
                <w:rFonts w:hint="eastAsia" w:ascii="宋体" w:hAnsi="宋体" w:eastAsia="宋体" w:cs="宋体"/>
                <w:bCs/>
                <w:color w:val="auto"/>
                <w:sz w:val="24"/>
                <w:highlight w:val="none"/>
              </w:rPr>
            </w:pPr>
          </w:p>
        </w:tc>
      </w:tr>
      <w:tr w14:paraId="1C499F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913" w:type="dxa"/>
            <w:noWrap w:val="0"/>
            <w:vAlign w:val="top"/>
          </w:tcPr>
          <w:p w14:paraId="2982C41B">
            <w:pPr>
              <w:spacing w:line="360" w:lineRule="auto"/>
              <w:rPr>
                <w:rFonts w:hint="eastAsia" w:ascii="宋体" w:hAnsi="宋体" w:eastAsia="宋体" w:cs="宋体"/>
                <w:bCs/>
                <w:color w:val="auto"/>
                <w:highlight w:val="none"/>
              </w:rPr>
            </w:pPr>
          </w:p>
        </w:tc>
        <w:tc>
          <w:tcPr>
            <w:tcW w:w="1205" w:type="dxa"/>
            <w:noWrap w:val="0"/>
            <w:vAlign w:val="top"/>
          </w:tcPr>
          <w:p w14:paraId="1DCE337E">
            <w:pPr>
              <w:spacing w:line="360" w:lineRule="auto"/>
              <w:rPr>
                <w:rFonts w:hint="eastAsia" w:ascii="宋体" w:hAnsi="宋体" w:eastAsia="宋体" w:cs="宋体"/>
                <w:bCs/>
                <w:color w:val="auto"/>
                <w:highlight w:val="none"/>
              </w:rPr>
            </w:pPr>
          </w:p>
        </w:tc>
        <w:tc>
          <w:tcPr>
            <w:tcW w:w="913" w:type="dxa"/>
            <w:noWrap w:val="0"/>
            <w:vAlign w:val="top"/>
          </w:tcPr>
          <w:p w14:paraId="259C673B">
            <w:pPr>
              <w:spacing w:line="360" w:lineRule="auto"/>
              <w:rPr>
                <w:rFonts w:hint="eastAsia" w:ascii="宋体" w:hAnsi="宋体" w:eastAsia="宋体" w:cs="宋体"/>
                <w:bCs/>
                <w:color w:val="auto"/>
                <w:highlight w:val="none"/>
              </w:rPr>
            </w:pPr>
          </w:p>
        </w:tc>
        <w:tc>
          <w:tcPr>
            <w:tcW w:w="1204" w:type="dxa"/>
            <w:noWrap w:val="0"/>
            <w:vAlign w:val="top"/>
          </w:tcPr>
          <w:p w14:paraId="0E11E498">
            <w:pPr>
              <w:spacing w:line="360" w:lineRule="auto"/>
              <w:rPr>
                <w:rFonts w:hint="eastAsia" w:ascii="宋体" w:hAnsi="宋体" w:eastAsia="宋体" w:cs="宋体"/>
                <w:bCs/>
                <w:color w:val="auto"/>
                <w:highlight w:val="none"/>
              </w:rPr>
            </w:pPr>
          </w:p>
        </w:tc>
        <w:tc>
          <w:tcPr>
            <w:tcW w:w="1205" w:type="dxa"/>
            <w:noWrap w:val="0"/>
            <w:vAlign w:val="top"/>
          </w:tcPr>
          <w:p w14:paraId="529C16CC">
            <w:pPr>
              <w:spacing w:line="360" w:lineRule="auto"/>
              <w:rPr>
                <w:rFonts w:hint="eastAsia" w:ascii="宋体" w:hAnsi="宋体" w:eastAsia="宋体" w:cs="宋体"/>
                <w:bCs/>
                <w:color w:val="auto"/>
                <w:highlight w:val="none"/>
              </w:rPr>
            </w:pPr>
          </w:p>
        </w:tc>
        <w:tc>
          <w:tcPr>
            <w:tcW w:w="1173" w:type="dxa"/>
            <w:noWrap w:val="0"/>
            <w:vAlign w:val="top"/>
          </w:tcPr>
          <w:p w14:paraId="75868367">
            <w:pPr>
              <w:spacing w:line="360" w:lineRule="auto"/>
              <w:rPr>
                <w:rFonts w:hint="eastAsia" w:ascii="宋体" w:hAnsi="宋体" w:eastAsia="宋体" w:cs="宋体"/>
                <w:bCs/>
                <w:color w:val="auto"/>
                <w:highlight w:val="none"/>
              </w:rPr>
            </w:pPr>
          </w:p>
        </w:tc>
        <w:tc>
          <w:tcPr>
            <w:tcW w:w="1167" w:type="dxa"/>
            <w:noWrap w:val="0"/>
            <w:vAlign w:val="top"/>
          </w:tcPr>
          <w:p w14:paraId="14C1005A">
            <w:pPr>
              <w:spacing w:line="360" w:lineRule="auto"/>
              <w:rPr>
                <w:rFonts w:hint="eastAsia" w:ascii="宋体" w:hAnsi="宋体" w:eastAsia="宋体" w:cs="宋体"/>
                <w:bCs/>
                <w:color w:val="auto"/>
                <w:highlight w:val="none"/>
              </w:rPr>
            </w:pPr>
          </w:p>
        </w:tc>
        <w:tc>
          <w:tcPr>
            <w:tcW w:w="2054" w:type="dxa"/>
            <w:noWrap w:val="0"/>
            <w:vAlign w:val="top"/>
          </w:tcPr>
          <w:p w14:paraId="424691B3">
            <w:pPr>
              <w:spacing w:line="360" w:lineRule="auto"/>
              <w:rPr>
                <w:rFonts w:hint="eastAsia" w:ascii="宋体" w:hAnsi="宋体" w:eastAsia="宋体" w:cs="宋体"/>
                <w:bCs/>
                <w:color w:val="auto"/>
                <w:highlight w:val="none"/>
              </w:rPr>
            </w:pPr>
          </w:p>
        </w:tc>
      </w:tr>
      <w:tr w14:paraId="77FBCC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913" w:type="dxa"/>
            <w:noWrap w:val="0"/>
            <w:vAlign w:val="top"/>
          </w:tcPr>
          <w:p w14:paraId="27139FEA">
            <w:pPr>
              <w:spacing w:line="360" w:lineRule="auto"/>
              <w:rPr>
                <w:rFonts w:hint="eastAsia" w:ascii="宋体" w:hAnsi="宋体" w:eastAsia="宋体" w:cs="宋体"/>
                <w:bCs/>
                <w:color w:val="auto"/>
                <w:highlight w:val="none"/>
              </w:rPr>
            </w:pPr>
          </w:p>
        </w:tc>
        <w:tc>
          <w:tcPr>
            <w:tcW w:w="1205" w:type="dxa"/>
            <w:noWrap w:val="0"/>
            <w:vAlign w:val="top"/>
          </w:tcPr>
          <w:p w14:paraId="17A38ECC">
            <w:pPr>
              <w:spacing w:line="360" w:lineRule="auto"/>
              <w:rPr>
                <w:rFonts w:hint="eastAsia" w:ascii="宋体" w:hAnsi="宋体" w:eastAsia="宋体" w:cs="宋体"/>
                <w:bCs/>
                <w:color w:val="auto"/>
                <w:highlight w:val="none"/>
              </w:rPr>
            </w:pPr>
          </w:p>
        </w:tc>
        <w:tc>
          <w:tcPr>
            <w:tcW w:w="913" w:type="dxa"/>
            <w:noWrap w:val="0"/>
            <w:vAlign w:val="top"/>
          </w:tcPr>
          <w:p w14:paraId="2A3E86B1">
            <w:pPr>
              <w:spacing w:line="360" w:lineRule="auto"/>
              <w:rPr>
                <w:rFonts w:hint="eastAsia" w:ascii="宋体" w:hAnsi="宋体" w:eastAsia="宋体" w:cs="宋体"/>
                <w:bCs/>
                <w:color w:val="auto"/>
                <w:highlight w:val="none"/>
              </w:rPr>
            </w:pPr>
          </w:p>
        </w:tc>
        <w:tc>
          <w:tcPr>
            <w:tcW w:w="1204" w:type="dxa"/>
            <w:noWrap w:val="0"/>
            <w:vAlign w:val="top"/>
          </w:tcPr>
          <w:p w14:paraId="0A8218D9">
            <w:pPr>
              <w:spacing w:line="360" w:lineRule="auto"/>
              <w:rPr>
                <w:rFonts w:hint="eastAsia" w:ascii="宋体" w:hAnsi="宋体" w:eastAsia="宋体" w:cs="宋体"/>
                <w:bCs/>
                <w:color w:val="auto"/>
                <w:highlight w:val="none"/>
              </w:rPr>
            </w:pPr>
          </w:p>
        </w:tc>
        <w:tc>
          <w:tcPr>
            <w:tcW w:w="1205" w:type="dxa"/>
            <w:noWrap w:val="0"/>
            <w:vAlign w:val="top"/>
          </w:tcPr>
          <w:p w14:paraId="4016D388">
            <w:pPr>
              <w:spacing w:line="360" w:lineRule="auto"/>
              <w:rPr>
                <w:rFonts w:hint="eastAsia" w:ascii="宋体" w:hAnsi="宋体" w:eastAsia="宋体" w:cs="宋体"/>
                <w:bCs/>
                <w:color w:val="auto"/>
                <w:highlight w:val="none"/>
              </w:rPr>
            </w:pPr>
          </w:p>
        </w:tc>
        <w:tc>
          <w:tcPr>
            <w:tcW w:w="1173" w:type="dxa"/>
            <w:noWrap w:val="0"/>
            <w:vAlign w:val="top"/>
          </w:tcPr>
          <w:p w14:paraId="1FA6CEB5">
            <w:pPr>
              <w:spacing w:line="360" w:lineRule="auto"/>
              <w:rPr>
                <w:rFonts w:hint="eastAsia" w:ascii="宋体" w:hAnsi="宋体" w:eastAsia="宋体" w:cs="宋体"/>
                <w:bCs/>
                <w:color w:val="auto"/>
                <w:highlight w:val="none"/>
              </w:rPr>
            </w:pPr>
          </w:p>
        </w:tc>
        <w:tc>
          <w:tcPr>
            <w:tcW w:w="1167" w:type="dxa"/>
            <w:noWrap w:val="0"/>
            <w:vAlign w:val="top"/>
          </w:tcPr>
          <w:p w14:paraId="2CB5A942">
            <w:pPr>
              <w:spacing w:line="360" w:lineRule="auto"/>
              <w:rPr>
                <w:rFonts w:hint="eastAsia" w:ascii="宋体" w:hAnsi="宋体" w:eastAsia="宋体" w:cs="宋体"/>
                <w:bCs/>
                <w:color w:val="auto"/>
                <w:highlight w:val="none"/>
              </w:rPr>
            </w:pPr>
          </w:p>
        </w:tc>
        <w:tc>
          <w:tcPr>
            <w:tcW w:w="2054" w:type="dxa"/>
            <w:noWrap w:val="0"/>
            <w:vAlign w:val="top"/>
          </w:tcPr>
          <w:p w14:paraId="145CDF17">
            <w:pPr>
              <w:spacing w:line="360" w:lineRule="auto"/>
              <w:rPr>
                <w:rFonts w:hint="eastAsia" w:ascii="宋体" w:hAnsi="宋体" w:eastAsia="宋体" w:cs="宋体"/>
                <w:bCs/>
                <w:color w:val="auto"/>
                <w:highlight w:val="none"/>
              </w:rPr>
            </w:pPr>
          </w:p>
        </w:tc>
      </w:tr>
      <w:tr w14:paraId="7BF806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913" w:type="dxa"/>
            <w:noWrap w:val="0"/>
            <w:vAlign w:val="top"/>
          </w:tcPr>
          <w:p w14:paraId="41799B09">
            <w:pPr>
              <w:spacing w:line="360" w:lineRule="auto"/>
              <w:rPr>
                <w:rFonts w:hint="eastAsia" w:ascii="宋体" w:hAnsi="宋体" w:eastAsia="宋体" w:cs="宋体"/>
                <w:bCs/>
                <w:color w:val="auto"/>
                <w:highlight w:val="none"/>
              </w:rPr>
            </w:pPr>
          </w:p>
        </w:tc>
        <w:tc>
          <w:tcPr>
            <w:tcW w:w="1205" w:type="dxa"/>
            <w:noWrap w:val="0"/>
            <w:vAlign w:val="top"/>
          </w:tcPr>
          <w:p w14:paraId="2100DAD8">
            <w:pPr>
              <w:spacing w:line="360" w:lineRule="auto"/>
              <w:rPr>
                <w:rFonts w:hint="eastAsia" w:ascii="宋体" w:hAnsi="宋体" w:eastAsia="宋体" w:cs="宋体"/>
                <w:bCs/>
                <w:color w:val="auto"/>
                <w:highlight w:val="none"/>
              </w:rPr>
            </w:pPr>
          </w:p>
        </w:tc>
        <w:tc>
          <w:tcPr>
            <w:tcW w:w="913" w:type="dxa"/>
            <w:noWrap w:val="0"/>
            <w:vAlign w:val="top"/>
          </w:tcPr>
          <w:p w14:paraId="55136A6A">
            <w:pPr>
              <w:spacing w:line="360" w:lineRule="auto"/>
              <w:rPr>
                <w:rFonts w:hint="eastAsia" w:ascii="宋体" w:hAnsi="宋体" w:eastAsia="宋体" w:cs="宋体"/>
                <w:bCs/>
                <w:color w:val="auto"/>
                <w:highlight w:val="none"/>
              </w:rPr>
            </w:pPr>
          </w:p>
        </w:tc>
        <w:tc>
          <w:tcPr>
            <w:tcW w:w="1204" w:type="dxa"/>
            <w:noWrap w:val="0"/>
            <w:vAlign w:val="top"/>
          </w:tcPr>
          <w:p w14:paraId="7EBEDA33">
            <w:pPr>
              <w:spacing w:line="360" w:lineRule="auto"/>
              <w:rPr>
                <w:rFonts w:hint="eastAsia" w:ascii="宋体" w:hAnsi="宋体" w:eastAsia="宋体" w:cs="宋体"/>
                <w:bCs/>
                <w:color w:val="auto"/>
                <w:highlight w:val="none"/>
              </w:rPr>
            </w:pPr>
          </w:p>
        </w:tc>
        <w:tc>
          <w:tcPr>
            <w:tcW w:w="1205" w:type="dxa"/>
            <w:noWrap w:val="0"/>
            <w:vAlign w:val="top"/>
          </w:tcPr>
          <w:p w14:paraId="35E5D21F">
            <w:pPr>
              <w:spacing w:line="360" w:lineRule="auto"/>
              <w:rPr>
                <w:rFonts w:hint="eastAsia" w:ascii="宋体" w:hAnsi="宋体" w:eastAsia="宋体" w:cs="宋体"/>
                <w:bCs/>
                <w:color w:val="auto"/>
                <w:highlight w:val="none"/>
              </w:rPr>
            </w:pPr>
          </w:p>
        </w:tc>
        <w:tc>
          <w:tcPr>
            <w:tcW w:w="1173" w:type="dxa"/>
            <w:noWrap w:val="0"/>
            <w:vAlign w:val="top"/>
          </w:tcPr>
          <w:p w14:paraId="72BC9DA5">
            <w:pPr>
              <w:spacing w:line="360" w:lineRule="auto"/>
              <w:rPr>
                <w:rFonts w:hint="eastAsia" w:ascii="宋体" w:hAnsi="宋体" w:eastAsia="宋体" w:cs="宋体"/>
                <w:bCs/>
                <w:color w:val="auto"/>
                <w:highlight w:val="none"/>
              </w:rPr>
            </w:pPr>
          </w:p>
        </w:tc>
        <w:tc>
          <w:tcPr>
            <w:tcW w:w="1167" w:type="dxa"/>
            <w:noWrap w:val="0"/>
            <w:vAlign w:val="top"/>
          </w:tcPr>
          <w:p w14:paraId="37F42ED2">
            <w:pPr>
              <w:spacing w:line="360" w:lineRule="auto"/>
              <w:rPr>
                <w:rFonts w:hint="eastAsia" w:ascii="宋体" w:hAnsi="宋体" w:eastAsia="宋体" w:cs="宋体"/>
                <w:bCs/>
                <w:color w:val="auto"/>
                <w:highlight w:val="none"/>
              </w:rPr>
            </w:pPr>
          </w:p>
        </w:tc>
        <w:tc>
          <w:tcPr>
            <w:tcW w:w="2054" w:type="dxa"/>
            <w:noWrap w:val="0"/>
            <w:vAlign w:val="top"/>
          </w:tcPr>
          <w:p w14:paraId="7C58B76C">
            <w:pPr>
              <w:spacing w:line="360" w:lineRule="auto"/>
              <w:rPr>
                <w:rFonts w:hint="eastAsia" w:ascii="宋体" w:hAnsi="宋体" w:eastAsia="宋体" w:cs="宋体"/>
                <w:bCs/>
                <w:color w:val="auto"/>
                <w:highlight w:val="none"/>
              </w:rPr>
            </w:pPr>
          </w:p>
        </w:tc>
      </w:tr>
      <w:tr w14:paraId="3815D9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913" w:type="dxa"/>
            <w:noWrap w:val="0"/>
            <w:vAlign w:val="top"/>
          </w:tcPr>
          <w:p w14:paraId="38BEEB5C">
            <w:pPr>
              <w:spacing w:line="360" w:lineRule="auto"/>
              <w:rPr>
                <w:rFonts w:hint="eastAsia" w:ascii="宋体" w:hAnsi="宋体" w:eastAsia="宋体" w:cs="宋体"/>
                <w:bCs/>
                <w:color w:val="auto"/>
                <w:highlight w:val="none"/>
              </w:rPr>
            </w:pPr>
          </w:p>
        </w:tc>
        <w:tc>
          <w:tcPr>
            <w:tcW w:w="1205" w:type="dxa"/>
            <w:noWrap w:val="0"/>
            <w:vAlign w:val="top"/>
          </w:tcPr>
          <w:p w14:paraId="0ACFCCAD">
            <w:pPr>
              <w:spacing w:line="360" w:lineRule="auto"/>
              <w:rPr>
                <w:rFonts w:hint="eastAsia" w:ascii="宋体" w:hAnsi="宋体" w:eastAsia="宋体" w:cs="宋体"/>
                <w:bCs/>
                <w:color w:val="auto"/>
                <w:highlight w:val="none"/>
              </w:rPr>
            </w:pPr>
          </w:p>
        </w:tc>
        <w:tc>
          <w:tcPr>
            <w:tcW w:w="913" w:type="dxa"/>
            <w:noWrap w:val="0"/>
            <w:vAlign w:val="top"/>
          </w:tcPr>
          <w:p w14:paraId="4977AD78">
            <w:pPr>
              <w:spacing w:line="360" w:lineRule="auto"/>
              <w:rPr>
                <w:rFonts w:hint="eastAsia" w:ascii="宋体" w:hAnsi="宋体" w:eastAsia="宋体" w:cs="宋体"/>
                <w:bCs/>
                <w:color w:val="auto"/>
                <w:highlight w:val="none"/>
              </w:rPr>
            </w:pPr>
          </w:p>
        </w:tc>
        <w:tc>
          <w:tcPr>
            <w:tcW w:w="1204" w:type="dxa"/>
            <w:noWrap w:val="0"/>
            <w:vAlign w:val="top"/>
          </w:tcPr>
          <w:p w14:paraId="3EF87397">
            <w:pPr>
              <w:spacing w:line="360" w:lineRule="auto"/>
              <w:rPr>
                <w:rFonts w:hint="eastAsia" w:ascii="宋体" w:hAnsi="宋体" w:eastAsia="宋体" w:cs="宋体"/>
                <w:bCs/>
                <w:color w:val="auto"/>
                <w:highlight w:val="none"/>
              </w:rPr>
            </w:pPr>
          </w:p>
        </w:tc>
        <w:tc>
          <w:tcPr>
            <w:tcW w:w="1205" w:type="dxa"/>
            <w:noWrap w:val="0"/>
            <w:vAlign w:val="top"/>
          </w:tcPr>
          <w:p w14:paraId="4602E254">
            <w:pPr>
              <w:spacing w:line="360" w:lineRule="auto"/>
              <w:rPr>
                <w:rFonts w:hint="eastAsia" w:ascii="宋体" w:hAnsi="宋体" w:eastAsia="宋体" w:cs="宋体"/>
                <w:bCs/>
                <w:color w:val="auto"/>
                <w:highlight w:val="none"/>
              </w:rPr>
            </w:pPr>
          </w:p>
        </w:tc>
        <w:tc>
          <w:tcPr>
            <w:tcW w:w="1173" w:type="dxa"/>
            <w:noWrap w:val="0"/>
            <w:vAlign w:val="top"/>
          </w:tcPr>
          <w:p w14:paraId="373B2189">
            <w:pPr>
              <w:spacing w:line="360" w:lineRule="auto"/>
              <w:rPr>
                <w:rFonts w:hint="eastAsia" w:ascii="宋体" w:hAnsi="宋体" w:eastAsia="宋体" w:cs="宋体"/>
                <w:bCs/>
                <w:color w:val="auto"/>
                <w:highlight w:val="none"/>
              </w:rPr>
            </w:pPr>
          </w:p>
        </w:tc>
        <w:tc>
          <w:tcPr>
            <w:tcW w:w="1167" w:type="dxa"/>
            <w:noWrap w:val="0"/>
            <w:vAlign w:val="top"/>
          </w:tcPr>
          <w:p w14:paraId="2520912C">
            <w:pPr>
              <w:spacing w:line="360" w:lineRule="auto"/>
              <w:rPr>
                <w:rFonts w:hint="eastAsia" w:ascii="宋体" w:hAnsi="宋体" w:eastAsia="宋体" w:cs="宋体"/>
                <w:bCs/>
                <w:color w:val="auto"/>
                <w:highlight w:val="none"/>
              </w:rPr>
            </w:pPr>
          </w:p>
        </w:tc>
        <w:tc>
          <w:tcPr>
            <w:tcW w:w="2054" w:type="dxa"/>
            <w:noWrap w:val="0"/>
            <w:vAlign w:val="top"/>
          </w:tcPr>
          <w:p w14:paraId="0B24F052">
            <w:pPr>
              <w:spacing w:line="360" w:lineRule="auto"/>
              <w:rPr>
                <w:rFonts w:hint="eastAsia" w:ascii="宋体" w:hAnsi="宋体" w:eastAsia="宋体" w:cs="宋体"/>
                <w:bCs/>
                <w:color w:val="auto"/>
                <w:highlight w:val="none"/>
              </w:rPr>
            </w:pPr>
          </w:p>
        </w:tc>
      </w:tr>
      <w:tr w14:paraId="310395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913" w:type="dxa"/>
            <w:noWrap w:val="0"/>
            <w:vAlign w:val="top"/>
          </w:tcPr>
          <w:p w14:paraId="61520B6A">
            <w:pPr>
              <w:spacing w:line="360" w:lineRule="auto"/>
              <w:rPr>
                <w:rFonts w:hint="eastAsia" w:ascii="宋体" w:hAnsi="宋体" w:eastAsia="宋体" w:cs="宋体"/>
                <w:bCs/>
                <w:color w:val="auto"/>
                <w:highlight w:val="none"/>
              </w:rPr>
            </w:pPr>
          </w:p>
        </w:tc>
        <w:tc>
          <w:tcPr>
            <w:tcW w:w="1205" w:type="dxa"/>
            <w:noWrap w:val="0"/>
            <w:vAlign w:val="top"/>
          </w:tcPr>
          <w:p w14:paraId="4407FD0D">
            <w:pPr>
              <w:spacing w:line="360" w:lineRule="auto"/>
              <w:rPr>
                <w:rFonts w:hint="eastAsia" w:ascii="宋体" w:hAnsi="宋体" w:eastAsia="宋体" w:cs="宋体"/>
                <w:bCs/>
                <w:color w:val="auto"/>
                <w:highlight w:val="none"/>
              </w:rPr>
            </w:pPr>
          </w:p>
        </w:tc>
        <w:tc>
          <w:tcPr>
            <w:tcW w:w="913" w:type="dxa"/>
            <w:noWrap w:val="0"/>
            <w:vAlign w:val="top"/>
          </w:tcPr>
          <w:p w14:paraId="6831BC8A">
            <w:pPr>
              <w:spacing w:line="360" w:lineRule="auto"/>
              <w:rPr>
                <w:rFonts w:hint="eastAsia" w:ascii="宋体" w:hAnsi="宋体" w:eastAsia="宋体" w:cs="宋体"/>
                <w:bCs/>
                <w:color w:val="auto"/>
                <w:highlight w:val="none"/>
              </w:rPr>
            </w:pPr>
          </w:p>
        </w:tc>
        <w:tc>
          <w:tcPr>
            <w:tcW w:w="1204" w:type="dxa"/>
            <w:noWrap w:val="0"/>
            <w:vAlign w:val="top"/>
          </w:tcPr>
          <w:p w14:paraId="25EC374C">
            <w:pPr>
              <w:spacing w:line="360" w:lineRule="auto"/>
              <w:rPr>
                <w:rFonts w:hint="eastAsia" w:ascii="宋体" w:hAnsi="宋体" w:eastAsia="宋体" w:cs="宋体"/>
                <w:bCs/>
                <w:color w:val="auto"/>
                <w:highlight w:val="none"/>
              </w:rPr>
            </w:pPr>
          </w:p>
        </w:tc>
        <w:tc>
          <w:tcPr>
            <w:tcW w:w="1205" w:type="dxa"/>
            <w:noWrap w:val="0"/>
            <w:vAlign w:val="top"/>
          </w:tcPr>
          <w:p w14:paraId="68A2CE0B">
            <w:pPr>
              <w:spacing w:line="360" w:lineRule="auto"/>
              <w:rPr>
                <w:rFonts w:hint="eastAsia" w:ascii="宋体" w:hAnsi="宋体" w:eastAsia="宋体" w:cs="宋体"/>
                <w:bCs/>
                <w:color w:val="auto"/>
                <w:highlight w:val="none"/>
              </w:rPr>
            </w:pPr>
          </w:p>
        </w:tc>
        <w:tc>
          <w:tcPr>
            <w:tcW w:w="1173" w:type="dxa"/>
            <w:noWrap w:val="0"/>
            <w:vAlign w:val="top"/>
          </w:tcPr>
          <w:p w14:paraId="390B14A7">
            <w:pPr>
              <w:spacing w:line="360" w:lineRule="auto"/>
              <w:rPr>
                <w:rFonts w:hint="eastAsia" w:ascii="宋体" w:hAnsi="宋体" w:eastAsia="宋体" w:cs="宋体"/>
                <w:bCs/>
                <w:color w:val="auto"/>
                <w:highlight w:val="none"/>
              </w:rPr>
            </w:pPr>
          </w:p>
        </w:tc>
        <w:tc>
          <w:tcPr>
            <w:tcW w:w="1167" w:type="dxa"/>
            <w:noWrap w:val="0"/>
            <w:vAlign w:val="top"/>
          </w:tcPr>
          <w:p w14:paraId="6B2FF3C1">
            <w:pPr>
              <w:spacing w:line="360" w:lineRule="auto"/>
              <w:rPr>
                <w:rFonts w:hint="eastAsia" w:ascii="宋体" w:hAnsi="宋体" w:eastAsia="宋体" w:cs="宋体"/>
                <w:bCs/>
                <w:color w:val="auto"/>
                <w:highlight w:val="none"/>
              </w:rPr>
            </w:pPr>
          </w:p>
        </w:tc>
        <w:tc>
          <w:tcPr>
            <w:tcW w:w="2054" w:type="dxa"/>
            <w:noWrap w:val="0"/>
            <w:vAlign w:val="top"/>
          </w:tcPr>
          <w:p w14:paraId="25032C0F">
            <w:pPr>
              <w:spacing w:line="360" w:lineRule="auto"/>
              <w:rPr>
                <w:rFonts w:hint="eastAsia" w:ascii="宋体" w:hAnsi="宋体" w:eastAsia="宋体" w:cs="宋体"/>
                <w:bCs/>
                <w:color w:val="auto"/>
                <w:highlight w:val="none"/>
              </w:rPr>
            </w:pPr>
          </w:p>
        </w:tc>
      </w:tr>
      <w:tr w14:paraId="0D4649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913" w:type="dxa"/>
            <w:noWrap w:val="0"/>
            <w:vAlign w:val="top"/>
          </w:tcPr>
          <w:p w14:paraId="00062759">
            <w:pPr>
              <w:spacing w:line="360" w:lineRule="auto"/>
              <w:rPr>
                <w:rFonts w:hint="eastAsia" w:ascii="宋体" w:hAnsi="宋体" w:eastAsia="宋体" w:cs="宋体"/>
                <w:bCs/>
                <w:color w:val="auto"/>
                <w:highlight w:val="none"/>
              </w:rPr>
            </w:pPr>
          </w:p>
        </w:tc>
        <w:tc>
          <w:tcPr>
            <w:tcW w:w="1205" w:type="dxa"/>
            <w:noWrap w:val="0"/>
            <w:vAlign w:val="top"/>
          </w:tcPr>
          <w:p w14:paraId="33D290F1">
            <w:pPr>
              <w:spacing w:line="360" w:lineRule="auto"/>
              <w:rPr>
                <w:rFonts w:hint="eastAsia" w:ascii="宋体" w:hAnsi="宋体" w:eastAsia="宋体" w:cs="宋体"/>
                <w:bCs/>
                <w:color w:val="auto"/>
                <w:highlight w:val="none"/>
              </w:rPr>
            </w:pPr>
          </w:p>
        </w:tc>
        <w:tc>
          <w:tcPr>
            <w:tcW w:w="913" w:type="dxa"/>
            <w:noWrap w:val="0"/>
            <w:vAlign w:val="top"/>
          </w:tcPr>
          <w:p w14:paraId="69BB0A1E">
            <w:pPr>
              <w:spacing w:line="360" w:lineRule="auto"/>
              <w:rPr>
                <w:rFonts w:hint="eastAsia" w:ascii="宋体" w:hAnsi="宋体" w:eastAsia="宋体" w:cs="宋体"/>
                <w:bCs/>
                <w:color w:val="auto"/>
                <w:highlight w:val="none"/>
              </w:rPr>
            </w:pPr>
          </w:p>
        </w:tc>
        <w:tc>
          <w:tcPr>
            <w:tcW w:w="1204" w:type="dxa"/>
            <w:noWrap w:val="0"/>
            <w:vAlign w:val="top"/>
          </w:tcPr>
          <w:p w14:paraId="4C71814F">
            <w:pPr>
              <w:spacing w:line="360" w:lineRule="auto"/>
              <w:rPr>
                <w:rFonts w:hint="eastAsia" w:ascii="宋体" w:hAnsi="宋体" w:eastAsia="宋体" w:cs="宋体"/>
                <w:bCs/>
                <w:color w:val="auto"/>
                <w:highlight w:val="none"/>
              </w:rPr>
            </w:pPr>
          </w:p>
        </w:tc>
        <w:tc>
          <w:tcPr>
            <w:tcW w:w="1205" w:type="dxa"/>
            <w:noWrap w:val="0"/>
            <w:vAlign w:val="top"/>
          </w:tcPr>
          <w:p w14:paraId="7C4E5369">
            <w:pPr>
              <w:spacing w:line="360" w:lineRule="auto"/>
              <w:rPr>
                <w:rFonts w:hint="eastAsia" w:ascii="宋体" w:hAnsi="宋体" w:eastAsia="宋体" w:cs="宋体"/>
                <w:bCs/>
                <w:color w:val="auto"/>
                <w:highlight w:val="none"/>
              </w:rPr>
            </w:pPr>
          </w:p>
        </w:tc>
        <w:tc>
          <w:tcPr>
            <w:tcW w:w="1173" w:type="dxa"/>
            <w:noWrap w:val="0"/>
            <w:vAlign w:val="top"/>
          </w:tcPr>
          <w:p w14:paraId="6D679E0B">
            <w:pPr>
              <w:spacing w:line="360" w:lineRule="auto"/>
              <w:rPr>
                <w:rFonts w:hint="eastAsia" w:ascii="宋体" w:hAnsi="宋体" w:eastAsia="宋体" w:cs="宋体"/>
                <w:bCs/>
                <w:color w:val="auto"/>
                <w:highlight w:val="none"/>
              </w:rPr>
            </w:pPr>
          </w:p>
        </w:tc>
        <w:tc>
          <w:tcPr>
            <w:tcW w:w="1167" w:type="dxa"/>
            <w:noWrap w:val="0"/>
            <w:vAlign w:val="top"/>
          </w:tcPr>
          <w:p w14:paraId="3AAB9D90">
            <w:pPr>
              <w:spacing w:line="360" w:lineRule="auto"/>
              <w:rPr>
                <w:rFonts w:hint="eastAsia" w:ascii="宋体" w:hAnsi="宋体" w:eastAsia="宋体" w:cs="宋体"/>
                <w:bCs/>
                <w:color w:val="auto"/>
                <w:highlight w:val="none"/>
              </w:rPr>
            </w:pPr>
          </w:p>
        </w:tc>
        <w:tc>
          <w:tcPr>
            <w:tcW w:w="2054" w:type="dxa"/>
            <w:noWrap w:val="0"/>
            <w:vAlign w:val="top"/>
          </w:tcPr>
          <w:p w14:paraId="72B37D65">
            <w:pPr>
              <w:spacing w:line="360" w:lineRule="auto"/>
              <w:rPr>
                <w:rFonts w:hint="eastAsia" w:ascii="宋体" w:hAnsi="宋体" w:eastAsia="宋体" w:cs="宋体"/>
                <w:bCs/>
                <w:color w:val="auto"/>
                <w:highlight w:val="none"/>
              </w:rPr>
            </w:pPr>
          </w:p>
        </w:tc>
      </w:tr>
      <w:tr w14:paraId="37957F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913" w:type="dxa"/>
            <w:noWrap w:val="0"/>
            <w:vAlign w:val="top"/>
          </w:tcPr>
          <w:p w14:paraId="1D834F2E">
            <w:pPr>
              <w:spacing w:line="360" w:lineRule="auto"/>
              <w:rPr>
                <w:rFonts w:hint="eastAsia" w:ascii="宋体" w:hAnsi="宋体" w:eastAsia="宋体" w:cs="宋体"/>
                <w:bCs/>
                <w:color w:val="auto"/>
                <w:highlight w:val="none"/>
              </w:rPr>
            </w:pPr>
          </w:p>
        </w:tc>
        <w:tc>
          <w:tcPr>
            <w:tcW w:w="1205" w:type="dxa"/>
            <w:noWrap w:val="0"/>
            <w:vAlign w:val="top"/>
          </w:tcPr>
          <w:p w14:paraId="7BFCCA39">
            <w:pPr>
              <w:spacing w:line="360" w:lineRule="auto"/>
              <w:rPr>
                <w:rFonts w:hint="eastAsia" w:ascii="宋体" w:hAnsi="宋体" w:eastAsia="宋体" w:cs="宋体"/>
                <w:bCs/>
                <w:color w:val="auto"/>
                <w:highlight w:val="none"/>
              </w:rPr>
            </w:pPr>
          </w:p>
        </w:tc>
        <w:tc>
          <w:tcPr>
            <w:tcW w:w="913" w:type="dxa"/>
            <w:noWrap w:val="0"/>
            <w:vAlign w:val="top"/>
          </w:tcPr>
          <w:p w14:paraId="28ECE44E">
            <w:pPr>
              <w:spacing w:line="360" w:lineRule="auto"/>
              <w:rPr>
                <w:rFonts w:hint="eastAsia" w:ascii="宋体" w:hAnsi="宋体" w:eastAsia="宋体" w:cs="宋体"/>
                <w:bCs/>
                <w:color w:val="auto"/>
                <w:highlight w:val="none"/>
              </w:rPr>
            </w:pPr>
          </w:p>
        </w:tc>
        <w:tc>
          <w:tcPr>
            <w:tcW w:w="1204" w:type="dxa"/>
            <w:noWrap w:val="0"/>
            <w:vAlign w:val="top"/>
          </w:tcPr>
          <w:p w14:paraId="0A1C632B">
            <w:pPr>
              <w:spacing w:line="360" w:lineRule="auto"/>
              <w:rPr>
                <w:rFonts w:hint="eastAsia" w:ascii="宋体" w:hAnsi="宋体" w:eastAsia="宋体" w:cs="宋体"/>
                <w:bCs/>
                <w:color w:val="auto"/>
                <w:highlight w:val="none"/>
              </w:rPr>
            </w:pPr>
          </w:p>
        </w:tc>
        <w:tc>
          <w:tcPr>
            <w:tcW w:w="1205" w:type="dxa"/>
            <w:noWrap w:val="0"/>
            <w:vAlign w:val="top"/>
          </w:tcPr>
          <w:p w14:paraId="786B2326">
            <w:pPr>
              <w:spacing w:line="360" w:lineRule="auto"/>
              <w:rPr>
                <w:rFonts w:hint="eastAsia" w:ascii="宋体" w:hAnsi="宋体" w:eastAsia="宋体" w:cs="宋体"/>
                <w:bCs/>
                <w:color w:val="auto"/>
                <w:highlight w:val="none"/>
              </w:rPr>
            </w:pPr>
          </w:p>
        </w:tc>
        <w:tc>
          <w:tcPr>
            <w:tcW w:w="1173" w:type="dxa"/>
            <w:noWrap w:val="0"/>
            <w:vAlign w:val="top"/>
          </w:tcPr>
          <w:p w14:paraId="035C8813">
            <w:pPr>
              <w:spacing w:line="360" w:lineRule="auto"/>
              <w:rPr>
                <w:rFonts w:hint="eastAsia" w:ascii="宋体" w:hAnsi="宋体" w:eastAsia="宋体" w:cs="宋体"/>
                <w:bCs/>
                <w:color w:val="auto"/>
                <w:highlight w:val="none"/>
              </w:rPr>
            </w:pPr>
          </w:p>
        </w:tc>
        <w:tc>
          <w:tcPr>
            <w:tcW w:w="1167" w:type="dxa"/>
            <w:noWrap w:val="0"/>
            <w:vAlign w:val="top"/>
          </w:tcPr>
          <w:p w14:paraId="3F5348D9">
            <w:pPr>
              <w:spacing w:line="360" w:lineRule="auto"/>
              <w:rPr>
                <w:rFonts w:hint="eastAsia" w:ascii="宋体" w:hAnsi="宋体" w:eastAsia="宋体" w:cs="宋体"/>
                <w:bCs/>
                <w:color w:val="auto"/>
                <w:highlight w:val="none"/>
              </w:rPr>
            </w:pPr>
          </w:p>
        </w:tc>
        <w:tc>
          <w:tcPr>
            <w:tcW w:w="2054" w:type="dxa"/>
            <w:noWrap w:val="0"/>
            <w:vAlign w:val="top"/>
          </w:tcPr>
          <w:p w14:paraId="56879CBC">
            <w:pPr>
              <w:spacing w:line="360" w:lineRule="auto"/>
              <w:rPr>
                <w:rFonts w:hint="eastAsia" w:ascii="宋体" w:hAnsi="宋体" w:eastAsia="宋体" w:cs="宋体"/>
                <w:bCs/>
                <w:color w:val="auto"/>
                <w:highlight w:val="none"/>
              </w:rPr>
            </w:pPr>
          </w:p>
        </w:tc>
      </w:tr>
      <w:tr w14:paraId="642B1B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913" w:type="dxa"/>
            <w:noWrap w:val="0"/>
            <w:vAlign w:val="top"/>
          </w:tcPr>
          <w:p w14:paraId="115F0AB4">
            <w:pPr>
              <w:spacing w:line="360" w:lineRule="auto"/>
              <w:rPr>
                <w:rFonts w:hint="eastAsia" w:ascii="宋体" w:hAnsi="宋体" w:eastAsia="宋体" w:cs="宋体"/>
                <w:bCs/>
                <w:color w:val="auto"/>
                <w:highlight w:val="none"/>
              </w:rPr>
            </w:pPr>
          </w:p>
        </w:tc>
        <w:tc>
          <w:tcPr>
            <w:tcW w:w="1205" w:type="dxa"/>
            <w:noWrap w:val="0"/>
            <w:vAlign w:val="top"/>
          </w:tcPr>
          <w:p w14:paraId="4CABFD8F">
            <w:pPr>
              <w:spacing w:line="360" w:lineRule="auto"/>
              <w:rPr>
                <w:rFonts w:hint="eastAsia" w:ascii="宋体" w:hAnsi="宋体" w:eastAsia="宋体" w:cs="宋体"/>
                <w:bCs/>
                <w:color w:val="auto"/>
                <w:highlight w:val="none"/>
              </w:rPr>
            </w:pPr>
          </w:p>
        </w:tc>
        <w:tc>
          <w:tcPr>
            <w:tcW w:w="913" w:type="dxa"/>
            <w:noWrap w:val="0"/>
            <w:vAlign w:val="top"/>
          </w:tcPr>
          <w:p w14:paraId="22BCD39E">
            <w:pPr>
              <w:spacing w:line="360" w:lineRule="auto"/>
              <w:rPr>
                <w:rFonts w:hint="eastAsia" w:ascii="宋体" w:hAnsi="宋体" w:eastAsia="宋体" w:cs="宋体"/>
                <w:bCs/>
                <w:color w:val="auto"/>
                <w:highlight w:val="none"/>
              </w:rPr>
            </w:pPr>
          </w:p>
        </w:tc>
        <w:tc>
          <w:tcPr>
            <w:tcW w:w="1204" w:type="dxa"/>
            <w:noWrap w:val="0"/>
            <w:vAlign w:val="top"/>
          </w:tcPr>
          <w:p w14:paraId="4BE49DE7">
            <w:pPr>
              <w:spacing w:line="360" w:lineRule="auto"/>
              <w:rPr>
                <w:rFonts w:hint="eastAsia" w:ascii="宋体" w:hAnsi="宋体" w:eastAsia="宋体" w:cs="宋体"/>
                <w:bCs/>
                <w:color w:val="auto"/>
                <w:highlight w:val="none"/>
              </w:rPr>
            </w:pPr>
          </w:p>
        </w:tc>
        <w:tc>
          <w:tcPr>
            <w:tcW w:w="1205" w:type="dxa"/>
            <w:noWrap w:val="0"/>
            <w:vAlign w:val="top"/>
          </w:tcPr>
          <w:p w14:paraId="0CC44D6A">
            <w:pPr>
              <w:spacing w:line="360" w:lineRule="auto"/>
              <w:rPr>
                <w:rFonts w:hint="eastAsia" w:ascii="宋体" w:hAnsi="宋体" w:eastAsia="宋体" w:cs="宋体"/>
                <w:bCs/>
                <w:color w:val="auto"/>
                <w:highlight w:val="none"/>
              </w:rPr>
            </w:pPr>
          </w:p>
        </w:tc>
        <w:tc>
          <w:tcPr>
            <w:tcW w:w="1173" w:type="dxa"/>
            <w:noWrap w:val="0"/>
            <w:vAlign w:val="top"/>
          </w:tcPr>
          <w:p w14:paraId="482022CE">
            <w:pPr>
              <w:spacing w:line="360" w:lineRule="auto"/>
              <w:rPr>
                <w:rFonts w:hint="eastAsia" w:ascii="宋体" w:hAnsi="宋体" w:eastAsia="宋体" w:cs="宋体"/>
                <w:bCs/>
                <w:color w:val="auto"/>
                <w:highlight w:val="none"/>
              </w:rPr>
            </w:pPr>
          </w:p>
        </w:tc>
        <w:tc>
          <w:tcPr>
            <w:tcW w:w="1167" w:type="dxa"/>
            <w:noWrap w:val="0"/>
            <w:vAlign w:val="top"/>
          </w:tcPr>
          <w:p w14:paraId="4DEFE76E">
            <w:pPr>
              <w:spacing w:line="360" w:lineRule="auto"/>
              <w:rPr>
                <w:rFonts w:hint="eastAsia" w:ascii="宋体" w:hAnsi="宋体" w:eastAsia="宋体" w:cs="宋体"/>
                <w:bCs/>
                <w:color w:val="auto"/>
                <w:highlight w:val="none"/>
              </w:rPr>
            </w:pPr>
          </w:p>
        </w:tc>
        <w:tc>
          <w:tcPr>
            <w:tcW w:w="2054" w:type="dxa"/>
            <w:noWrap w:val="0"/>
            <w:vAlign w:val="top"/>
          </w:tcPr>
          <w:p w14:paraId="6178A383">
            <w:pPr>
              <w:spacing w:line="360" w:lineRule="auto"/>
              <w:rPr>
                <w:rFonts w:hint="eastAsia" w:ascii="宋体" w:hAnsi="宋体" w:eastAsia="宋体" w:cs="宋体"/>
                <w:bCs/>
                <w:color w:val="auto"/>
                <w:highlight w:val="none"/>
              </w:rPr>
            </w:pPr>
          </w:p>
        </w:tc>
      </w:tr>
      <w:tr w14:paraId="31BA00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913" w:type="dxa"/>
            <w:noWrap w:val="0"/>
            <w:vAlign w:val="top"/>
          </w:tcPr>
          <w:p w14:paraId="37543099">
            <w:pPr>
              <w:spacing w:line="360" w:lineRule="auto"/>
              <w:rPr>
                <w:rFonts w:hint="eastAsia" w:ascii="宋体" w:hAnsi="宋体" w:eastAsia="宋体" w:cs="宋体"/>
                <w:bCs/>
                <w:color w:val="auto"/>
                <w:highlight w:val="none"/>
              </w:rPr>
            </w:pPr>
          </w:p>
        </w:tc>
        <w:tc>
          <w:tcPr>
            <w:tcW w:w="1205" w:type="dxa"/>
            <w:noWrap w:val="0"/>
            <w:vAlign w:val="top"/>
          </w:tcPr>
          <w:p w14:paraId="0E4AC18A">
            <w:pPr>
              <w:spacing w:line="360" w:lineRule="auto"/>
              <w:rPr>
                <w:rFonts w:hint="eastAsia" w:ascii="宋体" w:hAnsi="宋体" w:eastAsia="宋体" w:cs="宋体"/>
                <w:bCs/>
                <w:color w:val="auto"/>
                <w:highlight w:val="none"/>
              </w:rPr>
            </w:pPr>
          </w:p>
        </w:tc>
        <w:tc>
          <w:tcPr>
            <w:tcW w:w="913" w:type="dxa"/>
            <w:noWrap w:val="0"/>
            <w:vAlign w:val="top"/>
          </w:tcPr>
          <w:p w14:paraId="09DC4CE4">
            <w:pPr>
              <w:spacing w:line="360" w:lineRule="auto"/>
              <w:rPr>
                <w:rFonts w:hint="eastAsia" w:ascii="宋体" w:hAnsi="宋体" w:eastAsia="宋体" w:cs="宋体"/>
                <w:bCs/>
                <w:color w:val="auto"/>
                <w:highlight w:val="none"/>
              </w:rPr>
            </w:pPr>
          </w:p>
        </w:tc>
        <w:tc>
          <w:tcPr>
            <w:tcW w:w="1204" w:type="dxa"/>
            <w:noWrap w:val="0"/>
            <w:vAlign w:val="top"/>
          </w:tcPr>
          <w:p w14:paraId="69C16663">
            <w:pPr>
              <w:spacing w:line="360" w:lineRule="auto"/>
              <w:rPr>
                <w:rFonts w:hint="eastAsia" w:ascii="宋体" w:hAnsi="宋体" w:eastAsia="宋体" w:cs="宋体"/>
                <w:bCs/>
                <w:color w:val="auto"/>
                <w:highlight w:val="none"/>
              </w:rPr>
            </w:pPr>
          </w:p>
        </w:tc>
        <w:tc>
          <w:tcPr>
            <w:tcW w:w="1205" w:type="dxa"/>
            <w:noWrap w:val="0"/>
            <w:vAlign w:val="top"/>
          </w:tcPr>
          <w:p w14:paraId="5E0AE0F5">
            <w:pPr>
              <w:spacing w:line="360" w:lineRule="auto"/>
              <w:rPr>
                <w:rFonts w:hint="eastAsia" w:ascii="宋体" w:hAnsi="宋体" w:eastAsia="宋体" w:cs="宋体"/>
                <w:bCs/>
                <w:color w:val="auto"/>
                <w:highlight w:val="none"/>
              </w:rPr>
            </w:pPr>
          </w:p>
        </w:tc>
        <w:tc>
          <w:tcPr>
            <w:tcW w:w="1173" w:type="dxa"/>
            <w:noWrap w:val="0"/>
            <w:vAlign w:val="top"/>
          </w:tcPr>
          <w:p w14:paraId="58447499">
            <w:pPr>
              <w:spacing w:line="360" w:lineRule="auto"/>
              <w:rPr>
                <w:rFonts w:hint="eastAsia" w:ascii="宋体" w:hAnsi="宋体" w:eastAsia="宋体" w:cs="宋体"/>
                <w:bCs/>
                <w:color w:val="auto"/>
                <w:highlight w:val="none"/>
              </w:rPr>
            </w:pPr>
          </w:p>
        </w:tc>
        <w:tc>
          <w:tcPr>
            <w:tcW w:w="1167" w:type="dxa"/>
            <w:noWrap w:val="0"/>
            <w:vAlign w:val="top"/>
          </w:tcPr>
          <w:p w14:paraId="0804F93B">
            <w:pPr>
              <w:spacing w:line="360" w:lineRule="auto"/>
              <w:rPr>
                <w:rFonts w:hint="eastAsia" w:ascii="宋体" w:hAnsi="宋体" w:eastAsia="宋体" w:cs="宋体"/>
                <w:bCs/>
                <w:color w:val="auto"/>
                <w:highlight w:val="none"/>
              </w:rPr>
            </w:pPr>
          </w:p>
        </w:tc>
        <w:tc>
          <w:tcPr>
            <w:tcW w:w="2054" w:type="dxa"/>
            <w:noWrap w:val="0"/>
            <w:vAlign w:val="top"/>
          </w:tcPr>
          <w:p w14:paraId="30A9F889">
            <w:pPr>
              <w:spacing w:line="360" w:lineRule="auto"/>
              <w:rPr>
                <w:rFonts w:hint="eastAsia" w:ascii="宋体" w:hAnsi="宋体" w:eastAsia="宋体" w:cs="宋体"/>
                <w:bCs/>
                <w:color w:val="auto"/>
                <w:highlight w:val="none"/>
              </w:rPr>
            </w:pPr>
          </w:p>
        </w:tc>
      </w:tr>
      <w:tr w14:paraId="251FBB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913" w:type="dxa"/>
            <w:noWrap w:val="0"/>
            <w:vAlign w:val="top"/>
          </w:tcPr>
          <w:p w14:paraId="4A033227">
            <w:pPr>
              <w:spacing w:line="360" w:lineRule="auto"/>
              <w:rPr>
                <w:rFonts w:hint="eastAsia" w:ascii="宋体" w:hAnsi="宋体" w:eastAsia="宋体" w:cs="宋体"/>
                <w:bCs/>
                <w:color w:val="auto"/>
                <w:highlight w:val="none"/>
              </w:rPr>
            </w:pPr>
          </w:p>
        </w:tc>
        <w:tc>
          <w:tcPr>
            <w:tcW w:w="1205" w:type="dxa"/>
            <w:noWrap w:val="0"/>
            <w:vAlign w:val="top"/>
          </w:tcPr>
          <w:p w14:paraId="692C0E19">
            <w:pPr>
              <w:spacing w:line="360" w:lineRule="auto"/>
              <w:rPr>
                <w:rFonts w:hint="eastAsia" w:ascii="宋体" w:hAnsi="宋体" w:eastAsia="宋体" w:cs="宋体"/>
                <w:bCs/>
                <w:color w:val="auto"/>
                <w:highlight w:val="none"/>
              </w:rPr>
            </w:pPr>
          </w:p>
        </w:tc>
        <w:tc>
          <w:tcPr>
            <w:tcW w:w="913" w:type="dxa"/>
            <w:noWrap w:val="0"/>
            <w:vAlign w:val="top"/>
          </w:tcPr>
          <w:p w14:paraId="315E70AF">
            <w:pPr>
              <w:spacing w:line="360" w:lineRule="auto"/>
              <w:rPr>
                <w:rFonts w:hint="eastAsia" w:ascii="宋体" w:hAnsi="宋体" w:eastAsia="宋体" w:cs="宋体"/>
                <w:bCs/>
                <w:color w:val="auto"/>
                <w:highlight w:val="none"/>
              </w:rPr>
            </w:pPr>
          </w:p>
        </w:tc>
        <w:tc>
          <w:tcPr>
            <w:tcW w:w="1204" w:type="dxa"/>
            <w:noWrap w:val="0"/>
            <w:vAlign w:val="top"/>
          </w:tcPr>
          <w:p w14:paraId="033890CA">
            <w:pPr>
              <w:spacing w:line="360" w:lineRule="auto"/>
              <w:rPr>
                <w:rFonts w:hint="eastAsia" w:ascii="宋体" w:hAnsi="宋体" w:eastAsia="宋体" w:cs="宋体"/>
                <w:bCs/>
                <w:color w:val="auto"/>
                <w:highlight w:val="none"/>
              </w:rPr>
            </w:pPr>
          </w:p>
        </w:tc>
        <w:tc>
          <w:tcPr>
            <w:tcW w:w="1205" w:type="dxa"/>
            <w:noWrap w:val="0"/>
            <w:vAlign w:val="top"/>
          </w:tcPr>
          <w:p w14:paraId="163EBDDD">
            <w:pPr>
              <w:spacing w:line="360" w:lineRule="auto"/>
              <w:rPr>
                <w:rFonts w:hint="eastAsia" w:ascii="宋体" w:hAnsi="宋体" w:eastAsia="宋体" w:cs="宋体"/>
                <w:bCs/>
                <w:color w:val="auto"/>
                <w:highlight w:val="none"/>
              </w:rPr>
            </w:pPr>
          </w:p>
        </w:tc>
        <w:tc>
          <w:tcPr>
            <w:tcW w:w="1173" w:type="dxa"/>
            <w:noWrap w:val="0"/>
            <w:vAlign w:val="top"/>
          </w:tcPr>
          <w:p w14:paraId="7C3ACE2E">
            <w:pPr>
              <w:spacing w:line="360" w:lineRule="auto"/>
              <w:rPr>
                <w:rFonts w:hint="eastAsia" w:ascii="宋体" w:hAnsi="宋体" w:eastAsia="宋体" w:cs="宋体"/>
                <w:bCs/>
                <w:color w:val="auto"/>
                <w:highlight w:val="none"/>
              </w:rPr>
            </w:pPr>
          </w:p>
        </w:tc>
        <w:tc>
          <w:tcPr>
            <w:tcW w:w="1167" w:type="dxa"/>
            <w:noWrap w:val="0"/>
            <w:vAlign w:val="top"/>
          </w:tcPr>
          <w:p w14:paraId="5B0D67B7">
            <w:pPr>
              <w:spacing w:line="360" w:lineRule="auto"/>
              <w:rPr>
                <w:rFonts w:hint="eastAsia" w:ascii="宋体" w:hAnsi="宋体" w:eastAsia="宋体" w:cs="宋体"/>
                <w:bCs/>
                <w:color w:val="auto"/>
                <w:highlight w:val="none"/>
              </w:rPr>
            </w:pPr>
          </w:p>
        </w:tc>
        <w:tc>
          <w:tcPr>
            <w:tcW w:w="2054" w:type="dxa"/>
            <w:noWrap w:val="0"/>
            <w:vAlign w:val="top"/>
          </w:tcPr>
          <w:p w14:paraId="31FE0CD2">
            <w:pPr>
              <w:spacing w:line="360" w:lineRule="auto"/>
              <w:rPr>
                <w:rFonts w:hint="eastAsia" w:ascii="宋体" w:hAnsi="宋体" w:eastAsia="宋体" w:cs="宋体"/>
                <w:bCs/>
                <w:color w:val="auto"/>
                <w:highlight w:val="none"/>
              </w:rPr>
            </w:pPr>
          </w:p>
        </w:tc>
      </w:tr>
      <w:tr w14:paraId="41345E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913" w:type="dxa"/>
            <w:noWrap w:val="0"/>
            <w:vAlign w:val="top"/>
          </w:tcPr>
          <w:p w14:paraId="38C8D2A2">
            <w:pPr>
              <w:spacing w:line="360" w:lineRule="auto"/>
              <w:rPr>
                <w:rFonts w:hint="eastAsia" w:ascii="宋体" w:hAnsi="宋体" w:eastAsia="宋体" w:cs="宋体"/>
                <w:bCs/>
                <w:color w:val="auto"/>
                <w:highlight w:val="none"/>
              </w:rPr>
            </w:pPr>
          </w:p>
        </w:tc>
        <w:tc>
          <w:tcPr>
            <w:tcW w:w="1205" w:type="dxa"/>
            <w:noWrap w:val="0"/>
            <w:vAlign w:val="top"/>
          </w:tcPr>
          <w:p w14:paraId="0864E156">
            <w:pPr>
              <w:spacing w:line="360" w:lineRule="auto"/>
              <w:rPr>
                <w:rFonts w:hint="eastAsia" w:ascii="宋体" w:hAnsi="宋体" w:eastAsia="宋体" w:cs="宋体"/>
                <w:bCs/>
                <w:color w:val="auto"/>
                <w:highlight w:val="none"/>
              </w:rPr>
            </w:pPr>
          </w:p>
        </w:tc>
        <w:tc>
          <w:tcPr>
            <w:tcW w:w="913" w:type="dxa"/>
            <w:noWrap w:val="0"/>
            <w:vAlign w:val="top"/>
          </w:tcPr>
          <w:p w14:paraId="070688B2">
            <w:pPr>
              <w:spacing w:line="360" w:lineRule="auto"/>
              <w:rPr>
                <w:rFonts w:hint="eastAsia" w:ascii="宋体" w:hAnsi="宋体" w:eastAsia="宋体" w:cs="宋体"/>
                <w:bCs/>
                <w:color w:val="auto"/>
                <w:highlight w:val="none"/>
              </w:rPr>
            </w:pPr>
          </w:p>
        </w:tc>
        <w:tc>
          <w:tcPr>
            <w:tcW w:w="1204" w:type="dxa"/>
            <w:noWrap w:val="0"/>
            <w:vAlign w:val="top"/>
          </w:tcPr>
          <w:p w14:paraId="20B4C7E9">
            <w:pPr>
              <w:spacing w:line="360" w:lineRule="auto"/>
              <w:rPr>
                <w:rFonts w:hint="eastAsia" w:ascii="宋体" w:hAnsi="宋体" w:eastAsia="宋体" w:cs="宋体"/>
                <w:bCs/>
                <w:color w:val="auto"/>
                <w:highlight w:val="none"/>
              </w:rPr>
            </w:pPr>
          </w:p>
        </w:tc>
        <w:tc>
          <w:tcPr>
            <w:tcW w:w="1205" w:type="dxa"/>
            <w:noWrap w:val="0"/>
            <w:vAlign w:val="top"/>
          </w:tcPr>
          <w:p w14:paraId="033069AD">
            <w:pPr>
              <w:spacing w:line="360" w:lineRule="auto"/>
              <w:rPr>
                <w:rFonts w:hint="eastAsia" w:ascii="宋体" w:hAnsi="宋体" w:eastAsia="宋体" w:cs="宋体"/>
                <w:bCs/>
                <w:color w:val="auto"/>
                <w:highlight w:val="none"/>
              </w:rPr>
            </w:pPr>
          </w:p>
        </w:tc>
        <w:tc>
          <w:tcPr>
            <w:tcW w:w="1173" w:type="dxa"/>
            <w:noWrap w:val="0"/>
            <w:vAlign w:val="top"/>
          </w:tcPr>
          <w:p w14:paraId="5316ED38">
            <w:pPr>
              <w:spacing w:line="360" w:lineRule="auto"/>
              <w:rPr>
                <w:rFonts w:hint="eastAsia" w:ascii="宋体" w:hAnsi="宋体" w:eastAsia="宋体" w:cs="宋体"/>
                <w:bCs/>
                <w:color w:val="auto"/>
                <w:highlight w:val="none"/>
              </w:rPr>
            </w:pPr>
          </w:p>
        </w:tc>
        <w:tc>
          <w:tcPr>
            <w:tcW w:w="1167" w:type="dxa"/>
            <w:noWrap w:val="0"/>
            <w:vAlign w:val="top"/>
          </w:tcPr>
          <w:p w14:paraId="47B5AA90">
            <w:pPr>
              <w:spacing w:line="360" w:lineRule="auto"/>
              <w:rPr>
                <w:rFonts w:hint="eastAsia" w:ascii="宋体" w:hAnsi="宋体" w:eastAsia="宋体" w:cs="宋体"/>
                <w:bCs/>
                <w:color w:val="auto"/>
                <w:highlight w:val="none"/>
              </w:rPr>
            </w:pPr>
          </w:p>
        </w:tc>
        <w:tc>
          <w:tcPr>
            <w:tcW w:w="2054" w:type="dxa"/>
            <w:noWrap w:val="0"/>
            <w:vAlign w:val="top"/>
          </w:tcPr>
          <w:p w14:paraId="09877D79">
            <w:pPr>
              <w:spacing w:line="360" w:lineRule="auto"/>
              <w:rPr>
                <w:rFonts w:hint="eastAsia" w:ascii="宋体" w:hAnsi="宋体" w:eastAsia="宋体" w:cs="宋体"/>
                <w:bCs/>
                <w:color w:val="auto"/>
                <w:highlight w:val="none"/>
              </w:rPr>
            </w:pPr>
          </w:p>
        </w:tc>
      </w:tr>
      <w:tr w14:paraId="03D052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913" w:type="dxa"/>
            <w:noWrap w:val="0"/>
            <w:vAlign w:val="top"/>
          </w:tcPr>
          <w:p w14:paraId="30462322">
            <w:pPr>
              <w:spacing w:line="360" w:lineRule="auto"/>
              <w:rPr>
                <w:rFonts w:hint="eastAsia" w:ascii="宋体" w:hAnsi="宋体" w:eastAsia="宋体" w:cs="宋体"/>
                <w:bCs/>
                <w:color w:val="auto"/>
                <w:highlight w:val="none"/>
              </w:rPr>
            </w:pPr>
          </w:p>
        </w:tc>
        <w:tc>
          <w:tcPr>
            <w:tcW w:w="1205" w:type="dxa"/>
            <w:noWrap w:val="0"/>
            <w:vAlign w:val="top"/>
          </w:tcPr>
          <w:p w14:paraId="25F1EFAC">
            <w:pPr>
              <w:spacing w:line="360" w:lineRule="auto"/>
              <w:rPr>
                <w:rFonts w:hint="eastAsia" w:ascii="宋体" w:hAnsi="宋体" w:eastAsia="宋体" w:cs="宋体"/>
                <w:bCs/>
                <w:color w:val="auto"/>
                <w:highlight w:val="none"/>
              </w:rPr>
            </w:pPr>
          </w:p>
        </w:tc>
        <w:tc>
          <w:tcPr>
            <w:tcW w:w="913" w:type="dxa"/>
            <w:noWrap w:val="0"/>
            <w:vAlign w:val="top"/>
          </w:tcPr>
          <w:p w14:paraId="265861CF">
            <w:pPr>
              <w:spacing w:line="360" w:lineRule="auto"/>
              <w:rPr>
                <w:rFonts w:hint="eastAsia" w:ascii="宋体" w:hAnsi="宋体" w:eastAsia="宋体" w:cs="宋体"/>
                <w:bCs/>
                <w:color w:val="auto"/>
                <w:highlight w:val="none"/>
              </w:rPr>
            </w:pPr>
          </w:p>
        </w:tc>
        <w:tc>
          <w:tcPr>
            <w:tcW w:w="1204" w:type="dxa"/>
            <w:noWrap w:val="0"/>
            <w:vAlign w:val="top"/>
          </w:tcPr>
          <w:p w14:paraId="1A746B62">
            <w:pPr>
              <w:spacing w:line="360" w:lineRule="auto"/>
              <w:rPr>
                <w:rFonts w:hint="eastAsia" w:ascii="宋体" w:hAnsi="宋体" w:eastAsia="宋体" w:cs="宋体"/>
                <w:bCs/>
                <w:color w:val="auto"/>
                <w:highlight w:val="none"/>
              </w:rPr>
            </w:pPr>
          </w:p>
        </w:tc>
        <w:tc>
          <w:tcPr>
            <w:tcW w:w="1205" w:type="dxa"/>
            <w:noWrap w:val="0"/>
            <w:vAlign w:val="top"/>
          </w:tcPr>
          <w:p w14:paraId="2FA15457">
            <w:pPr>
              <w:spacing w:line="360" w:lineRule="auto"/>
              <w:rPr>
                <w:rFonts w:hint="eastAsia" w:ascii="宋体" w:hAnsi="宋体" w:eastAsia="宋体" w:cs="宋体"/>
                <w:bCs/>
                <w:color w:val="auto"/>
                <w:highlight w:val="none"/>
              </w:rPr>
            </w:pPr>
          </w:p>
        </w:tc>
        <w:tc>
          <w:tcPr>
            <w:tcW w:w="1173" w:type="dxa"/>
            <w:noWrap w:val="0"/>
            <w:vAlign w:val="top"/>
          </w:tcPr>
          <w:p w14:paraId="0D824837">
            <w:pPr>
              <w:spacing w:line="360" w:lineRule="auto"/>
              <w:rPr>
                <w:rFonts w:hint="eastAsia" w:ascii="宋体" w:hAnsi="宋体" w:eastAsia="宋体" w:cs="宋体"/>
                <w:bCs/>
                <w:color w:val="auto"/>
                <w:highlight w:val="none"/>
              </w:rPr>
            </w:pPr>
          </w:p>
        </w:tc>
        <w:tc>
          <w:tcPr>
            <w:tcW w:w="1167" w:type="dxa"/>
            <w:noWrap w:val="0"/>
            <w:vAlign w:val="top"/>
          </w:tcPr>
          <w:p w14:paraId="2ACA9592">
            <w:pPr>
              <w:spacing w:line="360" w:lineRule="auto"/>
              <w:rPr>
                <w:rFonts w:hint="eastAsia" w:ascii="宋体" w:hAnsi="宋体" w:eastAsia="宋体" w:cs="宋体"/>
                <w:bCs/>
                <w:color w:val="auto"/>
                <w:highlight w:val="none"/>
              </w:rPr>
            </w:pPr>
          </w:p>
        </w:tc>
        <w:tc>
          <w:tcPr>
            <w:tcW w:w="2054" w:type="dxa"/>
            <w:noWrap w:val="0"/>
            <w:vAlign w:val="top"/>
          </w:tcPr>
          <w:p w14:paraId="1A42BFC9">
            <w:pPr>
              <w:spacing w:line="360" w:lineRule="auto"/>
              <w:rPr>
                <w:rFonts w:hint="eastAsia" w:ascii="宋体" w:hAnsi="宋体" w:eastAsia="宋体" w:cs="宋体"/>
                <w:bCs/>
                <w:color w:val="auto"/>
                <w:highlight w:val="none"/>
              </w:rPr>
            </w:pPr>
          </w:p>
        </w:tc>
      </w:tr>
      <w:tr w14:paraId="6AB6CE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913" w:type="dxa"/>
            <w:noWrap w:val="0"/>
            <w:vAlign w:val="top"/>
          </w:tcPr>
          <w:p w14:paraId="4BCFD155">
            <w:pPr>
              <w:spacing w:line="360" w:lineRule="auto"/>
              <w:rPr>
                <w:rFonts w:hint="eastAsia" w:ascii="宋体" w:hAnsi="宋体" w:eastAsia="宋体" w:cs="宋体"/>
                <w:bCs/>
                <w:color w:val="auto"/>
                <w:highlight w:val="none"/>
              </w:rPr>
            </w:pPr>
          </w:p>
        </w:tc>
        <w:tc>
          <w:tcPr>
            <w:tcW w:w="1205" w:type="dxa"/>
            <w:noWrap w:val="0"/>
            <w:vAlign w:val="top"/>
          </w:tcPr>
          <w:p w14:paraId="59005C01">
            <w:pPr>
              <w:spacing w:line="360" w:lineRule="auto"/>
              <w:rPr>
                <w:rFonts w:hint="eastAsia" w:ascii="宋体" w:hAnsi="宋体" w:eastAsia="宋体" w:cs="宋体"/>
                <w:bCs/>
                <w:color w:val="auto"/>
                <w:highlight w:val="none"/>
              </w:rPr>
            </w:pPr>
          </w:p>
        </w:tc>
        <w:tc>
          <w:tcPr>
            <w:tcW w:w="913" w:type="dxa"/>
            <w:noWrap w:val="0"/>
            <w:vAlign w:val="top"/>
          </w:tcPr>
          <w:p w14:paraId="0D38C5A7">
            <w:pPr>
              <w:spacing w:line="360" w:lineRule="auto"/>
              <w:rPr>
                <w:rFonts w:hint="eastAsia" w:ascii="宋体" w:hAnsi="宋体" w:eastAsia="宋体" w:cs="宋体"/>
                <w:bCs/>
                <w:color w:val="auto"/>
                <w:highlight w:val="none"/>
              </w:rPr>
            </w:pPr>
          </w:p>
        </w:tc>
        <w:tc>
          <w:tcPr>
            <w:tcW w:w="1204" w:type="dxa"/>
            <w:noWrap w:val="0"/>
            <w:vAlign w:val="top"/>
          </w:tcPr>
          <w:p w14:paraId="4E35307C">
            <w:pPr>
              <w:spacing w:line="360" w:lineRule="auto"/>
              <w:rPr>
                <w:rFonts w:hint="eastAsia" w:ascii="宋体" w:hAnsi="宋体" w:eastAsia="宋体" w:cs="宋体"/>
                <w:bCs/>
                <w:color w:val="auto"/>
                <w:highlight w:val="none"/>
              </w:rPr>
            </w:pPr>
          </w:p>
        </w:tc>
        <w:tc>
          <w:tcPr>
            <w:tcW w:w="1205" w:type="dxa"/>
            <w:noWrap w:val="0"/>
            <w:vAlign w:val="top"/>
          </w:tcPr>
          <w:p w14:paraId="1F48A0B8">
            <w:pPr>
              <w:spacing w:line="360" w:lineRule="auto"/>
              <w:rPr>
                <w:rFonts w:hint="eastAsia" w:ascii="宋体" w:hAnsi="宋体" w:eastAsia="宋体" w:cs="宋体"/>
                <w:bCs/>
                <w:color w:val="auto"/>
                <w:highlight w:val="none"/>
              </w:rPr>
            </w:pPr>
          </w:p>
        </w:tc>
        <w:tc>
          <w:tcPr>
            <w:tcW w:w="1173" w:type="dxa"/>
            <w:noWrap w:val="0"/>
            <w:vAlign w:val="top"/>
          </w:tcPr>
          <w:p w14:paraId="0DA5EFE4">
            <w:pPr>
              <w:spacing w:line="360" w:lineRule="auto"/>
              <w:rPr>
                <w:rFonts w:hint="eastAsia" w:ascii="宋体" w:hAnsi="宋体" w:eastAsia="宋体" w:cs="宋体"/>
                <w:bCs/>
                <w:color w:val="auto"/>
                <w:highlight w:val="none"/>
              </w:rPr>
            </w:pPr>
          </w:p>
        </w:tc>
        <w:tc>
          <w:tcPr>
            <w:tcW w:w="1167" w:type="dxa"/>
            <w:noWrap w:val="0"/>
            <w:vAlign w:val="top"/>
          </w:tcPr>
          <w:p w14:paraId="4CECC8C1">
            <w:pPr>
              <w:spacing w:line="360" w:lineRule="auto"/>
              <w:rPr>
                <w:rFonts w:hint="eastAsia" w:ascii="宋体" w:hAnsi="宋体" w:eastAsia="宋体" w:cs="宋体"/>
                <w:bCs/>
                <w:color w:val="auto"/>
                <w:highlight w:val="none"/>
              </w:rPr>
            </w:pPr>
          </w:p>
        </w:tc>
        <w:tc>
          <w:tcPr>
            <w:tcW w:w="2054" w:type="dxa"/>
            <w:noWrap w:val="0"/>
            <w:vAlign w:val="top"/>
          </w:tcPr>
          <w:p w14:paraId="28D9B0B3">
            <w:pPr>
              <w:spacing w:line="360" w:lineRule="auto"/>
              <w:rPr>
                <w:rFonts w:hint="eastAsia" w:ascii="宋体" w:hAnsi="宋体" w:eastAsia="宋体" w:cs="宋体"/>
                <w:bCs/>
                <w:color w:val="auto"/>
                <w:highlight w:val="none"/>
              </w:rPr>
            </w:pPr>
          </w:p>
        </w:tc>
      </w:tr>
      <w:tr w14:paraId="22518F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913" w:type="dxa"/>
            <w:noWrap w:val="0"/>
            <w:vAlign w:val="top"/>
          </w:tcPr>
          <w:p w14:paraId="7B57CB9D">
            <w:pPr>
              <w:spacing w:line="360" w:lineRule="auto"/>
              <w:rPr>
                <w:rFonts w:hint="eastAsia" w:ascii="宋体" w:hAnsi="宋体" w:eastAsia="宋体" w:cs="宋体"/>
                <w:bCs/>
                <w:color w:val="auto"/>
                <w:highlight w:val="none"/>
              </w:rPr>
            </w:pPr>
          </w:p>
        </w:tc>
        <w:tc>
          <w:tcPr>
            <w:tcW w:w="1205" w:type="dxa"/>
            <w:noWrap w:val="0"/>
            <w:vAlign w:val="top"/>
          </w:tcPr>
          <w:p w14:paraId="6DE27F81">
            <w:pPr>
              <w:spacing w:line="360" w:lineRule="auto"/>
              <w:rPr>
                <w:rFonts w:hint="eastAsia" w:ascii="宋体" w:hAnsi="宋体" w:eastAsia="宋体" w:cs="宋体"/>
                <w:bCs/>
                <w:color w:val="auto"/>
                <w:highlight w:val="none"/>
              </w:rPr>
            </w:pPr>
          </w:p>
        </w:tc>
        <w:tc>
          <w:tcPr>
            <w:tcW w:w="913" w:type="dxa"/>
            <w:noWrap w:val="0"/>
            <w:vAlign w:val="top"/>
          </w:tcPr>
          <w:p w14:paraId="77EE811B">
            <w:pPr>
              <w:spacing w:line="360" w:lineRule="auto"/>
              <w:rPr>
                <w:rFonts w:hint="eastAsia" w:ascii="宋体" w:hAnsi="宋体" w:eastAsia="宋体" w:cs="宋体"/>
                <w:bCs/>
                <w:color w:val="auto"/>
                <w:highlight w:val="none"/>
              </w:rPr>
            </w:pPr>
          </w:p>
        </w:tc>
        <w:tc>
          <w:tcPr>
            <w:tcW w:w="1204" w:type="dxa"/>
            <w:noWrap w:val="0"/>
            <w:vAlign w:val="top"/>
          </w:tcPr>
          <w:p w14:paraId="34D56C38">
            <w:pPr>
              <w:spacing w:line="360" w:lineRule="auto"/>
              <w:rPr>
                <w:rFonts w:hint="eastAsia" w:ascii="宋体" w:hAnsi="宋体" w:eastAsia="宋体" w:cs="宋体"/>
                <w:bCs/>
                <w:color w:val="auto"/>
                <w:highlight w:val="none"/>
              </w:rPr>
            </w:pPr>
          </w:p>
        </w:tc>
        <w:tc>
          <w:tcPr>
            <w:tcW w:w="1205" w:type="dxa"/>
            <w:noWrap w:val="0"/>
            <w:vAlign w:val="top"/>
          </w:tcPr>
          <w:p w14:paraId="2DCF8269">
            <w:pPr>
              <w:spacing w:line="360" w:lineRule="auto"/>
              <w:rPr>
                <w:rFonts w:hint="eastAsia" w:ascii="宋体" w:hAnsi="宋体" w:eastAsia="宋体" w:cs="宋体"/>
                <w:bCs/>
                <w:color w:val="auto"/>
                <w:highlight w:val="none"/>
              </w:rPr>
            </w:pPr>
          </w:p>
        </w:tc>
        <w:tc>
          <w:tcPr>
            <w:tcW w:w="1173" w:type="dxa"/>
            <w:noWrap w:val="0"/>
            <w:vAlign w:val="top"/>
          </w:tcPr>
          <w:p w14:paraId="12C47D80">
            <w:pPr>
              <w:spacing w:line="360" w:lineRule="auto"/>
              <w:rPr>
                <w:rFonts w:hint="eastAsia" w:ascii="宋体" w:hAnsi="宋体" w:eastAsia="宋体" w:cs="宋体"/>
                <w:bCs/>
                <w:color w:val="auto"/>
                <w:highlight w:val="none"/>
              </w:rPr>
            </w:pPr>
          </w:p>
        </w:tc>
        <w:tc>
          <w:tcPr>
            <w:tcW w:w="1167" w:type="dxa"/>
            <w:noWrap w:val="0"/>
            <w:vAlign w:val="top"/>
          </w:tcPr>
          <w:p w14:paraId="458A0558">
            <w:pPr>
              <w:spacing w:line="360" w:lineRule="auto"/>
              <w:rPr>
                <w:rFonts w:hint="eastAsia" w:ascii="宋体" w:hAnsi="宋体" w:eastAsia="宋体" w:cs="宋体"/>
                <w:bCs/>
                <w:color w:val="auto"/>
                <w:highlight w:val="none"/>
              </w:rPr>
            </w:pPr>
          </w:p>
        </w:tc>
        <w:tc>
          <w:tcPr>
            <w:tcW w:w="2054" w:type="dxa"/>
            <w:noWrap w:val="0"/>
            <w:vAlign w:val="top"/>
          </w:tcPr>
          <w:p w14:paraId="2AA0AE42">
            <w:pPr>
              <w:spacing w:line="360" w:lineRule="auto"/>
              <w:rPr>
                <w:rFonts w:hint="eastAsia" w:ascii="宋体" w:hAnsi="宋体" w:eastAsia="宋体" w:cs="宋体"/>
                <w:bCs/>
                <w:color w:val="auto"/>
                <w:highlight w:val="none"/>
              </w:rPr>
            </w:pPr>
          </w:p>
        </w:tc>
      </w:tr>
      <w:tr w14:paraId="5DABE9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913" w:type="dxa"/>
            <w:noWrap w:val="0"/>
            <w:vAlign w:val="top"/>
          </w:tcPr>
          <w:p w14:paraId="0AB3E997">
            <w:pPr>
              <w:spacing w:line="360" w:lineRule="auto"/>
              <w:rPr>
                <w:rFonts w:hint="eastAsia" w:ascii="宋体" w:hAnsi="宋体" w:eastAsia="宋体" w:cs="宋体"/>
                <w:bCs/>
                <w:color w:val="auto"/>
                <w:highlight w:val="none"/>
              </w:rPr>
            </w:pPr>
          </w:p>
        </w:tc>
        <w:tc>
          <w:tcPr>
            <w:tcW w:w="1205" w:type="dxa"/>
            <w:noWrap w:val="0"/>
            <w:vAlign w:val="top"/>
          </w:tcPr>
          <w:p w14:paraId="4C9C8264">
            <w:pPr>
              <w:spacing w:line="360" w:lineRule="auto"/>
              <w:rPr>
                <w:rFonts w:hint="eastAsia" w:ascii="宋体" w:hAnsi="宋体" w:eastAsia="宋体" w:cs="宋体"/>
                <w:bCs/>
                <w:color w:val="auto"/>
                <w:highlight w:val="none"/>
              </w:rPr>
            </w:pPr>
          </w:p>
        </w:tc>
        <w:tc>
          <w:tcPr>
            <w:tcW w:w="913" w:type="dxa"/>
            <w:noWrap w:val="0"/>
            <w:vAlign w:val="top"/>
          </w:tcPr>
          <w:p w14:paraId="6B8BE0D3">
            <w:pPr>
              <w:spacing w:line="360" w:lineRule="auto"/>
              <w:rPr>
                <w:rFonts w:hint="eastAsia" w:ascii="宋体" w:hAnsi="宋体" w:eastAsia="宋体" w:cs="宋体"/>
                <w:bCs/>
                <w:color w:val="auto"/>
                <w:highlight w:val="none"/>
              </w:rPr>
            </w:pPr>
          </w:p>
        </w:tc>
        <w:tc>
          <w:tcPr>
            <w:tcW w:w="1204" w:type="dxa"/>
            <w:noWrap w:val="0"/>
            <w:vAlign w:val="top"/>
          </w:tcPr>
          <w:p w14:paraId="6860B5A0">
            <w:pPr>
              <w:spacing w:line="360" w:lineRule="auto"/>
              <w:rPr>
                <w:rFonts w:hint="eastAsia" w:ascii="宋体" w:hAnsi="宋体" w:eastAsia="宋体" w:cs="宋体"/>
                <w:bCs/>
                <w:color w:val="auto"/>
                <w:highlight w:val="none"/>
              </w:rPr>
            </w:pPr>
          </w:p>
        </w:tc>
        <w:tc>
          <w:tcPr>
            <w:tcW w:w="1205" w:type="dxa"/>
            <w:noWrap w:val="0"/>
            <w:vAlign w:val="top"/>
          </w:tcPr>
          <w:p w14:paraId="364D7CC3">
            <w:pPr>
              <w:spacing w:line="360" w:lineRule="auto"/>
              <w:rPr>
                <w:rFonts w:hint="eastAsia" w:ascii="宋体" w:hAnsi="宋体" w:eastAsia="宋体" w:cs="宋体"/>
                <w:bCs/>
                <w:color w:val="auto"/>
                <w:highlight w:val="none"/>
              </w:rPr>
            </w:pPr>
          </w:p>
        </w:tc>
        <w:tc>
          <w:tcPr>
            <w:tcW w:w="1173" w:type="dxa"/>
            <w:noWrap w:val="0"/>
            <w:vAlign w:val="top"/>
          </w:tcPr>
          <w:p w14:paraId="73E868C3">
            <w:pPr>
              <w:spacing w:line="360" w:lineRule="auto"/>
              <w:rPr>
                <w:rFonts w:hint="eastAsia" w:ascii="宋体" w:hAnsi="宋体" w:eastAsia="宋体" w:cs="宋体"/>
                <w:bCs/>
                <w:color w:val="auto"/>
                <w:highlight w:val="none"/>
              </w:rPr>
            </w:pPr>
          </w:p>
        </w:tc>
        <w:tc>
          <w:tcPr>
            <w:tcW w:w="1167" w:type="dxa"/>
            <w:noWrap w:val="0"/>
            <w:vAlign w:val="top"/>
          </w:tcPr>
          <w:p w14:paraId="57674168">
            <w:pPr>
              <w:spacing w:line="360" w:lineRule="auto"/>
              <w:rPr>
                <w:rFonts w:hint="eastAsia" w:ascii="宋体" w:hAnsi="宋体" w:eastAsia="宋体" w:cs="宋体"/>
                <w:bCs/>
                <w:color w:val="auto"/>
                <w:highlight w:val="none"/>
              </w:rPr>
            </w:pPr>
          </w:p>
        </w:tc>
        <w:tc>
          <w:tcPr>
            <w:tcW w:w="2054" w:type="dxa"/>
            <w:noWrap w:val="0"/>
            <w:vAlign w:val="top"/>
          </w:tcPr>
          <w:p w14:paraId="245A9F0F">
            <w:pPr>
              <w:spacing w:line="360" w:lineRule="auto"/>
              <w:rPr>
                <w:rFonts w:hint="eastAsia" w:ascii="宋体" w:hAnsi="宋体" w:eastAsia="宋体" w:cs="宋体"/>
                <w:bCs/>
                <w:color w:val="auto"/>
                <w:highlight w:val="none"/>
              </w:rPr>
            </w:pPr>
          </w:p>
        </w:tc>
      </w:tr>
      <w:tr w14:paraId="1F60A5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913" w:type="dxa"/>
            <w:noWrap w:val="0"/>
            <w:vAlign w:val="top"/>
          </w:tcPr>
          <w:p w14:paraId="4C95A67D">
            <w:pPr>
              <w:spacing w:line="360" w:lineRule="auto"/>
              <w:rPr>
                <w:rFonts w:hint="eastAsia" w:ascii="宋体" w:hAnsi="宋体" w:eastAsia="宋体" w:cs="宋体"/>
                <w:bCs/>
                <w:color w:val="auto"/>
                <w:highlight w:val="none"/>
              </w:rPr>
            </w:pPr>
          </w:p>
        </w:tc>
        <w:tc>
          <w:tcPr>
            <w:tcW w:w="1205" w:type="dxa"/>
            <w:noWrap w:val="0"/>
            <w:vAlign w:val="top"/>
          </w:tcPr>
          <w:p w14:paraId="795C45D2">
            <w:pPr>
              <w:spacing w:line="360" w:lineRule="auto"/>
              <w:rPr>
                <w:rFonts w:hint="eastAsia" w:ascii="宋体" w:hAnsi="宋体" w:eastAsia="宋体" w:cs="宋体"/>
                <w:bCs/>
                <w:color w:val="auto"/>
                <w:highlight w:val="none"/>
              </w:rPr>
            </w:pPr>
          </w:p>
        </w:tc>
        <w:tc>
          <w:tcPr>
            <w:tcW w:w="913" w:type="dxa"/>
            <w:noWrap w:val="0"/>
            <w:vAlign w:val="top"/>
          </w:tcPr>
          <w:p w14:paraId="37D014EF">
            <w:pPr>
              <w:spacing w:line="360" w:lineRule="auto"/>
              <w:rPr>
                <w:rFonts w:hint="eastAsia" w:ascii="宋体" w:hAnsi="宋体" w:eastAsia="宋体" w:cs="宋体"/>
                <w:bCs/>
                <w:color w:val="auto"/>
                <w:highlight w:val="none"/>
              </w:rPr>
            </w:pPr>
          </w:p>
        </w:tc>
        <w:tc>
          <w:tcPr>
            <w:tcW w:w="1204" w:type="dxa"/>
            <w:noWrap w:val="0"/>
            <w:vAlign w:val="top"/>
          </w:tcPr>
          <w:p w14:paraId="029C8274">
            <w:pPr>
              <w:spacing w:line="360" w:lineRule="auto"/>
              <w:rPr>
                <w:rFonts w:hint="eastAsia" w:ascii="宋体" w:hAnsi="宋体" w:eastAsia="宋体" w:cs="宋体"/>
                <w:bCs/>
                <w:color w:val="auto"/>
                <w:highlight w:val="none"/>
              </w:rPr>
            </w:pPr>
          </w:p>
        </w:tc>
        <w:tc>
          <w:tcPr>
            <w:tcW w:w="1205" w:type="dxa"/>
            <w:noWrap w:val="0"/>
            <w:vAlign w:val="top"/>
          </w:tcPr>
          <w:p w14:paraId="3DB156F4">
            <w:pPr>
              <w:spacing w:line="360" w:lineRule="auto"/>
              <w:rPr>
                <w:rFonts w:hint="eastAsia" w:ascii="宋体" w:hAnsi="宋体" w:eastAsia="宋体" w:cs="宋体"/>
                <w:bCs/>
                <w:color w:val="auto"/>
                <w:highlight w:val="none"/>
              </w:rPr>
            </w:pPr>
          </w:p>
        </w:tc>
        <w:tc>
          <w:tcPr>
            <w:tcW w:w="1173" w:type="dxa"/>
            <w:noWrap w:val="0"/>
            <w:vAlign w:val="top"/>
          </w:tcPr>
          <w:p w14:paraId="477BDCB5">
            <w:pPr>
              <w:spacing w:line="360" w:lineRule="auto"/>
              <w:rPr>
                <w:rFonts w:hint="eastAsia" w:ascii="宋体" w:hAnsi="宋体" w:eastAsia="宋体" w:cs="宋体"/>
                <w:bCs/>
                <w:color w:val="auto"/>
                <w:highlight w:val="none"/>
              </w:rPr>
            </w:pPr>
          </w:p>
        </w:tc>
        <w:tc>
          <w:tcPr>
            <w:tcW w:w="1167" w:type="dxa"/>
            <w:noWrap w:val="0"/>
            <w:vAlign w:val="top"/>
          </w:tcPr>
          <w:p w14:paraId="5D7BEC2F">
            <w:pPr>
              <w:spacing w:line="360" w:lineRule="auto"/>
              <w:rPr>
                <w:rFonts w:hint="eastAsia" w:ascii="宋体" w:hAnsi="宋体" w:eastAsia="宋体" w:cs="宋体"/>
                <w:bCs/>
                <w:color w:val="auto"/>
                <w:highlight w:val="none"/>
              </w:rPr>
            </w:pPr>
          </w:p>
        </w:tc>
        <w:tc>
          <w:tcPr>
            <w:tcW w:w="2054" w:type="dxa"/>
            <w:noWrap w:val="0"/>
            <w:vAlign w:val="top"/>
          </w:tcPr>
          <w:p w14:paraId="23169AC5">
            <w:pPr>
              <w:spacing w:line="360" w:lineRule="auto"/>
              <w:rPr>
                <w:rFonts w:hint="eastAsia" w:ascii="宋体" w:hAnsi="宋体" w:eastAsia="宋体" w:cs="宋体"/>
                <w:bCs/>
                <w:color w:val="auto"/>
                <w:highlight w:val="none"/>
              </w:rPr>
            </w:pPr>
          </w:p>
        </w:tc>
      </w:tr>
      <w:tr w14:paraId="7855AE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913" w:type="dxa"/>
            <w:noWrap w:val="0"/>
            <w:vAlign w:val="top"/>
          </w:tcPr>
          <w:p w14:paraId="108DD3EF">
            <w:pPr>
              <w:spacing w:line="360" w:lineRule="auto"/>
              <w:rPr>
                <w:rFonts w:hint="eastAsia" w:ascii="宋体" w:hAnsi="宋体" w:eastAsia="宋体" w:cs="宋体"/>
                <w:bCs/>
                <w:color w:val="auto"/>
                <w:highlight w:val="none"/>
              </w:rPr>
            </w:pPr>
          </w:p>
        </w:tc>
        <w:tc>
          <w:tcPr>
            <w:tcW w:w="1205" w:type="dxa"/>
            <w:noWrap w:val="0"/>
            <w:vAlign w:val="top"/>
          </w:tcPr>
          <w:p w14:paraId="11957C87">
            <w:pPr>
              <w:spacing w:line="360" w:lineRule="auto"/>
              <w:rPr>
                <w:rFonts w:hint="eastAsia" w:ascii="宋体" w:hAnsi="宋体" w:eastAsia="宋体" w:cs="宋体"/>
                <w:bCs/>
                <w:color w:val="auto"/>
                <w:highlight w:val="none"/>
              </w:rPr>
            </w:pPr>
          </w:p>
        </w:tc>
        <w:tc>
          <w:tcPr>
            <w:tcW w:w="913" w:type="dxa"/>
            <w:noWrap w:val="0"/>
            <w:vAlign w:val="top"/>
          </w:tcPr>
          <w:p w14:paraId="60F21864">
            <w:pPr>
              <w:spacing w:line="360" w:lineRule="auto"/>
              <w:rPr>
                <w:rFonts w:hint="eastAsia" w:ascii="宋体" w:hAnsi="宋体" w:eastAsia="宋体" w:cs="宋体"/>
                <w:bCs/>
                <w:color w:val="auto"/>
                <w:highlight w:val="none"/>
              </w:rPr>
            </w:pPr>
          </w:p>
        </w:tc>
        <w:tc>
          <w:tcPr>
            <w:tcW w:w="1204" w:type="dxa"/>
            <w:noWrap w:val="0"/>
            <w:vAlign w:val="top"/>
          </w:tcPr>
          <w:p w14:paraId="52B1BA90">
            <w:pPr>
              <w:spacing w:line="360" w:lineRule="auto"/>
              <w:rPr>
                <w:rFonts w:hint="eastAsia" w:ascii="宋体" w:hAnsi="宋体" w:eastAsia="宋体" w:cs="宋体"/>
                <w:bCs/>
                <w:color w:val="auto"/>
                <w:highlight w:val="none"/>
              </w:rPr>
            </w:pPr>
          </w:p>
        </w:tc>
        <w:tc>
          <w:tcPr>
            <w:tcW w:w="1205" w:type="dxa"/>
            <w:noWrap w:val="0"/>
            <w:vAlign w:val="top"/>
          </w:tcPr>
          <w:p w14:paraId="33765ED4">
            <w:pPr>
              <w:spacing w:line="360" w:lineRule="auto"/>
              <w:rPr>
                <w:rFonts w:hint="eastAsia" w:ascii="宋体" w:hAnsi="宋体" w:eastAsia="宋体" w:cs="宋体"/>
                <w:bCs/>
                <w:color w:val="auto"/>
                <w:highlight w:val="none"/>
              </w:rPr>
            </w:pPr>
          </w:p>
        </w:tc>
        <w:tc>
          <w:tcPr>
            <w:tcW w:w="1173" w:type="dxa"/>
            <w:noWrap w:val="0"/>
            <w:vAlign w:val="top"/>
          </w:tcPr>
          <w:p w14:paraId="052FCC54">
            <w:pPr>
              <w:spacing w:line="360" w:lineRule="auto"/>
              <w:rPr>
                <w:rFonts w:hint="eastAsia" w:ascii="宋体" w:hAnsi="宋体" w:eastAsia="宋体" w:cs="宋体"/>
                <w:bCs/>
                <w:color w:val="auto"/>
                <w:highlight w:val="none"/>
              </w:rPr>
            </w:pPr>
          </w:p>
        </w:tc>
        <w:tc>
          <w:tcPr>
            <w:tcW w:w="1167" w:type="dxa"/>
            <w:noWrap w:val="0"/>
            <w:vAlign w:val="top"/>
          </w:tcPr>
          <w:p w14:paraId="1C572E50">
            <w:pPr>
              <w:spacing w:line="360" w:lineRule="auto"/>
              <w:rPr>
                <w:rFonts w:hint="eastAsia" w:ascii="宋体" w:hAnsi="宋体" w:eastAsia="宋体" w:cs="宋体"/>
                <w:bCs/>
                <w:color w:val="auto"/>
                <w:highlight w:val="none"/>
              </w:rPr>
            </w:pPr>
          </w:p>
        </w:tc>
        <w:tc>
          <w:tcPr>
            <w:tcW w:w="2054" w:type="dxa"/>
            <w:noWrap w:val="0"/>
            <w:vAlign w:val="top"/>
          </w:tcPr>
          <w:p w14:paraId="42F40577">
            <w:pPr>
              <w:spacing w:line="360" w:lineRule="auto"/>
              <w:rPr>
                <w:rFonts w:hint="eastAsia" w:ascii="宋体" w:hAnsi="宋体" w:eastAsia="宋体" w:cs="宋体"/>
                <w:bCs/>
                <w:color w:val="auto"/>
                <w:highlight w:val="none"/>
              </w:rPr>
            </w:pPr>
          </w:p>
        </w:tc>
      </w:tr>
      <w:tr w14:paraId="365947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atLeast"/>
        </w:trPr>
        <w:tc>
          <w:tcPr>
            <w:tcW w:w="913" w:type="dxa"/>
            <w:noWrap w:val="0"/>
            <w:vAlign w:val="top"/>
          </w:tcPr>
          <w:p w14:paraId="7BAC8AFE">
            <w:pPr>
              <w:spacing w:line="360" w:lineRule="auto"/>
              <w:rPr>
                <w:rFonts w:hint="eastAsia" w:ascii="宋体" w:hAnsi="宋体" w:eastAsia="宋体" w:cs="宋体"/>
                <w:bCs/>
                <w:color w:val="auto"/>
                <w:highlight w:val="none"/>
              </w:rPr>
            </w:pPr>
          </w:p>
        </w:tc>
        <w:tc>
          <w:tcPr>
            <w:tcW w:w="1205" w:type="dxa"/>
            <w:noWrap w:val="0"/>
            <w:vAlign w:val="top"/>
          </w:tcPr>
          <w:p w14:paraId="4ED161B3">
            <w:pPr>
              <w:spacing w:line="360" w:lineRule="auto"/>
              <w:rPr>
                <w:rFonts w:hint="eastAsia" w:ascii="宋体" w:hAnsi="宋体" w:eastAsia="宋体" w:cs="宋体"/>
                <w:bCs/>
                <w:color w:val="auto"/>
                <w:highlight w:val="none"/>
              </w:rPr>
            </w:pPr>
          </w:p>
        </w:tc>
        <w:tc>
          <w:tcPr>
            <w:tcW w:w="913" w:type="dxa"/>
            <w:noWrap w:val="0"/>
            <w:vAlign w:val="top"/>
          </w:tcPr>
          <w:p w14:paraId="34D9A319">
            <w:pPr>
              <w:spacing w:line="360" w:lineRule="auto"/>
              <w:rPr>
                <w:rFonts w:hint="eastAsia" w:ascii="宋体" w:hAnsi="宋体" w:eastAsia="宋体" w:cs="宋体"/>
                <w:bCs/>
                <w:color w:val="auto"/>
                <w:highlight w:val="none"/>
              </w:rPr>
            </w:pPr>
          </w:p>
        </w:tc>
        <w:tc>
          <w:tcPr>
            <w:tcW w:w="1204" w:type="dxa"/>
            <w:noWrap w:val="0"/>
            <w:vAlign w:val="top"/>
          </w:tcPr>
          <w:p w14:paraId="60837A37">
            <w:pPr>
              <w:spacing w:line="360" w:lineRule="auto"/>
              <w:rPr>
                <w:rFonts w:hint="eastAsia" w:ascii="宋体" w:hAnsi="宋体" w:eastAsia="宋体" w:cs="宋体"/>
                <w:bCs/>
                <w:color w:val="auto"/>
                <w:highlight w:val="none"/>
              </w:rPr>
            </w:pPr>
          </w:p>
        </w:tc>
        <w:tc>
          <w:tcPr>
            <w:tcW w:w="1205" w:type="dxa"/>
            <w:noWrap w:val="0"/>
            <w:vAlign w:val="top"/>
          </w:tcPr>
          <w:p w14:paraId="68775247">
            <w:pPr>
              <w:spacing w:line="360" w:lineRule="auto"/>
              <w:rPr>
                <w:rFonts w:hint="eastAsia" w:ascii="宋体" w:hAnsi="宋体" w:eastAsia="宋体" w:cs="宋体"/>
                <w:bCs/>
                <w:color w:val="auto"/>
                <w:highlight w:val="none"/>
              </w:rPr>
            </w:pPr>
          </w:p>
        </w:tc>
        <w:tc>
          <w:tcPr>
            <w:tcW w:w="1173" w:type="dxa"/>
            <w:noWrap w:val="0"/>
            <w:vAlign w:val="top"/>
          </w:tcPr>
          <w:p w14:paraId="51D1A123">
            <w:pPr>
              <w:spacing w:line="360" w:lineRule="auto"/>
              <w:rPr>
                <w:rFonts w:hint="eastAsia" w:ascii="宋体" w:hAnsi="宋体" w:eastAsia="宋体" w:cs="宋体"/>
                <w:bCs/>
                <w:color w:val="auto"/>
                <w:highlight w:val="none"/>
              </w:rPr>
            </w:pPr>
          </w:p>
        </w:tc>
        <w:tc>
          <w:tcPr>
            <w:tcW w:w="1167" w:type="dxa"/>
            <w:noWrap w:val="0"/>
            <w:vAlign w:val="top"/>
          </w:tcPr>
          <w:p w14:paraId="7A64BD7C">
            <w:pPr>
              <w:spacing w:line="360" w:lineRule="auto"/>
              <w:rPr>
                <w:rFonts w:hint="eastAsia" w:ascii="宋体" w:hAnsi="宋体" w:eastAsia="宋体" w:cs="宋体"/>
                <w:bCs/>
                <w:color w:val="auto"/>
                <w:highlight w:val="none"/>
              </w:rPr>
            </w:pPr>
          </w:p>
        </w:tc>
        <w:tc>
          <w:tcPr>
            <w:tcW w:w="2054" w:type="dxa"/>
            <w:noWrap w:val="0"/>
            <w:vAlign w:val="top"/>
          </w:tcPr>
          <w:p w14:paraId="31ADEB94">
            <w:pPr>
              <w:spacing w:line="360" w:lineRule="auto"/>
              <w:rPr>
                <w:rFonts w:hint="eastAsia" w:ascii="宋体" w:hAnsi="宋体" w:eastAsia="宋体" w:cs="宋体"/>
                <w:bCs/>
                <w:color w:val="auto"/>
                <w:highlight w:val="none"/>
              </w:rPr>
            </w:pPr>
          </w:p>
        </w:tc>
      </w:tr>
    </w:tbl>
    <w:p w14:paraId="4394CAF6">
      <w:pPr>
        <w:widowControl/>
        <w:spacing w:line="360" w:lineRule="auto"/>
        <w:jc w:val="left"/>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注：本表后应附拟投入本项目主要人员的相关证件。</w:t>
      </w:r>
    </w:p>
    <w:p w14:paraId="49E2359A">
      <w:pPr>
        <w:pStyle w:val="3"/>
        <w:adjustRightInd w:val="0"/>
        <w:spacing w:line="360" w:lineRule="auto"/>
        <w:jc w:val="center"/>
        <w:textAlignment w:val="baseline"/>
        <w:rPr>
          <w:rFonts w:hint="eastAsia" w:ascii="宋体" w:hAnsi="宋体" w:eastAsia="宋体" w:cs="宋体"/>
          <w:b w:val="0"/>
          <w:bCs/>
          <w:color w:val="auto"/>
          <w:highlight w:val="none"/>
        </w:rPr>
      </w:pPr>
      <w:r>
        <w:rPr>
          <w:rFonts w:hint="eastAsia" w:ascii="宋体" w:hAnsi="宋体" w:eastAsia="宋体" w:cs="宋体"/>
          <w:b w:val="0"/>
          <w:bCs/>
          <w:color w:val="auto"/>
          <w:highlight w:val="none"/>
        </w:rPr>
        <w:tab/>
      </w:r>
      <w:bookmarkStart w:id="585" w:name="_Toc8255"/>
      <w:bookmarkStart w:id="586" w:name="_Toc11226"/>
      <w:bookmarkStart w:id="587" w:name="_Toc8393"/>
      <w:r>
        <w:rPr>
          <w:rFonts w:hint="eastAsia" w:ascii="宋体" w:hAnsi="宋体" w:eastAsia="宋体" w:cs="宋体"/>
          <w:b w:val="0"/>
          <w:bCs/>
          <w:color w:val="auto"/>
          <w:highlight w:val="none"/>
          <w:lang w:val="en-US" w:eastAsia="zh-CN"/>
        </w:rPr>
        <w:t>九</w:t>
      </w:r>
      <w:r>
        <w:rPr>
          <w:rFonts w:hint="eastAsia" w:ascii="宋体" w:hAnsi="宋体" w:eastAsia="宋体" w:cs="宋体"/>
          <w:b w:val="0"/>
          <w:bCs/>
          <w:color w:val="auto"/>
          <w:highlight w:val="none"/>
        </w:rPr>
        <w:t>、同类项目经验一览表</w:t>
      </w:r>
      <w:bookmarkEnd w:id="585"/>
      <w:bookmarkEnd w:id="586"/>
      <w:bookmarkEnd w:id="587"/>
    </w:p>
    <w:p w14:paraId="04B0B0B4">
      <w:pPr>
        <w:spacing w:line="360" w:lineRule="auto"/>
        <w:rPr>
          <w:rFonts w:hint="eastAsia" w:ascii="宋体" w:hAnsi="宋体" w:eastAsia="宋体" w:cs="宋体"/>
          <w:bCs/>
          <w:color w:val="auto"/>
          <w:highlight w:val="none"/>
          <w:u w:val="single"/>
        </w:rPr>
      </w:pPr>
      <w:r>
        <w:rPr>
          <w:rFonts w:hint="eastAsia" w:ascii="宋体" w:hAnsi="宋体" w:eastAsia="宋体" w:cs="宋体"/>
          <w:bCs/>
          <w:color w:val="auto"/>
          <w:sz w:val="24"/>
          <w:highlight w:val="none"/>
        </w:rPr>
        <w:t xml:space="preserve">供应商名称： </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  </w:t>
      </w:r>
    </w:p>
    <w:tbl>
      <w:tblPr>
        <w:tblStyle w:val="24"/>
        <w:tblW w:w="0" w:type="auto"/>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609"/>
        <w:gridCol w:w="1065"/>
        <w:gridCol w:w="1414"/>
        <w:gridCol w:w="1619"/>
        <w:gridCol w:w="1441"/>
        <w:gridCol w:w="2700"/>
      </w:tblGrid>
      <w:tr w14:paraId="4D6F19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noWrap w:val="0"/>
            <w:vAlign w:val="center"/>
          </w:tcPr>
          <w:p w14:paraId="2B2CF78B">
            <w:pPr>
              <w:spacing w:line="360" w:lineRule="auto"/>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序号</w:t>
            </w:r>
          </w:p>
        </w:tc>
        <w:tc>
          <w:tcPr>
            <w:tcW w:w="1065" w:type="dxa"/>
            <w:noWrap w:val="0"/>
            <w:vAlign w:val="center"/>
          </w:tcPr>
          <w:p w14:paraId="7974996C">
            <w:pPr>
              <w:spacing w:line="360" w:lineRule="auto"/>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项目名称</w:t>
            </w:r>
          </w:p>
        </w:tc>
        <w:tc>
          <w:tcPr>
            <w:tcW w:w="1414" w:type="dxa"/>
            <w:noWrap w:val="0"/>
            <w:vAlign w:val="center"/>
          </w:tcPr>
          <w:p w14:paraId="31262C76">
            <w:pPr>
              <w:spacing w:line="360" w:lineRule="auto"/>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项目内容</w:t>
            </w:r>
          </w:p>
        </w:tc>
        <w:tc>
          <w:tcPr>
            <w:tcW w:w="1619" w:type="dxa"/>
            <w:tcBorders>
              <w:left w:val="single" w:color="auto" w:sz="4" w:space="0"/>
              <w:right w:val="single" w:color="auto" w:sz="4" w:space="0"/>
            </w:tcBorders>
            <w:noWrap w:val="0"/>
            <w:vAlign w:val="center"/>
          </w:tcPr>
          <w:p w14:paraId="1ADD258E">
            <w:pPr>
              <w:spacing w:line="360" w:lineRule="auto"/>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合同金额</w:t>
            </w:r>
          </w:p>
          <w:p w14:paraId="5CE39E64">
            <w:pPr>
              <w:spacing w:line="360" w:lineRule="auto"/>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（万元）</w:t>
            </w:r>
          </w:p>
        </w:tc>
        <w:tc>
          <w:tcPr>
            <w:tcW w:w="1441" w:type="dxa"/>
            <w:noWrap w:val="0"/>
            <w:vAlign w:val="center"/>
          </w:tcPr>
          <w:p w14:paraId="019C4D2C">
            <w:pPr>
              <w:spacing w:line="360" w:lineRule="auto"/>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完成日期</w:t>
            </w:r>
          </w:p>
        </w:tc>
        <w:tc>
          <w:tcPr>
            <w:tcW w:w="2700" w:type="dxa"/>
            <w:noWrap w:val="0"/>
            <w:vAlign w:val="center"/>
          </w:tcPr>
          <w:p w14:paraId="20EC6467">
            <w:pPr>
              <w:spacing w:line="360" w:lineRule="auto"/>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业主名称、联系人及电话</w:t>
            </w:r>
          </w:p>
        </w:tc>
      </w:tr>
      <w:tr w14:paraId="545A5B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noWrap w:val="0"/>
            <w:vAlign w:val="center"/>
          </w:tcPr>
          <w:p w14:paraId="76DA67CC">
            <w:pPr>
              <w:spacing w:line="360" w:lineRule="auto"/>
              <w:ind w:left="120"/>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w:t>
            </w:r>
          </w:p>
        </w:tc>
        <w:tc>
          <w:tcPr>
            <w:tcW w:w="1065" w:type="dxa"/>
            <w:noWrap w:val="0"/>
            <w:vAlign w:val="center"/>
          </w:tcPr>
          <w:p w14:paraId="1151D50E">
            <w:pPr>
              <w:spacing w:line="360" w:lineRule="auto"/>
              <w:jc w:val="center"/>
              <w:rPr>
                <w:rFonts w:hint="eastAsia" w:ascii="宋体" w:hAnsi="宋体" w:eastAsia="宋体" w:cs="宋体"/>
                <w:bCs/>
                <w:color w:val="auto"/>
                <w:sz w:val="24"/>
                <w:highlight w:val="none"/>
              </w:rPr>
            </w:pPr>
          </w:p>
        </w:tc>
        <w:tc>
          <w:tcPr>
            <w:tcW w:w="1414" w:type="dxa"/>
            <w:noWrap w:val="0"/>
            <w:vAlign w:val="center"/>
          </w:tcPr>
          <w:p w14:paraId="420B19FA">
            <w:pPr>
              <w:spacing w:line="360" w:lineRule="auto"/>
              <w:jc w:val="center"/>
              <w:rPr>
                <w:rFonts w:hint="eastAsia" w:ascii="宋体" w:hAnsi="宋体" w:eastAsia="宋体" w:cs="宋体"/>
                <w:bCs/>
                <w:color w:val="auto"/>
                <w:sz w:val="24"/>
                <w:highlight w:val="none"/>
              </w:rPr>
            </w:pPr>
          </w:p>
        </w:tc>
        <w:tc>
          <w:tcPr>
            <w:tcW w:w="1619" w:type="dxa"/>
            <w:tcBorders>
              <w:left w:val="single" w:color="auto" w:sz="4" w:space="0"/>
              <w:right w:val="single" w:color="auto" w:sz="4" w:space="0"/>
            </w:tcBorders>
            <w:noWrap w:val="0"/>
            <w:vAlign w:val="center"/>
          </w:tcPr>
          <w:p w14:paraId="4E540234">
            <w:pPr>
              <w:spacing w:line="360" w:lineRule="auto"/>
              <w:jc w:val="center"/>
              <w:rPr>
                <w:rFonts w:hint="eastAsia" w:ascii="宋体" w:hAnsi="宋体" w:eastAsia="宋体" w:cs="宋体"/>
                <w:bCs/>
                <w:color w:val="auto"/>
                <w:sz w:val="24"/>
                <w:highlight w:val="none"/>
              </w:rPr>
            </w:pPr>
          </w:p>
        </w:tc>
        <w:tc>
          <w:tcPr>
            <w:tcW w:w="1441" w:type="dxa"/>
            <w:noWrap w:val="0"/>
            <w:vAlign w:val="center"/>
          </w:tcPr>
          <w:p w14:paraId="0EFDF77B">
            <w:pPr>
              <w:spacing w:line="360" w:lineRule="auto"/>
              <w:jc w:val="center"/>
              <w:rPr>
                <w:rFonts w:hint="eastAsia" w:ascii="宋体" w:hAnsi="宋体" w:eastAsia="宋体" w:cs="宋体"/>
                <w:bCs/>
                <w:color w:val="auto"/>
                <w:sz w:val="24"/>
                <w:highlight w:val="none"/>
              </w:rPr>
            </w:pPr>
          </w:p>
        </w:tc>
        <w:tc>
          <w:tcPr>
            <w:tcW w:w="2700" w:type="dxa"/>
            <w:noWrap w:val="0"/>
            <w:vAlign w:val="top"/>
          </w:tcPr>
          <w:p w14:paraId="4FCEC0B4">
            <w:pPr>
              <w:spacing w:line="360" w:lineRule="auto"/>
              <w:jc w:val="center"/>
              <w:rPr>
                <w:rFonts w:hint="eastAsia" w:ascii="宋体" w:hAnsi="宋体" w:eastAsia="宋体" w:cs="宋体"/>
                <w:bCs/>
                <w:color w:val="auto"/>
                <w:sz w:val="24"/>
                <w:highlight w:val="none"/>
              </w:rPr>
            </w:pPr>
          </w:p>
        </w:tc>
      </w:tr>
      <w:tr w14:paraId="24EB88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noWrap w:val="0"/>
            <w:vAlign w:val="center"/>
          </w:tcPr>
          <w:p w14:paraId="0DAEA39E">
            <w:pPr>
              <w:spacing w:line="360" w:lineRule="auto"/>
              <w:ind w:left="120"/>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w:t>
            </w:r>
          </w:p>
        </w:tc>
        <w:tc>
          <w:tcPr>
            <w:tcW w:w="1065" w:type="dxa"/>
            <w:noWrap w:val="0"/>
            <w:vAlign w:val="center"/>
          </w:tcPr>
          <w:p w14:paraId="68AF9CF1">
            <w:pPr>
              <w:spacing w:line="360" w:lineRule="auto"/>
              <w:jc w:val="center"/>
              <w:rPr>
                <w:rFonts w:hint="eastAsia" w:ascii="宋体" w:hAnsi="宋体" w:eastAsia="宋体" w:cs="宋体"/>
                <w:bCs/>
                <w:color w:val="auto"/>
                <w:sz w:val="24"/>
                <w:highlight w:val="none"/>
              </w:rPr>
            </w:pPr>
          </w:p>
        </w:tc>
        <w:tc>
          <w:tcPr>
            <w:tcW w:w="1414" w:type="dxa"/>
            <w:noWrap w:val="0"/>
            <w:vAlign w:val="center"/>
          </w:tcPr>
          <w:p w14:paraId="439B210B">
            <w:pPr>
              <w:spacing w:line="360" w:lineRule="auto"/>
              <w:jc w:val="center"/>
              <w:rPr>
                <w:rFonts w:hint="eastAsia" w:ascii="宋体" w:hAnsi="宋体" w:eastAsia="宋体" w:cs="宋体"/>
                <w:bCs/>
                <w:color w:val="auto"/>
                <w:sz w:val="24"/>
                <w:highlight w:val="none"/>
              </w:rPr>
            </w:pPr>
          </w:p>
        </w:tc>
        <w:tc>
          <w:tcPr>
            <w:tcW w:w="1619" w:type="dxa"/>
            <w:tcBorders>
              <w:left w:val="single" w:color="auto" w:sz="4" w:space="0"/>
              <w:right w:val="single" w:color="auto" w:sz="4" w:space="0"/>
            </w:tcBorders>
            <w:noWrap w:val="0"/>
            <w:vAlign w:val="center"/>
          </w:tcPr>
          <w:p w14:paraId="3FC1463B">
            <w:pPr>
              <w:spacing w:line="360" w:lineRule="auto"/>
              <w:jc w:val="center"/>
              <w:rPr>
                <w:rFonts w:hint="eastAsia" w:ascii="宋体" w:hAnsi="宋体" w:eastAsia="宋体" w:cs="宋体"/>
                <w:bCs/>
                <w:color w:val="auto"/>
                <w:sz w:val="24"/>
                <w:highlight w:val="none"/>
              </w:rPr>
            </w:pPr>
          </w:p>
        </w:tc>
        <w:tc>
          <w:tcPr>
            <w:tcW w:w="1441" w:type="dxa"/>
            <w:noWrap w:val="0"/>
            <w:vAlign w:val="center"/>
          </w:tcPr>
          <w:p w14:paraId="58F3BB8F">
            <w:pPr>
              <w:spacing w:line="360" w:lineRule="auto"/>
              <w:jc w:val="center"/>
              <w:rPr>
                <w:rFonts w:hint="eastAsia" w:ascii="宋体" w:hAnsi="宋体" w:eastAsia="宋体" w:cs="宋体"/>
                <w:bCs/>
                <w:color w:val="auto"/>
                <w:sz w:val="24"/>
                <w:highlight w:val="none"/>
              </w:rPr>
            </w:pPr>
          </w:p>
        </w:tc>
        <w:tc>
          <w:tcPr>
            <w:tcW w:w="2700" w:type="dxa"/>
            <w:noWrap w:val="0"/>
            <w:vAlign w:val="top"/>
          </w:tcPr>
          <w:p w14:paraId="1B1E2391">
            <w:pPr>
              <w:spacing w:line="360" w:lineRule="auto"/>
              <w:jc w:val="center"/>
              <w:rPr>
                <w:rFonts w:hint="eastAsia" w:ascii="宋体" w:hAnsi="宋体" w:eastAsia="宋体" w:cs="宋体"/>
                <w:bCs/>
                <w:color w:val="auto"/>
                <w:sz w:val="24"/>
                <w:highlight w:val="none"/>
              </w:rPr>
            </w:pPr>
          </w:p>
        </w:tc>
      </w:tr>
      <w:tr w14:paraId="52B067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noWrap w:val="0"/>
            <w:vAlign w:val="center"/>
          </w:tcPr>
          <w:p w14:paraId="554A4B21">
            <w:pPr>
              <w:spacing w:line="360" w:lineRule="auto"/>
              <w:ind w:left="120"/>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3</w:t>
            </w:r>
          </w:p>
        </w:tc>
        <w:tc>
          <w:tcPr>
            <w:tcW w:w="1065" w:type="dxa"/>
            <w:noWrap w:val="0"/>
            <w:vAlign w:val="center"/>
          </w:tcPr>
          <w:p w14:paraId="27D95696">
            <w:pPr>
              <w:spacing w:line="360" w:lineRule="auto"/>
              <w:jc w:val="center"/>
              <w:rPr>
                <w:rFonts w:hint="eastAsia" w:ascii="宋体" w:hAnsi="宋体" w:eastAsia="宋体" w:cs="宋体"/>
                <w:bCs/>
                <w:color w:val="auto"/>
                <w:sz w:val="24"/>
                <w:highlight w:val="none"/>
              </w:rPr>
            </w:pPr>
          </w:p>
        </w:tc>
        <w:tc>
          <w:tcPr>
            <w:tcW w:w="1414" w:type="dxa"/>
            <w:noWrap w:val="0"/>
            <w:vAlign w:val="center"/>
          </w:tcPr>
          <w:p w14:paraId="76537859">
            <w:pPr>
              <w:spacing w:line="360" w:lineRule="auto"/>
              <w:jc w:val="center"/>
              <w:rPr>
                <w:rFonts w:hint="eastAsia" w:ascii="宋体" w:hAnsi="宋体" w:eastAsia="宋体" w:cs="宋体"/>
                <w:bCs/>
                <w:color w:val="auto"/>
                <w:sz w:val="24"/>
                <w:highlight w:val="none"/>
              </w:rPr>
            </w:pPr>
          </w:p>
        </w:tc>
        <w:tc>
          <w:tcPr>
            <w:tcW w:w="1619" w:type="dxa"/>
            <w:tcBorders>
              <w:left w:val="single" w:color="auto" w:sz="4" w:space="0"/>
              <w:right w:val="single" w:color="auto" w:sz="4" w:space="0"/>
            </w:tcBorders>
            <w:noWrap w:val="0"/>
            <w:vAlign w:val="center"/>
          </w:tcPr>
          <w:p w14:paraId="45D9E6DE">
            <w:pPr>
              <w:spacing w:line="360" w:lineRule="auto"/>
              <w:jc w:val="center"/>
              <w:rPr>
                <w:rFonts w:hint="eastAsia" w:ascii="宋体" w:hAnsi="宋体" w:eastAsia="宋体" w:cs="宋体"/>
                <w:bCs/>
                <w:color w:val="auto"/>
                <w:sz w:val="24"/>
                <w:highlight w:val="none"/>
              </w:rPr>
            </w:pPr>
          </w:p>
        </w:tc>
        <w:tc>
          <w:tcPr>
            <w:tcW w:w="1441" w:type="dxa"/>
            <w:noWrap w:val="0"/>
            <w:vAlign w:val="center"/>
          </w:tcPr>
          <w:p w14:paraId="0683909E">
            <w:pPr>
              <w:spacing w:line="360" w:lineRule="auto"/>
              <w:jc w:val="center"/>
              <w:rPr>
                <w:rFonts w:hint="eastAsia" w:ascii="宋体" w:hAnsi="宋体" w:eastAsia="宋体" w:cs="宋体"/>
                <w:bCs/>
                <w:color w:val="auto"/>
                <w:sz w:val="24"/>
                <w:highlight w:val="none"/>
              </w:rPr>
            </w:pPr>
          </w:p>
        </w:tc>
        <w:tc>
          <w:tcPr>
            <w:tcW w:w="2700" w:type="dxa"/>
            <w:noWrap w:val="0"/>
            <w:vAlign w:val="top"/>
          </w:tcPr>
          <w:p w14:paraId="04AF816D">
            <w:pPr>
              <w:spacing w:line="360" w:lineRule="auto"/>
              <w:jc w:val="center"/>
              <w:rPr>
                <w:rFonts w:hint="eastAsia" w:ascii="宋体" w:hAnsi="宋体" w:eastAsia="宋体" w:cs="宋体"/>
                <w:bCs/>
                <w:color w:val="auto"/>
                <w:sz w:val="24"/>
                <w:highlight w:val="none"/>
              </w:rPr>
            </w:pPr>
          </w:p>
        </w:tc>
      </w:tr>
      <w:tr w14:paraId="1BDED1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noWrap w:val="0"/>
            <w:vAlign w:val="center"/>
          </w:tcPr>
          <w:p w14:paraId="324A3950">
            <w:pPr>
              <w:spacing w:line="360" w:lineRule="auto"/>
              <w:ind w:left="120"/>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4</w:t>
            </w:r>
          </w:p>
        </w:tc>
        <w:tc>
          <w:tcPr>
            <w:tcW w:w="1065" w:type="dxa"/>
            <w:noWrap w:val="0"/>
            <w:vAlign w:val="center"/>
          </w:tcPr>
          <w:p w14:paraId="68BD290B">
            <w:pPr>
              <w:spacing w:line="360" w:lineRule="auto"/>
              <w:jc w:val="center"/>
              <w:rPr>
                <w:rFonts w:hint="eastAsia" w:ascii="宋体" w:hAnsi="宋体" w:eastAsia="宋体" w:cs="宋体"/>
                <w:bCs/>
                <w:color w:val="auto"/>
                <w:sz w:val="24"/>
                <w:highlight w:val="none"/>
              </w:rPr>
            </w:pPr>
          </w:p>
        </w:tc>
        <w:tc>
          <w:tcPr>
            <w:tcW w:w="1414" w:type="dxa"/>
            <w:noWrap w:val="0"/>
            <w:vAlign w:val="center"/>
          </w:tcPr>
          <w:p w14:paraId="26DD8928">
            <w:pPr>
              <w:spacing w:line="360" w:lineRule="auto"/>
              <w:jc w:val="center"/>
              <w:rPr>
                <w:rFonts w:hint="eastAsia" w:ascii="宋体" w:hAnsi="宋体" w:eastAsia="宋体" w:cs="宋体"/>
                <w:bCs/>
                <w:color w:val="auto"/>
                <w:sz w:val="24"/>
                <w:highlight w:val="none"/>
              </w:rPr>
            </w:pPr>
          </w:p>
        </w:tc>
        <w:tc>
          <w:tcPr>
            <w:tcW w:w="1619" w:type="dxa"/>
            <w:tcBorders>
              <w:left w:val="single" w:color="auto" w:sz="4" w:space="0"/>
              <w:right w:val="single" w:color="auto" w:sz="4" w:space="0"/>
            </w:tcBorders>
            <w:noWrap w:val="0"/>
            <w:vAlign w:val="center"/>
          </w:tcPr>
          <w:p w14:paraId="413384CF">
            <w:pPr>
              <w:spacing w:line="360" w:lineRule="auto"/>
              <w:jc w:val="center"/>
              <w:rPr>
                <w:rFonts w:hint="eastAsia" w:ascii="宋体" w:hAnsi="宋体" w:eastAsia="宋体" w:cs="宋体"/>
                <w:bCs/>
                <w:color w:val="auto"/>
                <w:sz w:val="24"/>
                <w:highlight w:val="none"/>
              </w:rPr>
            </w:pPr>
          </w:p>
        </w:tc>
        <w:tc>
          <w:tcPr>
            <w:tcW w:w="1441" w:type="dxa"/>
            <w:noWrap w:val="0"/>
            <w:vAlign w:val="center"/>
          </w:tcPr>
          <w:p w14:paraId="7ECE8C98">
            <w:pPr>
              <w:spacing w:line="360" w:lineRule="auto"/>
              <w:jc w:val="center"/>
              <w:rPr>
                <w:rFonts w:hint="eastAsia" w:ascii="宋体" w:hAnsi="宋体" w:eastAsia="宋体" w:cs="宋体"/>
                <w:bCs/>
                <w:color w:val="auto"/>
                <w:sz w:val="24"/>
                <w:highlight w:val="none"/>
              </w:rPr>
            </w:pPr>
          </w:p>
        </w:tc>
        <w:tc>
          <w:tcPr>
            <w:tcW w:w="2700" w:type="dxa"/>
            <w:noWrap w:val="0"/>
            <w:vAlign w:val="top"/>
          </w:tcPr>
          <w:p w14:paraId="782B1559">
            <w:pPr>
              <w:spacing w:line="360" w:lineRule="auto"/>
              <w:jc w:val="center"/>
              <w:rPr>
                <w:rFonts w:hint="eastAsia" w:ascii="宋体" w:hAnsi="宋体" w:eastAsia="宋体" w:cs="宋体"/>
                <w:bCs/>
                <w:color w:val="auto"/>
                <w:sz w:val="24"/>
                <w:highlight w:val="none"/>
              </w:rPr>
            </w:pPr>
          </w:p>
        </w:tc>
      </w:tr>
      <w:tr w14:paraId="74AF6D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noWrap w:val="0"/>
            <w:vAlign w:val="center"/>
          </w:tcPr>
          <w:p w14:paraId="5BC10DB5">
            <w:pPr>
              <w:spacing w:line="360" w:lineRule="auto"/>
              <w:ind w:left="120"/>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5</w:t>
            </w:r>
          </w:p>
        </w:tc>
        <w:tc>
          <w:tcPr>
            <w:tcW w:w="1065" w:type="dxa"/>
            <w:noWrap w:val="0"/>
            <w:vAlign w:val="center"/>
          </w:tcPr>
          <w:p w14:paraId="7C766288">
            <w:pPr>
              <w:spacing w:line="360" w:lineRule="auto"/>
              <w:jc w:val="center"/>
              <w:rPr>
                <w:rFonts w:hint="eastAsia" w:ascii="宋体" w:hAnsi="宋体" w:eastAsia="宋体" w:cs="宋体"/>
                <w:bCs/>
                <w:color w:val="auto"/>
                <w:sz w:val="24"/>
                <w:highlight w:val="none"/>
              </w:rPr>
            </w:pPr>
          </w:p>
        </w:tc>
        <w:tc>
          <w:tcPr>
            <w:tcW w:w="1414" w:type="dxa"/>
            <w:noWrap w:val="0"/>
            <w:vAlign w:val="center"/>
          </w:tcPr>
          <w:p w14:paraId="5A94412F">
            <w:pPr>
              <w:spacing w:line="360" w:lineRule="auto"/>
              <w:jc w:val="center"/>
              <w:rPr>
                <w:rFonts w:hint="eastAsia" w:ascii="宋体" w:hAnsi="宋体" w:eastAsia="宋体" w:cs="宋体"/>
                <w:bCs/>
                <w:color w:val="auto"/>
                <w:sz w:val="24"/>
                <w:highlight w:val="none"/>
              </w:rPr>
            </w:pPr>
          </w:p>
        </w:tc>
        <w:tc>
          <w:tcPr>
            <w:tcW w:w="1619" w:type="dxa"/>
            <w:tcBorders>
              <w:left w:val="single" w:color="auto" w:sz="4" w:space="0"/>
              <w:right w:val="single" w:color="auto" w:sz="4" w:space="0"/>
            </w:tcBorders>
            <w:noWrap w:val="0"/>
            <w:vAlign w:val="center"/>
          </w:tcPr>
          <w:p w14:paraId="269623DF">
            <w:pPr>
              <w:spacing w:line="360" w:lineRule="auto"/>
              <w:jc w:val="center"/>
              <w:rPr>
                <w:rFonts w:hint="eastAsia" w:ascii="宋体" w:hAnsi="宋体" w:eastAsia="宋体" w:cs="宋体"/>
                <w:bCs/>
                <w:color w:val="auto"/>
                <w:sz w:val="24"/>
                <w:highlight w:val="none"/>
              </w:rPr>
            </w:pPr>
          </w:p>
        </w:tc>
        <w:tc>
          <w:tcPr>
            <w:tcW w:w="1441" w:type="dxa"/>
            <w:noWrap w:val="0"/>
            <w:vAlign w:val="center"/>
          </w:tcPr>
          <w:p w14:paraId="05193E19">
            <w:pPr>
              <w:spacing w:line="360" w:lineRule="auto"/>
              <w:jc w:val="center"/>
              <w:rPr>
                <w:rFonts w:hint="eastAsia" w:ascii="宋体" w:hAnsi="宋体" w:eastAsia="宋体" w:cs="宋体"/>
                <w:bCs/>
                <w:color w:val="auto"/>
                <w:sz w:val="24"/>
                <w:highlight w:val="none"/>
              </w:rPr>
            </w:pPr>
          </w:p>
        </w:tc>
        <w:tc>
          <w:tcPr>
            <w:tcW w:w="2700" w:type="dxa"/>
            <w:noWrap w:val="0"/>
            <w:vAlign w:val="top"/>
          </w:tcPr>
          <w:p w14:paraId="3C29A44B">
            <w:pPr>
              <w:spacing w:line="360" w:lineRule="auto"/>
              <w:jc w:val="center"/>
              <w:rPr>
                <w:rFonts w:hint="eastAsia" w:ascii="宋体" w:hAnsi="宋体" w:eastAsia="宋体" w:cs="宋体"/>
                <w:bCs/>
                <w:color w:val="auto"/>
                <w:sz w:val="24"/>
                <w:highlight w:val="none"/>
              </w:rPr>
            </w:pPr>
          </w:p>
        </w:tc>
      </w:tr>
      <w:tr w14:paraId="60E7E6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noWrap w:val="0"/>
            <w:vAlign w:val="center"/>
          </w:tcPr>
          <w:p w14:paraId="42CF524E">
            <w:pPr>
              <w:spacing w:line="360" w:lineRule="auto"/>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w:t>
            </w:r>
          </w:p>
        </w:tc>
        <w:tc>
          <w:tcPr>
            <w:tcW w:w="1065" w:type="dxa"/>
            <w:noWrap w:val="0"/>
            <w:vAlign w:val="center"/>
          </w:tcPr>
          <w:p w14:paraId="3B47C033">
            <w:pPr>
              <w:spacing w:line="360" w:lineRule="auto"/>
              <w:jc w:val="center"/>
              <w:rPr>
                <w:rFonts w:hint="eastAsia" w:ascii="宋体" w:hAnsi="宋体" w:eastAsia="宋体" w:cs="宋体"/>
                <w:bCs/>
                <w:color w:val="auto"/>
                <w:sz w:val="24"/>
                <w:highlight w:val="none"/>
              </w:rPr>
            </w:pPr>
          </w:p>
        </w:tc>
        <w:tc>
          <w:tcPr>
            <w:tcW w:w="1414" w:type="dxa"/>
            <w:noWrap w:val="0"/>
            <w:vAlign w:val="center"/>
          </w:tcPr>
          <w:p w14:paraId="20A668E0">
            <w:pPr>
              <w:spacing w:line="360" w:lineRule="auto"/>
              <w:jc w:val="center"/>
              <w:rPr>
                <w:rFonts w:hint="eastAsia" w:ascii="宋体" w:hAnsi="宋体" w:eastAsia="宋体" w:cs="宋体"/>
                <w:bCs/>
                <w:color w:val="auto"/>
                <w:sz w:val="24"/>
                <w:highlight w:val="none"/>
              </w:rPr>
            </w:pPr>
          </w:p>
        </w:tc>
        <w:tc>
          <w:tcPr>
            <w:tcW w:w="1619" w:type="dxa"/>
            <w:tcBorders>
              <w:left w:val="single" w:color="auto" w:sz="4" w:space="0"/>
              <w:right w:val="single" w:color="auto" w:sz="4" w:space="0"/>
            </w:tcBorders>
            <w:noWrap w:val="0"/>
            <w:vAlign w:val="center"/>
          </w:tcPr>
          <w:p w14:paraId="023C4CE0">
            <w:pPr>
              <w:spacing w:line="360" w:lineRule="auto"/>
              <w:jc w:val="center"/>
              <w:rPr>
                <w:rFonts w:hint="eastAsia" w:ascii="宋体" w:hAnsi="宋体" w:eastAsia="宋体" w:cs="宋体"/>
                <w:bCs/>
                <w:color w:val="auto"/>
                <w:sz w:val="24"/>
                <w:highlight w:val="none"/>
              </w:rPr>
            </w:pPr>
          </w:p>
        </w:tc>
        <w:tc>
          <w:tcPr>
            <w:tcW w:w="1441" w:type="dxa"/>
            <w:noWrap w:val="0"/>
            <w:vAlign w:val="center"/>
          </w:tcPr>
          <w:p w14:paraId="3BDA9149">
            <w:pPr>
              <w:spacing w:line="360" w:lineRule="auto"/>
              <w:jc w:val="center"/>
              <w:rPr>
                <w:rFonts w:hint="eastAsia" w:ascii="宋体" w:hAnsi="宋体" w:eastAsia="宋体" w:cs="宋体"/>
                <w:bCs/>
                <w:color w:val="auto"/>
                <w:sz w:val="24"/>
                <w:highlight w:val="none"/>
              </w:rPr>
            </w:pPr>
          </w:p>
        </w:tc>
        <w:tc>
          <w:tcPr>
            <w:tcW w:w="2700" w:type="dxa"/>
            <w:noWrap w:val="0"/>
            <w:vAlign w:val="top"/>
          </w:tcPr>
          <w:p w14:paraId="0C96EC07">
            <w:pPr>
              <w:spacing w:line="360" w:lineRule="auto"/>
              <w:jc w:val="center"/>
              <w:rPr>
                <w:rFonts w:hint="eastAsia" w:ascii="宋体" w:hAnsi="宋体" w:eastAsia="宋体" w:cs="宋体"/>
                <w:bCs/>
                <w:color w:val="auto"/>
                <w:sz w:val="24"/>
                <w:highlight w:val="none"/>
              </w:rPr>
            </w:pPr>
          </w:p>
        </w:tc>
      </w:tr>
      <w:tr w14:paraId="6205B3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noWrap w:val="0"/>
            <w:vAlign w:val="center"/>
          </w:tcPr>
          <w:p w14:paraId="067E6BD9">
            <w:pPr>
              <w:spacing w:line="360" w:lineRule="auto"/>
              <w:jc w:val="center"/>
              <w:rPr>
                <w:rFonts w:hint="eastAsia" w:ascii="宋体" w:hAnsi="宋体" w:eastAsia="宋体" w:cs="宋体"/>
                <w:bCs/>
                <w:color w:val="auto"/>
                <w:sz w:val="24"/>
                <w:highlight w:val="none"/>
              </w:rPr>
            </w:pPr>
          </w:p>
        </w:tc>
        <w:tc>
          <w:tcPr>
            <w:tcW w:w="1065" w:type="dxa"/>
            <w:noWrap w:val="0"/>
            <w:vAlign w:val="center"/>
          </w:tcPr>
          <w:p w14:paraId="056100C0">
            <w:pPr>
              <w:spacing w:line="360" w:lineRule="auto"/>
              <w:jc w:val="center"/>
              <w:rPr>
                <w:rFonts w:hint="eastAsia" w:ascii="宋体" w:hAnsi="宋体" w:eastAsia="宋体" w:cs="宋体"/>
                <w:bCs/>
                <w:color w:val="auto"/>
                <w:sz w:val="24"/>
                <w:highlight w:val="none"/>
              </w:rPr>
            </w:pPr>
          </w:p>
        </w:tc>
        <w:tc>
          <w:tcPr>
            <w:tcW w:w="1414" w:type="dxa"/>
            <w:noWrap w:val="0"/>
            <w:vAlign w:val="center"/>
          </w:tcPr>
          <w:p w14:paraId="065151C9">
            <w:pPr>
              <w:spacing w:line="360" w:lineRule="auto"/>
              <w:jc w:val="center"/>
              <w:rPr>
                <w:rFonts w:hint="eastAsia" w:ascii="宋体" w:hAnsi="宋体" w:eastAsia="宋体" w:cs="宋体"/>
                <w:bCs/>
                <w:color w:val="auto"/>
                <w:sz w:val="24"/>
                <w:highlight w:val="none"/>
              </w:rPr>
            </w:pPr>
          </w:p>
        </w:tc>
        <w:tc>
          <w:tcPr>
            <w:tcW w:w="1619" w:type="dxa"/>
            <w:tcBorders>
              <w:left w:val="single" w:color="auto" w:sz="4" w:space="0"/>
              <w:right w:val="single" w:color="auto" w:sz="4" w:space="0"/>
            </w:tcBorders>
            <w:noWrap w:val="0"/>
            <w:vAlign w:val="center"/>
          </w:tcPr>
          <w:p w14:paraId="1F373BD9">
            <w:pPr>
              <w:spacing w:line="360" w:lineRule="auto"/>
              <w:jc w:val="center"/>
              <w:rPr>
                <w:rFonts w:hint="eastAsia" w:ascii="宋体" w:hAnsi="宋体" w:eastAsia="宋体" w:cs="宋体"/>
                <w:bCs/>
                <w:color w:val="auto"/>
                <w:sz w:val="24"/>
                <w:highlight w:val="none"/>
              </w:rPr>
            </w:pPr>
          </w:p>
        </w:tc>
        <w:tc>
          <w:tcPr>
            <w:tcW w:w="1441" w:type="dxa"/>
            <w:noWrap w:val="0"/>
            <w:vAlign w:val="center"/>
          </w:tcPr>
          <w:p w14:paraId="3512E214">
            <w:pPr>
              <w:spacing w:line="360" w:lineRule="auto"/>
              <w:jc w:val="center"/>
              <w:rPr>
                <w:rFonts w:hint="eastAsia" w:ascii="宋体" w:hAnsi="宋体" w:eastAsia="宋体" w:cs="宋体"/>
                <w:bCs/>
                <w:color w:val="auto"/>
                <w:sz w:val="24"/>
                <w:highlight w:val="none"/>
              </w:rPr>
            </w:pPr>
          </w:p>
        </w:tc>
        <w:tc>
          <w:tcPr>
            <w:tcW w:w="2700" w:type="dxa"/>
            <w:noWrap w:val="0"/>
            <w:vAlign w:val="top"/>
          </w:tcPr>
          <w:p w14:paraId="5BA347AF">
            <w:pPr>
              <w:spacing w:line="360" w:lineRule="auto"/>
              <w:jc w:val="center"/>
              <w:rPr>
                <w:rFonts w:hint="eastAsia" w:ascii="宋体" w:hAnsi="宋体" w:eastAsia="宋体" w:cs="宋体"/>
                <w:bCs/>
                <w:color w:val="auto"/>
                <w:sz w:val="24"/>
                <w:highlight w:val="none"/>
              </w:rPr>
            </w:pPr>
          </w:p>
        </w:tc>
      </w:tr>
      <w:tr w14:paraId="5D90ED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noWrap w:val="0"/>
            <w:vAlign w:val="center"/>
          </w:tcPr>
          <w:p w14:paraId="7B7F017E">
            <w:pPr>
              <w:spacing w:line="360" w:lineRule="auto"/>
              <w:jc w:val="center"/>
              <w:rPr>
                <w:rFonts w:hint="eastAsia" w:ascii="宋体" w:hAnsi="宋体" w:eastAsia="宋体" w:cs="宋体"/>
                <w:bCs/>
                <w:color w:val="auto"/>
                <w:sz w:val="24"/>
                <w:highlight w:val="none"/>
              </w:rPr>
            </w:pPr>
          </w:p>
        </w:tc>
        <w:tc>
          <w:tcPr>
            <w:tcW w:w="1065" w:type="dxa"/>
            <w:noWrap w:val="0"/>
            <w:vAlign w:val="center"/>
          </w:tcPr>
          <w:p w14:paraId="254F67FD">
            <w:pPr>
              <w:spacing w:line="360" w:lineRule="auto"/>
              <w:jc w:val="center"/>
              <w:rPr>
                <w:rFonts w:hint="eastAsia" w:ascii="宋体" w:hAnsi="宋体" w:eastAsia="宋体" w:cs="宋体"/>
                <w:bCs/>
                <w:color w:val="auto"/>
                <w:sz w:val="24"/>
                <w:highlight w:val="none"/>
              </w:rPr>
            </w:pPr>
          </w:p>
        </w:tc>
        <w:tc>
          <w:tcPr>
            <w:tcW w:w="1414" w:type="dxa"/>
            <w:noWrap w:val="0"/>
            <w:vAlign w:val="center"/>
          </w:tcPr>
          <w:p w14:paraId="1B3BBD04">
            <w:pPr>
              <w:spacing w:line="360" w:lineRule="auto"/>
              <w:jc w:val="center"/>
              <w:rPr>
                <w:rFonts w:hint="eastAsia" w:ascii="宋体" w:hAnsi="宋体" w:eastAsia="宋体" w:cs="宋体"/>
                <w:bCs/>
                <w:color w:val="auto"/>
                <w:sz w:val="24"/>
                <w:highlight w:val="none"/>
              </w:rPr>
            </w:pPr>
          </w:p>
        </w:tc>
        <w:tc>
          <w:tcPr>
            <w:tcW w:w="1619" w:type="dxa"/>
            <w:tcBorders>
              <w:left w:val="single" w:color="auto" w:sz="4" w:space="0"/>
              <w:right w:val="single" w:color="auto" w:sz="4" w:space="0"/>
            </w:tcBorders>
            <w:noWrap w:val="0"/>
            <w:vAlign w:val="center"/>
          </w:tcPr>
          <w:p w14:paraId="49A1557E">
            <w:pPr>
              <w:spacing w:line="360" w:lineRule="auto"/>
              <w:jc w:val="center"/>
              <w:rPr>
                <w:rFonts w:hint="eastAsia" w:ascii="宋体" w:hAnsi="宋体" w:eastAsia="宋体" w:cs="宋体"/>
                <w:bCs/>
                <w:color w:val="auto"/>
                <w:sz w:val="24"/>
                <w:highlight w:val="none"/>
              </w:rPr>
            </w:pPr>
          </w:p>
        </w:tc>
        <w:tc>
          <w:tcPr>
            <w:tcW w:w="1441" w:type="dxa"/>
            <w:noWrap w:val="0"/>
            <w:vAlign w:val="center"/>
          </w:tcPr>
          <w:p w14:paraId="01BE21B3">
            <w:pPr>
              <w:spacing w:line="360" w:lineRule="auto"/>
              <w:jc w:val="center"/>
              <w:rPr>
                <w:rFonts w:hint="eastAsia" w:ascii="宋体" w:hAnsi="宋体" w:eastAsia="宋体" w:cs="宋体"/>
                <w:bCs/>
                <w:color w:val="auto"/>
                <w:sz w:val="24"/>
                <w:highlight w:val="none"/>
              </w:rPr>
            </w:pPr>
          </w:p>
        </w:tc>
        <w:tc>
          <w:tcPr>
            <w:tcW w:w="2700" w:type="dxa"/>
            <w:noWrap w:val="0"/>
            <w:vAlign w:val="top"/>
          </w:tcPr>
          <w:p w14:paraId="1D186DC0">
            <w:pPr>
              <w:spacing w:line="360" w:lineRule="auto"/>
              <w:jc w:val="center"/>
              <w:rPr>
                <w:rFonts w:hint="eastAsia" w:ascii="宋体" w:hAnsi="宋体" w:eastAsia="宋体" w:cs="宋体"/>
                <w:bCs/>
                <w:color w:val="auto"/>
                <w:sz w:val="24"/>
                <w:highlight w:val="none"/>
              </w:rPr>
            </w:pPr>
          </w:p>
        </w:tc>
      </w:tr>
      <w:tr w14:paraId="0439DB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noWrap w:val="0"/>
            <w:vAlign w:val="center"/>
          </w:tcPr>
          <w:p w14:paraId="0EE2D248">
            <w:pPr>
              <w:spacing w:line="360" w:lineRule="auto"/>
              <w:jc w:val="center"/>
              <w:rPr>
                <w:rFonts w:hint="eastAsia" w:ascii="宋体" w:hAnsi="宋体" w:eastAsia="宋体" w:cs="宋体"/>
                <w:bCs/>
                <w:color w:val="auto"/>
                <w:sz w:val="24"/>
                <w:highlight w:val="none"/>
              </w:rPr>
            </w:pPr>
          </w:p>
        </w:tc>
        <w:tc>
          <w:tcPr>
            <w:tcW w:w="1065" w:type="dxa"/>
            <w:noWrap w:val="0"/>
            <w:vAlign w:val="center"/>
          </w:tcPr>
          <w:p w14:paraId="060E266A">
            <w:pPr>
              <w:spacing w:line="360" w:lineRule="auto"/>
              <w:jc w:val="center"/>
              <w:rPr>
                <w:rFonts w:hint="eastAsia" w:ascii="宋体" w:hAnsi="宋体" w:eastAsia="宋体" w:cs="宋体"/>
                <w:bCs/>
                <w:color w:val="auto"/>
                <w:sz w:val="24"/>
                <w:highlight w:val="none"/>
              </w:rPr>
            </w:pPr>
          </w:p>
        </w:tc>
        <w:tc>
          <w:tcPr>
            <w:tcW w:w="1414" w:type="dxa"/>
            <w:noWrap w:val="0"/>
            <w:vAlign w:val="center"/>
          </w:tcPr>
          <w:p w14:paraId="0C2FC385">
            <w:pPr>
              <w:spacing w:line="360" w:lineRule="auto"/>
              <w:jc w:val="center"/>
              <w:rPr>
                <w:rFonts w:hint="eastAsia" w:ascii="宋体" w:hAnsi="宋体" w:eastAsia="宋体" w:cs="宋体"/>
                <w:bCs/>
                <w:color w:val="auto"/>
                <w:sz w:val="24"/>
                <w:highlight w:val="none"/>
              </w:rPr>
            </w:pPr>
          </w:p>
        </w:tc>
        <w:tc>
          <w:tcPr>
            <w:tcW w:w="1619" w:type="dxa"/>
            <w:tcBorders>
              <w:left w:val="single" w:color="auto" w:sz="4" w:space="0"/>
              <w:right w:val="single" w:color="auto" w:sz="4" w:space="0"/>
            </w:tcBorders>
            <w:noWrap w:val="0"/>
            <w:vAlign w:val="center"/>
          </w:tcPr>
          <w:p w14:paraId="0204AAD2">
            <w:pPr>
              <w:spacing w:line="360" w:lineRule="auto"/>
              <w:jc w:val="center"/>
              <w:rPr>
                <w:rFonts w:hint="eastAsia" w:ascii="宋体" w:hAnsi="宋体" w:eastAsia="宋体" w:cs="宋体"/>
                <w:bCs/>
                <w:color w:val="auto"/>
                <w:sz w:val="24"/>
                <w:highlight w:val="none"/>
              </w:rPr>
            </w:pPr>
          </w:p>
        </w:tc>
        <w:tc>
          <w:tcPr>
            <w:tcW w:w="1441" w:type="dxa"/>
            <w:noWrap w:val="0"/>
            <w:vAlign w:val="center"/>
          </w:tcPr>
          <w:p w14:paraId="5B1043B9">
            <w:pPr>
              <w:spacing w:line="360" w:lineRule="auto"/>
              <w:jc w:val="center"/>
              <w:rPr>
                <w:rFonts w:hint="eastAsia" w:ascii="宋体" w:hAnsi="宋体" w:eastAsia="宋体" w:cs="宋体"/>
                <w:bCs/>
                <w:color w:val="auto"/>
                <w:sz w:val="24"/>
                <w:highlight w:val="none"/>
              </w:rPr>
            </w:pPr>
          </w:p>
        </w:tc>
        <w:tc>
          <w:tcPr>
            <w:tcW w:w="2700" w:type="dxa"/>
            <w:noWrap w:val="0"/>
            <w:vAlign w:val="top"/>
          </w:tcPr>
          <w:p w14:paraId="16137D36">
            <w:pPr>
              <w:spacing w:line="360" w:lineRule="auto"/>
              <w:jc w:val="center"/>
              <w:rPr>
                <w:rFonts w:hint="eastAsia" w:ascii="宋体" w:hAnsi="宋体" w:eastAsia="宋体" w:cs="宋体"/>
                <w:bCs/>
                <w:color w:val="auto"/>
                <w:sz w:val="24"/>
                <w:highlight w:val="none"/>
              </w:rPr>
            </w:pPr>
          </w:p>
        </w:tc>
      </w:tr>
      <w:tr w14:paraId="18DCE0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noWrap w:val="0"/>
            <w:vAlign w:val="center"/>
          </w:tcPr>
          <w:p w14:paraId="70BE1A0E">
            <w:pPr>
              <w:spacing w:line="360" w:lineRule="auto"/>
              <w:ind w:left="120"/>
              <w:jc w:val="center"/>
              <w:rPr>
                <w:rFonts w:hint="eastAsia" w:ascii="宋体" w:hAnsi="宋体" w:eastAsia="宋体" w:cs="宋体"/>
                <w:bCs/>
                <w:color w:val="auto"/>
                <w:sz w:val="24"/>
                <w:highlight w:val="none"/>
              </w:rPr>
            </w:pPr>
          </w:p>
        </w:tc>
        <w:tc>
          <w:tcPr>
            <w:tcW w:w="1065" w:type="dxa"/>
            <w:noWrap w:val="0"/>
            <w:vAlign w:val="center"/>
          </w:tcPr>
          <w:p w14:paraId="06A831CC">
            <w:pPr>
              <w:spacing w:line="360" w:lineRule="auto"/>
              <w:jc w:val="center"/>
              <w:rPr>
                <w:rFonts w:hint="eastAsia" w:ascii="宋体" w:hAnsi="宋体" w:eastAsia="宋体" w:cs="宋体"/>
                <w:bCs/>
                <w:color w:val="auto"/>
                <w:sz w:val="24"/>
                <w:highlight w:val="none"/>
              </w:rPr>
            </w:pPr>
          </w:p>
        </w:tc>
        <w:tc>
          <w:tcPr>
            <w:tcW w:w="1414" w:type="dxa"/>
            <w:noWrap w:val="0"/>
            <w:vAlign w:val="center"/>
          </w:tcPr>
          <w:p w14:paraId="47E8E834">
            <w:pPr>
              <w:spacing w:line="360" w:lineRule="auto"/>
              <w:jc w:val="center"/>
              <w:rPr>
                <w:rFonts w:hint="eastAsia" w:ascii="宋体" w:hAnsi="宋体" w:eastAsia="宋体" w:cs="宋体"/>
                <w:bCs/>
                <w:color w:val="auto"/>
                <w:sz w:val="24"/>
                <w:highlight w:val="none"/>
              </w:rPr>
            </w:pPr>
          </w:p>
        </w:tc>
        <w:tc>
          <w:tcPr>
            <w:tcW w:w="1619" w:type="dxa"/>
            <w:tcBorders>
              <w:left w:val="single" w:color="auto" w:sz="4" w:space="0"/>
              <w:right w:val="single" w:color="auto" w:sz="4" w:space="0"/>
            </w:tcBorders>
            <w:noWrap w:val="0"/>
            <w:vAlign w:val="center"/>
          </w:tcPr>
          <w:p w14:paraId="6F4E44F5">
            <w:pPr>
              <w:spacing w:line="360" w:lineRule="auto"/>
              <w:jc w:val="center"/>
              <w:rPr>
                <w:rFonts w:hint="eastAsia" w:ascii="宋体" w:hAnsi="宋体" w:eastAsia="宋体" w:cs="宋体"/>
                <w:bCs/>
                <w:color w:val="auto"/>
                <w:sz w:val="24"/>
                <w:highlight w:val="none"/>
              </w:rPr>
            </w:pPr>
          </w:p>
        </w:tc>
        <w:tc>
          <w:tcPr>
            <w:tcW w:w="1441" w:type="dxa"/>
            <w:noWrap w:val="0"/>
            <w:vAlign w:val="center"/>
          </w:tcPr>
          <w:p w14:paraId="2A54A64F">
            <w:pPr>
              <w:spacing w:line="360" w:lineRule="auto"/>
              <w:jc w:val="center"/>
              <w:rPr>
                <w:rFonts w:hint="eastAsia" w:ascii="宋体" w:hAnsi="宋体" w:eastAsia="宋体" w:cs="宋体"/>
                <w:bCs/>
                <w:color w:val="auto"/>
                <w:sz w:val="24"/>
                <w:highlight w:val="none"/>
              </w:rPr>
            </w:pPr>
          </w:p>
        </w:tc>
        <w:tc>
          <w:tcPr>
            <w:tcW w:w="2700" w:type="dxa"/>
            <w:noWrap w:val="0"/>
            <w:vAlign w:val="top"/>
          </w:tcPr>
          <w:p w14:paraId="4D6DFBC9">
            <w:pPr>
              <w:spacing w:line="360" w:lineRule="auto"/>
              <w:jc w:val="center"/>
              <w:rPr>
                <w:rFonts w:hint="eastAsia" w:ascii="宋体" w:hAnsi="宋体" w:eastAsia="宋体" w:cs="宋体"/>
                <w:bCs/>
                <w:color w:val="auto"/>
                <w:sz w:val="24"/>
                <w:highlight w:val="none"/>
              </w:rPr>
            </w:pPr>
          </w:p>
        </w:tc>
      </w:tr>
    </w:tbl>
    <w:p w14:paraId="585C32A4">
      <w:pPr>
        <w:snapToGrid w:val="0"/>
        <w:spacing w:before="120" w:line="360" w:lineRule="auto"/>
        <w:ind w:right="357"/>
        <w:rPr>
          <w:rFonts w:hint="eastAsia" w:ascii="宋体" w:hAnsi="宋体" w:eastAsia="宋体" w:cs="宋体"/>
          <w:bCs/>
          <w:color w:val="auto"/>
          <w:highlight w:val="none"/>
        </w:rPr>
      </w:pPr>
    </w:p>
    <w:p w14:paraId="0C683929">
      <w:pPr>
        <w:tabs>
          <w:tab w:val="left" w:pos="8782"/>
        </w:tabs>
        <w:snapToGrid w:val="0"/>
        <w:spacing w:before="120" w:line="360" w:lineRule="auto"/>
        <w:ind w:left="503" w:leftChars="50" w:right="-38" w:hanging="398" w:hangingChars="166"/>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注：1.如有同类项目经验请如实填写本表。供应商应如实列出以上情况，如有隐瞒，一经查实将导致其报价申请被拒绝。</w:t>
      </w:r>
    </w:p>
    <w:p w14:paraId="32E1F904">
      <w:pPr>
        <w:snapToGrid w:val="0"/>
        <w:spacing w:before="120" w:line="360" w:lineRule="auto"/>
        <w:ind w:left="523" w:leftChars="249" w:right="357"/>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2.供应商应提供双方签订的合同（合同复印件加盖公章装订在谈判响应文件中）。</w:t>
      </w:r>
    </w:p>
    <w:p w14:paraId="6015D453">
      <w:pPr>
        <w:pStyle w:val="8"/>
        <w:rPr>
          <w:rFonts w:hint="eastAsia" w:ascii="宋体" w:hAnsi="宋体" w:eastAsia="宋体" w:cs="宋体"/>
          <w:bCs/>
          <w:color w:val="auto"/>
          <w:highlight w:val="none"/>
        </w:rPr>
        <w:sectPr>
          <w:pgSz w:w="11906" w:h="16838"/>
          <w:pgMar w:top="1440" w:right="1080" w:bottom="1440" w:left="1080" w:header="720" w:footer="1134" w:gutter="0"/>
          <w:pgNumType w:fmt="decimal"/>
          <w:cols w:space="720" w:num="1"/>
          <w:titlePg/>
          <w:docGrid w:type="lines" w:linePitch="312" w:charSpace="0"/>
        </w:sectPr>
      </w:pPr>
    </w:p>
    <w:p w14:paraId="7FD8C8C7">
      <w:pPr>
        <w:widowControl/>
        <w:spacing w:line="360" w:lineRule="auto"/>
        <w:jc w:val="center"/>
        <w:outlineLvl w:val="0"/>
        <w:rPr>
          <w:rFonts w:hint="eastAsia" w:ascii="宋体" w:hAnsi="宋体" w:eastAsia="宋体" w:cs="宋体"/>
          <w:bCs/>
          <w:color w:val="auto"/>
          <w:highlight w:val="none"/>
        </w:rPr>
      </w:pPr>
      <w:bookmarkStart w:id="588" w:name="_Toc11881"/>
      <w:bookmarkStart w:id="589" w:name="_Toc10245"/>
      <w:r>
        <w:rPr>
          <w:rFonts w:hint="eastAsia" w:ascii="宋体" w:hAnsi="宋体" w:eastAsia="宋体" w:cs="宋体"/>
          <w:bCs/>
          <w:color w:val="auto"/>
          <w:kern w:val="0"/>
          <w:sz w:val="36"/>
          <w:szCs w:val="36"/>
          <w:highlight w:val="none"/>
          <w:lang w:bidi="ar"/>
        </w:rPr>
        <w:t>十、中小企业声明函</w:t>
      </w:r>
      <w:bookmarkEnd w:id="588"/>
      <w:bookmarkEnd w:id="589"/>
    </w:p>
    <w:p w14:paraId="5265D24B">
      <w:pPr>
        <w:widowControl/>
        <w:spacing w:before="100" w:beforeAutospacing="1" w:after="100" w:afterAutospacing="1" w:line="435" w:lineRule="exact"/>
        <w:ind w:firstLine="480" w:firstLineChars="200"/>
        <w:jc w:val="left"/>
        <w:rPr>
          <w:rFonts w:hint="eastAsia" w:ascii="宋体" w:hAnsi="宋体" w:eastAsia="宋体" w:cs="宋体"/>
          <w:bCs/>
          <w:color w:val="auto"/>
          <w:kern w:val="0"/>
          <w:sz w:val="24"/>
          <w:highlight w:val="none"/>
          <w:lang w:bidi="ar"/>
        </w:rPr>
      </w:pPr>
      <w:r>
        <w:rPr>
          <w:rFonts w:hint="eastAsia" w:ascii="宋体" w:hAnsi="宋体" w:eastAsia="宋体" w:cs="宋体"/>
          <w:bCs/>
          <w:color w:val="auto"/>
          <w:kern w:val="0"/>
          <w:sz w:val="24"/>
          <w:highlight w:val="none"/>
          <w:lang w:bidi="ar"/>
        </w:rPr>
        <w:t>本公司（联合体）郑重声明，根据《政府采购促进中小企业发展管理办法》（财库﹝2020﹞46 号）的规定，本公司（联合体）参加</w:t>
      </w:r>
      <w:r>
        <w:rPr>
          <w:rFonts w:hint="eastAsia" w:ascii="宋体" w:hAnsi="宋体" w:eastAsia="宋体" w:cs="宋体"/>
          <w:bCs/>
          <w:color w:val="auto"/>
          <w:kern w:val="0"/>
          <w:sz w:val="24"/>
          <w:highlight w:val="none"/>
          <w:u w:val="single"/>
          <w:lang w:bidi="ar"/>
        </w:rPr>
        <w:t xml:space="preserve">  （单位名称）</w:t>
      </w:r>
      <w:r>
        <w:rPr>
          <w:rFonts w:hint="eastAsia" w:ascii="宋体" w:hAnsi="宋体" w:eastAsia="宋体" w:cs="宋体"/>
          <w:bCs/>
          <w:color w:val="auto"/>
          <w:kern w:val="0"/>
          <w:sz w:val="24"/>
          <w:highlight w:val="none"/>
          <w:lang w:bidi="ar"/>
        </w:rPr>
        <w:t>的</w:t>
      </w:r>
      <w:r>
        <w:rPr>
          <w:rFonts w:hint="eastAsia" w:ascii="宋体" w:hAnsi="宋体" w:eastAsia="宋体" w:cs="宋体"/>
          <w:bCs/>
          <w:color w:val="auto"/>
          <w:kern w:val="0"/>
          <w:sz w:val="24"/>
          <w:highlight w:val="none"/>
          <w:u w:val="single"/>
          <w:lang w:bidi="ar"/>
        </w:rPr>
        <w:t>（项目名称）</w:t>
      </w:r>
      <w:r>
        <w:rPr>
          <w:rFonts w:hint="eastAsia" w:ascii="宋体" w:hAnsi="宋体" w:eastAsia="宋体" w:cs="宋体"/>
          <w:bCs/>
          <w:color w:val="auto"/>
          <w:kern w:val="0"/>
          <w:sz w:val="24"/>
          <w:highlight w:val="none"/>
          <w:lang w:bidi="ar"/>
        </w:rPr>
        <w:t>采购活动，服务全部由符合政策要求的中小企业承接。相关企业（含联合体中的中小企业、签订分包意向协议的中小企业）的具体情况如下：</w:t>
      </w:r>
    </w:p>
    <w:p w14:paraId="0D78F1CA">
      <w:pPr>
        <w:widowControl/>
        <w:numPr>
          <w:ilvl w:val="0"/>
          <w:numId w:val="9"/>
        </w:numPr>
        <w:spacing w:before="100" w:beforeAutospacing="1" w:after="100" w:afterAutospacing="1" w:line="435" w:lineRule="exact"/>
        <w:ind w:firstLine="480" w:firstLineChars="200"/>
        <w:jc w:val="left"/>
        <w:rPr>
          <w:rFonts w:hint="eastAsia" w:ascii="宋体" w:hAnsi="宋体" w:eastAsia="宋体" w:cs="宋体"/>
          <w:bCs/>
          <w:color w:val="auto"/>
          <w:kern w:val="0"/>
          <w:sz w:val="24"/>
          <w:highlight w:val="none"/>
          <w:lang w:bidi="ar"/>
        </w:rPr>
      </w:pPr>
      <w:r>
        <w:rPr>
          <w:rFonts w:hint="eastAsia" w:ascii="宋体" w:hAnsi="宋体" w:eastAsia="宋体" w:cs="宋体"/>
          <w:bCs/>
          <w:color w:val="auto"/>
          <w:kern w:val="0"/>
          <w:sz w:val="24"/>
          <w:highlight w:val="none"/>
          <w:u w:val="single"/>
          <w:lang w:bidi="ar"/>
        </w:rPr>
        <w:t xml:space="preserve">    （标的名称）   </w:t>
      </w:r>
      <w:r>
        <w:rPr>
          <w:rFonts w:hint="eastAsia" w:ascii="宋体" w:hAnsi="宋体" w:eastAsia="宋体" w:cs="宋体"/>
          <w:bCs/>
          <w:color w:val="auto"/>
          <w:kern w:val="0"/>
          <w:sz w:val="24"/>
          <w:highlight w:val="none"/>
          <w:lang w:bidi="ar"/>
        </w:rPr>
        <w:t>，属于</w:t>
      </w:r>
      <w:r>
        <w:rPr>
          <w:rFonts w:hint="eastAsia" w:ascii="宋体" w:hAnsi="宋体" w:eastAsia="宋体" w:cs="宋体"/>
          <w:bCs/>
          <w:color w:val="auto"/>
          <w:kern w:val="0"/>
          <w:sz w:val="24"/>
          <w:highlight w:val="none"/>
          <w:u w:val="single"/>
          <w:lang w:bidi="ar"/>
        </w:rPr>
        <w:t xml:space="preserve"> （采购文件中明确的所属行业） </w:t>
      </w:r>
      <w:r>
        <w:rPr>
          <w:rFonts w:hint="eastAsia" w:ascii="宋体" w:hAnsi="宋体" w:eastAsia="宋体" w:cs="宋体"/>
          <w:bCs/>
          <w:color w:val="auto"/>
          <w:kern w:val="0"/>
          <w:sz w:val="24"/>
          <w:highlight w:val="none"/>
          <w:lang w:bidi="ar"/>
        </w:rPr>
        <w:t>行业；承接企业为</w:t>
      </w:r>
      <w:r>
        <w:rPr>
          <w:rFonts w:hint="eastAsia" w:ascii="宋体" w:hAnsi="宋体" w:eastAsia="宋体" w:cs="宋体"/>
          <w:bCs/>
          <w:color w:val="auto"/>
          <w:sz w:val="24"/>
          <w:highlight w:val="none"/>
          <w:u w:val="single"/>
        </w:rPr>
        <w:t>（企业名称）</w:t>
      </w:r>
      <w:r>
        <w:rPr>
          <w:rFonts w:hint="eastAsia" w:ascii="宋体" w:hAnsi="宋体" w:eastAsia="宋体" w:cs="宋体"/>
          <w:bCs/>
          <w:color w:val="auto"/>
          <w:kern w:val="0"/>
          <w:sz w:val="24"/>
          <w:highlight w:val="none"/>
          <w:lang w:bidi="ar"/>
        </w:rPr>
        <w:t>，从业人员</w:t>
      </w:r>
      <w:r>
        <w:rPr>
          <w:rFonts w:hint="eastAsia" w:ascii="宋体" w:hAnsi="宋体" w:eastAsia="宋体" w:cs="宋体"/>
          <w:bCs/>
          <w:color w:val="auto"/>
          <w:kern w:val="0"/>
          <w:sz w:val="24"/>
          <w:highlight w:val="none"/>
          <w:u w:val="single"/>
          <w:lang w:bidi="ar"/>
        </w:rPr>
        <w:t xml:space="preserve">  </w:t>
      </w:r>
      <w:r>
        <w:rPr>
          <w:rFonts w:hint="eastAsia" w:ascii="宋体" w:hAnsi="宋体" w:eastAsia="宋体" w:cs="宋体"/>
          <w:bCs/>
          <w:color w:val="auto"/>
          <w:kern w:val="0"/>
          <w:sz w:val="24"/>
          <w:highlight w:val="none"/>
          <w:lang w:bidi="ar"/>
        </w:rPr>
        <w:t>人，营业收入为</w:t>
      </w:r>
      <w:r>
        <w:rPr>
          <w:rFonts w:hint="eastAsia" w:ascii="宋体" w:hAnsi="宋体" w:eastAsia="宋体" w:cs="宋体"/>
          <w:bCs/>
          <w:color w:val="auto"/>
          <w:kern w:val="0"/>
          <w:sz w:val="24"/>
          <w:highlight w:val="none"/>
          <w:u w:val="single"/>
          <w:lang w:bidi="ar"/>
        </w:rPr>
        <w:t xml:space="preserve"> </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kern w:val="0"/>
          <w:sz w:val="24"/>
          <w:highlight w:val="none"/>
          <w:lang w:bidi="ar"/>
        </w:rPr>
        <w:t>万元，资产总额为</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kern w:val="0"/>
          <w:sz w:val="24"/>
          <w:highlight w:val="none"/>
          <w:lang w:bidi="ar"/>
        </w:rPr>
        <w:t>万元，属于</w:t>
      </w:r>
      <w:r>
        <w:rPr>
          <w:rFonts w:hint="eastAsia" w:ascii="宋体" w:hAnsi="宋体" w:eastAsia="宋体" w:cs="宋体"/>
          <w:bCs/>
          <w:color w:val="auto"/>
          <w:kern w:val="0"/>
          <w:sz w:val="24"/>
          <w:highlight w:val="none"/>
          <w:u w:val="single"/>
          <w:lang w:bidi="ar"/>
        </w:rPr>
        <w:t>（中型企业、小型企业、微型企业）</w:t>
      </w:r>
      <w:r>
        <w:rPr>
          <w:rFonts w:hint="eastAsia" w:ascii="宋体" w:hAnsi="宋体" w:eastAsia="宋体" w:cs="宋体"/>
          <w:bCs/>
          <w:color w:val="auto"/>
          <w:kern w:val="0"/>
          <w:sz w:val="24"/>
          <w:highlight w:val="none"/>
          <w:lang w:bidi="ar"/>
        </w:rPr>
        <w:t>；</w:t>
      </w:r>
    </w:p>
    <w:p w14:paraId="131F13CB">
      <w:pPr>
        <w:widowControl/>
        <w:numPr>
          <w:ilvl w:val="0"/>
          <w:numId w:val="9"/>
        </w:numPr>
        <w:spacing w:before="100" w:beforeAutospacing="1" w:after="100" w:afterAutospacing="1" w:line="435" w:lineRule="exact"/>
        <w:ind w:firstLine="480" w:firstLineChars="200"/>
        <w:jc w:val="left"/>
        <w:rPr>
          <w:rFonts w:hint="eastAsia" w:ascii="宋体" w:hAnsi="宋体" w:eastAsia="宋体" w:cs="宋体"/>
          <w:bCs/>
          <w:color w:val="auto"/>
          <w:kern w:val="0"/>
          <w:sz w:val="24"/>
          <w:highlight w:val="none"/>
          <w:lang w:bidi="ar"/>
        </w:rPr>
      </w:pPr>
      <w:r>
        <w:rPr>
          <w:rFonts w:hint="eastAsia" w:ascii="宋体" w:hAnsi="宋体" w:eastAsia="宋体" w:cs="宋体"/>
          <w:bCs/>
          <w:color w:val="auto"/>
          <w:kern w:val="0"/>
          <w:sz w:val="24"/>
          <w:highlight w:val="none"/>
          <w:u w:val="single"/>
          <w:lang w:bidi="ar"/>
        </w:rPr>
        <w:t xml:space="preserve">    （标的名称）   </w:t>
      </w:r>
      <w:r>
        <w:rPr>
          <w:rFonts w:hint="eastAsia" w:ascii="宋体" w:hAnsi="宋体" w:eastAsia="宋体" w:cs="宋体"/>
          <w:bCs/>
          <w:color w:val="auto"/>
          <w:kern w:val="0"/>
          <w:sz w:val="24"/>
          <w:highlight w:val="none"/>
          <w:lang w:bidi="ar"/>
        </w:rPr>
        <w:t>，属于</w:t>
      </w:r>
      <w:r>
        <w:rPr>
          <w:rFonts w:hint="eastAsia" w:ascii="宋体" w:hAnsi="宋体" w:eastAsia="宋体" w:cs="宋体"/>
          <w:bCs/>
          <w:color w:val="auto"/>
          <w:kern w:val="0"/>
          <w:sz w:val="24"/>
          <w:highlight w:val="none"/>
          <w:u w:val="single"/>
          <w:lang w:bidi="ar"/>
        </w:rPr>
        <w:t xml:space="preserve"> （采购文件中明确的所属行业） </w:t>
      </w:r>
      <w:r>
        <w:rPr>
          <w:rFonts w:hint="eastAsia" w:ascii="宋体" w:hAnsi="宋体" w:eastAsia="宋体" w:cs="宋体"/>
          <w:bCs/>
          <w:color w:val="auto"/>
          <w:kern w:val="0"/>
          <w:sz w:val="24"/>
          <w:highlight w:val="none"/>
          <w:lang w:bidi="ar"/>
        </w:rPr>
        <w:t>行业；承接企业为</w:t>
      </w:r>
      <w:r>
        <w:rPr>
          <w:rFonts w:hint="eastAsia" w:ascii="宋体" w:hAnsi="宋体" w:eastAsia="宋体" w:cs="宋体"/>
          <w:bCs/>
          <w:color w:val="auto"/>
          <w:sz w:val="24"/>
          <w:highlight w:val="none"/>
          <w:u w:val="single"/>
        </w:rPr>
        <w:t>（企业名称）</w:t>
      </w:r>
      <w:r>
        <w:rPr>
          <w:rFonts w:hint="eastAsia" w:ascii="宋体" w:hAnsi="宋体" w:eastAsia="宋体" w:cs="宋体"/>
          <w:bCs/>
          <w:color w:val="auto"/>
          <w:kern w:val="0"/>
          <w:sz w:val="24"/>
          <w:highlight w:val="none"/>
          <w:lang w:bidi="ar"/>
        </w:rPr>
        <w:t>，从业人员</w:t>
      </w:r>
      <w:r>
        <w:rPr>
          <w:rFonts w:hint="eastAsia" w:ascii="宋体" w:hAnsi="宋体" w:eastAsia="宋体" w:cs="宋体"/>
          <w:bCs/>
          <w:color w:val="auto"/>
          <w:kern w:val="0"/>
          <w:sz w:val="24"/>
          <w:highlight w:val="none"/>
          <w:u w:val="single"/>
          <w:lang w:bidi="ar"/>
        </w:rPr>
        <w:t xml:space="preserve">  </w:t>
      </w:r>
      <w:r>
        <w:rPr>
          <w:rFonts w:hint="eastAsia" w:ascii="宋体" w:hAnsi="宋体" w:eastAsia="宋体" w:cs="宋体"/>
          <w:bCs/>
          <w:color w:val="auto"/>
          <w:kern w:val="0"/>
          <w:sz w:val="24"/>
          <w:highlight w:val="none"/>
          <w:lang w:bidi="ar"/>
        </w:rPr>
        <w:t>人，营业收入为</w:t>
      </w:r>
      <w:r>
        <w:rPr>
          <w:rFonts w:hint="eastAsia" w:ascii="宋体" w:hAnsi="宋体" w:eastAsia="宋体" w:cs="宋体"/>
          <w:bCs/>
          <w:color w:val="auto"/>
          <w:kern w:val="0"/>
          <w:sz w:val="24"/>
          <w:highlight w:val="none"/>
          <w:u w:val="single"/>
          <w:lang w:bidi="ar"/>
        </w:rPr>
        <w:t xml:space="preserve"> </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kern w:val="0"/>
          <w:sz w:val="24"/>
          <w:highlight w:val="none"/>
          <w:lang w:bidi="ar"/>
        </w:rPr>
        <w:t>万元，资产总额为</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kern w:val="0"/>
          <w:sz w:val="24"/>
          <w:highlight w:val="none"/>
          <w:lang w:bidi="ar"/>
        </w:rPr>
        <w:t>万元，属于</w:t>
      </w:r>
      <w:r>
        <w:rPr>
          <w:rFonts w:hint="eastAsia" w:ascii="宋体" w:hAnsi="宋体" w:eastAsia="宋体" w:cs="宋体"/>
          <w:bCs/>
          <w:color w:val="auto"/>
          <w:kern w:val="0"/>
          <w:sz w:val="24"/>
          <w:highlight w:val="none"/>
          <w:u w:val="single"/>
          <w:lang w:bidi="ar"/>
        </w:rPr>
        <w:t>（中型企业、小型企业、微型企业）</w:t>
      </w:r>
      <w:r>
        <w:rPr>
          <w:rFonts w:hint="eastAsia" w:ascii="宋体" w:hAnsi="宋体" w:eastAsia="宋体" w:cs="宋体"/>
          <w:bCs/>
          <w:color w:val="auto"/>
          <w:kern w:val="0"/>
          <w:sz w:val="24"/>
          <w:highlight w:val="none"/>
          <w:lang w:bidi="ar"/>
        </w:rPr>
        <w:t>；</w:t>
      </w:r>
    </w:p>
    <w:p w14:paraId="5E9E150C">
      <w:pPr>
        <w:widowControl/>
        <w:spacing w:before="100" w:beforeAutospacing="1" w:after="100" w:afterAutospacing="1" w:line="435" w:lineRule="exact"/>
        <w:ind w:firstLine="420" w:firstLineChars="200"/>
        <w:jc w:val="left"/>
        <w:rPr>
          <w:rFonts w:hint="eastAsia" w:ascii="宋体" w:hAnsi="宋体" w:eastAsia="宋体" w:cs="宋体"/>
          <w:bCs/>
          <w:color w:val="auto"/>
          <w:highlight w:val="none"/>
        </w:rPr>
      </w:pPr>
      <w:r>
        <w:rPr>
          <w:rFonts w:hint="eastAsia" w:ascii="宋体" w:hAnsi="宋体" w:eastAsia="宋体" w:cs="宋体"/>
          <w:bCs/>
          <w:color w:val="auto"/>
          <w:highlight w:val="none"/>
        </w:rPr>
        <w:t>......</w:t>
      </w:r>
    </w:p>
    <w:p w14:paraId="222112BA">
      <w:pPr>
        <w:widowControl/>
        <w:spacing w:before="100" w:beforeAutospacing="1" w:after="100" w:afterAutospacing="1" w:line="435" w:lineRule="exact"/>
        <w:ind w:firstLine="480" w:firstLineChars="200"/>
        <w:jc w:val="left"/>
        <w:rPr>
          <w:rFonts w:hint="eastAsia" w:ascii="宋体" w:hAnsi="宋体" w:eastAsia="宋体" w:cs="宋体"/>
          <w:bCs/>
          <w:color w:val="auto"/>
          <w:highlight w:val="none"/>
        </w:rPr>
      </w:pPr>
      <w:r>
        <w:rPr>
          <w:rFonts w:hint="eastAsia" w:ascii="宋体" w:hAnsi="宋体" w:eastAsia="宋体" w:cs="宋体"/>
          <w:bCs/>
          <w:color w:val="auto"/>
          <w:kern w:val="0"/>
          <w:sz w:val="24"/>
          <w:highlight w:val="none"/>
          <w:lang w:bidi="ar"/>
        </w:rPr>
        <w:t>以上企业，不属于大企业的分支机构，不存在控股股东为大企业的情形，也不存在与大企业的负责人为同一人的情形。</w:t>
      </w:r>
    </w:p>
    <w:p w14:paraId="7FF1E418">
      <w:pPr>
        <w:widowControl/>
        <w:spacing w:before="100" w:beforeAutospacing="1" w:after="100" w:afterAutospacing="1" w:line="435" w:lineRule="exact"/>
        <w:ind w:firstLine="480" w:firstLineChars="200"/>
        <w:jc w:val="left"/>
        <w:rPr>
          <w:rFonts w:hint="eastAsia" w:ascii="宋体" w:hAnsi="宋体" w:eastAsia="宋体" w:cs="宋体"/>
          <w:bCs/>
          <w:color w:val="auto"/>
          <w:highlight w:val="none"/>
        </w:rPr>
      </w:pPr>
      <w:r>
        <w:rPr>
          <w:rFonts w:hint="eastAsia" w:ascii="宋体" w:hAnsi="宋体" w:eastAsia="宋体" w:cs="宋体"/>
          <w:bCs/>
          <w:color w:val="auto"/>
          <w:kern w:val="0"/>
          <w:sz w:val="24"/>
          <w:highlight w:val="none"/>
          <w:lang w:bidi="ar"/>
        </w:rPr>
        <w:t>本企业对上述声明内容的真实性负责。如有虚假，将依法承担相应责任。</w:t>
      </w:r>
    </w:p>
    <w:p w14:paraId="04FA26F3">
      <w:pPr>
        <w:spacing w:line="360" w:lineRule="auto"/>
        <w:ind w:firstLine="480" w:firstLineChars="200"/>
        <w:jc w:val="center"/>
        <w:rPr>
          <w:rFonts w:hint="eastAsia" w:ascii="宋体" w:hAnsi="宋体" w:eastAsia="宋体" w:cs="宋体"/>
          <w:bCs/>
          <w:color w:val="auto"/>
          <w:sz w:val="24"/>
          <w:highlight w:val="none"/>
        </w:rPr>
      </w:pPr>
    </w:p>
    <w:p w14:paraId="63210939">
      <w:pPr>
        <w:spacing w:line="360" w:lineRule="auto"/>
        <w:ind w:firstLine="480" w:firstLineChars="200"/>
        <w:jc w:val="center"/>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rPr>
        <w:t xml:space="preserve">企业名称（盖章）： </w:t>
      </w:r>
      <w:r>
        <w:rPr>
          <w:rFonts w:hint="eastAsia" w:ascii="宋体" w:hAnsi="宋体" w:eastAsia="宋体" w:cs="宋体"/>
          <w:bCs/>
          <w:color w:val="auto"/>
          <w:sz w:val="24"/>
          <w:highlight w:val="none"/>
          <w:u w:val="single"/>
        </w:rPr>
        <w:t xml:space="preserve">                  </w:t>
      </w:r>
    </w:p>
    <w:p w14:paraId="13712BA3">
      <w:pPr>
        <w:spacing w:line="360" w:lineRule="auto"/>
        <w:ind w:firstLine="480" w:firstLineChars="200"/>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日            期：</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 </w:t>
      </w:r>
    </w:p>
    <w:p w14:paraId="01E04FF2">
      <w:pPr>
        <w:pStyle w:val="8"/>
        <w:rPr>
          <w:rFonts w:hint="eastAsia" w:ascii="宋体" w:hAnsi="宋体" w:eastAsia="宋体" w:cs="宋体"/>
          <w:bCs/>
          <w:color w:val="auto"/>
          <w:sz w:val="32"/>
          <w:szCs w:val="32"/>
          <w:highlight w:val="none"/>
        </w:rPr>
      </w:pPr>
    </w:p>
    <w:p w14:paraId="7FBA7C44">
      <w:pPr>
        <w:widowControl/>
        <w:spacing w:line="360" w:lineRule="auto"/>
        <w:jc w:val="center"/>
        <w:rPr>
          <w:rFonts w:hint="eastAsia" w:ascii="宋体" w:hAnsi="宋体" w:eastAsia="宋体" w:cs="宋体"/>
          <w:bCs/>
          <w:color w:val="auto"/>
          <w:kern w:val="0"/>
          <w:sz w:val="36"/>
          <w:szCs w:val="36"/>
          <w:highlight w:val="none"/>
          <w:lang w:bidi="ar"/>
        </w:rPr>
        <w:sectPr>
          <w:footerReference r:id="rId15" w:type="default"/>
          <w:pgSz w:w="11906" w:h="16838"/>
          <w:pgMar w:top="1440" w:right="1080" w:bottom="1440" w:left="1080" w:header="1077" w:footer="1191" w:gutter="0"/>
          <w:pgNumType w:fmt="decimal"/>
          <w:cols w:space="720" w:num="1"/>
          <w:docGrid w:type="lines" w:linePitch="312" w:charSpace="0"/>
        </w:sectPr>
      </w:pPr>
    </w:p>
    <w:p w14:paraId="18D93110">
      <w:pPr>
        <w:widowControl/>
        <w:spacing w:line="600" w:lineRule="auto"/>
        <w:jc w:val="center"/>
        <w:outlineLvl w:val="0"/>
        <w:rPr>
          <w:rFonts w:hint="eastAsia" w:ascii="宋体" w:hAnsi="宋体" w:eastAsia="宋体" w:cs="宋体"/>
          <w:bCs/>
          <w:color w:val="auto"/>
          <w:kern w:val="0"/>
          <w:sz w:val="36"/>
          <w:szCs w:val="36"/>
          <w:highlight w:val="none"/>
          <w:lang w:bidi="ar"/>
        </w:rPr>
      </w:pPr>
      <w:bookmarkStart w:id="590" w:name="_Toc7244"/>
      <w:bookmarkStart w:id="591" w:name="_Toc7208"/>
      <w:r>
        <w:rPr>
          <w:rFonts w:hint="eastAsia" w:ascii="宋体" w:hAnsi="宋体" w:eastAsia="宋体" w:cs="宋体"/>
          <w:bCs/>
          <w:color w:val="auto"/>
          <w:kern w:val="0"/>
          <w:sz w:val="36"/>
          <w:szCs w:val="36"/>
          <w:highlight w:val="none"/>
          <w:lang w:bidi="ar"/>
        </w:rPr>
        <w:t>十</w:t>
      </w:r>
      <w:r>
        <w:rPr>
          <w:rFonts w:hint="eastAsia" w:ascii="宋体" w:hAnsi="宋体" w:cs="宋体"/>
          <w:bCs/>
          <w:color w:val="auto"/>
          <w:kern w:val="0"/>
          <w:sz w:val="36"/>
          <w:szCs w:val="36"/>
          <w:highlight w:val="none"/>
          <w:lang w:val="en-US" w:eastAsia="zh-CN" w:bidi="ar"/>
        </w:rPr>
        <w:t>一</w:t>
      </w:r>
      <w:r>
        <w:rPr>
          <w:rFonts w:hint="eastAsia" w:ascii="宋体" w:hAnsi="宋体" w:eastAsia="宋体" w:cs="宋体"/>
          <w:bCs/>
          <w:color w:val="auto"/>
          <w:kern w:val="0"/>
          <w:sz w:val="36"/>
          <w:szCs w:val="36"/>
          <w:highlight w:val="none"/>
          <w:lang w:bidi="ar"/>
        </w:rPr>
        <w:t>、</w:t>
      </w:r>
      <w:r>
        <w:rPr>
          <w:rFonts w:hint="eastAsia" w:ascii="宋体" w:hAnsi="宋体" w:eastAsia="宋体" w:cs="宋体"/>
          <w:bCs/>
          <w:color w:val="auto"/>
          <w:kern w:val="0"/>
          <w:sz w:val="36"/>
          <w:szCs w:val="36"/>
          <w:highlight w:val="none"/>
          <w:lang w:val="zh-CN" w:bidi="ar"/>
        </w:rPr>
        <w:t>残疾人福利性单位声明函</w:t>
      </w:r>
      <w:bookmarkEnd w:id="590"/>
      <w:bookmarkEnd w:id="591"/>
    </w:p>
    <w:p w14:paraId="630E2C7D">
      <w:pPr>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本单位郑重声明，根据《财政部 民政部 中国残疾人联合会关于促进残疾人就业政府采购政策的通知》（财库〔2017〕 141号）的规定，本单位为符合条件的残疾人福利性单位，且本单位参加的</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项目采购活动提供本单位制造的货物（由本单位承担工程/提供服务），或者提供其他残疾人福利性单位制造的货物（不包括使用非残疾人福利性单位注册商标的货物）。</w:t>
      </w:r>
    </w:p>
    <w:p w14:paraId="78833CF6">
      <w:pPr>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本单位对上述声明的真实性负责。如有虚假，将依法承担相应责任。</w:t>
      </w:r>
    </w:p>
    <w:p w14:paraId="41E8F633">
      <w:pPr>
        <w:spacing w:line="360" w:lineRule="auto"/>
        <w:ind w:firstLine="480" w:firstLineChars="200"/>
        <w:rPr>
          <w:rFonts w:hint="eastAsia" w:ascii="宋体" w:hAnsi="宋体" w:eastAsia="宋体" w:cs="宋体"/>
          <w:bCs/>
          <w:color w:val="auto"/>
          <w:sz w:val="24"/>
          <w:highlight w:val="none"/>
        </w:rPr>
      </w:pPr>
    </w:p>
    <w:p w14:paraId="39497917">
      <w:pPr>
        <w:spacing w:line="360" w:lineRule="auto"/>
        <w:ind w:firstLine="480" w:firstLineChars="200"/>
        <w:rPr>
          <w:rFonts w:hint="eastAsia" w:ascii="宋体" w:hAnsi="宋体" w:eastAsia="宋体" w:cs="宋体"/>
          <w:bCs/>
          <w:color w:val="auto"/>
          <w:sz w:val="24"/>
          <w:highlight w:val="none"/>
        </w:rPr>
      </w:pPr>
    </w:p>
    <w:p w14:paraId="2D42901D">
      <w:pPr>
        <w:tabs>
          <w:tab w:val="left" w:pos="4860"/>
          <w:tab w:val="left" w:pos="8040"/>
          <w:tab w:val="left" w:pos="8160"/>
        </w:tabs>
        <w:spacing w:line="360" w:lineRule="auto"/>
        <w:ind w:right="862" w:firstLine="480" w:firstLineChars="200"/>
        <w:jc w:val="center"/>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rPr>
        <w:t xml:space="preserve">          单位名称（盖章）：</w:t>
      </w:r>
      <w:r>
        <w:rPr>
          <w:rFonts w:hint="eastAsia" w:ascii="宋体" w:hAnsi="宋体" w:eastAsia="宋体" w:cs="宋体"/>
          <w:bCs/>
          <w:color w:val="auto"/>
          <w:sz w:val="24"/>
          <w:highlight w:val="none"/>
          <w:u w:val="single"/>
        </w:rPr>
        <w:t xml:space="preserve">                   </w:t>
      </w:r>
    </w:p>
    <w:p w14:paraId="17606B33">
      <w:pPr>
        <w:tabs>
          <w:tab w:val="left" w:pos="4860"/>
        </w:tabs>
        <w:spacing w:line="360" w:lineRule="auto"/>
        <w:ind w:right="1560" w:firstLine="480" w:firstLineChars="200"/>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w:t>
      </w:r>
    </w:p>
    <w:p w14:paraId="052AC9B4">
      <w:pPr>
        <w:tabs>
          <w:tab w:val="left" w:pos="4860"/>
        </w:tabs>
        <w:spacing w:line="360" w:lineRule="auto"/>
        <w:ind w:right="1560" w:firstLine="480" w:firstLineChars="200"/>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日  期：</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年</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月</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日</w:t>
      </w:r>
    </w:p>
    <w:p w14:paraId="76768900">
      <w:pPr>
        <w:spacing w:line="360" w:lineRule="auto"/>
        <w:ind w:firstLine="504" w:firstLineChars="200"/>
        <w:rPr>
          <w:rFonts w:hint="eastAsia" w:ascii="宋体" w:hAnsi="宋体" w:eastAsia="宋体" w:cs="宋体"/>
          <w:bCs/>
          <w:color w:val="auto"/>
          <w:spacing w:val="6"/>
          <w:sz w:val="24"/>
          <w:highlight w:val="none"/>
          <w:shd w:val="pct10" w:color="auto" w:fill="FFFFFF"/>
        </w:rPr>
      </w:pPr>
    </w:p>
    <w:p w14:paraId="3FA74B8D">
      <w:pPr>
        <w:spacing w:line="360" w:lineRule="auto"/>
        <w:ind w:firstLine="504" w:firstLineChars="200"/>
        <w:rPr>
          <w:rFonts w:hint="eastAsia" w:ascii="宋体" w:hAnsi="宋体" w:eastAsia="宋体" w:cs="宋体"/>
          <w:bCs/>
          <w:color w:val="auto"/>
          <w:spacing w:val="6"/>
          <w:sz w:val="24"/>
          <w:highlight w:val="none"/>
          <w:shd w:val="pct10" w:color="auto" w:fill="FFFFFF"/>
        </w:rPr>
      </w:pPr>
    </w:p>
    <w:p w14:paraId="481E2DB1">
      <w:pPr>
        <w:widowControl/>
        <w:spacing w:line="360" w:lineRule="auto"/>
        <w:jc w:val="left"/>
        <w:rPr>
          <w:rFonts w:hint="eastAsia" w:ascii="宋体" w:hAnsi="宋体" w:eastAsia="宋体" w:cs="宋体"/>
          <w:bCs/>
          <w:color w:val="auto"/>
          <w:kern w:val="0"/>
          <w:sz w:val="24"/>
          <w:highlight w:val="none"/>
        </w:rPr>
      </w:pPr>
      <w:r>
        <w:rPr>
          <w:rFonts w:hint="eastAsia" w:ascii="宋体" w:hAnsi="宋体" w:eastAsia="宋体" w:cs="宋体"/>
          <w:bCs/>
          <w:color w:val="auto"/>
          <w:kern w:val="0"/>
          <w:sz w:val="24"/>
          <w:highlight w:val="none"/>
          <w:lang w:val="zh-CN"/>
        </w:rPr>
        <w:t>备注：非</w:t>
      </w:r>
      <w:r>
        <w:rPr>
          <w:rFonts w:hint="eastAsia" w:ascii="宋体" w:hAnsi="宋体" w:eastAsia="宋体" w:cs="宋体"/>
          <w:bCs/>
          <w:color w:val="auto"/>
          <w:kern w:val="0"/>
          <w:sz w:val="24"/>
          <w:highlight w:val="none"/>
        </w:rPr>
        <w:t>残疾人福利企业请划“/”，不得删除本表。</w:t>
      </w:r>
    </w:p>
    <w:p w14:paraId="2233E5C1">
      <w:pPr>
        <w:widowControl/>
        <w:spacing w:line="360" w:lineRule="auto"/>
        <w:ind w:left="239" w:leftChars="114" w:firstLine="699" w:firstLineChars="227"/>
        <w:jc w:val="left"/>
        <w:rPr>
          <w:rFonts w:hint="eastAsia" w:ascii="宋体" w:hAnsi="宋体" w:eastAsia="宋体" w:cs="宋体"/>
          <w:bCs/>
          <w:color w:val="auto"/>
          <w:spacing w:val="4"/>
          <w:sz w:val="30"/>
          <w:szCs w:val="30"/>
          <w:highlight w:val="none"/>
        </w:rPr>
        <w:sectPr>
          <w:pgSz w:w="11906" w:h="16838"/>
          <w:pgMar w:top="1440" w:right="1080" w:bottom="1440" w:left="1080" w:header="720" w:footer="1134" w:gutter="0"/>
          <w:pgNumType w:fmt="decimal"/>
          <w:cols w:space="720" w:num="1"/>
          <w:docGrid w:type="lines" w:linePitch="312" w:charSpace="0"/>
        </w:sectPr>
      </w:pPr>
    </w:p>
    <w:p w14:paraId="5C60FF67">
      <w:pPr>
        <w:widowControl/>
        <w:spacing w:line="600" w:lineRule="auto"/>
        <w:jc w:val="center"/>
        <w:outlineLvl w:val="0"/>
        <w:rPr>
          <w:rFonts w:hint="eastAsia" w:ascii="宋体" w:hAnsi="宋体" w:eastAsia="宋体" w:cs="宋体"/>
          <w:bCs/>
          <w:color w:val="auto"/>
          <w:kern w:val="0"/>
          <w:sz w:val="36"/>
          <w:szCs w:val="36"/>
          <w:highlight w:val="none"/>
          <w:lang w:bidi="ar"/>
        </w:rPr>
      </w:pPr>
      <w:bookmarkStart w:id="592" w:name="_Toc31221"/>
      <w:bookmarkStart w:id="593" w:name="_Toc25562"/>
      <w:r>
        <w:rPr>
          <w:rFonts w:hint="eastAsia" w:ascii="宋体" w:hAnsi="宋体" w:eastAsia="宋体" w:cs="宋体"/>
          <w:bCs/>
          <w:color w:val="auto"/>
          <w:kern w:val="0"/>
          <w:sz w:val="36"/>
          <w:szCs w:val="36"/>
          <w:highlight w:val="none"/>
          <w:lang w:bidi="ar"/>
        </w:rPr>
        <w:t>十</w:t>
      </w:r>
      <w:r>
        <w:rPr>
          <w:rFonts w:hint="eastAsia" w:ascii="宋体" w:hAnsi="宋体" w:cs="宋体"/>
          <w:bCs/>
          <w:color w:val="auto"/>
          <w:kern w:val="0"/>
          <w:sz w:val="36"/>
          <w:szCs w:val="36"/>
          <w:highlight w:val="none"/>
          <w:lang w:val="en-US" w:eastAsia="zh-CN" w:bidi="ar"/>
        </w:rPr>
        <w:t>二</w:t>
      </w:r>
      <w:r>
        <w:rPr>
          <w:rFonts w:hint="eastAsia" w:ascii="宋体" w:hAnsi="宋体" w:eastAsia="宋体" w:cs="宋体"/>
          <w:bCs/>
          <w:color w:val="auto"/>
          <w:kern w:val="0"/>
          <w:sz w:val="36"/>
          <w:szCs w:val="36"/>
          <w:highlight w:val="none"/>
          <w:lang w:bidi="ar"/>
        </w:rPr>
        <w:t>、监狱或戒毒企业声明函</w:t>
      </w:r>
      <w:bookmarkEnd w:id="592"/>
      <w:bookmarkEnd w:id="593"/>
    </w:p>
    <w:p w14:paraId="6BA3296A">
      <w:pPr>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本单位郑重声明，根据《</w:t>
      </w:r>
      <w:r>
        <w:rPr>
          <w:rFonts w:hint="eastAsia" w:ascii="宋体" w:hAnsi="宋体" w:eastAsia="宋体" w:cs="宋体"/>
          <w:bCs/>
          <w:color w:val="auto"/>
          <w:spacing w:val="-4"/>
          <w:kern w:val="0"/>
          <w:sz w:val="24"/>
          <w:highlight w:val="none"/>
        </w:rPr>
        <w:t>财政部 司法部 关于政府采购支持监狱企业发展有关问题的通知</w:t>
      </w:r>
      <w:r>
        <w:rPr>
          <w:rFonts w:hint="eastAsia" w:ascii="宋体" w:hAnsi="宋体" w:eastAsia="宋体" w:cs="宋体"/>
          <w:bCs/>
          <w:color w:val="auto"/>
          <w:sz w:val="24"/>
          <w:highlight w:val="none"/>
        </w:rPr>
        <w:t>》（财库〔2014〕 68号）的规定，本单位为符合条件的监狱、戒毒企业，且本单位参加的</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项目采购活动提供本单位制造的货物（由本单位承担工程/提供服务），或者提供其他监狱、戒毒企业制造的货物（不包括使用非监狱、戒毒企业注册商标的货物）。</w:t>
      </w:r>
    </w:p>
    <w:p w14:paraId="3613FF5F">
      <w:pPr>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本单位对上述声明的真实性负责。如有虚假，将依法承担相应责任。</w:t>
      </w:r>
    </w:p>
    <w:p w14:paraId="15A4D7D7">
      <w:pPr>
        <w:spacing w:line="360" w:lineRule="auto"/>
        <w:ind w:firstLine="480" w:firstLineChars="200"/>
        <w:rPr>
          <w:rFonts w:hint="eastAsia" w:ascii="宋体" w:hAnsi="宋体" w:eastAsia="宋体" w:cs="宋体"/>
          <w:bCs/>
          <w:color w:val="auto"/>
          <w:sz w:val="24"/>
          <w:highlight w:val="none"/>
        </w:rPr>
      </w:pPr>
    </w:p>
    <w:p w14:paraId="4AA7CAE0">
      <w:pPr>
        <w:spacing w:line="360" w:lineRule="auto"/>
        <w:ind w:firstLine="480" w:firstLineChars="200"/>
        <w:rPr>
          <w:rFonts w:hint="eastAsia" w:ascii="宋体" w:hAnsi="宋体" w:eastAsia="宋体" w:cs="宋体"/>
          <w:bCs/>
          <w:color w:val="auto"/>
          <w:sz w:val="24"/>
          <w:highlight w:val="none"/>
        </w:rPr>
      </w:pPr>
    </w:p>
    <w:p w14:paraId="3B090BD0">
      <w:pPr>
        <w:tabs>
          <w:tab w:val="left" w:pos="4860"/>
          <w:tab w:val="left" w:pos="8040"/>
          <w:tab w:val="left" w:pos="8160"/>
        </w:tabs>
        <w:spacing w:line="360" w:lineRule="auto"/>
        <w:ind w:right="862" w:firstLine="480" w:firstLineChars="200"/>
        <w:jc w:val="center"/>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rPr>
        <w:t xml:space="preserve">        投标人（公章）：</w:t>
      </w:r>
      <w:r>
        <w:rPr>
          <w:rFonts w:hint="eastAsia" w:ascii="宋体" w:hAnsi="宋体" w:eastAsia="宋体" w:cs="宋体"/>
          <w:bCs/>
          <w:color w:val="auto"/>
          <w:sz w:val="24"/>
          <w:highlight w:val="none"/>
          <w:u w:val="single"/>
        </w:rPr>
        <w:t xml:space="preserve">                   </w:t>
      </w:r>
    </w:p>
    <w:p w14:paraId="760737BF">
      <w:pPr>
        <w:tabs>
          <w:tab w:val="left" w:pos="4860"/>
        </w:tabs>
        <w:spacing w:line="360" w:lineRule="auto"/>
        <w:ind w:right="1560" w:firstLine="480" w:firstLineChars="200"/>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w:t>
      </w:r>
    </w:p>
    <w:p w14:paraId="0512DE79">
      <w:pPr>
        <w:tabs>
          <w:tab w:val="left" w:pos="4860"/>
        </w:tabs>
        <w:spacing w:line="360" w:lineRule="auto"/>
        <w:ind w:firstLine="480" w:firstLineChars="200"/>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日  期：</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年</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月</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日</w:t>
      </w:r>
    </w:p>
    <w:p w14:paraId="3C88EE5F">
      <w:pPr>
        <w:spacing w:line="360" w:lineRule="auto"/>
        <w:ind w:firstLine="504" w:firstLineChars="200"/>
        <w:rPr>
          <w:rFonts w:hint="eastAsia" w:ascii="宋体" w:hAnsi="宋体" w:eastAsia="宋体" w:cs="宋体"/>
          <w:bCs/>
          <w:color w:val="auto"/>
          <w:spacing w:val="6"/>
          <w:sz w:val="24"/>
          <w:highlight w:val="none"/>
          <w:shd w:val="pct10" w:color="auto" w:fill="FFFFFF"/>
        </w:rPr>
      </w:pPr>
    </w:p>
    <w:p w14:paraId="5242D1FB">
      <w:pPr>
        <w:spacing w:line="360" w:lineRule="auto"/>
        <w:ind w:firstLine="504" w:firstLineChars="200"/>
        <w:rPr>
          <w:rFonts w:hint="eastAsia" w:ascii="宋体" w:hAnsi="宋体" w:eastAsia="宋体" w:cs="宋体"/>
          <w:bCs/>
          <w:color w:val="auto"/>
          <w:spacing w:val="6"/>
          <w:sz w:val="24"/>
          <w:highlight w:val="none"/>
          <w:shd w:val="pct10" w:color="auto" w:fill="FFFFFF"/>
        </w:rPr>
      </w:pPr>
    </w:p>
    <w:p w14:paraId="05B3FE0A">
      <w:pPr>
        <w:kinsoku w:val="0"/>
        <w:spacing w:line="360" w:lineRule="auto"/>
        <w:ind w:firstLine="480" w:firstLineChars="200"/>
        <w:rPr>
          <w:rFonts w:hint="eastAsia" w:ascii="宋体" w:hAnsi="宋体" w:eastAsia="宋体" w:cs="宋体"/>
          <w:bCs/>
          <w:color w:val="auto"/>
          <w:kern w:val="0"/>
          <w:sz w:val="24"/>
          <w:highlight w:val="none"/>
        </w:rPr>
      </w:pPr>
      <w:r>
        <w:rPr>
          <w:rFonts w:hint="eastAsia" w:ascii="宋体" w:hAnsi="宋体" w:eastAsia="宋体" w:cs="宋体"/>
          <w:bCs/>
          <w:color w:val="auto"/>
          <w:kern w:val="0"/>
          <w:sz w:val="24"/>
          <w:highlight w:val="none"/>
          <w:lang w:val="zh-CN"/>
        </w:rPr>
        <w:t>备注：</w:t>
      </w:r>
      <w:r>
        <w:rPr>
          <w:rFonts w:hint="eastAsia" w:ascii="宋体" w:hAnsi="宋体" w:eastAsia="宋体" w:cs="宋体"/>
          <w:bCs/>
          <w:color w:val="auto"/>
          <w:kern w:val="0"/>
          <w:sz w:val="24"/>
          <w:highlight w:val="none"/>
        </w:rPr>
        <w:t>非</w:t>
      </w:r>
      <w:r>
        <w:rPr>
          <w:rFonts w:hint="eastAsia" w:ascii="宋体" w:hAnsi="宋体" w:eastAsia="宋体" w:cs="宋体"/>
          <w:bCs/>
          <w:color w:val="auto"/>
          <w:sz w:val="24"/>
          <w:szCs w:val="24"/>
          <w:highlight w:val="none"/>
        </w:rPr>
        <w:t>监狱、戒毒企业请划“/”，不得删除本表。</w:t>
      </w:r>
    </w:p>
    <w:p w14:paraId="2479D7F7">
      <w:pPr>
        <w:spacing w:before="156" w:beforeLines="50" w:after="312" w:afterLines="100"/>
        <w:jc w:val="center"/>
        <w:rPr>
          <w:rFonts w:hint="eastAsia" w:ascii="宋体" w:hAnsi="宋体" w:eastAsia="宋体" w:cs="宋体"/>
          <w:bCs/>
          <w:color w:val="auto"/>
          <w:spacing w:val="4"/>
          <w:sz w:val="30"/>
          <w:szCs w:val="30"/>
          <w:highlight w:val="none"/>
        </w:rPr>
      </w:pPr>
    </w:p>
    <w:p w14:paraId="455F0665">
      <w:pPr>
        <w:spacing w:line="360" w:lineRule="auto"/>
        <w:jc w:val="center"/>
        <w:rPr>
          <w:rFonts w:hint="eastAsia" w:ascii="宋体" w:hAnsi="宋体" w:eastAsia="宋体" w:cs="宋体"/>
          <w:bCs/>
          <w:color w:val="auto"/>
          <w:sz w:val="36"/>
          <w:szCs w:val="36"/>
          <w:highlight w:val="none"/>
        </w:rPr>
        <w:sectPr>
          <w:pgSz w:w="11906" w:h="16838"/>
          <w:pgMar w:top="1440" w:right="1080" w:bottom="1440" w:left="1080" w:header="720" w:footer="1134" w:gutter="0"/>
          <w:pgNumType w:fmt="decimal"/>
          <w:cols w:space="720" w:num="1"/>
          <w:docGrid w:type="lines" w:linePitch="312" w:charSpace="0"/>
        </w:sectPr>
      </w:pPr>
    </w:p>
    <w:p w14:paraId="7DCC82BD">
      <w:pPr>
        <w:spacing w:line="360" w:lineRule="auto"/>
        <w:jc w:val="center"/>
        <w:outlineLvl w:val="0"/>
        <w:rPr>
          <w:rFonts w:hint="eastAsia" w:ascii="宋体" w:hAnsi="宋体" w:eastAsia="宋体" w:cs="宋体"/>
          <w:bCs/>
          <w:color w:val="auto"/>
          <w:sz w:val="36"/>
          <w:szCs w:val="36"/>
          <w:highlight w:val="none"/>
        </w:rPr>
        <w:sectPr>
          <w:pgSz w:w="11906" w:h="16838"/>
          <w:pgMar w:top="1440" w:right="1080" w:bottom="1440" w:left="1080" w:header="720" w:footer="1134" w:gutter="0"/>
          <w:pgNumType w:fmt="decimal"/>
          <w:cols w:space="720" w:num="1"/>
          <w:docGrid w:type="lines" w:linePitch="312" w:charSpace="0"/>
        </w:sectPr>
      </w:pPr>
      <w:bookmarkStart w:id="594" w:name="_Toc26671"/>
      <w:bookmarkStart w:id="595" w:name="_Toc18019"/>
      <w:bookmarkStart w:id="596" w:name="_Toc28074"/>
      <w:r>
        <w:rPr>
          <w:rFonts w:hint="eastAsia" w:ascii="宋体" w:hAnsi="宋体" w:eastAsia="宋体" w:cs="宋体"/>
          <w:bCs/>
          <w:color w:val="auto"/>
          <w:sz w:val="36"/>
          <w:szCs w:val="36"/>
          <w:highlight w:val="none"/>
        </w:rPr>
        <w:t>十</w:t>
      </w:r>
      <w:r>
        <w:rPr>
          <w:rFonts w:hint="eastAsia" w:ascii="宋体" w:hAnsi="宋体" w:cs="宋体"/>
          <w:bCs/>
          <w:color w:val="auto"/>
          <w:sz w:val="36"/>
          <w:szCs w:val="36"/>
          <w:highlight w:val="none"/>
          <w:lang w:val="en-US" w:eastAsia="zh-CN"/>
        </w:rPr>
        <w:t>三</w:t>
      </w:r>
      <w:r>
        <w:rPr>
          <w:rFonts w:hint="eastAsia" w:ascii="宋体" w:hAnsi="宋体" w:eastAsia="宋体" w:cs="宋体"/>
          <w:bCs/>
          <w:color w:val="auto"/>
          <w:sz w:val="36"/>
          <w:szCs w:val="36"/>
          <w:highlight w:val="none"/>
        </w:rPr>
        <w:t>、信用中国陕西榆林承诺申报截图</w:t>
      </w:r>
      <w:bookmarkEnd w:id="594"/>
      <w:bookmarkEnd w:id="595"/>
      <w:bookmarkEnd w:id="596"/>
    </w:p>
    <w:p w14:paraId="67AA5A0A">
      <w:pPr>
        <w:spacing w:line="560" w:lineRule="exact"/>
        <w:ind w:right="-2"/>
        <w:jc w:val="center"/>
        <w:rPr>
          <w:rFonts w:hint="eastAsia" w:ascii="宋体" w:hAnsi="宋体" w:eastAsia="宋体" w:cs="宋体"/>
          <w:bCs/>
          <w:color w:val="auto"/>
          <w:sz w:val="40"/>
          <w:szCs w:val="40"/>
          <w:highlight w:val="none"/>
        </w:rPr>
        <w:sectPr>
          <w:type w:val="continuous"/>
          <w:pgSz w:w="11906" w:h="16838"/>
          <w:pgMar w:top="1440" w:right="1080" w:bottom="1440" w:left="1080" w:header="720" w:footer="720" w:gutter="0"/>
          <w:pgNumType w:fmt="decimal"/>
          <w:cols w:space="720" w:num="1"/>
          <w:docGrid w:type="lines" w:linePitch="315" w:charSpace="0"/>
        </w:sectPr>
      </w:pPr>
      <w:r>
        <w:rPr>
          <w:rFonts w:hint="eastAsia" w:ascii="宋体" w:hAnsi="宋体" w:eastAsia="宋体" w:cs="宋体"/>
          <w:bCs/>
          <w:color w:val="auto"/>
          <w:sz w:val="22"/>
          <w:szCs w:val="28"/>
          <w:highlight w:val="none"/>
        </w:rPr>
        <w:t>注：截图须体现项目名称。</w:t>
      </w:r>
    </w:p>
    <w:p w14:paraId="69F6B205">
      <w:pPr>
        <w:pStyle w:val="2"/>
        <w:jc w:val="center"/>
        <w:rPr>
          <w:rFonts w:hint="eastAsia" w:ascii="宋体" w:hAnsi="宋体" w:eastAsia="宋体" w:cs="宋体"/>
          <w:b w:val="0"/>
          <w:bCs/>
          <w:color w:val="auto"/>
          <w:sz w:val="36"/>
          <w:szCs w:val="16"/>
          <w:highlight w:val="none"/>
        </w:rPr>
      </w:pPr>
      <w:bookmarkStart w:id="597" w:name="_Toc10677"/>
      <w:bookmarkStart w:id="598" w:name="_Toc27804"/>
      <w:r>
        <w:rPr>
          <w:rFonts w:hint="eastAsia" w:ascii="宋体" w:hAnsi="宋体" w:eastAsia="宋体" w:cs="宋体"/>
          <w:b w:val="0"/>
          <w:bCs/>
          <w:color w:val="auto"/>
          <w:sz w:val="36"/>
          <w:szCs w:val="16"/>
          <w:highlight w:val="none"/>
        </w:rPr>
        <w:t>第九部分  附件</w:t>
      </w:r>
      <w:bookmarkEnd w:id="597"/>
      <w:bookmarkEnd w:id="598"/>
    </w:p>
    <w:p w14:paraId="00012216">
      <w:pPr>
        <w:spacing w:line="360" w:lineRule="auto"/>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（投标人须在开标前将附件1、附件2、附件3、附件4按时上传至信用中国（陕西榆林）进行公示，并将</w:t>
      </w:r>
      <w:r>
        <w:rPr>
          <w:rFonts w:hint="eastAsia" w:ascii="宋体" w:hAnsi="宋体" w:cs="宋体"/>
          <w:bCs/>
          <w:color w:val="auto"/>
          <w:sz w:val="28"/>
          <w:szCs w:val="28"/>
          <w:highlight w:val="none"/>
          <w:lang w:val="en-US" w:eastAsia="zh-CN"/>
        </w:rPr>
        <w:t>承诺及</w:t>
      </w:r>
      <w:r>
        <w:rPr>
          <w:rFonts w:hint="eastAsia" w:ascii="宋体" w:hAnsi="宋体" w:eastAsia="宋体" w:cs="宋体"/>
          <w:bCs/>
          <w:color w:val="auto"/>
          <w:sz w:val="28"/>
          <w:szCs w:val="28"/>
          <w:highlight w:val="none"/>
        </w:rPr>
        <w:t>上传后的截图附在投标文件中。）</w:t>
      </w:r>
      <w:bookmarkStart w:id="599" w:name="_Toc7135"/>
    </w:p>
    <w:p w14:paraId="5D57A028">
      <w:pPr>
        <w:spacing w:line="360" w:lineRule="auto"/>
        <w:jc w:val="center"/>
        <w:outlineLvl w:val="0"/>
        <w:rPr>
          <w:rFonts w:hint="eastAsia" w:ascii="宋体" w:hAnsi="宋体" w:eastAsia="宋体" w:cs="宋体"/>
          <w:bCs/>
          <w:color w:val="auto"/>
          <w:sz w:val="40"/>
          <w:szCs w:val="40"/>
          <w:highlight w:val="none"/>
        </w:rPr>
      </w:pPr>
      <w:bookmarkStart w:id="600" w:name="_Toc12732"/>
      <w:bookmarkStart w:id="601" w:name="_Toc18999"/>
      <w:bookmarkStart w:id="602" w:name="_Toc24678"/>
      <w:r>
        <w:rPr>
          <w:rFonts w:hint="eastAsia" w:ascii="宋体" w:hAnsi="宋体" w:eastAsia="宋体" w:cs="宋体"/>
          <w:bCs/>
          <w:color w:val="auto"/>
          <w:sz w:val="32"/>
          <w:szCs w:val="32"/>
          <w:highlight w:val="none"/>
        </w:rPr>
        <w:t>附件1 投标人信用承诺书</w:t>
      </w:r>
      <w:bookmarkEnd w:id="599"/>
      <w:bookmarkEnd w:id="600"/>
      <w:bookmarkEnd w:id="601"/>
      <w:bookmarkEnd w:id="602"/>
    </w:p>
    <w:p w14:paraId="4EC30AE4">
      <w:pPr>
        <w:widowControl/>
        <w:adjustRightInd w:val="0"/>
        <w:snapToGrid w:val="0"/>
        <w:spacing w:line="480" w:lineRule="auto"/>
        <w:jc w:val="left"/>
        <w:rPr>
          <w:rFonts w:hint="eastAsia" w:ascii="宋体" w:hAnsi="宋体" w:eastAsia="宋体" w:cs="宋体"/>
          <w:bCs/>
          <w:color w:val="auto"/>
          <w:kern w:val="0"/>
          <w:sz w:val="24"/>
          <w:highlight w:val="none"/>
          <w:u w:val="single"/>
        </w:rPr>
      </w:pPr>
      <w:r>
        <w:rPr>
          <w:rFonts w:hint="eastAsia" w:ascii="宋体" w:hAnsi="宋体" w:eastAsia="宋体" w:cs="宋体"/>
          <w:bCs/>
          <w:color w:val="auto"/>
          <w:kern w:val="0"/>
          <w:sz w:val="24"/>
          <w:highlight w:val="none"/>
        </w:rPr>
        <w:t>投标人：</w:t>
      </w:r>
      <w:r>
        <w:rPr>
          <w:rFonts w:hint="eastAsia" w:ascii="宋体" w:hAnsi="宋体" w:eastAsia="宋体" w:cs="宋体"/>
          <w:bCs/>
          <w:color w:val="auto"/>
          <w:kern w:val="0"/>
          <w:sz w:val="24"/>
          <w:highlight w:val="none"/>
          <w:u w:val="single"/>
        </w:rPr>
        <w:t xml:space="preserve">                                                                   </w:t>
      </w:r>
    </w:p>
    <w:p w14:paraId="715F287F">
      <w:pPr>
        <w:widowControl/>
        <w:adjustRightInd w:val="0"/>
        <w:snapToGrid w:val="0"/>
        <w:spacing w:line="480" w:lineRule="auto"/>
        <w:jc w:val="left"/>
        <w:rPr>
          <w:rFonts w:hint="eastAsia" w:ascii="宋体" w:hAnsi="宋体" w:eastAsia="宋体" w:cs="宋体"/>
          <w:bCs/>
          <w:color w:val="auto"/>
          <w:kern w:val="0"/>
          <w:sz w:val="24"/>
          <w:highlight w:val="none"/>
          <w:u w:val="single"/>
        </w:rPr>
      </w:pPr>
      <w:r>
        <w:rPr>
          <w:rFonts w:hint="eastAsia" w:ascii="宋体" w:hAnsi="宋体" w:eastAsia="宋体" w:cs="宋体"/>
          <w:bCs/>
          <w:color w:val="auto"/>
          <w:kern w:val="0"/>
          <w:sz w:val="24"/>
          <w:highlight w:val="none"/>
        </w:rPr>
        <w:t>统一社会信用代码：</w:t>
      </w:r>
      <w:r>
        <w:rPr>
          <w:rFonts w:hint="eastAsia" w:ascii="宋体" w:hAnsi="宋体" w:eastAsia="宋体" w:cs="宋体"/>
          <w:bCs/>
          <w:color w:val="auto"/>
          <w:kern w:val="0"/>
          <w:sz w:val="24"/>
          <w:highlight w:val="none"/>
          <w:u w:val="single"/>
        </w:rPr>
        <w:t xml:space="preserve">                             </w:t>
      </w:r>
      <w:r>
        <w:rPr>
          <w:rFonts w:hint="eastAsia" w:ascii="宋体" w:hAnsi="宋体" w:eastAsia="宋体" w:cs="宋体"/>
          <w:bCs/>
          <w:color w:val="auto"/>
          <w:kern w:val="0"/>
          <w:sz w:val="24"/>
          <w:highlight w:val="none"/>
        </w:rPr>
        <w:t>法人代表：</w:t>
      </w:r>
      <w:r>
        <w:rPr>
          <w:rFonts w:hint="eastAsia" w:ascii="宋体" w:hAnsi="宋体" w:eastAsia="宋体" w:cs="宋体"/>
          <w:bCs/>
          <w:color w:val="auto"/>
          <w:kern w:val="0"/>
          <w:sz w:val="24"/>
          <w:highlight w:val="none"/>
          <w:u w:val="single"/>
        </w:rPr>
        <w:t xml:space="preserve">                  </w:t>
      </w:r>
    </w:p>
    <w:p w14:paraId="18354CBD">
      <w:pPr>
        <w:widowControl/>
        <w:adjustRightInd w:val="0"/>
        <w:snapToGrid w:val="0"/>
        <w:spacing w:line="480" w:lineRule="auto"/>
        <w:jc w:val="left"/>
        <w:rPr>
          <w:rFonts w:hint="eastAsia" w:ascii="宋体" w:hAnsi="宋体" w:eastAsia="宋体" w:cs="宋体"/>
          <w:bCs/>
          <w:color w:val="auto"/>
          <w:kern w:val="0"/>
          <w:sz w:val="24"/>
          <w:highlight w:val="none"/>
          <w:u w:val="single"/>
        </w:rPr>
      </w:pPr>
      <w:r>
        <w:rPr>
          <w:rFonts w:hint="eastAsia" w:ascii="宋体" w:hAnsi="宋体" w:eastAsia="宋体" w:cs="宋体"/>
          <w:bCs/>
          <w:color w:val="auto"/>
          <w:kern w:val="0"/>
          <w:sz w:val="24"/>
          <w:highlight w:val="none"/>
        </w:rPr>
        <w:t>承诺有效期限：</w:t>
      </w:r>
      <w:r>
        <w:rPr>
          <w:rFonts w:hint="eastAsia" w:ascii="宋体" w:hAnsi="宋体" w:eastAsia="宋体" w:cs="宋体"/>
          <w:bCs/>
          <w:color w:val="auto"/>
          <w:kern w:val="0"/>
          <w:sz w:val="24"/>
          <w:highlight w:val="none"/>
          <w:u w:val="single"/>
        </w:rPr>
        <w:t xml:space="preserve">         </w:t>
      </w:r>
      <w:r>
        <w:rPr>
          <w:rFonts w:hint="eastAsia" w:ascii="宋体" w:hAnsi="宋体" w:eastAsia="宋体" w:cs="宋体"/>
          <w:bCs/>
          <w:color w:val="auto"/>
          <w:kern w:val="0"/>
          <w:sz w:val="24"/>
          <w:highlight w:val="none"/>
        </w:rPr>
        <w:t>年</w:t>
      </w:r>
      <w:r>
        <w:rPr>
          <w:rFonts w:hint="eastAsia" w:ascii="宋体" w:hAnsi="宋体" w:eastAsia="宋体" w:cs="宋体"/>
          <w:bCs/>
          <w:color w:val="auto"/>
          <w:kern w:val="0"/>
          <w:sz w:val="24"/>
          <w:highlight w:val="none"/>
          <w:u w:val="single"/>
        </w:rPr>
        <w:t xml:space="preserve">      </w:t>
      </w:r>
      <w:r>
        <w:rPr>
          <w:rFonts w:hint="eastAsia" w:ascii="宋体" w:hAnsi="宋体" w:eastAsia="宋体" w:cs="宋体"/>
          <w:bCs/>
          <w:color w:val="auto"/>
          <w:kern w:val="0"/>
          <w:sz w:val="24"/>
          <w:highlight w:val="none"/>
        </w:rPr>
        <w:t>月</w:t>
      </w:r>
      <w:r>
        <w:rPr>
          <w:rFonts w:hint="eastAsia" w:ascii="宋体" w:hAnsi="宋体" w:eastAsia="宋体" w:cs="宋体"/>
          <w:bCs/>
          <w:color w:val="auto"/>
          <w:kern w:val="0"/>
          <w:sz w:val="24"/>
          <w:highlight w:val="none"/>
          <w:u w:val="single"/>
        </w:rPr>
        <w:t xml:space="preserve">      </w:t>
      </w:r>
      <w:r>
        <w:rPr>
          <w:rFonts w:hint="eastAsia" w:ascii="宋体" w:hAnsi="宋体" w:eastAsia="宋体" w:cs="宋体"/>
          <w:bCs/>
          <w:color w:val="auto"/>
          <w:kern w:val="0"/>
          <w:sz w:val="24"/>
          <w:highlight w:val="none"/>
        </w:rPr>
        <w:t>日—</w:t>
      </w:r>
      <w:r>
        <w:rPr>
          <w:rFonts w:hint="eastAsia" w:ascii="宋体" w:hAnsi="宋体" w:eastAsia="宋体" w:cs="宋体"/>
          <w:bCs/>
          <w:color w:val="auto"/>
          <w:kern w:val="0"/>
          <w:sz w:val="24"/>
          <w:highlight w:val="none"/>
          <w:u w:val="single"/>
        </w:rPr>
        <w:t xml:space="preserve">         </w:t>
      </w:r>
      <w:r>
        <w:rPr>
          <w:rFonts w:hint="eastAsia" w:ascii="宋体" w:hAnsi="宋体" w:eastAsia="宋体" w:cs="宋体"/>
          <w:bCs/>
          <w:color w:val="auto"/>
          <w:kern w:val="0"/>
          <w:sz w:val="24"/>
          <w:highlight w:val="none"/>
        </w:rPr>
        <w:t>年</w:t>
      </w:r>
      <w:r>
        <w:rPr>
          <w:rFonts w:hint="eastAsia" w:ascii="宋体" w:hAnsi="宋体" w:eastAsia="宋体" w:cs="宋体"/>
          <w:bCs/>
          <w:color w:val="auto"/>
          <w:kern w:val="0"/>
          <w:sz w:val="24"/>
          <w:highlight w:val="none"/>
          <w:u w:val="single"/>
        </w:rPr>
        <w:t xml:space="preserve">      </w:t>
      </w:r>
      <w:r>
        <w:rPr>
          <w:rFonts w:hint="eastAsia" w:ascii="宋体" w:hAnsi="宋体" w:eastAsia="宋体" w:cs="宋体"/>
          <w:bCs/>
          <w:color w:val="auto"/>
          <w:kern w:val="0"/>
          <w:sz w:val="24"/>
          <w:highlight w:val="none"/>
        </w:rPr>
        <w:t>月</w:t>
      </w:r>
      <w:r>
        <w:rPr>
          <w:rFonts w:hint="eastAsia" w:ascii="宋体" w:hAnsi="宋体" w:eastAsia="宋体" w:cs="宋体"/>
          <w:bCs/>
          <w:color w:val="auto"/>
          <w:kern w:val="0"/>
          <w:sz w:val="24"/>
          <w:highlight w:val="none"/>
          <w:u w:val="single"/>
        </w:rPr>
        <w:t xml:space="preserve">      </w:t>
      </w:r>
      <w:r>
        <w:rPr>
          <w:rFonts w:hint="eastAsia" w:ascii="宋体" w:hAnsi="宋体" w:eastAsia="宋体" w:cs="宋体"/>
          <w:bCs/>
          <w:color w:val="auto"/>
          <w:kern w:val="0"/>
          <w:sz w:val="24"/>
          <w:highlight w:val="none"/>
        </w:rPr>
        <w:t>日</w:t>
      </w:r>
    </w:p>
    <w:p w14:paraId="43268B52">
      <w:pPr>
        <w:widowControl/>
        <w:adjustRightInd w:val="0"/>
        <w:snapToGrid w:val="0"/>
        <w:spacing w:line="480" w:lineRule="auto"/>
        <w:ind w:firstLine="480" w:firstLineChars="200"/>
        <w:jc w:val="left"/>
        <w:rPr>
          <w:rFonts w:hint="eastAsia" w:ascii="宋体" w:hAnsi="宋体" w:eastAsia="宋体" w:cs="宋体"/>
          <w:bCs/>
          <w:color w:val="auto"/>
          <w:kern w:val="0"/>
          <w:sz w:val="24"/>
          <w:highlight w:val="none"/>
        </w:rPr>
      </w:pPr>
      <w:r>
        <w:rPr>
          <w:rFonts w:hint="eastAsia" w:ascii="宋体" w:hAnsi="宋体" w:eastAsia="宋体" w:cs="宋体"/>
          <w:bCs/>
          <w:color w:val="auto"/>
          <w:kern w:val="0"/>
          <w:sz w:val="24"/>
          <w:highlight w:val="none"/>
        </w:rPr>
        <w:t>在</w:t>
      </w:r>
      <w:r>
        <w:rPr>
          <w:rFonts w:hint="eastAsia" w:ascii="宋体" w:hAnsi="宋体" w:eastAsia="宋体" w:cs="宋体"/>
          <w:bCs/>
          <w:color w:val="auto"/>
          <w:kern w:val="0"/>
          <w:sz w:val="24"/>
          <w:highlight w:val="none"/>
          <w:u w:val="single"/>
        </w:rPr>
        <w:t xml:space="preserve">                                   </w:t>
      </w:r>
      <w:r>
        <w:rPr>
          <w:rFonts w:hint="eastAsia" w:ascii="宋体" w:hAnsi="宋体" w:eastAsia="宋体" w:cs="宋体"/>
          <w:bCs/>
          <w:color w:val="auto"/>
          <w:kern w:val="0"/>
          <w:sz w:val="24"/>
          <w:highlight w:val="none"/>
        </w:rPr>
        <w:t>项目招投标活动中，我公司（单位）郑重作出以下信用承诺：</w:t>
      </w:r>
    </w:p>
    <w:p w14:paraId="2CFF02BF">
      <w:pPr>
        <w:widowControl/>
        <w:adjustRightInd w:val="0"/>
        <w:snapToGrid w:val="0"/>
        <w:spacing w:line="480" w:lineRule="auto"/>
        <w:ind w:firstLine="480"/>
        <w:jc w:val="left"/>
        <w:rPr>
          <w:rFonts w:hint="eastAsia" w:ascii="宋体" w:hAnsi="宋体" w:eastAsia="宋体" w:cs="宋体"/>
          <w:bCs/>
          <w:color w:val="auto"/>
          <w:kern w:val="0"/>
          <w:sz w:val="24"/>
          <w:highlight w:val="none"/>
        </w:rPr>
      </w:pPr>
      <w:r>
        <w:rPr>
          <w:rFonts w:hint="eastAsia" w:ascii="宋体" w:hAnsi="宋体" w:eastAsia="宋体" w:cs="宋体"/>
          <w:bCs/>
          <w:color w:val="auto"/>
          <w:kern w:val="0"/>
          <w:sz w:val="24"/>
          <w:highlight w:val="none"/>
        </w:rPr>
        <w:t>（一）能严格遵守法律法规、职业道德和行业规范，具有独立承担民事责任的能力；符合依法依规应当具备的相关资质（资格）条件；具有独立承担中标项目的履约能力；具有良好的商业信誉和健全的财务会计制度；有依法缴纳税收和社会保障资金的良好记录；无法律法规规定禁止开展从业活动情形。所递交文件资料合法、真实、准确、完整、有效。</w:t>
      </w:r>
    </w:p>
    <w:p w14:paraId="03038F66">
      <w:pPr>
        <w:widowControl/>
        <w:adjustRightInd w:val="0"/>
        <w:snapToGrid w:val="0"/>
        <w:spacing w:line="480" w:lineRule="auto"/>
        <w:ind w:firstLine="480"/>
        <w:jc w:val="left"/>
        <w:rPr>
          <w:rFonts w:hint="eastAsia" w:ascii="宋体" w:hAnsi="宋体" w:eastAsia="宋体" w:cs="宋体"/>
          <w:bCs/>
          <w:color w:val="auto"/>
          <w:kern w:val="0"/>
          <w:sz w:val="24"/>
          <w:highlight w:val="none"/>
        </w:rPr>
      </w:pPr>
      <w:r>
        <w:rPr>
          <w:rFonts w:hint="eastAsia" w:ascii="宋体" w:hAnsi="宋体" w:eastAsia="宋体" w:cs="宋体"/>
          <w:bCs/>
          <w:color w:val="auto"/>
          <w:kern w:val="0"/>
          <w:sz w:val="24"/>
          <w:highlight w:val="none"/>
        </w:rPr>
        <w:t>（二）不得有以下违法违规行为：1.围标串标；以他人名义或者其他方式弄虚作假投标；出让出租资格、资质证书供他人投标；恶意竞标、强揽工程；以暴力、威胁、利诱等手段阻止或者控制其他潜在投标人参与招投标活动。2.向招投标监督部门、交易中心、招标人、招标代理机构、评审委员会及其成员等当事主体赠送财物。3.投标截止后至中标人确定前，修改或者撤销投标文件。4.在被确定为中标人后无正当理由：不按照竞争性谈判文件和投标文件与招标人签订合同；在签订合同时向招标人提出附加条件、或者改变投标文件的实质性内容；放弃中标；不按照竞争性谈判文件的规定提交履约保证金。5.招投标法规定的其它违法违规行为。</w:t>
      </w:r>
    </w:p>
    <w:p w14:paraId="289983C3">
      <w:pPr>
        <w:widowControl/>
        <w:adjustRightInd w:val="0"/>
        <w:snapToGrid w:val="0"/>
        <w:spacing w:line="480" w:lineRule="auto"/>
        <w:ind w:firstLine="480"/>
        <w:jc w:val="left"/>
        <w:rPr>
          <w:rFonts w:hint="eastAsia" w:ascii="宋体" w:hAnsi="宋体" w:eastAsia="宋体" w:cs="宋体"/>
          <w:bCs/>
          <w:color w:val="auto"/>
          <w:kern w:val="0"/>
          <w:sz w:val="24"/>
          <w:highlight w:val="none"/>
        </w:rPr>
      </w:pPr>
      <w:bookmarkStart w:id="603" w:name="_Toc1855"/>
      <w:r>
        <w:rPr>
          <w:rFonts w:hint="eastAsia" w:ascii="宋体" w:hAnsi="宋体" w:eastAsia="宋体" w:cs="宋体"/>
          <w:bCs/>
          <w:color w:val="auto"/>
          <w:kern w:val="0"/>
          <w:sz w:val="24"/>
          <w:highlight w:val="none"/>
        </w:rPr>
        <w:t>（三）自愿接受招投标监督部门和有关行政监督部门的依法检查。</w:t>
      </w:r>
      <w:bookmarkEnd w:id="603"/>
    </w:p>
    <w:p w14:paraId="2A769A6C">
      <w:pPr>
        <w:widowControl/>
        <w:adjustRightInd w:val="0"/>
        <w:snapToGrid w:val="0"/>
        <w:spacing w:line="480" w:lineRule="auto"/>
        <w:ind w:firstLine="480"/>
        <w:jc w:val="left"/>
        <w:rPr>
          <w:rFonts w:hint="eastAsia" w:ascii="宋体" w:hAnsi="宋体" w:eastAsia="宋体" w:cs="宋体"/>
          <w:bCs/>
          <w:color w:val="auto"/>
          <w:kern w:val="0"/>
          <w:sz w:val="24"/>
          <w:highlight w:val="none"/>
        </w:rPr>
      </w:pPr>
      <w:r>
        <w:rPr>
          <w:rFonts w:hint="eastAsia" w:ascii="宋体" w:hAnsi="宋体" w:eastAsia="宋体" w:cs="宋体"/>
          <w:bCs/>
          <w:color w:val="auto"/>
          <w:kern w:val="0"/>
          <w:sz w:val="24"/>
          <w:highlight w:val="none"/>
        </w:rPr>
        <w:t>（四）同意将此信用承诺纳入陕西省公共信用信息平台和榆林市公共信用信息共享平台，并上网公示，接受社会监督。</w:t>
      </w:r>
    </w:p>
    <w:p w14:paraId="42D9D8D2">
      <w:pPr>
        <w:widowControl/>
        <w:adjustRightInd w:val="0"/>
        <w:snapToGrid w:val="0"/>
        <w:spacing w:line="480" w:lineRule="auto"/>
        <w:ind w:firstLine="480"/>
        <w:jc w:val="left"/>
        <w:rPr>
          <w:rFonts w:hint="eastAsia" w:ascii="宋体" w:hAnsi="宋体" w:eastAsia="宋体" w:cs="宋体"/>
          <w:bCs/>
          <w:color w:val="auto"/>
          <w:kern w:val="0"/>
          <w:sz w:val="24"/>
          <w:highlight w:val="none"/>
        </w:rPr>
      </w:pPr>
      <w:r>
        <w:rPr>
          <w:rFonts w:hint="eastAsia" w:ascii="宋体" w:hAnsi="宋体" w:eastAsia="宋体" w:cs="宋体"/>
          <w:bCs/>
          <w:color w:val="auto"/>
          <w:kern w:val="0"/>
          <w:sz w:val="24"/>
          <w:highlight w:val="none"/>
        </w:rPr>
        <w:t>（五）若我公司（单位）及相关参与人员违背以上承诺事项，即被视为失信企业（法人），依据《关于对公共资源交易领域严重失信主体开展联合惩戒的备忘录》（发改法规[2018]457号），自愿接受失信联合惩戒和依法给予的行政处罚（处理），并依法承担赔偿责任和刑事责任。</w:t>
      </w:r>
    </w:p>
    <w:p w14:paraId="40A3BC6F">
      <w:pPr>
        <w:pStyle w:val="8"/>
        <w:rPr>
          <w:rFonts w:hint="eastAsia" w:ascii="宋体" w:hAnsi="宋体" w:eastAsia="宋体" w:cs="宋体"/>
          <w:bCs/>
          <w:color w:val="auto"/>
          <w:highlight w:val="none"/>
        </w:rPr>
      </w:pPr>
    </w:p>
    <w:p w14:paraId="1A12C028">
      <w:pPr>
        <w:widowControl/>
        <w:tabs>
          <w:tab w:val="left" w:pos="4395"/>
        </w:tabs>
        <w:adjustRightInd w:val="0"/>
        <w:snapToGrid w:val="0"/>
        <w:spacing w:line="480" w:lineRule="auto"/>
        <w:jc w:val="left"/>
        <w:rPr>
          <w:rFonts w:hint="eastAsia" w:ascii="宋体" w:hAnsi="宋体" w:eastAsia="宋体" w:cs="宋体"/>
          <w:bCs/>
          <w:color w:val="auto"/>
          <w:kern w:val="0"/>
          <w:sz w:val="24"/>
          <w:highlight w:val="none"/>
        </w:rPr>
      </w:pPr>
      <w:r>
        <w:rPr>
          <w:rFonts w:hint="eastAsia" w:ascii="宋体" w:hAnsi="宋体" w:eastAsia="宋体" w:cs="宋体"/>
          <w:bCs/>
          <w:color w:val="auto"/>
          <w:kern w:val="0"/>
          <w:sz w:val="24"/>
          <w:highlight w:val="none"/>
        </w:rPr>
        <w:t>法定代表人（签章）：                 投标人（盖章）：</w:t>
      </w:r>
    </w:p>
    <w:p w14:paraId="39893277">
      <w:pPr>
        <w:adjustRightInd w:val="0"/>
        <w:snapToGrid w:val="0"/>
        <w:spacing w:line="480" w:lineRule="auto"/>
        <w:jc w:val="center"/>
        <w:rPr>
          <w:rFonts w:hint="eastAsia" w:ascii="宋体" w:hAnsi="宋体" w:eastAsia="宋体" w:cs="宋体"/>
          <w:bCs/>
          <w:color w:val="auto"/>
          <w:kern w:val="0"/>
          <w:sz w:val="24"/>
          <w:highlight w:val="none"/>
        </w:rPr>
      </w:pPr>
    </w:p>
    <w:p w14:paraId="67B9A674">
      <w:pPr>
        <w:adjustRightInd w:val="0"/>
        <w:snapToGrid w:val="0"/>
        <w:spacing w:line="480" w:lineRule="auto"/>
        <w:jc w:val="center"/>
        <w:rPr>
          <w:rFonts w:hint="eastAsia" w:ascii="宋体" w:hAnsi="宋体" w:eastAsia="宋体" w:cs="宋体"/>
          <w:bCs/>
          <w:color w:val="auto"/>
          <w:kern w:val="0"/>
          <w:sz w:val="24"/>
          <w:highlight w:val="none"/>
        </w:rPr>
      </w:pPr>
      <w:r>
        <w:rPr>
          <w:rFonts w:hint="eastAsia" w:ascii="宋体" w:hAnsi="宋体" w:eastAsia="宋体" w:cs="宋体"/>
          <w:bCs/>
          <w:color w:val="auto"/>
          <w:kern w:val="0"/>
          <w:sz w:val="24"/>
          <w:highlight w:val="none"/>
        </w:rPr>
        <w:t xml:space="preserve">                             承诺时间：</w:t>
      </w:r>
      <w:r>
        <w:rPr>
          <w:rFonts w:hint="eastAsia" w:ascii="宋体" w:hAnsi="宋体" w:eastAsia="宋体" w:cs="宋体"/>
          <w:bCs/>
          <w:color w:val="auto"/>
          <w:kern w:val="0"/>
          <w:sz w:val="24"/>
          <w:highlight w:val="none"/>
          <w:u w:val="single"/>
        </w:rPr>
        <w:t xml:space="preserve">       </w:t>
      </w:r>
      <w:r>
        <w:rPr>
          <w:rFonts w:hint="eastAsia" w:ascii="宋体" w:hAnsi="宋体" w:eastAsia="宋体" w:cs="宋体"/>
          <w:bCs/>
          <w:color w:val="auto"/>
          <w:kern w:val="0"/>
          <w:sz w:val="24"/>
          <w:highlight w:val="none"/>
        </w:rPr>
        <w:t>年</w:t>
      </w:r>
      <w:r>
        <w:rPr>
          <w:rFonts w:hint="eastAsia" w:ascii="宋体" w:hAnsi="宋体" w:eastAsia="宋体" w:cs="宋体"/>
          <w:bCs/>
          <w:color w:val="auto"/>
          <w:kern w:val="0"/>
          <w:sz w:val="24"/>
          <w:highlight w:val="none"/>
          <w:u w:val="single"/>
        </w:rPr>
        <w:t xml:space="preserve">     </w:t>
      </w:r>
      <w:r>
        <w:rPr>
          <w:rFonts w:hint="eastAsia" w:ascii="宋体" w:hAnsi="宋体" w:eastAsia="宋体" w:cs="宋体"/>
          <w:bCs/>
          <w:color w:val="auto"/>
          <w:kern w:val="0"/>
          <w:sz w:val="24"/>
          <w:highlight w:val="none"/>
        </w:rPr>
        <w:t>月</w:t>
      </w:r>
      <w:r>
        <w:rPr>
          <w:rFonts w:hint="eastAsia" w:ascii="宋体" w:hAnsi="宋体" w:eastAsia="宋体" w:cs="宋体"/>
          <w:bCs/>
          <w:color w:val="auto"/>
          <w:kern w:val="0"/>
          <w:sz w:val="24"/>
          <w:highlight w:val="none"/>
          <w:u w:val="single"/>
        </w:rPr>
        <w:t xml:space="preserve">     </w:t>
      </w:r>
      <w:r>
        <w:rPr>
          <w:rFonts w:hint="eastAsia" w:ascii="宋体" w:hAnsi="宋体" w:eastAsia="宋体" w:cs="宋体"/>
          <w:bCs/>
          <w:color w:val="auto"/>
          <w:kern w:val="0"/>
          <w:sz w:val="24"/>
          <w:highlight w:val="none"/>
        </w:rPr>
        <w:t>日</w:t>
      </w:r>
    </w:p>
    <w:p w14:paraId="53A94924">
      <w:pPr>
        <w:spacing w:line="480" w:lineRule="auto"/>
        <w:ind w:right="-2"/>
        <w:jc w:val="center"/>
        <w:rPr>
          <w:rFonts w:hint="eastAsia" w:ascii="宋体" w:hAnsi="宋体" w:eastAsia="宋体" w:cs="宋体"/>
          <w:bCs/>
          <w:color w:val="auto"/>
          <w:sz w:val="32"/>
          <w:szCs w:val="32"/>
          <w:highlight w:val="none"/>
        </w:rPr>
        <w:sectPr>
          <w:pgSz w:w="11906" w:h="16838"/>
          <w:pgMar w:top="1440" w:right="1080" w:bottom="1440" w:left="1080" w:header="1134" w:footer="1077" w:gutter="0"/>
          <w:pgNumType w:fmt="decimal"/>
          <w:cols w:space="720" w:num="1"/>
          <w:docGrid w:type="lines" w:linePitch="313" w:charSpace="0"/>
        </w:sectPr>
      </w:pPr>
    </w:p>
    <w:p w14:paraId="04795E4F">
      <w:pPr>
        <w:spacing w:line="560" w:lineRule="exact"/>
        <w:ind w:right="-2"/>
        <w:jc w:val="center"/>
        <w:outlineLvl w:val="0"/>
        <w:rPr>
          <w:rFonts w:hint="eastAsia" w:ascii="宋体" w:hAnsi="宋体" w:eastAsia="宋体" w:cs="宋体"/>
          <w:bCs/>
          <w:color w:val="auto"/>
          <w:sz w:val="32"/>
          <w:szCs w:val="32"/>
          <w:highlight w:val="none"/>
        </w:rPr>
      </w:pPr>
      <w:bookmarkStart w:id="604" w:name="_Toc8663"/>
      <w:bookmarkStart w:id="605" w:name="_Toc18071"/>
      <w:r>
        <w:rPr>
          <w:rFonts w:hint="eastAsia" w:ascii="宋体" w:hAnsi="宋体" w:eastAsia="宋体" w:cs="宋体"/>
          <w:bCs/>
          <w:color w:val="auto"/>
          <w:sz w:val="32"/>
          <w:szCs w:val="32"/>
          <w:highlight w:val="none"/>
        </w:rPr>
        <w:t>附件2 投标人委托代理人员信用承诺书</w:t>
      </w:r>
      <w:bookmarkEnd w:id="604"/>
      <w:bookmarkEnd w:id="605"/>
    </w:p>
    <w:p w14:paraId="51F744C2">
      <w:pPr>
        <w:widowControl/>
        <w:spacing w:line="540" w:lineRule="exact"/>
        <w:ind w:firstLine="480" w:firstLineChars="200"/>
        <w:jc w:val="left"/>
        <w:rPr>
          <w:rFonts w:hint="eastAsia" w:ascii="宋体" w:hAnsi="宋体" w:eastAsia="宋体" w:cs="宋体"/>
          <w:bCs/>
          <w:color w:val="auto"/>
          <w:kern w:val="0"/>
          <w:sz w:val="24"/>
          <w:highlight w:val="none"/>
        </w:rPr>
      </w:pPr>
      <w:r>
        <w:rPr>
          <w:rFonts w:hint="eastAsia" w:ascii="宋体" w:hAnsi="宋体" w:eastAsia="宋体" w:cs="宋体"/>
          <w:bCs/>
          <w:color w:val="auto"/>
          <w:kern w:val="0"/>
          <w:sz w:val="24"/>
          <w:highlight w:val="none"/>
        </w:rPr>
        <w:t>在</w:t>
      </w:r>
      <w:r>
        <w:rPr>
          <w:rFonts w:hint="eastAsia" w:ascii="宋体" w:hAnsi="宋体" w:eastAsia="宋体" w:cs="宋体"/>
          <w:bCs/>
          <w:color w:val="auto"/>
          <w:kern w:val="0"/>
          <w:sz w:val="24"/>
          <w:highlight w:val="none"/>
          <w:u w:val="single"/>
        </w:rPr>
        <w:t xml:space="preserve">                                   </w:t>
      </w:r>
      <w:r>
        <w:rPr>
          <w:rFonts w:hint="eastAsia" w:ascii="宋体" w:hAnsi="宋体" w:eastAsia="宋体" w:cs="宋体"/>
          <w:bCs/>
          <w:color w:val="auto"/>
          <w:kern w:val="0"/>
          <w:sz w:val="24"/>
          <w:highlight w:val="none"/>
        </w:rPr>
        <w:t>项目招投标活动中，我个人郑重作出以下信用承诺：</w:t>
      </w:r>
    </w:p>
    <w:p w14:paraId="7D518E07">
      <w:pPr>
        <w:widowControl/>
        <w:adjustRightInd w:val="0"/>
        <w:snapToGrid w:val="0"/>
        <w:spacing w:line="540" w:lineRule="exact"/>
        <w:ind w:firstLine="480"/>
        <w:jc w:val="left"/>
        <w:rPr>
          <w:rFonts w:hint="eastAsia" w:ascii="宋体" w:hAnsi="宋体" w:eastAsia="宋体" w:cs="宋体"/>
          <w:bCs/>
          <w:color w:val="auto"/>
          <w:kern w:val="0"/>
          <w:sz w:val="24"/>
          <w:highlight w:val="none"/>
        </w:rPr>
      </w:pPr>
      <w:r>
        <w:rPr>
          <w:rFonts w:hint="eastAsia" w:ascii="宋体" w:hAnsi="宋体" w:eastAsia="宋体" w:cs="宋体"/>
          <w:bCs/>
          <w:color w:val="auto"/>
          <w:kern w:val="0"/>
          <w:sz w:val="24"/>
          <w:highlight w:val="none"/>
        </w:rPr>
        <w:t>（一）能严格遵守法律法规、职业道德和行业规范，具有独立承担民事责任的能力；无法律法规规定禁止开展从业活动情形。我所递交的文件资料合法、真实、准确、完整、有效，无弄虚作假等情形。</w:t>
      </w:r>
    </w:p>
    <w:p w14:paraId="7E8DC241">
      <w:pPr>
        <w:widowControl/>
        <w:adjustRightInd w:val="0"/>
        <w:snapToGrid w:val="0"/>
        <w:spacing w:line="540" w:lineRule="exact"/>
        <w:ind w:firstLine="480"/>
        <w:jc w:val="left"/>
        <w:rPr>
          <w:rFonts w:hint="eastAsia" w:ascii="宋体" w:hAnsi="宋体" w:eastAsia="宋体" w:cs="宋体"/>
          <w:bCs/>
          <w:color w:val="auto"/>
          <w:kern w:val="0"/>
          <w:sz w:val="24"/>
          <w:highlight w:val="none"/>
        </w:rPr>
      </w:pPr>
      <w:r>
        <w:rPr>
          <w:rFonts w:hint="eastAsia" w:ascii="宋体" w:hAnsi="宋体" w:eastAsia="宋体" w:cs="宋体"/>
          <w:bCs/>
          <w:color w:val="auto"/>
          <w:kern w:val="0"/>
          <w:sz w:val="24"/>
          <w:highlight w:val="none"/>
        </w:rPr>
        <w:t>（二）不得有以下违法违规行为：1.围标串标；以他人名义或者其他方式弄虚作假投标；出让出租资格、资质证书供他人投标；恶意竞标、强揽工程；以暴力、威胁、利诱等手段阻止或者控制其他潜在投标人参与招投标活动。2.向招投标监督部门、交易中心、招标人、招标代理机构、评审委员会及其成员等当事主体赠送财物。3.投标截止后至中标人确定前，修改或者撤销投标文件。4.在被确定为中标人后无正当理由：不按照竞争性谈判文件和投标文件与招标人签订合同；在签订合同时向招标人提出附加条件、或者改变投标文件的实质性内容；放弃中标；不按照竞争性谈判文件的规定提交履约保证金。5.招投标法规定的其它违法违规行为。</w:t>
      </w:r>
    </w:p>
    <w:p w14:paraId="692FB617">
      <w:pPr>
        <w:widowControl/>
        <w:adjustRightInd w:val="0"/>
        <w:snapToGrid w:val="0"/>
        <w:spacing w:line="540" w:lineRule="exact"/>
        <w:ind w:firstLine="480"/>
        <w:jc w:val="left"/>
        <w:rPr>
          <w:rFonts w:hint="eastAsia" w:ascii="宋体" w:hAnsi="宋体" w:eastAsia="宋体" w:cs="宋体"/>
          <w:bCs/>
          <w:color w:val="auto"/>
          <w:kern w:val="0"/>
          <w:sz w:val="24"/>
          <w:highlight w:val="none"/>
        </w:rPr>
      </w:pPr>
      <w:bookmarkStart w:id="606" w:name="_Toc30320"/>
      <w:r>
        <w:rPr>
          <w:rFonts w:hint="eastAsia" w:ascii="宋体" w:hAnsi="宋体" w:eastAsia="宋体" w:cs="宋体"/>
          <w:bCs/>
          <w:color w:val="auto"/>
          <w:kern w:val="0"/>
          <w:sz w:val="24"/>
          <w:highlight w:val="none"/>
        </w:rPr>
        <w:t>（三）自愿接受招投标监督部门和有关行政监督部门的依法检查。</w:t>
      </w:r>
      <w:bookmarkEnd w:id="606"/>
    </w:p>
    <w:p w14:paraId="31B683C2">
      <w:pPr>
        <w:widowControl/>
        <w:adjustRightInd w:val="0"/>
        <w:snapToGrid w:val="0"/>
        <w:spacing w:line="540" w:lineRule="exact"/>
        <w:ind w:firstLine="480"/>
        <w:jc w:val="left"/>
        <w:rPr>
          <w:rFonts w:hint="eastAsia" w:ascii="宋体" w:hAnsi="宋体" w:eastAsia="宋体" w:cs="宋体"/>
          <w:bCs/>
          <w:color w:val="auto"/>
          <w:kern w:val="0"/>
          <w:sz w:val="24"/>
          <w:highlight w:val="none"/>
        </w:rPr>
      </w:pPr>
      <w:r>
        <w:rPr>
          <w:rFonts w:hint="eastAsia" w:ascii="宋体" w:hAnsi="宋体" w:eastAsia="宋体" w:cs="宋体"/>
          <w:bCs/>
          <w:color w:val="auto"/>
          <w:kern w:val="0"/>
          <w:sz w:val="24"/>
          <w:highlight w:val="none"/>
        </w:rPr>
        <w:t>（四）同意将此信用承诺纳入陕西省公共信用信息平台和榆林市公共信用信息共享平台，并接受社会监督。</w:t>
      </w:r>
    </w:p>
    <w:p w14:paraId="61687D50">
      <w:pPr>
        <w:widowControl/>
        <w:adjustRightInd w:val="0"/>
        <w:snapToGrid w:val="0"/>
        <w:spacing w:line="540" w:lineRule="exact"/>
        <w:ind w:firstLine="480"/>
        <w:jc w:val="left"/>
        <w:rPr>
          <w:rFonts w:hint="eastAsia" w:ascii="宋体" w:hAnsi="宋体" w:eastAsia="宋体" w:cs="宋体"/>
          <w:bCs/>
          <w:color w:val="auto"/>
          <w:kern w:val="0"/>
          <w:sz w:val="24"/>
          <w:highlight w:val="none"/>
        </w:rPr>
      </w:pPr>
      <w:r>
        <w:rPr>
          <w:rFonts w:hint="eastAsia" w:ascii="宋体" w:hAnsi="宋体" w:eastAsia="宋体" w:cs="宋体"/>
          <w:bCs/>
          <w:color w:val="auto"/>
          <w:kern w:val="0"/>
          <w:sz w:val="24"/>
          <w:highlight w:val="none"/>
        </w:rPr>
        <w:t>（五）若我违背以上承诺事项，即被视为失信人，依据《关于对公共资源交易领域严重失信主体开展联合惩戒的备忘录》（发改法规[2018]457号），自愿接受失信联合惩戒和依法给予的行政处罚（处理），并依法承担赔偿责任和刑事责任。</w:t>
      </w:r>
    </w:p>
    <w:p w14:paraId="7ED07481">
      <w:pPr>
        <w:widowControl/>
        <w:spacing w:line="320" w:lineRule="exact"/>
        <w:ind w:firstLine="482"/>
        <w:jc w:val="left"/>
        <w:rPr>
          <w:rFonts w:hint="eastAsia" w:ascii="宋体" w:hAnsi="宋体" w:eastAsia="宋体" w:cs="宋体"/>
          <w:bCs/>
          <w:color w:val="auto"/>
          <w:kern w:val="0"/>
          <w:sz w:val="24"/>
          <w:highlight w:val="none"/>
        </w:rPr>
      </w:pPr>
    </w:p>
    <w:p w14:paraId="424CD080">
      <w:pPr>
        <w:widowControl/>
        <w:spacing w:line="320" w:lineRule="exact"/>
        <w:ind w:firstLine="482"/>
        <w:jc w:val="left"/>
        <w:rPr>
          <w:rFonts w:hint="eastAsia" w:ascii="宋体" w:hAnsi="宋体" w:eastAsia="宋体" w:cs="宋体"/>
          <w:bCs/>
          <w:color w:val="auto"/>
          <w:kern w:val="0"/>
          <w:sz w:val="24"/>
          <w:highlight w:val="none"/>
          <w:u w:val="single"/>
        </w:rPr>
      </w:pPr>
      <w:r>
        <w:rPr>
          <w:rFonts w:hint="eastAsia" w:ascii="宋体" w:hAnsi="宋体" w:eastAsia="宋体" w:cs="宋体"/>
          <w:bCs/>
          <w:color w:val="auto"/>
          <w:kern w:val="0"/>
          <w:sz w:val="24"/>
          <w:highlight w:val="none"/>
        </w:rPr>
        <w:t>承诺有效期限：</w:t>
      </w:r>
      <w:r>
        <w:rPr>
          <w:rFonts w:hint="eastAsia" w:ascii="宋体" w:hAnsi="宋体" w:eastAsia="宋体" w:cs="宋体"/>
          <w:bCs/>
          <w:color w:val="auto"/>
          <w:kern w:val="0"/>
          <w:sz w:val="24"/>
          <w:highlight w:val="none"/>
          <w:u w:val="single"/>
        </w:rPr>
        <w:t xml:space="preserve">        </w:t>
      </w:r>
      <w:r>
        <w:rPr>
          <w:rFonts w:hint="eastAsia" w:ascii="宋体" w:hAnsi="宋体" w:eastAsia="宋体" w:cs="宋体"/>
          <w:bCs/>
          <w:color w:val="auto"/>
          <w:kern w:val="0"/>
          <w:sz w:val="24"/>
          <w:highlight w:val="none"/>
        </w:rPr>
        <w:t>年</w:t>
      </w:r>
      <w:r>
        <w:rPr>
          <w:rFonts w:hint="eastAsia" w:ascii="宋体" w:hAnsi="宋体" w:eastAsia="宋体" w:cs="宋体"/>
          <w:bCs/>
          <w:color w:val="auto"/>
          <w:kern w:val="0"/>
          <w:sz w:val="24"/>
          <w:highlight w:val="none"/>
          <w:u w:val="single"/>
        </w:rPr>
        <w:t xml:space="preserve">     </w:t>
      </w:r>
      <w:r>
        <w:rPr>
          <w:rFonts w:hint="eastAsia" w:ascii="宋体" w:hAnsi="宋体" w:eastAsia="宋体" w:cs="宋体"/>
          <w:bCs/>
          <w:color w:val="auto"/>
          <w:kern w:val="0"/>
          <w:sz w:val="24"/>
          <w:highlight w:val="none"/>
        </w:rPr>
        <w:t>月</w:t>
      </w:r>
      <w:r>
        <w:rPr>
          <w:rFonts w:hint="eastAsia" w:ascii="宋体" w:hAnsi="宋体" w:eastAsia="宋体" w:cs="宋体"/>
          <w:bCs/>
          <w:color w:val="auto"/>
          <w:kern w:val="0"/>
          <w:sz w:val="24"/>
          <w:highlight w:val="none"/>
          <w:u w:val="single"/>
        </w:rPr>
        <w:t xml:space="preserve">     </w:t>
      </w:r>
      <w:r>
        <w:rPr>
          <w:rFonts w:hint="eastAsia" w:ascii="宋体" w:hAnsi="宋体" w:eastAsia="宋体" w:cs="宋体"/>
          <w:bCs/>
          <w:color w:val="auto"/>
          <w:kern w:val="0"/>
          <w:sz w:val="24"/>
          <w:highlight w:val="none"/>
        </w:rPr>
        <w:t>日—</w:t>
      </w:r>
      <w:r>
        <w:rPr>
          <w:rFonts w:hint="eastAsia" w:ascii="宋体" w:hAnsi="宋体" w:eastAsia="宋体" w:cs="宋体"/>
          <w:bCs/>
          <w:color w:val="auto"/>
          <w:kern w:val="0"/>
          <w:sz w:val="24"/>
          <w:highlight w:val="none"/>
          <w:u w:val="single"/>
        </w:rPr>
        <w:t xml:space="preserve">        </w:t>
      </w:r>
      <w:r>
        <w:rPr>
          <w:rFonts w:hint="eastAsia" w:ascii="宋体" w:hAnsi="宋体" w:eastAsia="宋体" w:cs="宋体"/>
          <w:bCs/>
          <w:color w:val="auto"/>
          <w:kern w:val="0"/>
          <w:sz w:val="24"/>
          <w:highlight w:val="none"/>
        </w:rPr>
        <w:t>年</w:t>
      </w:r>
      <w:r>
        <w:rPr>
          <w:rFonts w:hint="eastAsia" w:ascii="宋体" w:hAnsi="宋体" w:eastAsia="宋体" w:cs="宋体"/>
          <w:bCs/>
          <w:color w:val="auto"/>
          <w:kern w:val="0"/>
          <w:sz w:val="24"/>
          <w:highlight w:val="none"/>
          <w:u w:val="single"/>
        </w:rPr>
        <w:t xml:space="preserve">     </w:t>
      </w:r>
      <w:r>
        <w:rPr>
          <w:rFonts w:hint="eastAsia" w:ascii="宋体" w:hAnsi="宋体" w:eastAsia="宋体" w:cs="宋体"/>
          <w:bCs/>
          <w:color w:val="auto"/>
          <w:kern w:val="0"/>
          <w:sz w:val="24"/>
          <w:highlight w:val="none"/>
        </w:rPr>
        <w:t>月</w:t>
      </w:r>
      <w:r>
        <w:rPr>
          <w:rFonts w:hint="eastAsia" w:ascii="宋体" w:hAnsi="宋体" w:eastAsia="宋体" w:cs="宋体"/>
          <w:bCs/>
          <w:color w:val="auto"/>
          <w:kern w:val="0"/>
          <w:sz w:val="24"/>
          <w:highlight w:val="none"/>
          <w:u w:val="single"/>
        </w:rPr>
        <w:t xml:space="preserve">     </w:t>
      </w:r>
      <w:r>
        <w:rPr>
          <w:rFonts w:hint="eastAsia" w:ascii="宋体" w:hAnsi="宋体" w:eastAsia="宋体" w:cs="宋体"/>
          <w:bCs/>
          <w:color w:val="auto"/>
          <w:kern w:val="0"/>
          <w:sz w:val="24"/>
          <w:highlight w:val="none"/>
        </w:rPr>
        <w:t>日</w:t>
      </w:r>
    </w:p>
    <w:p w14:paraId="19063AC1">
      <w:pPr>
        <w:widowControl/>
        <w:spacing w:line="320" w:lineRule="exact"/>
        <w:ind w:firstLine="482"/>
        <w:jc w:val="left"/>
        <w:rPr>
          <w:rFonts w:hint="eastAsia" w:ascii="宋体" w:hAnsi="宋体" w:eastAsia="宋体" w:cs="宋体"/>
          <w:bCs/>
          <w:color w:val="auto"/>
          <w:kern w:val="0"/>
          <w:sz w:val="24"/>
          <w:highlight w:val="none"/>
        </w:rPr>
      </w:pPr>
    </w:p>
    <w:p w14:paraId="51119F0F">
      <w:pPr>
        <w:widowControl/>
        <w:spacing w:line="320" w:lineRule="exact"/>
        <w:ind w:firstLine="482"/>
        <w:jc w:val="left"/>
        <w:rPr>
          <w:rFonts w:hint="eastAsia" w:ascii="宋体" w:hAnsi="宋体" w:eastAsia="宋体" w:cs="宋体"/>
          <w:bCs/>
          <w:color w:val="auto"/>
          <w:kern w:val="0"/>
          <w:sz w:val="24"/>
          <w:highlight w:val="none"/>
          <w:u w:val="single"/>
        </w:rPr>
      </w:pPr>
      <w:r>
        <w:rPr>
          <w:rFonts w:hint="eastAsia" w:ascii="宋体" w:hAnsi="宋体" w:eastAsia="宋体" w:cs="宋体"/>
          <w:bCs/>
          <w:color w:val="auto"/>
          <w:kern w:val="0"/>
          <w:sz w:val="24"/>
          <w:highlight w:val="none"/>
        </w:rPr>
        <w:t>投标人：</w:t>
      </w:r>
      <w:r>
        <w:rPr>
          <w:rFonts w:hint="eastAsia" w:ascii="宋体" w:hAnsi="宋体" w:eastAsia="宋体" w:cs="宋体"/>
          <w:bCs/>
          <w:color w:val="auto"/>
          <w:kern w:val="0"/>
          <w:sz w:val="24"/>
          <w:highlight w:val="none"/>
          <w:u w:val="single"/>
        </w:rPr>
        <w:t xml:space="preserve">                                                        </w:t>
      </w:r>
    </w:p>
    <w:p w14:paraId="75B7E5BF">
      <w:pPr>
        <w:widowControl/>
        <w:spacing w:line="320" w:lineRule="exact"/>
        <w:ind w:firstLine="482"/>
        <w:jc w:val="left"/>
        <w:rPr>
          <w:rFonts w:hint="eastAsia" w:ascii="宋体" w:hAnsi="宋体" w:eastAsia="宋体" w:cs="宋体"/>
          <w:bCs/>
          <w:color w:val="auto"/>
          <w:kern w:val="0"/>
          <w:sz w:val="24"/>
          <w:highlight w:val="none"/>
        </w:rPr>
      </w:pPr>
    </w:p>
    <w:p w14:paraId="0E3B3F1D">
      <w:pPr>
        <w:widowControl/>
        <w:spacing w:line="320" w:lineRule="exact"/>
        <w:ind w:firstLine="482"/>
        <w:jc w:val="left"/>
        <w:rPr>
          <w:rFonts w:hint="eastAsia" w:ascii="宋体" w:hAnsi="宋体" w:eastAsia="宋体" w:cs="宋体"/>
          <w:bCs/>
          <w:color w:val="auto"/>
          <w:kern w:val="0"/>
          <w:sz w:val="24"/>
          <w:highlight w:val="none"/>
          <w:u w:val="single"/>
        </w:rPr>
      </w:pPr>
      <w:r>
        <w:rPr>
          <w:rFonts w:hint="eastAsia" w:ascii="宋体" w:hAnsi="宋体" w:eastAsia="宋体" w:cs="宋体"/>
          <w:bCs/>
          <w:color w:val="auto"/>
          <w:kern w:val="0"/>
          <w:sz w:val="24"/>
          <w:highlight w:val="none"/>
        </w:rPr>
        <w:t>承诺人</w:t>
      </w:r>
      <w:r>
        <w:rPr>
          <w:rFonts w:hint="eastAsia" w:ascii="宋体" w:hAnsi="宋体" w:eastAsia="宋体" w:cs="宋体"/>
          <w:bCs/>
          <w:color w:val="auto"/>
          <w:sz w:val="24"/>
          <w:szCs w:val="24"/>
          <w:highlight w:val="none"/>
        </w:rPr>
        <w:t>（签字或盖章）</w:t>
      </w:r>
      <w:r>
        <w:rPr>
          <w:rFonts w:hint="eastAsia" w:ascii="宋体" w:hAnsi="宋体" w:eastAsia="宋体" w:cs="宋体"/>
          <w:bCs/>
          <w:color w:val="auto"/>
          <w:kern w:val="0"/>
          <w:sz w:val="24"/>
          <w:highlight w:val="none"/>
        </w:rPr>
        <w:t>：</w:t>
      </w:r>
      <w:r>
        <w:rPr>
          <w:rFonts w:hint="eastAsia" w:ascii="宋体" w:hAnsi="宋体" w:eastAsia="宋体" w:cs="宋体"/>
          <w:bCs/>
          <w:color w:val="auto"/>
          <w:kern w:val="0"/>
          <w:sz w:val="24"/>
          <w:highlight w:val="none"/>
          <w:u w:val="single"/>
        </w:rPr>
        <w:t xml:space="preserve">                 </w:t>
      </w:r>
    </w:p>
    <w:p w14:paraId="7CA2029F">
      <w:pPr>
        <w:widowControl/>
        <w:spacing w:line="320" w:lineRule="exact"/>
        <w:ind w:firstLine="482"/>
        <w:jc w:val="left"/>
        <w:rPr>
          <w:rFonts w:hint="eastAsia" w:ascii="宋体" w:hAnsi="宋体" w:eastAsia="宋体" w:cs="宋体"/>
          <w:bCs/>
          <w:color w:val="auto"/>
          <w:kern w:val="0"/>
          <w:sz w:val="24"/>
          <w:highlight w:val="none"/>
          <w:u w:val="single"/>
        </w:rPr>
      </w:pPr>
    </w:p>
    <w:p w14:paraId="1BB99896">
      <w:pPr>
        <w:ind w:firstLine="480" w:firstLineChars="200"/>
        <w:rPr>
          <w:rFonts w:hint="eastAsia" w:ascii="宋体" w:hAnsi="宋体" w:eastAsia="宋体" w:cs="宋体"/>
          <w:bCs/>
          <w:color w:val="auto"/>
          <w:highlight w:val="none"/>
        </w:rPr>
      </w:pPr>
      <w:r>
        <w:rPr>
          <w:rFonts w:hint="eastAsia" w:ascii="宋体" w:hAnsi="宋体" w:eastAsia="宋体" w:cs="宋体"/>
          <w:bCs/>
          <w:color w:val="auto"/>
          <w:kern w:val="0"/>
          <w:sz w:val="24"/>
          <w:highlight w:val="none"/>
        </w:rPr>
        <w:t>承诺时间：</w:t>
      </w:r>
      <w:r>
        <w:rPr>
          <w:rFonts w:hint="eastAsia" w:ascii="宋体" w:hAnsi="宋体" w:eastAsia="宋体" w:cs="宋体"/>
          <w:bCs/>
          <w:color w:val="auto"/>
          <w:kern w:val="0"/>
          <w:sz w:val="24"/>
          <w:highlight w:val="none"/>
          <w:u w:val="single"/>
        </w:rPr>
        <w:t xml:space="preserve">       </w:t>
      </w:r>
      <w:r>
        <w:rPr>
          <w:rFonts w:hint="eastAsia" w:ascii="宋体" w:hAnsi="宋体" w:eastAsia="宋体" w:cs="宋体"/>
          <w:bCs/>
          <w:color w:val="auto"/>
          <w:kern w:val="0"/>
          <w:sz w:val="24"/>
          <w:highlight w:val="none"/>
        </w:rPr>
        <w:t>年</w:t>
      </w:r>
      <w:r>
        <w:rPr>
          <w:rFonts w:hint="eastAsia" w:ascii="宋体" w:hAnsi="宋体" w:eastAsia="宋体" w:cs="宋体"/>
          <w:bCs/>
          <w:color w:val="auto"/>
          <w:kern w:val="0"/>
          <w:sz w:val="24"/>
          <w:highlight w:val="none"/>
          <w:u w:val="single"/>
        </w:rPr>
        <w:t xml:space="preserve">     </w:t>
      </w:r>
      <w:r>
        <w:rPr>
          <w:rFonts w:hint="eastAsia" w:ascii="宋体" w:hAnsi="宋体" w:eastAsia="宋体" w:cs="宋体"/>
          <w:bCs/>
          <w:color w:val="auto"/>
          <w:kern w:val="0"/>
          <w:sz w:val="24"/>
          <w:highlight w:val="none"/>
        </w:rPr>
        <w:t>月</w:t>
      </w:r>
      <w:r>
        <w:rPr>
          <w:rFonts w:hint="eastAsia" w:ascii="宋体" w:hAnsi="宋体" w:eastAsia="宋体" w:cs="宋体"/>
          <w:bCs/>
          <w:color w:val="auto"/>
          <w:kern w:val="0"/>
          <w:sz w:val="24"/>
          <w:highlight w:val="none"/>
          <w:u w:val="single"/>
        </w:rPr>
        <w:t xml:space="preserve">     </w:t>
      </w:r>
      <w:r>
        <w:rPr>
          <w:rFonts w:hint="eastAsia" w:ascii="宋体" w:hAnsi="宋体" w:eastAsia="宋体" w:cs="宋体"/>
          <w:bCs/>
          <w:color w:val="auto"/>
          <w:kern w:val="0"/>
          <w:sz w:val="24"/>
          <w:highlight w:val="none"/>
        </w:rPr>
        <w:t>日</w:t>
      </w:r>
    </w:p>
    <w:p w14:paraId="1AE48A95">
      <w:pPr>
        <w:spacing w:line="560" w:lineRule="exact"/>
        <w:ind w:right="-2"/>
        <w:jc w:val="center"/>
        <w:rPr>
          <w:rFonts w:hint="eastAsia" w:ascii="宋体" w:hAnsi="宋体" w:eastAsia="宋体" w:cs="宋体"/>
          <w:bCs/>
          <w:color w:val="auto"/>
          <w:sz w:val="32"/>
          <w:szCs w:val="32"/>
          <w:highlight w:val="none"/>
        </w:rPr>
        <w:sectPr>
          <w:pgSz w:w="11906" w:h="16838"/>
          <w:pgMar w:top="1440" w:right="1080" w:bottom="1440" w:left="1080" w:header="1134" w:footer="1134" w:gutter="0"/>
          <w:pgNumType w:fmt="decimal"/>
          <w:cols w:space="720" w:num="1"/>
          <w:docGrid w:type="lines" w:linePitch="313" w:charSpace="0"/>
        </w:sectPr>
      </w:pPr>
    </w:p>
    <w:p w14:paraId="3F9CC56C">
      <w:pPr>
        <w:spacing w:line="560" w:lineRule="exact"/>
        <w:ind w:right="-2"/>
        <w:jc w:val="center"/>
        <w:outlineLvl w:val="0"/>
        <w:rPr>
          <w:rFonts w:hint="eastAsia" w:ascii="宋体" w:hAnsi="宋体" w:eastAsia="宋体" w:cs="宋体"/>
          <w:bCs/>
          <w:color w:val="auto"/>
          <w:kern w:val="0"/>
          <w:szCs w:val="16"/>
          <w:highlight w:val="none"/>
        </w:rPr>
      </w:pPr>
      <w:bookmarkStart w:id="607" w:name="_Toc20575"/>
      <w:bookmarkStart w:id="608" w:name="_Toc22155"/>
      <w:r>
        <w:rPr>
          <w:rFonts w:hint="eastAsia" w:ascii="宋体" w:hAnsi="宋体" w:eastAsia="宋体" w:cs="宋体"/>
          <w:bCs/>
          <w:color w:val="auto"/>
          <w:sz w:val="32"/>
          <w:szCs w:val="32"/>
          <w:highlight w:val="none"/>
        </w:rPr>
        <w:t>附件3 投标信用承诺书</w:t>
      </w:r>
      <w:bookmarkEnd w:id="607"/>
      <w:bookmarkEnd w:id="608"/>
    </w:p>
    <w:p w14:paraId="0985329E">
      <w:pPr>
        <w:widowControl/>
        <w:spacing w:line="540" w:lineRule="exact"/>
        <w:jc w:val="left"/>
        <w:rPr>
          <w:rFonts w:hint="eastAsia" w:ascii="宋体" w:hAnsi="宋体" w:eastAsia="宋体" w:cs="宋体"/>
          <w:bCs/>
          <w:color w:val="auto"/>
          <w:kern w:val="0"/>
          <w:sz w:val="24"/>
          <w:highlight w:val="none"/>
          <w:u w:val="single"/>
        </w:rPr>
      </w:pPr>
      <w:r>
        <w:rPr>
          <w:rFonts w:hint="eastAsia" w:ascii="宋体" w:hAnsi="宋体" w:eastAsia="宋体" w:cs="宋体"/>
          <w:bCs/>
          <w:color w:val="auto"/>
          <w:kern w:val="0"/>
          <w:sz w:val="24"/>
          <w:highlight w:val="none"/>
        </w:rPr>
        <w:t>项目标段：</w:t>
      </w:r>
      <w:r>
        <w:rPr>
          <w:rFonts w:hint="eastAsia" w:ascii="宋体" w:hAnsi="宋体" w:eastAsia="宋体" w:cs="宋体"/>
          <w:bCs/>
          <w:color w:val="auto"/>
          <w:kern w:val="0"/>
          <w:sz w:val="24"/>
          <w:highlight w:val="none"/>
          <w:u w:val="single"/>
        </w:rPr>
        <w:t xml:space="preserve">                                                                  </w:t>
      </w:r>
    </w:p>
    <w:p w14:paraId="39FAD033">
      <w:pPr>
        <w:widowControl/>
        <w:spacing w:line="540" w:lineRule="exact"/>
        <w:jc w:val="left"/>
        <w:rPr>
          <w:rFonts w:hint="eastAsia" w:ascii="宋体" w:hAnsi="宋体" w:eastAsia="宋体" w:cs="宋体"/>
          <w:bCs/>
          <w:color w:val="auto"/>
          <w:kern w:val="0"/>
          <w:sz w:val="24"/>
          <w:highlight w:val="none"/>
          <w:u w:val="single"/>
        </w:rPr>
      </w:pPr>
      <w:r>
        <w:rPr>
          <w:rFonts w:hint="eastAsia" w:ascii="宋体" w:hAnsi="宋体" w:eastAsia="宋体" w:cs="宋体"/>
          <w:bCs/>
          <w:color w:val="auto"/>
          <w:kern w:val="0"/>
          <w:sz w:val="24"/>
          <w:highlight w:val="none"/>
        </w:rPr>
        <w:t>投标人：</w:t>
      </w:r>
      <w:r>
        <w:rPr>
          <w:rFonts w:hint="eastAsia" w:ascii="宋体" w:hAnsi="宋体" w:eastAsia="宋体" w:cs="宋体"/>
          <w:bCs/>
          <w:color w:val="auto"/>
          <w:kern w:val="0"/>
          <w:sz w:val="24"/>
          <w:highlight w:val="none"/>
          <w:u w:val="single"/>
        </w:rPr>
        <w:t xml:space="preserve">                                                                    </w:t>
      </w:r>
    </w:p>
    <w:p w14:paraId="29497F74">
      <w:pPr>
        <w:widowControl/>
        <w:spacing w:line="540" w:lineRule="exact"/>
        <w:jc w:val="left"/>
        <w:rPr>
          <w:rFonts w:hint="eastAsia" w:ascii="宋体" w:hAnsi="宋体" w:eastAsia="宋体" w:cs="宋体"/>
          <w:bCs/>
          <w:color w:val="auto"/>
          <w:kern w:val="0"/>
          <w:sz w:val="24"/>
          <w:highlight w:val="none"/>
          <w:u w:val="single"/>
        </w:rPr>
      </w:pPr>
      <w:r>
        <w:rPr>
          <w:rFonts w:hint="eastAsia" w:ascii="宋体" w:hAnsi="宋体" w:eastAsia="宋体" w:cs="宋体"/>
          <w:bCs/>
          <w:color w:val="auto"/>
          <w:kern w:val="0"/>
          <w:sz w:val="24"/>
          <w:highlight w:val="none"/>
        </w:rPr>
        <w:t>统一社会信用代码：</w:t>
      </w:r>
      <w:r>
        <w:rPr>
          <w:rFonts w:hint="eastAsia" w:ascii="宋体" w:hAnsi="宋体" w:eastAsia="宋体" w:cs="宋体"/>
          <w:bCs/>
          <w:color w:val="auto"/>
          <w:kern w:val="0"/>
          <w:sz w:val="24"/>
          <w:highlight w:val="none"/>
          <w:u w:val="single"/>
        </w:rPr>
        <w:t xml:space="preserve">                               </w:t>
      </w:r>
      <w:r>
        <w:rPr>
          <w:rFonts w:hint="eastAsia" w:ascii="宋体" w:hAnsi="宋体" w:eastAsia="宋体" w:cs="宋体"/>
          <w:bCs/>
          <w:color w:val="auto"/>
          <w:kern w:val="0"/>
          <w:sz w:val="24"/>
          <w:highlight w:val="none"/>
        </w:rPr>
        <w:t>法人代表：</w:t>
      </w:r>
      <w:r>
        <w:rPr>
          <w:rFonts w:hint="eastAsia" w:ascii="宋体" w:hAnsi="宋体" w:eastAsia="宋体" w:cs="宋体"/>
          <w:bCs/>
          <w:color w:val="auto"/>
          <w:kern w:val="0"/>
          <w:sz w:val="24"/>
          <w:highlight w:val="none"/>
          <w:u w:val="single"/>
        </w:rPr>
        <w:t xml:space="preserve">                 </w:t>
      </w:r>
    </w:p>
    <w:p w14:paraId="4026A4E4">
      <w:pPr>
        <w:widowControl/>
        <w:adjustRightInd w:val="0"/>
        <w:snapToGrid w:val="0"/>
        <w:spacing w:line="540" w:lineRule="exact"/>
        <w:ind w:firstLine="480" w:firstLineChars="200"/>
        <w:jc w:val="left"/>
        <w:rPr>
          <w:rFonts w:hint="eastAsia" w:ascii="宋体" w:hAnsi="宋体" w:eastAsia="宋体" w:cs="宋体"/>
          <w:bCs/>
          <w:color w:val="auto"/>
          <w:kern w:val="0"/>
          <w:sz w:val="24"/>
          <w:highlight w:val="none"/>
        </w:rPr>
      </w:pPr>
      <w:r>
        <w:rPr>
          <w:rFonts w:hint="eastAsia" w:ascii="宋体" w:hAnsi="宋体" w:eastAsia="宋体" w:cs="宋体"/>
          <w:bCs/>
          <w:color w:val="auto"/>
          <w:kern w:val="0"/>
          <w:sz w:val="24"/>
          <w:highlight w:val="none"/>
        </w:rPr>
        <w:t>在本项目标段招投标活动中，我公司（单位）自愿作出以下投标信用承诺：</w:t>
      </w:r>
    </w:p>
    <w:p w14:paraId="02AF8619">
      <w:pPr>
        <w:widowControl/>
        <w:adjustRightInd w:val="0"/>
        <w:snapToGrid w:val="0"/>
        <w:spacing w:line="540" w:lineRule="exact"/>
        <w:ind w:firstLine="480" w:firstLineChars="200"/>
        <w:jc w:val="left"/>
        <w:rPr>
          <w:rFonts w:hint="eastAsia" w:ascii="宋体" w:hAnsi="宋体" w:eastAsia="宋体" w:cs="宋体"/>
          <w:bCs/>
          <w:color w:val="auto"/>
          <w:kern w:val="0"/>
          <w:sz w:val="24"/>
          <w:highlight w:val="none"/>
        </w:rPr>
      </w:pPr>
      <w:bookmarkStart w:id="609" w:name="_Toc14815"/>
      <w:r>
        <w:rPr>
          <w:rFonts w:hint="eastAsia" w:ascii="宋体" w:hAnsi="宋体" w:eastAsia="宋体" w:cs="宋体"/>
          <w:bCs/>
          <w:color w:val="auto"/>
          <w:kern w:val="0"/>
          <w:sz w:val="24"/>
          <w:highlight w:val="none"/>
        </w:rPr>
        <w:t>（一）能严格遵守法律法规、职业道德和行业规范。</w:t>
      </w:r>
      <w:bookmarkEnd w:id="609"/>
    </w:p>
    <w:p w14:paraId="4C186B60">
      <w:pPr>
        <w:widowControl/>
        <w:adjustRightInd w:val="0"/>
        <w:snapToGrid w:val="0"/>
        <w:spacing w:line="540" w:lineRule="exact"/>
        <w:ind w:firstLine="480" w:firstLineChars="200"/>
        <w:jc w:val="left"/>
        <w:rPr>
          <w:rFonts w:hint="eastAsia" w:ascii="宋体" w:hAnsi="宋体" w:eastAsia="宋体" w:cs="宋体"/>
          <w:bCs/>
          <w:color w:val="auto"/>
          <w:kern w:val="0"/>
          <w:sz w:val="24"/>
          <w:highlight w:val="none"/>
        </w:rPr>
      </w:pPr>
      <w:r>
        <w:rPr>
          <w:rFonts w:hint="eastAsia" w:ascii="宋体" w:hAnsi="宋体" w:eastAsia="宋体" w:cs="宋体"/>
          <w:bCs/>
          <w:color w:val="auto"/>
          <w:kern w:val="0"/>
          <w:sz w:val="24"/>
          <w:highlight w:val="none"/>
        </w:rPr>
        <w:t>（二）不得有以下违法违规行为：1.围标串标；以他人名义或者其他方式弄虚作假投标；出让出租资格、资质证书供他人投标；恶意竞标、强揽工程；以暴力、威胁、利诱等手段阻止或者控制其他潜在投标人参与招投标活动。2.向招投标监督部门、交易中心、招标人、招标代理机构、评审委员会及其成员等当事主体赠送财物。3.投标截止后至中标人确定前，修改或者撤销投标文件。4.在被确定为中标人后无正当理由：不按照竞争性谈判文件和投标文件与招标人签订合同；在签订合同时向招标人提出附加条件、或者改变投标文件的实质性内容；放弃中标；不按照竞争性谈判文件的规定提交履约保证金。5.招投标法规定的其它违法违规行为。</w:t>
      </w:r>
    </w:p>
    <w:p w14:paraId="453E06F9">
      <w:pPr>
        <w:widowControl/>
        <w:adjustRightInd w:val="0"/>
        <w:snapToGrid w:val="0"/>
        <w:spacing w:line="540" w:lineRule="exact"/>
        <w:ind w:firstLine="480" w:firstLineChars="200"/>
        <w:jc w:val="left"/>
        <w:rPr>
          <w:rFonts w:hint="eastAsia" w:ascii="宋体" w:hAnsi="宋体" w:eastAsia="宋体" w:cs="宋体"/>
          <w:bCs/>
          <w:color w:val="auto"/>
          <w:kern w:val="0"/>
          <w:sz w:val="24"/>
          <w:highlight w:val="none"/>
        </w:rPr>
      </w:pPr>
      <w:r>
        <w:rPr>
          <w:rFonts w:hint="eastAsia" w:ascii="宋体" w:hAnsi="宋体" w:eastAsia="宋体" w:cs="宋体"/>
          <w:bCs/>
          <w:color w:val="auto"/>
          <w:kern w:val="0"/>
          <w:sz w:val="24"/>
          <w:highlight w:val="none"/>
        </w:rPr>
        <w:t>（三）若我公司（单位）及相关参与人员违背以上承诺事项，即被视为失信企业（法人），依据《关于对公共资源交易领域严重失信主体开展联合惩戒的备忘录》（发改法规[2018]457号），自愿接受1至3年内限制参与公共资源交易活动。</w:t>
      </w:r>
    </w:p>
    <w:p w14:paraId="13138109">
      <w:pPr>
        <w:widowControl/>
        <w:adjustRightInd w:val="0"/>
        <w:snapToGrid w:val="0"/>
        <w:spacing w:line="540" w:lineRule="exact"/>
        <w:ind w:firstLine="480" w:firstLineChars="200"/>
        <w:jc w:val="left"/>
        <w:rPr>
          <w:rFonts w:hint="eastAsia" w:ascii="宋体" w:hAnsi="宋体" w:eastAsia="宋体" w:cs="宋体"/>
          <w:bCs/>
          <w:color w:val="auto"/>
          <w:kern w:val="0"/>
          <w:sz w:val="24"/>
          <w:highlight w:val="none"/>
        </w:rPr>
      </w:pPr>
    </w:p>
    <w:p w14:paraId="70FB3C85">
      <w:pPr>
        <w:widowControl/>
        <w:tabs>
          <w:tab w:val="left" w:pos="4395"/>
        </w:tabs>
        <w:adjustRightInd w:val="0"/>
        <w:snapToGrid w:val="0"/>
        <w:spacing w:line="500" w:lineRule="exact"/>
        <w:ind w:firstLine="480" w:firstLineChars="200"/>
        <w:jc w:val="left"/>
        <w:rPr>
          <w:rFonts w:hint="eastAsia" w:ascii="宋体" w:hAnsi="宋体" w:eastAsia="宋体" w:cs="宋体"/>
          <w:bCs/>
          <w:color w:val="auto"/>
          <w:kern w:val="0"/>
          <w:sz w:val="24"/>
          <w:highlight w:val="none"/>
        </w:rPr>
      </w:pPr>
      <w:r>
        <w:rPr>
          <w:rFonts w:hint="eastAsia" w:ascii="宋体" w:hAnsi="宋体" w:eastAsia="宋体" w:cs="宋体"/>
          <w:bCs/>
          <w:color w:val="auto"/>
          <w:kern w:val="0"/>
          <w:sz w:val="24"/>
          <w:highlight w:val="none"/>
        </w:rPr>
        <w:t>法定代表人（签章）：             投标人（盖章）：</w:t>
      </w:r>
    </w:p>
    <w:p w14:paraId="39202AFD">
      <w:pPr>
        <w:adjustRightInd w:val="0"/>
        <w:snapToGrid w:val="0"/>
        <w:spacing w:line="500" w:lineRule="exact"/>
        <w:rPr>
          <w:rFonts w:hint="eastAsia" w:ascii="宋体" w:hAnsi="宋体" w:eastAsia="宋体" w:cs="宋体"/>
          <w:bCs/>
          <w:color w:val="auto"/>
          <w:kern w:val="0"/>
          <w:sz w:val="24"/>
          <w:highlight w:val="none"/>
        </w:rPr>
      </w:pPr>
    </w:p>
    <w:p w14:paraId="2B8A1C23">
      <w:pPr>
        <w:adjustRightInd w:val="0"/>
        <w:snapToGrid w:val="0"/>
        <w:spacing w:line="500" w:lineRule="exact"/>
        <w:ind w:firstLine="4440" w:firstLineChars="1850"/>
        <w:rPr>
          <w:rFonts w:hint="eastAsia" w:ascii="宋体" w:hAnsi="宋体" w:eastAsia="宋体" w:cs="宋体"/>
          <w:bCs/>
          <w:color w:val="auto"/>
          <w:kern w:val="0"/>
          <w:sz w:val="24"/>
          <w:highlight w:val="none"/>
        </w:rPr>
      </w:pPr>
      <w:r>
        <w:rPr>
          <w:rFonts w:hint="eastAsia" w:ascii="宋体" w:hAnsi="宋体" w:eastAsia="宋体" w:cs="宋体"/>
          <w:bCs/>
          <w:color w:val="auto"/>
          <w:kern w:val="0"/>
          <w:sz w:val="24"/>
          <w:highlight w:val="none"/>
        </w:rPr>
        <w:t>承诺时间：</w:t>
      </w:r>
      <w:r>
        <w:rPr>
          <w:rFonts w:hint="eastAsia" w:ascii="宋体" w:hAnsi="宋体" w:eastAsia="宋体" w:cs="宋体"/>
          <w:bCs/>
          <w:color w:val="auto"/>
          <w:kern w:val="0"/>
          <w:sz w:val="24"/>
          <w:highlight w:val="none"/>
          <w:u w:val="single"/>
        </w:rPr>
        <w:t xml:space="preserve">       </w:t>
      </w:r>
      <w:r>
        <w:rPr>
          <w:rFonts w:hint="eastAsia" w:ascii="宋体" w:hAnsi="宋体" w:eastAsia="宋体" w:cs="宋体"/>
          <w:bCs/>
          <w:color w:val="auto"/>
          <w:kern w:val="0"/>
          <w:sz w:val="24"/>
          <w:highlight w:val="none"/>
        </w:rPr>
        <w:t>年</w:t>
      </w:r>
      <w:r>
        <w:rPr>
          <w:rFonts w:hint="eastAsia" w:ascii="宋体" w:hAnsi="宋体" w:eastAsia="宋体" w:cs="宋体"/>
          <w:bCs/>
          <w:color w:val="auto"/>
          <w:kern w:val="0"/>
          <w:sz w:val="24"/>
          <w:highlight w:val="none"/>
          <w:u w:val="single"/>
        </w:rPr>
        <w:t xml:space="preserve">     </w:t>
      </w:r>
      <w:r>
        <w:rPr>
          <w:rFonts w:hint="eastAsia" w:ascii="宋体" w:hAnsi="宋体" w:eastAsia="宋体" w:cs="宋体"/>
          <w:bCs/>
          <w:color w:val="auto"/>
          <w:kern w:val="0"/>
          <w:sz w:val="24"/>
          <w:highlight w:val="none"/>
        </w:rPr>
        <w:t>月</w:t>
      </w:r>
      <w:r>
        <w:rPr>
          <w:rFonts w:hint="eastAsia" w:ascii="宋体" w:hAnsi="宋体" w:eastAsia="宋体" w:cs="宋体"/>
          <w:bCs/>
          <w:color w:val="auto"/>
          <w:kern w:val="0"/>
          <w:sz w:val="24"/>
          <w:highlight w:val="none"/>
          <w:u w:val="single"/>
        </w:rPr>
        <w:t xml:space="preserve">     </w:t>
      </w:r>
      <w:r>
        <w:rPr>
          <w:rFonts w:hint="eastAsia" w:ascii="宋体" w:hAnsi="宋体" w:eastAsia="宋体" w:cs="宋体"/>
          <w:bCs/>
          <w:color w:val="auto"/>
          <w:kern w:val="0"/>
          <w:sz w:val="24"/>
          <w:highlight w:val="none"/>
        </w:rPr>
        <w:t>日</w:t>
      </w:r>
    </w:p>
    <w:p w14:paraId="310F895D">
      <w:pPr>
        <w:pStyle w:val="3"/>
        <w:spacing w:line="240" w:lineRule="auto"/>
        <w:jc w:val="center"/>
        <w:rPr>
          <w:rFonts w:hint="eastAsia"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lang w:val="en-US" w:eastAsia="zh-CN"/>
        </w:rPr>
        <w:t xml:space="preserve">  </w:t>
      </w:r>
      <w:bookmarkStart w:id="610" w:name="_Toc23551"/>
      <w:bookmarkStart w:id="611" w:name="_Toc7940"/>
      <w:r>
        <w:rPr>
          <w:rFonts w:hint="eastAsia" w:ascii="宋体" w:hAnsi="宋体" w:eastAsia="宋体" w:cs="宋体"/>
          <w:b w:val="0"/>
          <w:bCs/>
          <w:color w:val="auto"/>
          <w:sz w:val="24"/>
          <w:highlight w:val="none"/>
        </w:rPr>
        <w:t>说明：本承诺书效力和作用等同投标保证金，其有效期与投标有效期一致</w:t>
      </w:r>
      <w:r>
        <w:rPr>
          <w:rFonts w:hint="eastAsia" w:ascii="宋体" w:hAnsi="宋体" w:eastAsia="宋体" w:cs="宋体"/>
          <w:b w:val="0"/>
          <w:bCs/>
          <w:color w:val="auto"/>
          <w:sz w:val="24"/>
          <w:highlight w:val="none"/>
          <w:lang w:eastAsia="zh-CN"/>
        </w:rPr>
        <w:t>。</w:t>
      </w:r>
      <w:bookmarkEnd w:id="610"/>
      <w:bookmarkEnd w:id="611"/>
    </w:p>
    <w:p w14:paraId="54FDE3FF">
      <w:pPr>
        <w:pStyle w:val="3"/>
        <w:spacing w:line="240" w:lineRule="auto"/>
        <w:rPr>
          <w:rFonts w:hint="eastAsia" w:ascii="宋体" w:hAnsi="宋体" w:eastAsia="宋体" w:cs="宋体"/>
          <w:b w:val="0"/>
          <w:bCs/>
          <w:color w:val="auto"/>
          <w:highlight w:val="none"/>
        </w:rPr>
        <w:sectPr>
          <w:pgSz w:w="11906" w:h="16838"/>
          <w:pgMar w:top="1440" w:right="1080" w:bottom="1440" w:left="1080" w:header="1134" w:footer="1134" w:gutter="0"/>
          <w:pgNumType w:fmt="decimal"/>
          <w:cols w:space="720" w:num="1"/>
          <w:docGrid w:type="lines" w:linePitch="313" w:charSpace="0"/>
        </w:sectPr>
      </w:pPr>
      <w:r>
        <w:rPr>
          <w:rFonts w:hint="eastAsia" w:ascii="宋体" w:hAnsi="宋体" w:eastAsia="宋体" w:cs="宋体"/>
          <w:b w:val="0"/>
          <w:bCs/>
          <w:color w:val="auto"/>
          <w:sz w:val="24"/>
          <w:highlight w:val="none"/>
        </w:rPr>
        <w:t xml:space="preserve">    </w:t>
      </w:r>
    </w:p>
    <w:p w14:paraId="46CC3F7B">
      <w:pPr>
        <w:pStyle w:val="21"/>
        <w:shd w:val="clear" w:color="060000" w:fill="FFFFFF"/>
        <w:adjustRightInd w:val="0"/>
        <w:snapToGrid w:val="0"/>
        <w:spacing w:before="0" w:beforeAutospacing="0" w:after="150" w:afterAutospacing="0" w:line="360" w:lineRule="auto"/>
        <w:ind w:firstLine="480"/>
        <w:jc w:val="center"/>
        <w:outlineLvl w:val="0"/>
        <w:rPr>
          <w:rFonts w:hint="eastAsia" w:ascii="宋体" w:hAnsi="宋体" w:eastAsia="宋体" w:cs="宋体"/>
          <w:bCs/>
          <w:color w:val="auto"/>
          <w:kern w:val="2"/>
          <w:sz w:val="36"/>
          <w:szCs w:val="36"/>
          <w:highlight w:val="none"/>
        </w:rPr>
      </w:pPr>
      <w:bookmarkStart w:id="612" w:name="_Toc4617"/>
      <w:bookmarkStart w:id="613" w:name="_Toc3388"/>
      <w:bookmarkStart w:id="614" w:name="_Toc23751"/>
      <w:r>
        <w:rPr>
          <w:rFonts w:hint="eastAsia" w:ascii="宋体" w:hAnsi="宋体" w:eastAsia="宋体" w:cs="宋体"/>
          <w:bCs/>
          <w:color w:val="auto"/>
          <w:sz w:val="32"/>
          <w:szCs w:val="32"/>
          <w:highlight w:val="none"/>
        </w:rPr>
        <w:t xml:space="preserve">附件4 </w:t>
      </w:r>
      <w:r>
        <w:rPr>
          <w:rFonts w:hint="eastAsia" w:ascii="宋体" w:hAnsi="宋体" w:eastAsia="宋体" w:cs="宋体"/>
          <w:bCs/>
          <w:color w:val="auto"/>
          <w:kern w:val="2"/>
          <w:sz w:val="36"/>
          <w:szCs w:val="36"/>
          <w:highlight w:val="none"/>
        </w:rPr>
        <w:t>榆林市政府采购</w:t>
      </w:r>
      <w:r>
        <w:rPr>
          <w:rFonts w:hint="eastAsia" w:ascii="宋体" w:hAnsi="宋体" w:eastAsia="宋体" w:cs="宋体"/>
          <w:bCs/>
          <w:color w:val="auto"/>
          <w:kern w:val="2"/>
          <w:sz w:val="36"/>
          <w:szCs w:val="36"/>
          <w:highlight w:val="none"/>
          <w:lang w:val="en-US" w:eastAsia="zh-CN"/>
        </w:rPr>
        <w:t>服务</w:t>
      </w:r>
      <w:r>
        <w:rPr>
          <w:rFonts w:hint="eastAsia" w:ascii="宋体" w:hAnsi="宋体" w:eastAsia="宋体" w:cs="宋体"/>
          <w:bCs/>
          <w:color w:val="auto"/>
          <w:kern w:val="2"/>
          <w:sz w:val="36"/>
          <w:szCs w:val="36"/>
          <w:highlight w:val="none"/>
        </w:rPr>
        <w:t>类项目供应商信用承诺书</w:t>
      </w:r>
      <w:bookmarkEnd w:id="612"/>
      <w:bookmarkEnd w:id="613"/>
      <w:bookmarkEnd w:id="614"/>
    </w:p>
    <w:p w14:paraId="707C6D7B">
      <w:pPr>
        <w:pStyle w:val="21"/>
        <w:shd w:val="clear" w:color="auto" w:fill="FFFFFF"/>
        <w:adjustRightInd w:val="0"/>
        <w:snapToGrid w:val="0"/>
        <w:spacing w:before="0" w:beforeAutospacing="0" w:after="150" w:afterAutospacing="0" w:line="560" w:lineRule="exact"/>
        <w:ind w:firstLine="480"/>
        <w:jc w:val="both"/>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shd w:val="clear" w:color="auto" w:fill="FFFFFF"/>
        </w:rPr>
        <w:t>市场主体名称：</w:t>
      </w:r>
    </w:p>
    <w:p w14:paraId="2BFC9FD9">
      <w:pPr>
        <w:pStyle w:val="21"/>
        <w:shd w:val="clear" w:color="auto" w:fill="FFFFFF"/>
        <w:adjustRightInd w:val="0"/>
        <w:snapToGrid w:val="0"/>
        <w:spacing w:before="0" w:beforeAutospacing="0" w:after="150" w:afterAutospacing="0" w:line="560" w:lineRule="exact"/>
        <w:ind w:firstLine="480"/>
        <w:jc w:val="both"/>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shd w:val="clear" w:color="auto" w:fill="FFFFFF"/>
        </w:rPr>
        <w:t>证件类型：统一社会信用代码</w:t>
      </w:r>
    </w:p>
    <w:p w14:paraId="12778374">
      <w:pPr>
        <w:pStyle w:val="21"/>
        <w:shd w:val="clear" w:color="auto" w:fill="FFFFFF"/>
        <w:adjustRightInd w:val="0"/>
        <w:snapToGrid w:val="0"/>
        <w:spacing w:before="0" w:beforeAutospacing="0" w:after="150" w:afterAutospacing="0" w:line="560" w:lineRule="exact"/>
        <w:ind w:firstLine="480"/>
        <w:jc w:val="both"/>
        <w:rPr>
          <w:rFonts w:hint="eastAsia" w:ascii="宋体" w:hAnsi="宋体" w:eastAsia="宋体" w:cs="宋体"/>
          <w:bCs/>
          <w:color w:val="auto"/>
          <w:szCs w:val="24"/>
          <w:highlight w:val="none"/>
          <w:shd w:val="clear" w:color="auto" w:fill="FFFFFF"/>
        </w:rPr>
      </w:pPr>
      <w:r>
        <w:rPr>
          <w:rFonts w:hint="eastAsia" w:ascii="宋体" w:hAnsi="宋体" w:eastAsia="宋体" w:cs="宋体"/>
          <w:bCs/>
          <w:color w:val="auto"/>
          <w:szCs w:val="24"/>
          <w:highlight w:val="none"/>
          <w:shd w:val="clear" w:color="auto" w:fill="FFFFFF"/>
        </w:rPr>
        <w:t>证件号码：</w:t>
      </w:r>
    </w:p>
    <w:p w14:paraId="163D25D3">
      <w:pPr>
        <w:pStyle w:val="21"/>
        <w:shd w:val="clear" w:color="auto" w:fill="FFFFFF"/>
        <w:adjustRightInd w:val="0"/>
        <w:snapToGrid w:val="0"/>
        <w:spacing w:before="0" w:beforeAutospacing="0" w:after="150" w:afterAutospacing="0" w:line="560" w:lineRule="exact"/>
        <w:ind w:firstLine="480"/>
        <w:jc w:val="both"/>
        <w:rPr>
          <w:rFonts w:hint="eastAsia" w:ascii="宋体" w:hAnsi="宋体" w:eastAsia="宋体" w:cs="宋体"/>
          <w:bCs/>
          <w:color w:val="auto"/>
          <w:szCs w:val="24"/>
          <w:highlight w:val="none"/>
          <w:shd w:val="clear" w:color="auto" w:fill="FFFFFF"/>
        </w:rPr>
      </w:pPr>
      <w:r>
        <w:rPr>
          <w:rFonts w:hint="eastAsia" w:ascii="宋体" w:hAnsi="宋体" w:eastAsia="宋体" w:cs="宋体"/>
          <w:bCs/>
          <w:color w:val="auto"/>
          <w:szCs w:val="24"/>
          <w:highlight w:val="none"/>
          <w:shd w:val="clear" w:color="auto" w:fill="FFFFFF"/>
        </w:rPr>
        <w:t>法人代表：</w:t>
      </w:r>
    </w:p>
    <w:p w14:paraId="11F90ECC">
      <w:pPr>
        <w:pStyle w:val="21"/>
        <w:shd w:val="clear" w:color="auto" w:fill="FFFFFF"/>
        <w:adjustRightInd w:val="0"/>
        <w:snapToGrid w:val="0"/>
        <w:spacing w:before="0" w:beforeAutospacing="0" w:after="150" w:afterAutospacing="0" w:line="560" w:lineRule="exact"/>
        <w:ind w:firstLine="480"/>
        <w:jc w:val="both"/>
        <w:rPr>
          <w:rFonts w:hint="eastAsia" w:ascii="宋体" w:hAnsi="宋体" w:eastAsia="宋体" w:cs="宋体"/>
          <w:bCs/>
          <w:color w:val="auto"/>
          <w:szCs w:val="24"/>
          <w:highlight w:val="none"/>
          <w:shd w:val="clear" w:color="auto" w:fill="FFFFFF"/>
        </w:rPr>
      </w:pPr>
      <w:r>
        <w:rPr>
          <w:rFonts w:hint="eastAsia" w:ascii="宋体" w:hAnsi="宋体" w:eastAsia="宋体" w:cs="宋体"/>
          <w:bCs/>
          <w:color w:val="auto"/>
          <w:szCs w:val="24"/>
          <w:highlight w:val="none"/>
          <w:shd w:val="clear" w:color="auto" w:fill="FFFFFF"/>
        </w:rPr>
        <w:t>承诺有效期限：   年    月    日—    年    月     日（承诺期限为1年）</w:t>
      </w:r>
    </w:p>
    <w:p w14:paraId="6D79E21F">
      <w:pPr>
        <w:pStyle w:val="21"/>
        <w:shd w:val="clear" w:color="auto" w:fill="FFFFFF"/>
        <w:adjustRightInd w:val="0"/>
        <w:snapToGrid w:val="0"/>
        <w:spacing w:before="0" w:beforeAutospacing="0" w:after="150" w:afterAutospacing="0" w:line="560" w:lineRule="exact"/>
        <w:ind w:firstLine="480"/>
        <w:jc w:val="both"/>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shd w:val="clear" w:color="auto" w:fill="FFFFFF"/>
        </w:rPr>
        <w:t>承诺内容：</w:t>
      </w:r>
    </w:p>
    <w:p w14:paraId="251CE5FD">
      <w:pPr>
        <w:pStyle w:val="21"/>
        <w:shd w:val="clear" w:color="auto" w:fill="FFFFFF"/>
        <w:adjustRightInd w:val="0"/>
        <w:snapToGrid w:val="0"/>
        <w:spacing w:before="0" w:beforeAutospacing="0" w:after="150" w:afterAutospacing="0" w:line="560" w:lineRule="exact"/>
        <w:ind w:firstLine="640"/>
        <w:jc w:val="both"/>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shd w:val="clear" w:color="auto" w:fill="FFFFFF"/>
        </w:rPr>
        <w:t>为维护公开、公平、公正的政府采购市场秩序，树立诚实守信的政府采购供应商形象，本单位自愿做出以下承诺：</w:t>
      </w:r>
    </w:p>
    <w:p w14:paraId="617C794B">
      <w:pPr>
        <w:pStyle w:val="21"/>
        <w:shd w:val="clear" w:color="auto" w:fill="FFFFFF"/>
        <w:adjustRightInd w:val="0"/>
        <w:snapToGrid w:val="0"/>
        <w:spacing w:before="0" w:beforeAutospacing="0" w:after="150" w:afterAutospacing="0" w:line="560" w:lineRule="exact"/>
        <w:ind w:firstLine="640"/>
        <w:jc w:val="both"/>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shd w:val="clear" w:color="auto" w:fill="FFFFFF"/>
        </w:rPr>
        <w:t>一、承诺本单位严格遵守国家法律、法规和规章，全面履行应尽的责任和义务，全面做到履约守信，具备《政府采购法》第二十二条第一款规定的条件；</w:t>
      </w:r>
    </w:p>
    <w:p w14:paraId="034F7C9F">
      <w:pPr>
        <w:pStyle w:val="21"/>
        <w:shd w:val="clear" w:color="auto" w:fill="FFFFFF"/>
        <w:adjustRightInd w:val="0"/>
        <w:snapToGrid w:val="0"/>
        <w:spacing w:before="0" w:beforeAutospacing="0" w:after="150" w:afterAutospacing="0" w:line="560" w:lineRule="exact"/>
        <w:ind w:firstLine="640"/>
        <w:jc w:val="both"/>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shd w:val="clear" w:color="auto" w:fill="FFFFFF"/>
        </w:rPr>
        <w:t>二、承诺本单位提供给注册登记部门、行业管理部门、司法部门、行业组织以及在政府采购活动中提交的所有资料均合法、真实、有效，无任何伪造、修改、虚假成份，并对所提供资料的真实性负责；</w:t>
      </w:r>
    </w:p>
    <w:p w14:paraId="00FDAE16">
      <w:pPr>
        <w:pStyle w:val="21"/>
        <w:shd w:val="clear" w:color="auto" w:fill="FFFFFF"/>
        <w:adjustRightInd w:val="0"/>
        <w:snapToGrid w:val="0"/>
        <w:spacing w:before="0" w:beforeAutospacing="0" w:after="150" w:afterAutospacing="0" w:line="560" w:lineRule="exact"/>
        <w:ind w:firstLine="640"/>
        <w:jc w:val="both"/>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shd w:val="clear" w:color="auto" w:fill="FFFFFF"/>
        </w:rPr>
        <w:t>三、承诺本单位严格依法开展生产经营活动，主动接受行业监管，自愿接受依法开展的日常检查；违法失信经营后将自愿接受约束和惩戒，并依法承担相应责任；</w:t>
      </w:r>
    </w:p>
    <w:p w14:paraId="62EFC0B9">
      <w:pPr>
        <w:pStyle w:val="21"/>
        <w:shd w:val="clear" w:color="auto" w:fill="FFFFFF"/>
        <w:adjustRightInd w:val="0"/>
        <w:snapToGrid w:val="0"/>
        <w:spacing w:before="0" w:beforeAutospacing="0" w:after="150" w:afterAutospacing="0" w:line="560" w:lineRule="exact"/>
        <w:ind w:firstLine="640"/>
        <w:jc w:val="both"/>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shd w:val="clear" w:color="auto" w:fill="FFFFFF"/>
        </w:rPr>
        <w:t>四、承诺本单位自觉接受行政管理部门、行业组织、社会公众、新闻舆论的监督；</w:t>
      </w:r>
    </w:p>
    <w:p w14:paraId="1131ABAB">
      <w:pPr>
        <w:pStyle w:val="21"/>
        <w:shd w:val="clear" w:color="auto" w:fill="FFFFFF"/>
        <w:adjustRightInd w:val="0"/>
        <w:snapToGrid w:val="0"/>
        <w:spacing w:before="0" w:beforeAutospacing="0" w:after="150" w:afterAutospacing="0" w:line="560" w:lineRule="exact"/>
        <w:ind w:firstLine="640"/>
        <w:jc w:val="both"/>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shd w:val="clear" w:color="auto" w:fill="FFFFFF"/>
        </w:rPr>
        <w:t>五、承诺本单位自我约束、自我管理，重合同、守信用，不制假售假、商标侵权、虚假宣传、违约毁约、恶意逃债、偷税漏税、价格欺诈、垄断和不正当竞争，维护经营者、消费者的合法权益；</w:t>
      </w:r>
    </w:p>
    <w:p w14:paraId="23AF95CB">
      <w:pPr>
        <w:pStyle w:val="21"/>
        <w:shd w:val="clear" w:color="auto" w:fill="FFFFFF"/>
        <w:adjustRightInd w:val="0"/>
        <w:snapToGrid w:val="0"/>
        <w:spacing w:before="0" w:beforeAutospacing="0" w:after="150" w:afterAutospacing="0" w:line="560" w:lineRule="exact"/>
        <w:ind w:firstLine="640"/>
        <w:jc w:val="both"/>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shd w:val="clear" w:color="auto" w:fill="FFFFFF"/>
        </w:rPr>
        <w:t>六、承诺本单位提出政府采购质疑和投诉坚持依法依规、诚实信用原则，在全国范围12个月内没有三次以上查无实据的政府采购投诉；</w:t>
      </w:r>
    </w:p>
    <w:p w14:paraId="6482DEDB">
      <w:pPr>
        <w:pStyle w:val="21"/>
        <w:shd w:val="clear" w:color="auto" w:fill="FFFFFF"/>
        <w:adjustRightInd w:val="0"/>
        <w:snapToGrid w:val="0"/>
        <w:spacing w:before="0" w:beforeAutospacing="0" w:after="150" w:afterAutospacing="0" w:line="560" w:lineRule="exact"/>
        <w:ind w:firstLine="640"/>
        <w:jc w:val="both"/>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shd w:val="clear" w:color="auto" w:fill="FFFFFF"/>
        </w:rPr>
        <w:t>七、根据政府采购相关法律法规的规定需要作出的其他承诺：</w:t>
      </w:r>
      <w:r>
        <w:rPr>
          <w:rFonts w:hint="eastAsia" w:ascii="宋体" w:hAnsi="宋体" w:eastAsia="宋体" w:cs="宋体"/>
          <w:bCs/>
          <w:color w:val="auto"/>
          <w:szCs w:val="24"/>
          <w:highlight w:val="none"/>
          <w:u w:val="single"/>
          <w:shd w:val="clear" w:color="auto" w:fill="FFFFFF"/>
        </w:rPr>
        <w:t>                                                              </w:t>
      </w:r>
    </w:p>
    <w:p w14:paraId="3E3D02E7">
      <w:pPr>
        <w:pStyle w:val="21"/>
        <w:shd w:val="clear" w:color="auto" w:fill="FFFFFF"/>
        <w:adjustRightInd w:val="0"/>
        <w:snapToGrid w:val="0"/>
        <w:spacing w:before="0" w:beforeAutospacing="0" w:after="150" w:afterAutospacing="0" w:line="560" w:lineRule="exact"/>
        <w:ind w:firstLine="640"/>
        <w:jc w:val="both"/>
        <w:rPr>
          <w:rFonts w:hint="eastAsia" w:ascii="宋体" w:hAnsi="宋体" w:eastAsia="宋体" w:cs="宋体"/>
          <w:bCs/>
          <w:color w:val="auto"/>
          <w:szCs w:val="24"/>
          <w:highlight w:val="none"/>
          <w:shd w:val="clear" w:color="auto" w:fill="FFFFFF"/>
        </w:rPr>
      </w:pPr>
      <w:r>
        <w:rPr>
          <w:rFonts w:hint="eastAsia" w:ascii="宋体" w:hAnsi="宋体" w:eastAsia="宋体" w:cs="宋体"/>
          <w:bCs/>
          <w:color w:val="auto"/>
          <w:szCs w:val="24"/>
          <w:highlight w:val="none"/>
          <w:shd w:val="clear" w:color="auto" w:fill="FFFFFF"/>
        </w:rPr>
        <w:t>八、按照信用信息管理有关要求，本单位同意将以上承诺在各级信用信息共享平台公示，接受社会监督。若违背以上承诺，同意依据相关规定记入企业信用档案和在各级信用信息共享平台公示；性质严重的，同意承担相应法律后果和责任，并依法依规列入严重失信名单。</w:t>
      </w:r>
    </w:p>
    <w:p w14:paraId="31F33DC3">
      <w:pPr>
        <w:pStyle w:val="21"/>
        <w:shd w:val="clear" w:color="auto" w:fill="FFFFFF"/>
        <w:adjustRightInd w:val="0"/>
        <w:snapToGrid w:val="0"/>
        <w:spacing w:before="0" w:beforeAutospacing="0" w:after="150" w:afterAutospacing="0" w:line="560" w:lineRule="exact"/>
        <w:ind w:firstLine="640"/>
        <w:jc w:val="both"/>
        <w:rPr>
          <w:rFonts w:hint="eastAsia" w:ascii="宋体" w:hAnsi="宋体" w:eastAsia="宋体" w:cs="宋体"/>
          <w:bCs/>
          <w:color w:val="auto"/>
          <w:szCs w:val="24"/>
          <w:highlight w:val="none"/>
          <w:shd w:val="clear" w:color="auto" w:fill="FFFFFF"/>
        </w:rPr>
      </w:pPr>
      <w:r>
        <w:rPr>
          <w:rFonts w:hint="eastAsia" w:ascii="宋体" w:hAnsi="宋体" w:eastAsia="宋体" w:cs="宋体"/>
          <w:bCs/>
          <w:color w:val="auto"/>
          <w:szCs w:val="24"/>
          <w:highlight w:val="none"/>
          <w:shd w:val="clear" w:color="auto" w:fill="FFFFFF"/>
        </w:rPr>
        <w:t>         </w:t>
      </w:r>
    </w:p>
    <w:p w14:paraId="28601088">
      <w:pPr>
        <w:pStyle w:val="21"/>
        <w:shd w:val="clear" w:color="auto" w:fill="FFFFFF"/>
        <w:adjustRightInd w:val="0"/>
        <w:snapToGrid w:val="0"/>
        <w:spacing w:before="0" w:beforeAutospacing="0" w:after="150" w:afterAutospacing="0" w:line="560" w:lineRule="exact"/>
        <w:ind w:firstLine="640"/>
        <w:jc w:val="both"/>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shd w:val="clear" w:color="auto" w:fill="FFFFFF"/>
        </w:rPr>
        <w:t xml:space="preserve">              承诺单位（盖章）：</w:t>
      </w:r>
    </w:p>
    <w:p w14:paraId="5AF541DC">
      <w:pPr>
        <w:pStyle w:val="21"/>
        <w:shd w:val="clear" w:color="auto" w:fill="FFFFFF"/>
        <w:adjustRightInd w:val="0"/>
        <w:snapToGrid w:val="0"/>
        <w:spacing w:before="0" w:beforeAutospacing="0" w:after="150" w:afterAutospacing="0" w:line="560" w:lineRule="exact"/>
        <w:ind w:firstLine="640"/>
        <w:jc w:val="both"/>
        <w:rPr>
          <w:rFonts w:hint="eastAsia" w:ascii="宋体" w:hAnsi="宋体" w:eastAsia="宋体" w:cs="宋体"/>
          <w:bCs/>
          <w:color w:val="auto"/>
          <w:szCs w:val="24"/>
          <w:highlight w:val="none"/>
          <w:shd w:val="clear" w:color="auto" w:fill="FFFFFF"/>
        </w:rPr>
      </w:pPr>
      <w:r>
        <w:rPr>
          <w:rFonts w:hint="eastAsia" w:ascii="宋体" w:hAnsi="宋体" w:eastAsia="宋体" w:cs="宋体"/>
          <w:bCs/>
          <w:color w:val="auto"/>
          <w:szCs w:val="24"/>
          <w:highlight w:val="none"/>
          <w:shd w:val="clear" w:color="auto" w:fill="FFFFFF"/>
        </w:rPr>
        <w:t>       法定代表人（负责人）：</w:t>
      </w:r>
    </w:p>
    <w:p w14:paraId="70943C9B">
      <w:pPr>
        <w:pStyle w:val="21"/>
        <w:shd w:val="clear" w:color="auto" w:fill="FFFFFF"/>
        <w:adjustRightInd w:val="0"/>
        <w:snapToGrid w:val="0"/>
        <w:spacing w:before="0" w:beforeAutospacing="0" w:after="150" w:afterAutospacing="0" w:line="560" w:lineRule="exact"/>
        <w:ind w:firstLine="2160" w:firstLineChars="900"/>
        <w:jc w:val="both"/>
        <w:rPr>
          <w:rFonts w:hint="eastAsia" w:ascii="宋体" w:hAnsi="宋体" w:eastAsia="宋体" w:cs="宋体"/>
          <w:bCs/>
          <w:color w:val="auto"/>
          <w:szCs w:val="24"/>
          <w:highlight w:val="none"/>
          <w:shd w:val="clear" w:color="auto" w:fill="FFFFFF"/>
        </w:rPr>
      </w:pPr>
      <w:r>
        <w:rPr>
          <w:rFonts w:hint="eastAsia" w:ascii="宋体" w:hAnsi="宋体" w:eastAsia="宋体" w:cs="宋体"/>
          <w:bCs/>
          <w:color w:val="auto"/>
          <w:szCs w:val="24"/>
          <w:highlight w:val="none"/>
          <w:shd w:val="clear" w:color="auto" w:fill="FFFFFF"/>
        </w:rPr>
        <w:t>法定代表人（负责人）身份证号：</w:t>
      </w:r>
    </w:p>
    <w:p w14:paraId="34BCBA98">
      <w:pPr>
        <w:pStyle w:val="21"/>
        <w:shd w:val="clear" w:color="auto" w:fill="FFFFFF"/>
        <w:adjustRightInd w:val="0"/>
        <w:snapToGrid w:val="0"/>
        <w:spacing w:before="0" w:beforeAutospacing="0" w:after="150" w:afterAutospacing="0" w:line="560" w:lineRule="exact"/>
        <w:ind w:firstLine="640"/>
        <w:jc w:val="both"/>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shd w:val="clear" w:color="auto" w:fill="FFFFFF"/>
        </w:rPr>
        <w:t>         承诺日期：</w:t>
      </w:r>
    </w:p>
    <w:p w14:paraId="238D0BAC">
      <w:pPr>
        <w:pStyle w:val="21"/>
        <w:shd w:val="clear" w:color="auto" w:fill="FFFFFF"/>
        <w:adjustRightInd w:val="0"/>
        <w:snapToGrid w:val="0"/>
        <w:spacing w:before="0" w:beforeAutospacing="0" w:after="150" w:afterAutospacing="0" w:line="360" w:lineRule="auto"/>
        <w:ind w:firstLine="480" w:firstLineChars="200"/>
        <w:jc w:val="both"/>
        <w:rPr>
          <w:rFonts w:hint="eastAsia" w:ascii="宋体" w:hAnsi="宋体" w:eastAsia="宋体" w:cs="宋体"/>
          <w:bCs/>
          <w:color w:val="auto"/>
          <w:szCs w:val="24"/>
          <w:highlight w:val="none"/>
          <w:shd w:val="clear" w:color="auto" w:fill="FFFFFF"/>
        </w:rPr>
      </w:pPr>
      <w:r>
        <w:rPr>
          <w:rFonts w:hint="eastAsia" w:ascii="宋体" w:hAnsi="宋体" w:eastAsia="宋体" w:cs="宋体"/>
          <w:bCs/>
          <w:color w:val="auto"/>
          <w:szCs w:val="24"/>
          <w:highlight w:val="none"/>
          <w:shd w:val="clear" w:color="auto" w:fill="FFFFFF"/>
        </w:rPr>
        <w:t>注：法定代表人或负责人、主体名称发生变更的应当重新做出承诺；承诺书标题按照工程类、货物类、服务类确定。</w:t>
      </w:r>
    </w:p>
    <w:p w14:paraId="4EF55575">
      <w:pPr>
        <w:pStyle w:val="8"/>
        <w:adjustRightInd w:val="0"/>
        <w:snapToGrid w:val="0"/>
        <w:spacing w:line="500" w:lineRule="exact"/>
        <w:rPr>
          <w:rFonts w:hint="eastAsia" w:ascii="宋体" w:hAnsi="宋体" w:eastAsia="宋体" w:cs="宋体"/>
          <w:bCs/>
          <w:color w:val="auto"/>
          <w:kern w:val="0"/>
          <w:sz w:val="24"/>
          <w:szCs w:val="24"/>
          <w:highlight w:val="none"/>
          <w:shd w:val="clear" w:color="070000" w:fill="FFFFFF"/>
        </w:rPr>
      </w:pP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kern w:val="0"/>
          <w:sz w:val="24"/>
          <w:szCs w:val="24"/>
          <w:highlight w:val="none"/>
          <w:shd w:val="clear" w:color="070000" w:fill="FFFFFF"/>
        </w:rPr>
        <w:t xml:space="preserve"> </w:t>
      </w:r>
    </w:p>
    <w:p w14:paraId="1372555F">
      <w:pPr>
        <w:spacing w:line="560" w:lineRule="exact"/>
        <w:ind w:right="-2"/>
        <w:jc w:val="center"/>
        <w:rPr>
          <w:rFonts w:hint="eastAsia" w:ascii="宋体" w:hAnsi="宋体" w:eastAsia="宋体" w:cs="宋体"/>
          <w:bCs/>
          <w:color w:val="auto"/>
          <w:sz w:val="40"/>
          <w:szCs w:val="40"/>
          <w:highlight w:val="none"/>
        </w:rPr>
        <w:sectPr>
          <w:pgSz w:w="11906" w:h="16838"/>
          <w:pgMar w:top="1440" w:right="1080" w:bottom="1440" w:left="1080" w:header="1134" w:footer="1134" w:gutter="0"/>
          <w:pgNumType w:fmt="decimal"/>
          <w:cols w:space="720" w:num="1"/>
          <w:docGrid w:linePitch="312" w:charSpace="0"/>
        </w:sectPr>
      </w:pPr>
    </w:p>
    <w:p w14:paraId="0D2BF504">
      <w:pPr>
        <w:adjustRightInd w:val="0"/>
        <w:snapToGrid w:val="0"/>
        <w:spacing w:line="500" w:lineRule="exact"/>
        <w:jc w:val="center"/>
        <w:rPr>
          <w:rFonts w:hint="eastAsia" w:ascii="宋体" w:hAnsi="宋体" w:eastAsia="宋体" w:cs="宋体"/>
          <w:bCs/>
          <w:color w:val="auto"/>
          <w:sz w:val="28"/>
          <w:szCs w:val="24"/>
          <w:highlight w:val="none"/>
        </w:rPr>
      </w:pPr>
    </w:p>
    <w:p w14:paraId="6F0E629B">
      <w:pPr>
        <w:adjustRightInd w:val="0"/>
        <w:snapToGrid w:val="0"/>
        <w:spacing w:line="500" w:lineRule="exact"/>
        <w:jc w:val="center"/>
        <w:rPr>
          <w:rFonts w:hint="eastAsia" w:ascii="宋体" w:hAnsi="宋体" w:eastAsia="宋体" w:cs="宋体"/>
          <w:bCs/>
          <w:color w:val="auto"/>
          <w:sz w:val="28"/>
          <w:szCs w:val="24"/>
          <w:highlight w:val="none"/>
        </w:rPr>
        <w:sectPr>
          <w:pgSz w:w="11906" w:h="16838"/>
          <w:pgMar w:top="1440" w:right="1080" w:bottom="1440" w:left="1080" w:header="720" w:footer="1134" w:gutter="0"/>
          <w:pgNumType w:fmt="decimal"/>
          <w:cols w:space="720" w:num="1"/>
          <w:docGrid w:type="lines" w:linePitch="315" w:charSpace="0"/>
        </w:sectPr>
      </w:pPr>
    </w:p>
    <w:p w14:paraId="12F0DA58">
      <w:pPr>
        <w:adjustRightInd w:val="0"/>
        <w:snapToGrid w:val="0"/>
        <w:spacing w:line="500" w:lineRule="exact"/>
        <w:jc w:val="center"/>
        <w:outlineLvl w:val="0"/>
        <w:rPr>
          <w:rFonts w:hint="eastAsia" w:ascii="宋体" w:hAnsi="宋体" w:eastAsia="宋体" w:cs="宋体"/>
          <w:bCs/>
          <w:color w:val="auto"/>
          <w:sz w:val="28"/>
          <w:szCs w:val="24"/>
          <w:highlight w:val="none"/>
        </w:rPr>
      </w:pPr>
      <w:bookmarkStart w:id="615" w:name="_Toc822"/>
      <w:bookmarkStart w:id="616" w:name="_Toc15652"/>
      <w:r>
        <w:rPr>
          <w:rFonts w:hint="eastAsia" w:ascii="宋体" w:hAnsi="宋体" w:eastAsia="宋体" w:cs="宋体"/>
          <w:bCs/>
          <w:color w:val="auto"/>
          <w:sz w:val="28"/>
          <w:szCs w:val="24"/>
          <w:highlight w:val="none"/>
        </w:rPr>
        <w:t>附件5 关于信用承诺网上公示的通知及操作指南</w:t>
      </w:r>
      <w:bookmarkEnd w:id="615"/>
      <w:bookmarkEnd w:id="616"/>
    </w:p>
    <w:bookmarkEnd w:id="534"/>
    <w:bookmarkEnd w:id="535"/>
    <w:bookmarkEnd w:id="536"/>
    <w:bookmarkEnd w:id="537"/>
    <w:bookmarkEnd w:id="538"/>
    <w:bookmarkEnd w:id="539"/>
    <w:bookmarkEnd w:id="540"/>
    <w:p w14:paraId="66D08F7F">
      <w:pPr>
        <w:shd w:val="clear" w:color="auto" w:fill="auto"/>
        <w:rPr>
          <w:rFonts w:hint="eastAsia" w:ascii="宋体" w:hAnsi="宋体" w:eastAsia="宋体" w:cs="宋体"/>
          <w:color w:val="auto"/>
          <w:highlight w:val="none"/>
        </w:rPr>
      </w:pPr>
      <w:r>
        <w:rPr>
          <w:rFonts w:hint="eastAsia" w:ascii="宋体" w:hAnsi="宋体" w:eastAsia="宋体" w:cs="宋体"/>
          <w:color w:val="auto"/>
          <w:highlight w:val="none"/>
        </w:rPr>
        <w:drawing>
          <wp:inline distT="0" distB="0" distL="114300" distR="114300">
            <wp:extent cx="6205220" cy="3535680"/>
            <wp:effectExtent l="0" t="0" r="5080" b="7620"/>
            <wp:docPr id="4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1"/>
                    <pic:cNvPicPr>
                      <a:picLocks noChangeAspect="1"/>
                    </pic:cNvPicPr>
                  </pic:nvPicPr>
                  <pic:blipFill>
                    <a:blip r:embed="rId18"/>
                    <a:stretch>
                      <a:fillRect/>
                    </a:stretch>
                  </pic:blipFill>
                  <pic:spPr>
                    <a:xfrm>
                      <a:off x="0" y="0"/>
                      <a:ext cx="6205220" cy="3535680"/>
                    </a:xfrm>
                    <a:prstGeom prst="rect">
                      <a:avLst/>
                    </a:prstGeom>
                    <a:noFill/>
                    <a:ln>
                      <a:noFill/>
                    </a:ln>
                  </pic:spPr>
                </pic:pic>
              </a:graphicData>
            </a:graphic>
          </wp:inline>
        </w:drawing>
      </w:r>
    </w:p>
    <w:p w14:paraId="0876C7CB">
      <w:pPr>
        <w:shd w:val="clear" w:color="auto" w:fill="auto"/>
        <w:rPr>
          <w:rFonts w:hint="eastAsia" w:ascii="宋体" w:hAnsi="宋体" w:eastAsia="宋体" w:cs="宋体"/>
          <w:color w:val="auto"/>
          <w:highlight w:val="none"/>
        </w:rPr>
      </w:pPr>
    </w:p>
    <w:p w14:paraId="29A88C28">
      <w:pPr>
        <w:shd w:val="clear" w:color="auto" w:fill="auto"/>
        <w:rPr>
          <w:rFonts w:hint="eastAsia" w:ascii="宋体" w:hAnsi="宋体" w:eastAsia="宋体" w:cs="宋体"/>
          <w:color w:val="auto"/>
          <w:highlight w:val="none"/>
        </w:rPr>
      </w:pPr>
      <w:r>
        <w:rPr>
          <w:rFonts w:hint="eastAsia" w:ascii="宋体" w:hAnsi="宋体" w:eastAsia="宋体" w:cs="宋体"/>
          <w:color w:val="auto"/>
          <w:highlight w:val="none"/>
        </w:rPr>
        <w:drawing>
          <wp:inline distT="0" distB="0" distL="114300" distR="114300">
            <wp:extent cx="6136640" cy="3429000"/>
            <wp:effectExtent l="0" t="0" r="16510" b="0"/>
            <wp:docPr id="3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2"/>
                    <pic:cNvPicPr>
                      <a:picLocks noChangeAspect="1"/>
                    </pic:cNvPicPr>
                  </pic:nvPicPr>
                  <pic:blipFill>
                    <a:blip r:embed="rId19"/>
                    <a:stretch>
                      <a:fillRect/>
                    </a:stretch>
                  </pic:blipFill>
                  <pic:spPr>
                    <a:xfrm>
                      <a:off x="0" y="0"/>
                      <a:ext cx="6136640" cy="3429000"/>
                    </a:xfrm>
                    <a:prstGeom prst="rect">
                      <a:avLst/>
                    </a:prstGeom>
                    <a:noFill/>
                    <a:ln>
                      <a:noFill/>
                    </a:ln>
                  </pic:spPr>
                </pic:pic>
              </a:graphicData>
            </a:graphic>
          </wp:inline>
        </w:drawing>
      </w:r>
      <w:r>
        <w:rPr>
          <w:rFonts w:hint="eastAsia" w:ascii="宋体" w:hAnsi="宋体" w:eastAsia="宋体" w:cs="宋体"/>
          <w:color w:val="auto"/>
          <w:highlight w:val="none"/>
        </w:rPr>
        <w:drawing>
          <wp:inline distT="0" distB="0" distL="114300" distR="114300">
            <wp:extent cx="6190615" cy="3491230"/>
            <wp:effectExtent l="0" t="0" r="635" b="13970"/>
            <wp:docPr id="37"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3"/>
                    <pic:cNvPicPr>
                      <a:picLocks noChangeAspect="1"/>
                    </pic:cNvPicPr>
                  </pic:nvPicPr>
                  <pic:blipFill>
                    <a:blip r:embed="rId20"/>
                    <a:stretch>
                      <a:fillRect/>
                    </a:stretch>
                  </pic:blipFill>
                  <pic:spPr>
                    <a:xfrm>
                      <a:off x="0" y="0"/>
                      <a:ext cx="6190615" cy="3491230"/>
                    </a:xfrm>
                    <a:prstGeom prst="rect">
                      <a:avLst/>
                    </a:prstGeom>
                    <a:noFill/>
                    <a:ln>
                      <a:noFill/>
                    </a:ln>
                  </pic:spPr>
                </pic:pic>
              </a:graphicData>
            </a:graphic>
          </wp:inline>
        </w:drawing>
      </w:r>
    </w:p>
    <w:p w14:paraId="5E48DDDF">
      <w:pPr>
        <w:shd w:val="clear" w:color="auto" w:fill="auto"/>
        <w:rPr>
          <w:rFonts w:hint="eastAsia" w:ascii="宋体" w:hAnsi="宋体" w:eastAsia="宋体" w:cs="宋体"/>
          <w:color w:val="auto"/>
          <w:highlight w:val="none"/>
        </w:rPr>
      </w:pPr>
    </w:p>
    <w:p w14:paraId="42B0C386">
      <w:pPr>
        <w:shd w:val="clear" w:color="auto" w:fill="auto"/>
        <w:rPr>
          <w:rFonts w:hint="eastAsia" w:ascii="宋体" w:hAnsi="宋体" w:eastAsia="宋体" w:cs="宋体"/>
          <w:color w:val="auto"/>
          <w:highlight w:val="none"/>
        </w:rPr>
      </w:pPr>
      <w:r>
        <w:rPr>
          <w:rFonts w:hint="eastAsia" w:ascii="宋体" w:hAnsi="宋体" w:eastAsia="宋体" w:cs="宋体"/>
        </w:rPr>
        <w:drawing>
          <wp:inline distT="0" distB="0" distL="114300" distR="114300">
            <wp:extent cx="6168390" cy="3837940"/>
            <wp:effectExtent l="0" t="0" r="3810" b="10160"/>
            <wp:docPr id="42"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4"/>
                    <pic:cNvPicPr>
                      <a:picLocks noChangeAspect="1"/>
                    </pic:cNvPicPr>
                  </pic:nvPicPr>
                  <pic:blipFill>
                    <a:blip r:embed="rId21"/>
                    <a:stretch>
                      <a:fillRect/>
                    </a:stretch>
                  </pic:blipFill>
                  <pic:spPr>
                    <a:xfrm>
                      <a:off x="0" y="0"/>
                      <a:ext cx="6168390" cy="3837940"/>
                    </a:xfrm>
                    <a:prstGeom prst="rect">
                      <a:avLst/>
                    </a:prstGeom>
                    <a:noFill/>
                    <a:ln>
                      <a:noFill/>
                    </a:ln>
                  </pic:spPr>
                </pic:pic>
              </a:graphicData>
            </a:graphic>
          </wp:inline>
        </w:drawing>
      </w:r>
      <w:r>
        <w:rPr>
          <w:rFonts w:hint="eastAsia" w:ascii="宋体" w:hAnsi="宋体" w:eastAsia="宋体" w:cs="宋体"/>
        </w:rPr>
        <w:drawing>
          <wp:inline distT="0" distB="0" distL="114300" distR="114300">
            <wp:extent cx="6230620" cy="4707890"/>
            <wp:effectExtent l="0" t="0" r="17780" b="16510"/>
            <wp:docPr id="40"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5"/>
                    <pic:cNvPicPr>
                      <a:picLocks noChangeAspect="1"/>
                    </pic:cNvPicPr>
                  </pic:nvPicPr>
                  <pic:blipFill>
                    <a:blip r:embed="rId22"/>
                    <a:stretch>
                      <a:fillRect/>
                    </a:stretch>
                  </pic:blipFill>
                  <pic:spPr>
                    <a:xfrm>
                      <a:off x="0" y="0"/>
                      <a:ext cx="6230620" cy="4707890"/>
                    </a:xfrm>
                    <a:prstGeom prst="rect">
                      <a:avLst/>
                    </a:prstGeom>
                    <a:noFill/>
                    <a:ln>
                      <a:noFill/>
                    </a:ln>
                  </pic:spPr>
                </pic:pic>
              </a:graphicData>
            </a:graphic>
          </wp:inline>
        </w:drawing>
      </w:r>
      <w:r>
        <w:rPr>
          <w:rFonts w:hint="eastAsia" w:ascii="宋体" w:hAnsi="宋体" w:eastAsia="宋体" w:cs="宋体"/>
        </w:rPr>
        <w:drawing>
          <wp:inline distT="0" distB="0" distL="114300" distR="114300">
            <wp:extent cx="6049645" cy="3959225"/>
            <wp:effectExtent l="0" t="0" r="8255" b="3175"/>
            <wp:docPr id="29"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6"/>
                    <pic:cNvPicPr>
                      <a:picLocks noChangeAspect="1"/>
                    </pic:cNvPicPr>
                  </pic:nvPicPr>
                  <pic:blipFill>
                    <a:blip r:embed="rId23"/>
                    <a:stretch>
                      <a:fillRect/>
                    </a:stretch>
                  </pic:blipFill>
                  <pic:spPr>
                    <a:xfrm>
                      <a:off x="0" y="0"/>
                      <a:ext cx="6049645" cy="3959225"/>
                    </a:xfrm>
                    <a:prstGeom prst="rect">
                      <a:avLst/>
                    </a:prstGeom>
                    <a:noFill/>
                    <a:ln>
                      <a:noFill/>
                    </a:ln>
                  </pic:spPr>
                </pic:pic>
              </a:graphicData>
            </a:graphic>
          </wp:inline>
        </w:drawing>
      </w:r>
    </w:p>
    <w:p w14:paraId="3AFD2BB6">
      <w:pPr>
        <w:shd w:val="clear" w:color="auto" w:fill="auto"/>
        <w:rPr>
          <w:rFonts w:hint="eastAsia" w:ascii="宋体" w:hAnsi="宋体" w:eastAsia="宋体" w:cs="宋体"/>
          <w:color w:val="auto"/>
          <w:highlight w:val="none"/>
        </w:rPr>
      </w:pPr>
      <w:r>
        <w:rPr>
          <w:rFonts w:hint="eastAsia" w:ascii="宋体" w:hAnsi="宋体" w:eastAsia="宋体" w:cs="宋体"/>
        </w:rPr>
        <w:drawing>
          <wp:inline distT="0" distB="0" distL="114300" distR="114300">
            <wp:extent cx="6184265" cy="3893820"/>
            <wp:effectExtent l="0" t="0" r="0" b="0"/>
            <wp:docPr id="31"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7"/>
                    <pic:cNvPicPr>
                      <a:picLocks noChangeAspect="1"/>
                    </pic:cNvPicPr>
                  </pic:nvPicPr>
                  <pic:blipFill>
                    <a:blip r:embed="rId24"/>
                    <a:srcRect b="6992"/>
                    <a:stretch>
                      <a:fillRect/>
                    </a:stretch>
                  </pic:blipFill>
                  <pic:spPr>
                    <a:xfrm>
                      <a:off x="0" y="0"/>
                      <a:ext cx="6184265" cy="3893820"/>
                    </a:xfrm>
                    <a:prstGeom prst="rect">
                      <a:avLst/>
                    </a:prstGeom>
                    <a:noFill/>
                    <a:ln>
                      <a:noFill/>
                    </a:ln>
                  </pic:spPr>
                </pic:pic>
              </a:graphicData>
            </a:graphic>
          </wp:inline>
        </w:drawing>
      </w:r>
      <w:r>
        <w:rPr>
          <w:rFonts w:hint="eastAsia" w:ascii="宋体" w:hAnsi="宋体" w:eastAsia="宋体" w:cs="宋体"/>
        </w:rPr>
        <w:drawing>
          <wp:inline distT="0" distB="0" distL="114300" distR="114300">
            <wp:extent cx="6221730" cy="4784725"/>
            <wp:effectExtent l="0" t="0" r="7620" b="15875"/>
            <wp:docPr id="3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8"/>
                    <pic:cNvPicPr>
                      <a:picLocks noChangeAspect="1"/>
                    </pic:cNvPicPr>
                  </pic:nvPicPr>
                  <pic:blipFill>
                    <a:blip r:embed="rId25"/>
                    <a:stretch>
                      <a:fillRect/>
                    </a:stretch>
                  </pic:blipFill>
                  <pic:spPr>
                    <a:xfrm>
                      <a:off x="0" y="0"/>
                      <a:ext cx="6221730" cy="4784725"/>
                    </a:xfrm>
                    <a:prstGeom prst="rect">
                      <a:avLst/>
                    </a:prstGeom>
                    <a:noFill/>
                    <a:ln>
                      <a:noFill/>
                    </a:ln>
                  </pic:spPr>
                </pic:pic>
              </a:graphicData>
            </a:graphic>
          </wp:inline>
        </w:drawing>
      </w:r>
      <w:r>
        <w:rPr>
          <w:rFonts w:hint="eastAsia" w:ascii="宋体" w:hAnsi="宋体" w:eastAsia="宋体" w:cs="宋体"/>
        </w:rPr>
        <w:drawing>
          <wp:inline distT="0" distB="0" distL="114300" distR="114300">
            <wp:extent cx="6307455" cy="5458460"/>
            <wp:effectExtent l="0" t="0" r="17145" b="8890"/>
            <wp:docPr id="32"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9"/>
                    <pic:cNvPicPr>
                      <a:picLocks noChangeAspect="1"/>
                    </pic:cNvPicPr>
                  </pic:nvPicPr>
                  <pic:blipFill>
                    <a:blip r:embed="rId26"/>
                    <a:stretch>
                      <a:fillRect/>
                    </a:stretch>
                  </pic:blipFill>
                  <pic:spPr>
                    <a:xfrm>
                      <a:off x="0" y="0"/>
                      <a:ext cx="6307455" cy="5458460"/>
                    </a:xfrm>
                    <a:prstGeom prst="rect">
                      <a:avLst/>
                    </a:prstGeom>
                    <a:noFill/>
                    <a:ln>
                      <a:noFill/>
                    </a:ln>
                  </pic:spPr>
                </pic:pic>
              </a:graphicData>
            </a:graphic>
          </wp:inline>
        </w:drawing>
      </w:r>
    </w:p>
    <w:p w14:paraId="64CF36CA">
      <w:pPr>
        <w:shd w:val="clear" w:color="auto" w:fill="auto"/>
        <w:rPr>
          <w:rFonts w:hint="eastAsia" w:ascii="宋体" w:hAnsi="宋体" w:eastAsia="宋体" w:cs="宋体"/>
          <w:color w:val="auto"/>
          <w:highlight w:val="none"/>
        </w:rPr>
        <w:sectPr>
          <w:type w:val="continuous"/>
          <w:pgSz w:w="11906" w:h="16838"/>
          <w:pgMar w:top="1440" w:right="1080" w:bottom="1440" w:left="1080" w:header="1135" w:footer="1135" w:gutter="0"/>
          <w:pgNumType w:fmt="decimal"/>
          <w:cols w:space="720" w:num="1"/>
          <w:docGrid w:type="lines" w:linePitch="312" w:charSpace="0"/>
        </w:sectPr>
      </w:pPr>
      <w:r>
        <w:rPr>
          <w:rFonts w:hint="eastAsia" w:ascii="宋体" w:hAnsi="宋体" w:eastAsia="宋体" w:cs="宋体"/>
          <w:color w:val="auto"/>
          <w:highlight w:val="none"/>
        </w:rPr>
        <w:drawing>
          <wp:inline distT="0" distB="0" distL="114300" distR="114300">
            <wp:extent cx="5683885" cy="3181350"/>
            <wp:effectExtent l="0" t="0" r="12065" b="0"/>
            <wp:docPr id="26"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10"/>
                    <pic:cNvPicPr>
                      <a:picLocks noChangeAspect="1"/>
                    </pic:cNvPicPr>
                  </pic:nvPicPr>
                  <pic:blipFill>
                    <a:blip r:embed="rId27"/>
                    <a:stretch>
                      <a:fillRect/>
                    </a:stretch>
                  </pic:blipFill>
                  <pic:spPr>
                    <a:xfrm>
                      <a:off x="0" y="0"/>
                      <a:ext cx="5683885" cy="3181350"/>
                    </a:xfrm>
                    <a:prstGeom prst="rect">
                      <a:avLst/>
                    </a:prstGeom>
                    <a:noFill/>
                    <a:ln>
                      <a:noFill/>
                    </a:ln>
                  </pic:spPr>
                </pic:pic>
              </a:graphicData>
            </a:graphic>
          </wp:inline>
        </w:drawing>
      </w:r>
      <w:r>
        <w:rPr>
          <w:rFonts w:hint="eastAsia" w:ascii="宋体" w:hAnsi="宋体" w:eastAsia="宋体" w:cs="宋体"/>
          <w:color w:val="auto"/>
          <w:highlight w:val="none"/>
        </w:rPr>
        <w:drawing>
          <wp:inline distT="0" distB="0" distL="114300" distR="114300">
            <wp:extent cx="6360160" cy="3587750"/>
            <wp:effectExtent l="0" t="0" r="2540" b="12700"/>
            <wp:docPr id="22"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11"/>
                    <pic:cNvPicPr>
                      <a:picLocks noChangeAspect="1"/>
                    </pic:cNvPicPr>
                  </pic:nvPicPr>
                  <pic:blipFill>
                    <a:blip r:embed="rId28"/>
                    <a:stretch>
                      <a:fillRect/>
                    </a:stretch>
                  </pic:blipFill>
                  <pic:spPr>
                    <a:xfrm>
                      <a:off x="0" y="0"/>
                      <a:ext cx="6360160" cy="3587750"/>
                    </a:xfrm>
                    <a:prstGeom prst="rect">
                      <a:avLst/>
                    </a:prstGeom>
                    <a:noFill/>
                    <a:ln>
                      <a:noFill/>
                    </a:ln>
                  </pic:spPr>
                </pic:pic>
              </a:graphicData>
            </a:graphic>
          </wp:inline>
        </w:drawing>
      </w:r>
    </w:p>
    <w:p w14:paraId="4575312E">
      <w:pPr>
        <w:adjustRightInd w:val="0"/>
        <w:snapToGrid w:val="0"/>
        <w:spacing w:line="500" w:lineRule="exact"/>
        <w:jc w:val="center"/>
        <w:outlineLvl w:val="0"/>
        <w:rPr>
          <w:rFonts w:hint="eastAsia" w:ascii="宋体" w:hAnsi="宋体" w:eastAsia="宋体" w:cs="宋体"/>
          <w:bCs/>
          <w:color w:val="auto"/>
          <w:sz w:val="28"/>
          <w:szCs w:val="24"/>
          <w:highlight w:val="none"/>
          <w:lang w:val="en-US" w:eastAsia="zh-CN"/>
        </w:rPr>
      </w:pPr>
      <w:bookmarkStart w:id="617" w:name="_Toc26539"/>
      <w:r>
        <w:rPr>
          <w:rFonts w:hint="eastAsia" w:ascii="宋体" w:hAnsi="宋体" w:eastAsia="宋体" w:cs="宋体"/>
          <w:bCs/>
          <w:color w:val="auto"/>
          <w:sz w:val="28"/>
          <w:szCs w:val="24"/>
          <w:highlight w:val="none"/>
          <w:lang w:val="en-US" w:eastAsia="zh-CN"/>
        </w:rPr>
        <w:t>附件6中小微企业划型标准</w:t>
      </w:r>
      <w:bookmarkEnd w:id="617"/>
    </w:p>
    <w:tbl>
      <w:tblPr>
        <w:tblStyle w:val="24"/>
        <w:tblW w:w="950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1380"/>
        <w:gridCol w:w="1523"/>
        <w:gridCol w:w="919"/>
        <w:gridCol w:w="2782"/>
        <w:gridCol w:w="1810"/>
        <w:gridCol w:w="1086"/>
      </w:tblGrid>
      <w:tr w14:paraId="2BB29D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90" w:hRule="atLeast"/>
        </w:trPr>
        <w:tc>
          <w:tcPr>
            <w:tcW w:w="9500" w:type="dxa"/>
            <w:gridSpan w:val="6"/>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90B5FB5">
            <w:pPr>
              <w:bidi w:val="0"/>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中小微企业划型标准如下：</w:t>
            </w:r>
          </w:p>
        </w:tc>
      </w:tr>
      <w:tr w14:paraId="3E35E7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90" w:hRule="atLeast"/>
        </w:trPr>
        <w:tc>
          <w:tcPr>
            <w:tcW w:w="137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93FD1A6">
            <w:pPr>
              <w:bidi w:val="0"/>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行业名称</w:t>
            </w:r>
          </w:p>
        </w:tc>
        <w:tc>
          <w:tcPr>
            <w:tcW w:w="151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2542D5D">
            <w:pPr>
              <w:bidi w:val="0"/>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指标名称</w:t>
            </w:r>
          </w:p>
        </w:tc>
        <w:tc>
          <w:tcPr>
            <w:tcW w:w="91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9958EF5">
            <w:pPr>
              <w:bidi w:val="0"/>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计量单位</w:t>
            </w:r>
          </w:p>
        </w:tc>
        <w:tc>
          <w:tcPr>
            <w:tcW w:w="276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04F1AC5">
            <w:pPr>
              <w:bidi w:val="0"/>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中型</w:t>
            </w:r>
          </w:p>
        </w:tc>
        <w:tc>
          <w:tcPr>
            <w:tcW w:w="0" w:type="auto"/>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682A28A">
            <w:pPr>
              <w:bidi w:val="0"/>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小型</w:t>
            </w:r>
          </w:p>
        </w:tc>
        <w:tc>
          <w:tcPr>
            <w:tcW w:w="0" w:type="auto"/>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C890F22">
            <w:pPr>
              <w:bidi w:val="0"/>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微型</w:t>
            </w:r>
          </w:p>
        </w:tc>
      </w:tr>
      <w:tr w14:paraId="72737E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90" w:hRule="atLeast"/>
        </w:trPr>
        <w:tc>
          <w:tcPr>
            <w:tcW w:w="137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0D824B6">
            <w:pPr>
              <w:bidi w:val="0"/>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农、林、牧、渔</w:t>
            </w:r>
          </w:p>
        </w:tc>
        <w:tc>
          <w:tcPr>
            <w:tcW w:w="151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5EF2B38">
            <w:pPr>
              <w:bidi w:val="0"/>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营业收入（Y）</w:t>
            </w:r>
          </w:p>
        </w:tc>
        <w:tc>
          <w:tcPr>
            <w:tcW w:w="91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CE20394">
            <w:pPr>
              <w:bidi w:val="0"/>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万元</w:t>
            </w:r>
          </w:p>
        </w:tc>
        <w:tc>
          <w:tcPr>
            <w:tcW w:w="276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B1FA2DB">
            <w:pPr>
              <w:bidi w:val="0"/>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500≤Y＜20000</w:t>
            </w:r>
          </w:p>
        </w:tc>
        <w:tc>
          <w:tcPr>
            <w:tcW w:w="0" w:type="auto"/>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50B6792">
            <w:pPr>
              <w:bidi w:val="0"/>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50≤Y＜500</w:t>
            </w:r>
          </w:p>
        </w:tc>
        <w:tc>
          <w:tcPr>
            <w:tcW w:w="0" w:type="auto"/>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4173252">
            <w:pPr>
              <w:bidi w:val="0"/>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Y＜50</w:t>
            </w:r>
          </w:p>
        </w:tc>
      </w:tr>
      <w:tr w14:paraId="755C8E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90" w:hRule="atLeast"/>
        </w:trPr>
        <w:tc>
          <w:tcPr>
            <w:tcW w:w="1373" w:type="dxa"/>
            <w:vMerge w:val="restar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FAE0E5B">
            <w:pPr>
              <w:bidi w:val="0"/>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工业</w:t>
            </w:r>
          </w:p>
        </w:tc>
        <w:tc>
          <w:tcPr>
            <w:tcW w:w="151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058195C">
            <w:pPr>
              <w:bidi w:val="0"/>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从业人员（X）</w:t>
            </w:r>
          </w:p>
        </w:tc>
        <w:tc>
          <w:tcPr>
            <w:tcW w:w="91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776C895">
            <w:pPr>
              <w:bidi w:val="0"/>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人</w:t>
            </w:r>
          </w:p>
        </w:tc>
        <w:tc>
          <w:tcPr>
            <w:tcW w:w="276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CD62CD4">
            <w:pPr>
              <w:bidi w:val="0"/>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300≤X＜1000</w:t>
            </w:r>
          </w:p>
        </w:tc>
        <w:tc>
          <w:tcPr>
            <w:tcW w:w="0" w:type="auto"/>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8F7DB5C">
            <w:pPr>
              <w:bidi w:val="0"/>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20≤X＜300</w:t>
            </w:r>
          </w:p>
        </w:tc>
        <w:tc>
          <w:tcPr>
            <w:tcW w:w="0" w:type="auto"/>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4D62CA4">
            <w:pPr>
              <w:bidi w:val="0"/>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X＜20</w:t>
            </w:r>
          </w:p>
        </w:tc>
      </w:tr>
      <w:tr w14:paraId="6FD2E3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90" w:hRule="atLeast"/>
        </w:trPr>
        <w:tc>
          <w:tcPr>
            <w:tcW w:w="1373" w:type="dxa"/>
            <w:vMerge w:val="continue"/>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555EC22">
            <w:pPr>
              <w:bidi w:val="0"/>
              <w:spacing w:line="240" w:lineRule="auto"/>
              <w:jc w:val="center"/>
              <w:rPr>
                <w:rFonts w:hint="eastAsia" w:ascii="宋体" w:hAnsi="宋体" w:eastAsia="宋体" w:cs="宋体"/>
                <w:sz w:val="24"/>
                <w:szCs w:val="24"/>
                <w:lang w:val="en-US" w:eastAsia="zh-CN"/>
              </w:rPr>
            </w:pPr>
          </w:p>
        </w:tc>
        <w:tc>
          <w:tcPr>
            <w:tcW w:w="151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71D19F2">
            <w:pPr>
              <w:bidi w:val="0"/>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营业收入（Y）</w:t>
            </w:r>
          </w:p>
        </w:tc>
        <w:tc>
          <w:tcPr>
            <w:tcW w:w="91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EE5F15F">
            <w:pPr>
              <w:bidi w:val="0"/>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万元</w:t>
            </w:r>
          </w:p>
        </w:tc>
        <w:tc>
          <w:tcPr>
            <w:tcW w:w="276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86180F8">
            <w:pPr>
              <w:bidi w:val="0"/>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2000≤Y＜40000</w:t>
            </w:r>
          </w:p>
        </w:tc>
        <w:tc>
          <w:tcPr>
            <w:tcW w:w="0" w:type="auto"/>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BA42617">
            <w:pPr>
              <w:bidi w:val="0"/>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300≤Y＜2000</w:t>
            </w:r>
          </w:p>
        </w:tc>
        <w:tc>
          <w:tcPr>
            <w:tcW w:w="0" w:type="auto"/>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1BC387D">
            <w:pPr>
              <w:bidi w:val="0"/>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Y＜300</w:t>
            </w:r>
          </w:p>
        </w:tc>
      </w:tr>
      <w:tr w14:paraId="5FC18C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90" w:hRule="atLeast"/>
        </w:trPr>
        <w:tc>
          <w:tcPr>
            <w:tcW w:w="1373" w:type="dxa"/>
            <w:vMerge w:val="restar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3FF8194">
            <w:pPr>
              <w:bidi w:val="0"/>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建筑业</w:t>
            </w:r>
          </w:p>
        </w:tc>
        <w:tc>
          <w:tcPr>
            <w:tcW w:w="151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68859B8">
            <w:pPr>
              <w:bidi w:val="0"/>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营业收入（Y）</w:t>
            </w:r>
          </w:p>
        </w:tc>
        <w:tc>
          <w:tcPr>
            <w:tcW w:w="91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633E887">
            <w:pPr>
              <w:bidi w:val="0"/>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万元</w:t>
            </w:r>
          </w:p>
        </w:tc>
        <w:tc>
          <w:tcPr>
            <w:tcW w:w="276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9C3B046">
            <w:pPr>
              <w:bidi w:val="0"/>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6000≤Y＜80000</w:t>
            </w:r>
          </w:p>
        </w:tc>
        <w:tc>
          <w:tcPr>
            <w:tcW w:w="0" w:type="auto"/>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CEA90EC">
            <w:pPr>
              <w:bidi w:val="0"/>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300≤Y＜6000</w:t>
            </w:r>
          </w:p>
        </w:tc>
        <w:tc>
          <w:tcPr>
            <w:tcW w:w="0" w:type="auto"/>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9FC2C0B">
            <w:pPr>
              <w:bidi w:val="0"/>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Y＜300</w:t>
            </w:r>
          </w:p>
        </w:tc>
      </w:tr>
      <w:tr w14:paraId="253070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90" w:hRule="atLeast"/>
        </w:trPr>
        <w:tc>
          <w:tcPr>
            <w:tcW w:w="1373" w:type="dxa"/>
            <w:vMerge w:val="continue"/>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A9E4E9C">
            <w:pPr>
              <w:bidi w:val="0"/>
              <w:spacing w:line="240" w:lineRule="auto"/>
              <w:jc w:val="center"/>
              <w:rPr>
                <w:rFonts w:hint="eastAsia" w:ascii="宋体" w:hAnsi="宋体" w:eastAsia="宋体" w:cs="宋体"/>
                <w:sz w:val="24"/>
                <w:szCs w:val="24"/>
                <w:lang w:val="en-US" w:eastAsia="zh-CN"/>
              </w:rPr>
            </w:pPr>
          </w:p>
        </w:tc>
        <w:tc>
          <w:tcPr>
            <w:tcW w:w="151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5EF8915">
            <w:pPr>
              <w:bidi w:val="0"/>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资产总额（Z）</w:t>
            </w:r>
          </w:p>
        </w:tc>
        <w:tc>
          <w:tcPr>
            <w:tcW w:w="91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ED5A04D">
            <w:pPr>
              <w:bidi w:val="0"/>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万元</w:t>
            </w:r>
          </w:p>
        </w:tc>
        <w:tc>
          <w:tcPr>
            <w:tcW w:w="276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B4C46BF">
            <w:pPr>
              <w:bidi w:val="0"/>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5000≤Z＜80000</w:t>
            </w:r>
          </w:p>
        </w:tc>
        <w:tc>
          <w:tcPr>
            <w:tcW w:w="0" w:type="auto"/>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8E24AF4">
            <w:pPr>
              <w:bidi w:val="0"/>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300≤Z＜5000</w:t>
            </w:r>
          </w:p>
        </w:tc>
        <w:tc>
          <w:tcPr>
            <w:tcW w:w="0" w:type="auto"/>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67FB970">
            <w:pPr>
              <w:bidi w:val="0"/>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Z＜300</w:t>
            </w:r>
          </w:p>
        </w:tc>
      </w:tr>
      <w:tr w14:paraId="6E6CE6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90" w:hRule="atLeast"/>
        </w:trPr>
        <w:tc>
          <w:tcPr>
            <w:tcW w:w="1373" w:type="dxa"/>
            <w:vMerge w:val="restar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FEC4B88">
            <w:pPr>
              <w:bidi w:val="0"/>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批发业</w:t>
            </w:r>
          </w:p>
        </w:tc>
        <w:tc>
          <w:tcPr>
            <w:tcW w:w="151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6C5C3F6">
            <w:pPr>
              <w:bidi w:val="0"/>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从业人员（X）</w:t>
            </w:r>
          </w:p>
        </w:tc>
        <w:tc>
          <w:tcPr>
            <w:tcW w:w="91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E135071">
            <w:pPr>
              <w:bidi w:val="0"/>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人</w:t>
            </w:r>
          </w:p>
        </w:tc>
        <w:tc>
          <w:tcPr>
            <w:tcW w:w="276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504B770">
            <w:pPr>
              <w:bidi w:val="0"/>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20≤X＜200</w:t>
            </w:r>
          </w:p>
        </w:tc>
        <w:tc>
          <w:tcPr>
            <w:tcW w:w="0" w:type="auto"/>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80F1F53">
            <w:pPr>
              <w:bidi w:val="0"/>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5≤X＜20</w:t>
            </w:r>
          </w:p>
        </w:tc>
        <w:tc>
          <w:tcPr>
            <w:tcW w:w="0" w:type="auto"/>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14E0EA1">
            <w:pPr>
              <w:bidi w:val="0"/>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X＜5</w:t>
            </w:r>
          </w:p>
        </w:tc>
      </w:tr>
      <w:tr w14:paraId="0EB957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90" w:hRule="atLeast"/>
        </w:trPr>
        <w:tc>
          <w:tcPr>
            <w:tcW w:w="1373" w:type="dxa"/>
            <w:vMerge w:val="continue"/>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2A79ED6">
            <w:pPr>
              <w:bidi w:val="0"/>
              <w:spacing w:line="240" w:lineRule="auto"/>
              <w:jc w:val="center"/>
              <w:rPr>
                <w:rFonts w:hint="eastAsia" w:ascii="宋体" w:hAnsi="宋体" w:eastAsia="宋体" w:cs="宋体"/>
                <w:sz w:val="24"/>
                <w:szCs w:val="24"/>
                <w:lang w:val="en-US" w:eastAsia="zh-CN"/>
              </w:rPr>
            </w:pPr>
          </w:p>
        </w:tc>
        <w:tc>
          <w:tcPr>
            <w:tcW w:w="151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F96E84F">
            <w:pPr>
              <w:bidi w:val="0"/>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营业收入（Y）</w:t>
            </w:r>
          </w:p>
        </w:tc>
        <w:tc>
          <w:tcPr>
            <w:tcW w:w="91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BFD0765">
            <w:pPr>
              <w:bidi w:val="0"/>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万元</w:t>
            </w:r>
          </w:p>
        </w:tc>
        <w:tc>
          <w:tcPr>
            <w:tcW w:w="276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7CE3C4E">
            <w:pPr>
              <w:bidi w:val="0"/>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5000≤Y＜40000</w:t>
            </w:r>
          </w:p>
        </w:tc>
        <w:tc>
          <w:tcPr>
            <w:tcW w:w="0" w:type="auto"/>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0E10092">
            <w:pPr>
              <w:bidi w:val="0"/>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1000≤Y＜5000</w:t>
            </w:r>
          </w:p>
        </w:tc>
        <w:tc>
          <w:tcPr>
            <w:tcW w:w="0" w:type="auto"/>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23B26F8">
            <w:pPr>
              <w:bidi w:val="0"/>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Y＜1000</w:t>
            </w:r>
          </w:p>
        </w:tc>
      </w:tr>
      <w:tr w14:paraId="10312A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90" w:hRule="atLeast"/>
        </w:trPr>
        <w:tc>
          <w:tcPr>
            <w:tcW w:w="1373" w:type="dxa"/>
            <w:vMerge w:val="restar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8F53F84">
            <w:pPr>
              <w:bidi w:val="0"/>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零售业</w:t>
            </w:r>
          </w:p>
        </w:tc>
        <w:tc>
          <w:tcPr>
            <w:tcW w:w="151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5792FBB">
            <w:pPr>
              <w:bidi w:val="0"/>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从业人员（X）</w:t>
            </w:r>
          </w:p>
        </w:tc>
        <w:tc>
          <w:tcPr>
            <w:tcW w:w="91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7D61332">
            <w:pPr>
              <w:bidi w:val="0"/>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人</w:t>
            </w:r>
          </w:p>
        </w:tc>
        <w:tc>
          <w:tcPr>
            <w:tcW w:w="276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4FB6F97">
            <w:pPr>
              <w:bidi w:val="0"/>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50≤X＜300</w:t>
            </w:r>
          </w:p>
        </w:tc>
        <w:tc>
          <w:tcPr>
            <w:tcW w:w="0" w:type="auto"/>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97EC138">
            <w:pPr>
              <w:bidi w:val="0"/>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10≤X＜50</w:t>
            </w:r>
          </w:p>
        </w:tc>
        <w:tc>
          <w:tcPr>
            <w:tcW w:w="0" w:type="auto"/>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214597C">
            <w:pPr>
              <w:bidi w:val="0"/>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X＜10</w:t>
            </w:r>
          </w:p>
        </w:tc>
      </w:tr>
      <w:tr w14:paraId="59C54F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90" w:hRule="atLeast"/>
        </w:trPr>
        <w:tc>
          <w:tcPr>
            <w:tcW w:w="1373" w:type="dxa"/>
            <w:vMerge w:val="continue"/>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102B02A">
            <w:pPr>
              <w:bidi w:val="0"/>
              <w:spacing w:line="240" w:lineRule="auto"/>
              <w:jc w:val="center"/>
              <w:rPr>
                <w:rFonts w:hint="eastAsia" w:ascii="宋体" w:hAnsi="宋体" w:eastAsia="宋体" w:cs="宋体"/>
                <w:sz w:val="24"/>
                <w:szCs w:val="24"/>
                <w:lang w:val="en-US" w:eastAsia="zh-CN"/>
              </w:rPr>
            </w:pPr>
          </w:p>
        </w:tc>
        <w:tc>
          <w:tcPr>
            <w:tcW w:w="151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C2722FD">
            <w:pPr>
              <w:bidi w:val="0"/>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营业收入（Y）</w:t>
            </w:r>
          </w:p>
        </w:tc>
        <w:tc>
          <w:tcPr>
            <w:tcW w:w="91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6520D0E">
            <w:pPr>
              <w:bidi w:val="0"/>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万元</w:t>
            </w:r>
          </w:p>
        </w:tc>
        <w:tc>
          <w:tcPr>
            <w:tcW w:w="276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D7F8F42">
            <w:pPr>
              <w:bidi w:val="0"/>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500≤Y＜20000</w:t>
            </w:r>
          </w:p>
        </w:tc>
        <w:tc>
          <w:tcPr>
            <w:tcW w:w="0" w:type="auto"/>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457CC27">
            <w:pPr>
              <w:bidi w:val="0"/>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100≤Y＜500</w:t>
            </w:r>
          </w:p>
        </w:tc>
        <w:tc>
          <w:tcPr>
            <w:tcW w:w="0" w:type="auto"/>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D8E6F19">
            <w:pPr>
              <w:bidi w:val="0"/>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Y＜100</w:t>
            </w:r>
          </w:p>
        </w:tc>
      </w:tr>
      <w:tr w14:paraId="097E33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90" w:hRule="atLeast"/>
        </w:trPr>
        <w:tc>
          <w:tcPr>
            <w:tcW w:w="1373" w:type="dxa"/>
            <w:vMerge w:val="restar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DC94319">
            <w:pPr>
              <w:bidi w:val="0"/>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交通运输业</w:t>
            </w:r>
          </w:p>
        </w:tc>
        <w:tc>
          <w:tcPr>
            <w:tcW w:w="151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8CB1591">
            <w:pPr>
              <w:bidi w:val="0"/>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从业人员（X）</w:t>
            </w:r>
          </w:p>
        </w:tc>
        <w:tc>
          <w:tcPr>
            <w:tcW w:w="91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5D362B7">
            <w:pPr>
              <w:bidi w:val="0"/>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人</w:t>
            </w:r>
          </w:p>
        </w:tc>
        <w:tc>
          <w:tcPr>
            <w:tcW w:w="276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5168CC6">
            <w:pPr>
              <w:bidi w:val="0"/>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300≤X＜1000</w:t>
            </w:r>
          </w:p>
        </w:tc>
        <w:tc>
          <w:tcPr>
            <w:tcW w:w="0" w:type="auto"/>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5CFD884">
            <w:pPr>
              <w:bidi w:val="0"/>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20≤X＜300</w:t>
            </w:r>
          </w:p>
        </w:tc>
        <w:tc>
          <w:tcPr>
            <w:tcW w:w="0" w:type="auto"/>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FA06503">
            <w:pPr>
              <w:bidi w:val="0"/>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X＜20</w:t>
            </w:r>
          </w:p>
        </w:tc>
      </w:tr>
      <w:tr w14:paraId="2E07CD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90" w:hRule="atLeast"/>
        </w:trPr>
        <w:tc>
          <w:tcPr>
            <w:tcW w:w="1373" w:type="dxa"/>
            <w:vMerge w:val="continue"/>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A4D8586">
            <w:pPr>
              <w:bidi w:val="0"/>
              <w:spacing w:line="240" w:lineRule="auto"/>
              <w:jc w:val="center"/>
              <w:rPr>
                <w:rFonts w:hint="eastAsia" w:ascii="宋体" w:hAnsi="宋体" w:eastAsia="宋体" w:cs="宋体"/>
                <w:sz w:val="24"/>
                <w:szCs w:val="24"/>
                <w:lang w:val="en-US" w:eastAsia="zh-CN"/>
              </w:rPr>
            </w:pPr>
          </w:p>
        </w:tc>
        <w:tc>
          <w:tcPr>
            <w:tcW w:w="151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D54DDEC">
            <w:pPr>
              <w:bidi w:val="0"/>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营业收入（Y）</w:t>
            </w:r>
          </w:p>
        </w:tc>
        <w:tc>
          <w:tcPr>
            <w:tcW w:w="91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4D34C4B">
            <w:pPr>
              <w:bidi w:val="0"/>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万元</w:t>
            </w:r>
          </w:p>
        </w:tc>
        <w:tc>
          <w:tcPr>
            <w:tcW w:w="276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F0BCDA5">
            <w:pPr>
              <w:bidi w:val="0"/>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3000≤Y＜30000</w:t>
            </w:r>
          </w:p>
        </w:tc>
        <w:tc>
          <w:tcPr>
            <w:tcW w:w="0" w:type="auto"/>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B4D2082">
            <w:pPr>
              <w:bidi w:val="0"/>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200≤Y＜3000</w:t>
            </w:r>
          </w:p>
        </w:tc>
        <w:tc>
          <w:tcPr>
            <w:tcW w:w="0" w:type="auto"/>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C264FAB">
            <w:pPr>
              <w:bidi w:val="0"/>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Y＜200</w:t>
            </w:r>
          </w:p>
        </w:tc>
      </w:tr>
      <w:tr w14:paraId="13EFE1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90" w:hRule="atLeast"/>
        </w:trPr>
        <w:tc>
          <w:tcPr>
            <w:tcW w:w="1373" w:type="dxa"/>
            <w:vMerge w:val="restar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2FBC8D7">
            <w:pPr>
              <w:bidi w:val="0"/>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仓储业</w:t>
            </w:r>
          </w:p>
        </w:tc>
        <w:tc>
          <w:tcPr>
            <w:tcW w:w="151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DC272EF">
            <w:pPr>
              <w:bidi w:val="0"/>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从业人员（X）</w:t>
            </w:r>
          </w:p>
        </w:tc>
        <w:tc>
          <w:tcPr>
            <w:tcW w:w="91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16A9A63">
            <w:pPr>
              <w:bidi w:val="0"/>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人</w:t>
            </w:r>
          </w:p>
        </w:tc>
        <w:tc>
          <w:tcPr>
            <w:tcW w:w="276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91F82AC">
            <w:pPr>
              <w:bidi w:val="0"/>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100≤X＜200</w:t>
            </w:r>
          </w:p>
        </w:tc>
        <w:tc>
          <w:tcPr>
            <w:tcW w:w="0" w:type="auto"/>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CC55AEF">
            <w:pPr>
              <w:bidi w:val="0"/>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20≤X＜100</w:t>
            </w:r>
          </w:p>
        </w:tc>
        <w:tc>
          <w:tcPr>
            <w:tcW w:w="0" w:type="auto"/>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DBB73EA">
            <w:pPr>
              <w:bidi w:val="0"/>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X＜20</w:t>
            </w:r>
          </w:p>
        </w:tc>
      </w:tr>
      <w:tr w14:paraId="4AA129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90" w:hRule="atLeast"/>
        </w:trPr>
        <w:tc>
          <w:tcPr>
            <w:tcW w:w="1373" w:type="dxa"/>
            <w:vMerge w:val="continue"/>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4DC01FD">
            <w:pPr>
              <w:bidi w:val="0"/>
              <w:spacing w:line="240" w:lineRule="auto"/>
              <w:jc w:val="center"/>
              <w:rPr>
                <w:rFonts w:hint="eastAsia" w:ascii="宋体" w:hAnsi="宋体" w:eastAsia="宋体" w:cs="宋体"/>
                <w:sz w:val="24"/>
                <w:szCs w:val="24"/>
                <w:lang w:val="en-US" w:eastAsia="zh-CN"/>
              </w:rPr>
            </w:pPr>
          </w:p>
        </w:tc>
        <w:tc>
          <w:tcPr>
            <w:tcW w:w="151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C0E6CA0">
            <w:pPr>
              <w:bidi w:val="0"/>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营业收入（Y）</w:t>
            </w:r>
          </w:p>
        </w:tc>
        <w:tc>
          <w:tcPr>
            <w:tcW w:w="91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BF20DB5">
            <w:pPr>
              <w:bidi w:val="0"/>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万元</w:t>
            </w:r>
          </w:p>
        </w:tc>
        <w:tc>
          <w:tcPr>
            <w:tcW w:w="276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C462291">
            <w:pPr>
              <w:bidi w:val="0"/>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1000≤Y＜30000</w:t>
            </w:r>
          </w:p>
        </w:tc>
        <w:tc>
          <w:tcPr>
            <w:tcW w:w="0" w:type="auto"/>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BFB41E0">
            <w:pPr>
              <w:bidi w:val="0"/>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100≤Y＜1000</w:t>
            </w:r>
          </w:p>
        </w:tc>
        <w:tc>
          <w:tcPr>
            <w:tcW w:w="0" w:type="auto"/>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47D0C23">
            <w:pPr>
              <w:bidi w:val="0"/>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Y＜100</w:t>
            </w:r>
          </w:p>
        </w:tc>
      </w:tr>
      <w:tr w14:paraId="767589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90" w:hRule="atLeast"/>
        </w:trPr>
        <w:tc>
          <w:tcPr>
            <w:tcW w:w="1373" w:type="dxa"/>
            <w:vMerge w:val="restar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7B7552A">
            <w:pPr>
              <w:bidi w:val="0"/>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邮政业</w:t>
            </w:r>
          </w:p>
        </w:tc>
        <w:tc>
          <w:tcPr>
            <w:tcW w:w="151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86AFA30">
            <w:pPr>
              <w:bidi w:val="0"/>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从业人员（X）</w:t>
            </w:r>
          </w:p>
        </w:tc>
        <w:tc>
          <w:tcPr>
            <w:tcW w:w="91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247ADA5">
            <w:pPr>
              <w:bidi w:val="0"/>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人</w:t>
            </w:r>
          </w:p>
        </w:tc>
        <w:tc>
          <w:tcPr>
            <w:tcW w:w="276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FC8DD6E">
            <w:pPr>
              <w:bidi w:val="0"/>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300≤X＜1000</w:t>
            </w:r>
          </w:p>
        </w:tc>
        <w:tc>
          <w:tcPr>
            <w:tcW w:w="0" w:type="auto"/>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65D21B3">
            <w:pPr>
              <w:bidi w:val="0"/>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20≤X＜300</w:t>
            </w:r>
          </w:p>
        </w:tc>
        <w:tc>
          <w:tcPr>
            <w:tcW w:w="0" w:type="auto"/>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803EFB1">
            <w:pPr>
              <w:bidi w:val="0"/>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X＜20</w:t>
            </w:r>
          </w:p>
        </w:tc>
      </w:tr>
      <w:tr w14:paraId="1403EB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90" w:hRule="atLeast"/>
        </w:trPr>
        <w:tc>
          <w:tcPr>
            <w:tcW w:w="1373" w:type="dxa"/>
            <w:vMerge w:val="continue"/>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6941EA2">
            <w:pPr>
              <w:bidi w:val="0"/>
              <w:spacing w:line="240" w:lineRule="auto"/>
              <w:jc w:val="center"/>
              <w:rPr>
                <w:rFonts w:hint="eastAsia" w:ascii="宋体" w:hAnsi="宋体" w:eastAsia="宋体" w:cs="宋体"/>
                <w:sz w:val="24"/>
                <w:szCs w:val="24"/>
                <w:lang w:val="en-US" w:eastAsia="zh-CN"/>
              </w:rPr>
            </w:pPr>
          </w:p>
        </w:tc>
        <w:tc>
          <w:tcPr>
            <w:tcW w:w="151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356D185">
            <w:pPr>
              <w:bidi w:val="0"/>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营业收入（Y）</w:t>
            </w:r>
          </w:p>
        </w:tc>
        <w:tc>
          <w:tcPr>
            <w:tcW w:w="91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1706F0D">
            <w:pPr>
              <w:bidi w:val="0"/>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万元</w:t>
            </w:r>
          </w:p>
        </w:tc>
        <w:tc>
          <w:tcPr>
            <w:tcW w:w="276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C6C4223">
            <w:pPr>
              <w:bidi w:val="0"/>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2000≤Y＜30000</w:t>
            </w:r>
          </w:p>
        </w:tc>
        <w:tc>
          <w:tcPr>
            <w:tcW w:w="0" w:type="auto"/>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7CE4377">
            <w:pPr>
              <w:bidi w:val="0"/>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100≤Y＜2000</w:t>
            </w:r>
          </w:p>
        </w:tc>
        <w:tc>
          <w:tcPr>
            <w:tcW w:w="0" w:type="auto"/>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F9111CC">
            <w:pPr>
              <w:bidi w:val="0"/>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Y＜100</w:t>
            </w:r>
          </w:p>
        </w:tc>
      </w:tr>
      <w:tr w14:paraId="630DA5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90" w:hRule="atLeast"/>
        </w:trPr>
        <w:tc>
          <w:tcPr>
            <w:tcW w:w="1373" w:type="dxa"/>
            <w:vMerge w:val="restar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5BF6A5B">
            <w:pPr>
              <w:bidi w:val="0"/>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住宿业</w:t>
            </w:r>
          </w:p>
        </w:tc>
        <w:tc>
          <w:tcPr>
            <w:tcW w:w="151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3E1B1DB">
            <w:pPr>
              <w:bidi w:val="0"/>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从业人员（X）</w:t>
            </w:r>
          </w:p>
        </w:tc>
        <w:tc>
          <w:tcPr>
            <w:tcW w:w="91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013F545">
            <w:pPr>
              <w:bidi w:val="0"/>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人</w:t>
            </w:r>
          </w:p>
        </w:tc>
        <w:tc>
          <w:tcPr>
            <w:tcW w:w="276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CCA569D">
            <w:pPr>
              <w:bidi w:val="0"/>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100≤X＜300</w:t>
            </w:r>
          </w:p>
        </w:tc>
        <w:tc>
          <w:tcPr>
            <w:tcW w:w="0" w:type="auto"/>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B1B1609">
            <w:pPr>
              <w:bidi w:val="0"/>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10≤X＜100</w:t>
            </w:r>
          </w:p>
        </w:tc>
        <w:tc>
          <w:tcPr>
            <w:tcW w:w="0" w:type="auto"/>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CC3F902">
            <w:pPr>
              <w:bidi w:val="0"/>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X＜10</w:t>
            </w:r>
          </w:p>
        </w:tc>
      </w:tr>
      <w:tr w14:paraId="0096A5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90" w:hRule="atLeast"/>
        </w:trPr>
        <w:tc>
          <w:tcPr>
            <w:tcW w:w="1373" w:type="dxa"/>
            <w:vMerge w:val="continue"/>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9CFB2C4">
            <w:pPr>
              <w:bidi w:val="0"/>
              <w:spacing w:line="240" w:lineRule="auto"/>
              <w:jc w:val="center"/>
              <w:rPr>
                <w:rFonts w:hint="eastAsia" w:ascii="宋体" w:hAnsi="宋体" w:eastAsia="宋体" w:cs="宋体"/>
                <w:sz w:val="24"/>
                <w:szCs w:val="24"/>
                <w:lang w:val="en-US" w:eastAsia="zh-CN"/>
              </w:rPr>
            </w:pPr>
          </w:p>
        </w:tc>
        <w:tc>
          <w:tcPr>
            <w:tcW w:w="151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08860F7">
            <w:pPr>
              <w:bidi w:val="0"/>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营业收入（Y）</w:t>
            </w:r>
          </w:p>
        </w:tc>
        <w:tc>
          <w:tcPr>
            <w:tcW w:w="91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3634F8B">
            <w:pPr>
              <w:bidi w:val="0"/>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万元</w:t>
            </w:r>
          </w:p>
        </w:tc>
        <w:tc>
          <w:tcPr>
            <w:tcW w:w="276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8248CCA">
            <w:pPr>
              <w:bidi w:val="0"/>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2000≤Y＜10000</w:t>
            </w:r>
          </w:p>
        </w:tc>
        <w:tc>
          <w:tcPr>
            <w:tcW w:w="0" w:type="auto"/>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A955E2F">
            <w:pPr>
              <w:bidi w:val="0"/>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100≤Y＜2000</w:t>
            </w:r>
          </w:p>
        </w:tc>
        <w:tc>
          <w:tcPr>
            <w:tcW w:w="0" w:type="auto"/>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72F489C">
            <w:pPr>
              <w:bidi w:val="0"/>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Y＜100</w:t>
            </w:r>
          </w:p>
        </w:tc>
      </w:tr>
      <w:tr w14:paraId="338633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90" w:hRule="atLeast"/>
        </w:trPr>
        <w:tc>
          <w:tcPr>
            <w:tcW w:w="1373" w:type="dxa"/>
            <w:vMerge w:val="restar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0131397">
            <w:pPr>
              <w:bidi w:val="0"/>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餐饮业</w:t>
            </w:r>
          </w:p>
        </w:tc>
        <w:tc>
          <w:tcPr>
            <w:tcW w:w="151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E4E1B27">
            <w:pPr>
              <w:bidi w:val="0"/>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从业人员（X）</w:t>
            </w:r>
          </w:p>
        </w:tc>
        <w:tc>
          <w:tcPr>
            <w:tcW w:w="91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6EF8152">
            <w:pPr>
              <w:bidi w:val="0"/>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人</w:t>
            </w:r>
          </w:p>
        </w:tc>
        <w:tc>
          <w:tcPr>
            <w:tcW w:w="276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A610EDB">
            <w:pPr>
              <w:bidi w:val="0"/>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100≤X＜300</w:t>
            </w:r>
          </w:p>
        </w:tc>
        <w:tc>
          <w:tcPr>
            <w:tcW w:w="0" w:type="auto"/>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D0611D2">
            <w:pPr>
              <w:bidi w:val="0"/>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10≤X＜100</w:t>
            </w:r>
          </w:p>
        </w:tc>
        <w:tc>
          <w:tcPr>
            <w:tcW w:w="0" w:type="auto"/>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0AF77F3">
            <w:pPr>
              <w:bidi w:val="0"/>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X＜10</w:t>
            </w:r>
          </w:p>
        </w:tc>
      </w:tr>
      <w:tr w14:paraId="0279AE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90" w:hRule="atLeast"/>
        </w:trPr>
        <w:tc>
          <w:tcPr>
            <w:tcW w:w="1373" w:type="dxa"/>
            <w:vMerge w:val="continue"/>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89C5F92">
            <w:pPr>
              <w:bidi w:val="0"/>
              <w:spacing w:line="240" w:lineRule="auto"/>
              <w:jc w:val="center"/>
              <w:rPr>
                <w:rFonts w:hint="eastAsia" w:ascii="宋体" w:hAnsi="宋体" w:eastAsia="宋体" w:cs="宋体"/>
                <w:sz w:val="24"/>
                <w:szCs w:val="24"/>
                <w:lang w:val="en-US" w:eastAsia="zh-CN"/>
              </w:rPr>
            </w:pPr>
          </w:p>
        </w:tc>
        <w:tc>
          <w:tcPr>
            <w:tcW w:w="151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E33B3BA">
            <w:pPr>
              <w:bidi w:val="0"/>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营业收入（Y）</w:t>
            </w:r>
          </w:p>
        </w:tc>
        <w:tc>
          <w:tcPr>
            <w:tcW w:w="91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C895C3E">
            <w:pPr>
              <w:bidi w:val="0"/>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万元</w:t>
            </w:r>
          </w:p>
        </w:tc>
        <w:tc>
          <w:tcPr>
            <w:tcW w:w="276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A16A866">
            <w:pPr>
              <w:bidi w:val="0"/>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2000≤Y＜10000</w:t>
            </w:r>
          </w:p>
        </w:tc>
        <w:tc>
          <w:tcPr>
            <w:tcW w:w="0" w:type="auto"/>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C41D350">
            <w:pPr>
              <w:bidi w:val="0"/>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100≤Y＜2000</w:t>
            </w:r>
          </w:p>
        </w:tc>
        <w:tc>
          <w:tcPr>
            <w:tcW w:w="0" w:type="auto"/>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3AAF963">
            <w:pPr>
              <w:bidi w:val="0"/>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Y＜100</w:t>
            </w:r>
          </w:p>
        </w:tc>
      </w:tr>
      <w:tr w14:paraId="22A027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90" w:hRule="atLeast"/>
        </w:trPr>
        <w:tc>
          <w:tcPr>
            <w:tcW w:w="1373" w:type="dxa"/>
            <w:vMerge w:val="restar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6A13AD8">
            <w:pPr>
              <w:bidi w:val="0"/>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信息传输业</w:t>
            </w:r>
          </w:p>
        </w:tc>
        <w:tc>
          <w:tcPr>
            <w:tcW w:w="151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3194535">
            <w:pPr>
              <w:bidi w:val="0"/>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从业人员（X）</w:t>
            </w:r>
          </w:p>
        </w:tc>
        <w:tc>
          <w:tcPr>
            <w:tcW w:w="91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1C39280">
            <w:pPr>
              <w:bidi w:val="0"/>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人</w:t>
            </w:r>
          </w:p>
        </w:tc>
        <w:tc>
          <w:tcPr>
            <w:tcW w:w="276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4A46366">
            <w:pPr>
              <w:bidi w:val="0"/>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100≤X＜2000</w:t>
            </w:r>
          </w:p>
        </w:tc>
        <w:tc>
          <w:tcPr>
            <w:tcW w:w="0" w:type="auto"/>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A6B814B">
            <w:pPr>
              <w:bidi w:val="0"/>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10≤X＜100</w:t>
            </w:r>
          </w:p>
        </w:tc>
        <w:tc>
          <w:tcPr>
            <w:tcW w:w="0" w:type="auto"/>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DC34140">
            <w:pPr>
              <w:bidi w:val="0"/>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X＜10</w:t>
            </w:r>
          </w:p>
        </w:tc>
      </w:tr>
      <w:tr w14:paraId="76B1F9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90" w:hRule="atLeast"/>
        </w:trPr>
        <w:tc>
          <w:tcPr>
            <w:tcW w:w="1373" w:type="dxa"/>
            <w:vMerge w:val="continue"/>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3731B76">
            <w:pPr>
              <w:bidi w:val="0"/>
              <w:spacing w:line="240" w:lineRule="auto"/>
              <w:jc w:val="center"/>
              <w:rPr>
                <w:rFonts w:hint="eastAsia" w:ascii="宋体" w:hAnsi="宋体" w:eastAsia="宋体" w:cs="宋体"/>
                <w:sz w:val="24"/>
                <w:szCs w:val="24"/>
                <w:lang w:val="en-US" w:eastAsia="zh-CN"/>
              </w:rPr>
            </w:pPr>
          </w:p>
        </w:tc>
        <w:tc>
          <w:tcPr>
            <w:tcW w:w="151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7DBF91F">
            <w:pPr>
              <w:bidi w:val="0"/>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营业收入（Y）</w:t>
            </w:r>
          </w:p>
        </w:tc>
        <w:tc>
          <w:tcPr>
            <w:tcW w:w="91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51C1F91">
            <w:pPr>
              <w:bidi w:val="0"/>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万元</w:t>
            </w:r>
          </w:p>
        </w:tc>
        <w:tc>
          <w:tcPr>
            <w:tcW w:w="276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B00FDC2">
            <w:pPr>
              <w:bidi w:val="0"/>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1000≤Y＜100000</w:t>
            </w:r>
          </w:p>
        </w:tc>
        <w:tc>
          <w:tcPr>
            <w:tcW w:w="0" w:type="auto"/>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02AA9CD">
            <w:pPr>
              <w:bidi w:val="0"/>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100≤Y＜1000</w:t>
            </w:r>
          </w:p>
        </w:tc>
        <w:tc>
          <w:tcPr>
            <w:tcW w:w="0" w:type="auto"/>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8D6C435">
            <w:pPr>
              <w:bidi w:val="0"/>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Y＜100</w:t>
            </w:r>
          </w:p>
        </w:tc>
      </w:tr>
      <w:tr w14:paraId="2ECE9A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90" w:hRule="atLeast"/>
        </w:trPr>
        <w:tc>
          <w:tcPr>
            <w:tcW w:w="1373" w:type="dxa"/>
            <w:vMerge w:val="restar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DC3D2A4">
            <w:pPr>
              <w:bidi w:val="0"/>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软件和信息技术服务业</w:t>
            </w:r>
          </w:p>
        </w:tc>
        <w:tc>
          <w:tcPr>
            <w:tcW w:w="151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514C291">
            <w:pPr>
              <w:bidi w:val="0"/>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从业人员（X）</w:t>
            </w:r>
          </w:p>
        </w:tc>
        <w:tc>
          <w:tcPr>
            <w:tcW w:w="91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3696300">
            <w:pPr>
              <w:bidi w:val="0"/>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人</w:t>
            </w:r>
          </w:p>
        </w:tc>
        <w:tc>
          <w:tcPr>
            <w:tcW w:w="276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09F2E40">
            <w:pPr>
              <w:bidi w:val="0"/>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100≤X＜300</w:t>
            </w:r>
          </w:p>
        </w:tc>
        <w:tc>
          <w:tcPr>
            <w:tcW w:w="0" w:type="auto"/>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75092C2">
            <w:pPr>
              <w:bidi w:val="0"/>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10≤X＜100</w:t>
            </w:r>
          </w:p>
        </w:tc>
        <w:tc>
          <w:tcPr>
            <w:tcW w:w="0" w:type="auto"/>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44CFBFF">
            <w:pPr>
              <w:bidi w:val="0"/>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X＜10</w:t>
            </w:r>
          </w:p>
        </w:tc>
      </w:tr>
      <w:tr w14:paraId="236CBD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90" w:hRule="atLeast"/>
        </w:trPr>
        <w:tc>
          <w:tcPr>
            <w:tcW w:w="1373" w:type="dxa"/>
            <w:vMerge w:val="continue"/>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443702F">
            <w:pPr>
              <w:bidi w:val="0"/>
              <w:spacing w:line="240" w:lineRule="auto"/>
              <w:jc w:val="center"/>
              <w:rPr>
                <w:rFonts w:hint="eastAsia" w:ascii="宋体" w:hAnsi="宋体" w:eastAsia="宋体" w:cs="宋体"/>
                <w:sz w:val="24"/>
                <w:szCs w:val="24"/>
                <w:lang w:val="en-US" w:eastAsia="zh-CN"/>
              </w:rPr>
            </w:pPr>
          </w:p>
        </w:tc>
        <w:tc>
          <w:tcPr>
            <w:tcW w:w="151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90235CF">
            <w:pPr>
              <w:bidi w:val="0"/>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营业收入（Y）</w:t>
            </w:r>
          </w:p>
        </w:tc>
        <w:tc>
          <w:tcPr>
            <w:tcW w:w="91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117F6C1">
            <w:pPr>
              <w:bidi w:val="0"/>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万元</w:t>
            </w:r>
          </w:p>
        </w:tc>
        <w:tc>
          <w:tcPr>
            <w:tcW w:w="276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3C47F2A">
            <w:pPr>
              <w:bidi w:val="0"/>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1000≤Y＜10000</w:t>
            </w:r>
          </w:p>
        </w:tc>
        <w:tc>
          <w:tcPr>
            <w:tcW w:w="0" w:type="auto"/>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4380E8B">
            <w:pPr>
              <w:bidi w:val="0"/>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50≤Y＜1000</w:t>
            </w:r>
          </w:p>
        </w:tc>
        <w:tc>
          <w:tcPr>
            <w:tcW w:w="0" w:type="auto"/>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C45AEE2">
            <w:pPr>
              <w:bidi w:val="0"/>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Y＜50</w:t>
            </w:r>
          </w:p>
        </w:tc>
      </w:tr>
      <w:tr w14:paraId="016C09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90" w:hRule="atLeast"/>
        </w:trPr>
        <w:tc>
          <w:tcPr>
            <w:tcW w:w="1373" w:type="dxa"/>
            <w:vMerge w:val="restar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4E77EAF">
            <w:pPr>
              <w:bidi w:val="0"/>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房地产开发经营</w:t>
            </w:r>
          </w:p>
        </w:tc>
        <w:tc>
          <w:tcPr>
            <w:tcW w:w="151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0059379">
            <w:pPr>
              <w:bidi w:val="0"/>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营业收入（Y）</w:t>
            </w:r>
          </w:p>
        </w:tc>
        <w:tc>
          <w:tcPr>
            <w:tcW w:w="91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DF638D1">
            <w:pPr>
              <w:bidi w:val="0"/>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万元</w:t>
            </w:r>
          </w:p>
        </w:tc>
        <w:tc>
          <w:tcPr>
            <w:tcW w:w="276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0DD8AE1">
            <w:pPr>
              <w:bidi w:val="0"/>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1000≤Y＜200000</w:t>
            </w:r>
          </w:p>
        </w:tc>
        <w:tc>
          <w:tcPr>
            <w:tcW w:w="0" w:type="auto"/>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846E2DC">
            <w:pPr>
              <w:bidi w:val="0"/>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100≤X＜1000</w:t>
            </w:r>
          </w:p>
        </w:tc>
        <w:tc>
          <w:tcPr>
            <w:tcW w:w="0" w:type="auto"/>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FDC624B">
            <w:pPr>
              <w:bidi w:val="0"/>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X＜100</w:t>
            </w:r>
          </w:p>
        </w:tc>
      </w:tr>
      <w:tr w14:paraId="3D8CEA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90" w:hRule="atLeast"/>
        </w:trPr>
        <w:tc>
          <w:tcPr>
            <w:tcW w:w="1373" w:type="dxa"/>
            <w:vMerge w:val="continue"/>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49B9DBD">
            <w:pPr>
              <w:bidi w:val="0"/>
              <w:spacing w:line="240" w:lineRule="auto"/>
              <w:jc w:val="center"/>
              <w:rPr>
                <w:rFonts w:hint="eastAsia" w:ascii="宋体" w:hAnsi="宋体" w:eastAsia="宋体" w:cs="宋体"/>
                <w:sz w:val="24"/>
                <w:szCs w:val="24"/>
                <w:lang w:val="en-US" w:eastAsia="zh-CN"/>
              </w:rPr>
            </w:pPr>
          </w:p>
        </w:tc>
        <w:tc>
          <w:tcPr>
            <w:tcW w:w="151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E85C8D4">
            <w:pPr>
              <w:bidi w:val="0"/>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资产总额（Z）</w:t>
            </w:r>
          </w:p>
        </w:tc>
        <w:tc>
          <w:tcPr>
            <w:tcW w:w="91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7D40E91">
            <w:pPr>
              <w:bidi w:val="0"/>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万元</w:t>
            </w:r>
          </w:p>
        </w:tc>
        <w:tc>
          <w:tcPr>
            <w:tcW w:w="276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83CE400">
            <w:pPr>
              <w:bidi w:val="0"/>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5000≤Z＜10000</w:t>
            </w:r>
          </w:p>
        </w:tc>
        <w:tc>
          <w:tcPr>
            <w:tcW w:w="0" w:type="auto"/>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B771B58">
            <w:pPr>
              <w:bidi w:val="0"/>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2000≤Y＜5000</w:t>
            </w:r>
          </w:p>
        </w:tc>
        <w:tc>
          <w:tcPr>
            <w:tcW w:w="0" w:type="auto"/>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6B3F878">
            <w:pPr>
              <w:bidi w:val="0"/>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Y＜2000</w:t>
            </w:r>
          </w:p>
        </w:tc>
      </w:tr>
      <w:tr w14:paraId="136512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90" w:hRule="atLeast"/>
        </w:trPr>
        <w:tc>
          <w:tcPr>
            <w:tcW w:w="1373" w:type="dxa"/>
            <w:vMerge w:val="restar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3C1CC52">
            <w:pPr>
              <w:bidi w:val="0"/>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物业管理</w:t>
            </w:r>
          </w:p>
        </w:tc>
        <w:tc>
          <w:tcPr>
            <w:tcW w:w="151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C75D303">
            <w:pPr>
              <w:bidi w:val="0"/>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从业人员（X）</w:t>
            </w:r>
          </w:p>
        </w:tc>
        <w:tc>
          <w:tcPr>
            <w:tcW w:w="91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1C1077C">
            <w:pPr>
              <w:bidi w:val="0"/>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人</w:t>
            </w:r>
          </w:p>
        </w:tc>
        <w:tc>
          <w:tcPr>
            <w:tcW w:w="276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3D2F848">
            <w:pPr>
              <w:bidi w:val="0"/>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300≤X＜1000</w:t>
            </w:r>
          </w:p>
        </w:tc>
        <w:tc>
          <w:tcPr>
            <w:tcW w:w="0" w:type="auto"/>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E3D153D">
            <w:pPr>
              <w:bidi w:val="0"/>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100≤X＜300</w:t>
            </w:r>
          </w:p>
        </w:tc>
        <w:tc>
          <w:tcPr>
            <w:tcW w:w="0" w:type="auto"/>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40D43FA">
            <w:pPr>
              <w:bidi w:val="0"/>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X＜100</w:t>
            </w:r>
          </w:p>
        </w:tc>
      </w:tr>
      <w:tr w14:paraId="6C98AC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90" w:hRule="atLeast"/>
        </w:trPr>
        <w:tc>
          <w:tcPr>
            <w:tcW w:w="1373" w:type="dxa"/>
            <w:vMerge w:val="continue"/>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03EEF5B">
            <w:pPr>
              <w:bidi w:val="0"/>
              <w:spacing w:line="240" w:lineRule="auto"/>
              <w:jc w:val="center"/>
              <w:rPr>
                <w:rFonts w:hint="eastAsia" w:ascii="宋体" w:hAnsi="宋体" w:eastAsia="宋体" w:cs="宋体"/>
                <w:sz w:val="24"/>
                <w:szCs w:val="24"/>
                <w:lang w:val="en-US" w:eastAsia="zh-CN"/>
              </w:rPr>
            </w:pPr>
          </w:p>
        </w:tc>
        <w:tc>
          <w:tcPr>
            <w:tcW w:w="151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1571049">
            <w:pPr>
              <w:bidi w:val="0"/>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营业收入（Y）</w:t>
            </w:r>
          </w:p>
        </w:tc>
        <w:tc>
          <w:tcPr>
            <w:tcW w:w="91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C1FA676">
            <w:pPr>
              <w:bidi w:val="0"/>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万元</w:t>
            </w:r>
          </w:p>
        </w:tc>
        <w:tc>
          <w:tcPr>
            <w:tcW w:w="276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3D3DA8C">
            <w:pPr>
              <w:bidi w:val="0"/>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1000≤Y＜5000</w:t>
            </w:r>
          </w:p>
        </w:tc>
        <w:tc>
          <w:tcPr>
            <w:tcW w:w="0" w:type="auto"/>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EE27BC3">
            <w:pPr>
              <w:bidi w:val="0"/>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500≤Y＜1000</w:t>
            </w:r>
          </w:p>
        </w:tc>
        <w:tc>
          <w:tcPr>
            <w:tcW w:w="0" w:type="auto"/>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EEC49E1">
            <w:pPr>
              <w:bidi w:val="0"/>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Y＜500</w:t>
            </w:r>
          </w:p>
        </w:tc>
      </w:tr>
      <w:tr w14:paraId="754C41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90" w:hRule="atLeast"/>
        </w:trPr>
        <w:tc>
          <w:tcPr>
            <w:tcW w:w="1373" w:type="dxa"/>
            <w:vMerge w:val="restar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EFAD052">
            <w:pPr>
              <w:bidi w:val="0"/>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租赁和商务服务业</w:t>
            </w:r>
          </w:p>
        </w:tc>
        <w:tc>
          <w:tcPr>
            <w:tcW w:w="151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55E4168">
            <w:pPr>
              <w:bidi w:val="0"/>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从业人员（X）</w:t>
            </w:r>
          </w:p>
        </w:tc>
        <w:tc>
          <w:tcPr>
            <w:tcW w:w="91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0213440">
            <w:pPr>
              <w:bidi w:val="0"/>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人</w:t>
            </w:r>
          </w:p>
        </w:tc>
        <w:tc>
          <w:tcPr>
            <w:tcW w:w="276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A9741B5">
            <w:pPr>
              <w:bidi w:val="0"/>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100≤X＜300</w:t>
            </w:r>
          </w:p>
        </w:tc>
        <w:tc>
          <w:tcPr>
            <w:tcW w:w="0" w:type="auto"/>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2378D71">
            <w:pPr>
              <w:bidi w:val="0"/>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10≤X＜100</w:t>
            </w:r>
          </w:p>
        </w:tc>
        <w:tc>
          <w:tcPr>
            <w:tcW w:w="0" w:type="auto"/>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CBE6723">
            <w:pPr>
              <w:bidi w:val="0"/>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X＜10</w:t>
            </w:r>
          </w:p>
        </w:tc>
      </w:tr>
      <w:tr w14:paraId="10D01C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90" w:hRule="atLeast"/>
        </w:trPr>
        <w:tc>
          <w:tcPr>
            <w:tcW w:w="1373" w:type="dxa"/>
            <w:vMerge w:val="continue"/>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4D0B83D">
            <w:pPr>
              <w:bidi w:val="0"/>
              <w:spacing w:line="240" w:lineRule="auto"/>
              <w:jc w:val="center"/>
              <w:rPr>
                <w:rFonts w:hint="eastAsia" w:ascii="宋体" w:hAnsi="宋体" w:eastAsia="宋体" w:cs="宋体"/>
                <w:sz w:val="24"/>
                <w:szCs w:val="24"/>
                <w:lang w:val="en-US" w:eastAsia="zh-CN"/>
              </w:rPr>
            </w:pPr>
          </w:p>
        </w:tc>
        <w:tc>
          <w:tcPr>
            <w:tcW w:w="151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BA8FE99">
            <w:pPr>
              <w:bidi w:val="0"/>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资产总额（Z）</w:t>
            </w:r>
          </w:p>
        </w:tc>
        <w:tc>
          <w:tcPr>
            <w:tcW w:w="91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8985D87">
            <w:pPr>
              <w:bidi w:val="0"/>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万元</w:t>
            </w:r>
          </w:p>
        </w:tc>
        <w:tc>
          <w:tcPr>
            <w:tcW w:w="276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C6437C7">
            <w:pPr>
              <w:bidi w:val="0"/>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8000≤Z＜120000</w:t>
            </w:r>
          </w:p>
        </w:tc>
        <w:tc>
          <w:tcPr>
            <w:tcW w:w="0" w:type="auto"/>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7E37637">
            <w:pPr>
              <w:bidi w:val="0"/>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100≤Z＜8000</w:t>
            </w:r>
          </w:p>
        </w:tc>
        <w:tc>
          <w:tcPr>
            <w:tcW w:w="0" w:type="auto"/>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7D26C61">
            <w:pPr>
              <w:bidi w:val="0"/>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Y＜100</w:t>
            </w:r>
          </w:p>
        </w:tc>
      </w:tr>
      <w:tr w14:paraId="373521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90" w:hRule="atLeast"/>
        </w:trPr>
        <w:tc>
          <w:tcPr>
            <w:tcW w:w="137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61009F1">
            <w:pPr>
              <w:bidi w:val="0"/>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其他未列明行业</w:t>
            </w:r>
          </w:p>
        </w:tc>
        <w:tc>
          <w:tcPr>
            <w:tcW w:w="151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7C4E818">
            <w:pPr>
              <w:bidi w:val="0"/>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从业人员（X）</w:t>
            </w:r>
          </w:p>
        </w:tc>
        <w:tc>
          <w:tcPr>
            <w:tcW w:w="91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E31B9B5">
            <w:pPr>
              <w:bidi w:val="0"/>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人</w:t>
            </w:r>
          </w:p>
        </w:tc>
        <w:tc>
          <w:tcPr>
            <w:tcW w:w="276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3DACE71">
            <w:pPr>
              <w:bidi w:val="0"/>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100≤X＜300</w:t>
            </w:r>
          </w:p>
        </w:tc>
        <w:tc>
          <w:tcPr>
            <w:tcW w:w="0" w:type="auto"/>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469C97E">
            <w:pPr>
              <w:bidi w:val="0"/>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10≤X＜100</w:t>
            </w:r>
          </w:p>
        </w:tc>
        <w:tc>
          <w:tcPr>
            <w:tcW w:w="0" w:type="auto"/>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3FA9464">
            <w:pPr>
              <w:bidi w:val="0"/>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X＜10</w:t>
            </w:r>
          </w:p>
        </w:tc>
      </w:tr>
      <w:tr w14:paraId="29A8D6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2" w:hRule="atLeast"/>
        </w:trPr>
        <w:tc>
          <w:tcPr>
            <w:tcW w:w="9500" w:type="dxa"/>
            <w:gridSpan w:val="6"/>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4E4C5FB">
            <w:pPr>
              <w:bidi w:val="0"/>
              <w:spacing w:line="240" w:lineRule="auto"/>
              <w:ind w:firstLine="480" w:firstLineChars="20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说明：上述标准参照《关于印发中小企业划型标准规定的通知》（工信部联企业〔2011〕300号），大型、中型和小型企业须同时满足所列指标的下限，否则下划一档；微型企业只须满足所列指标中的一项即可。</w:t>
            </w:r>
          </w:p>
        </w:tc>
      </w:tr>
    </w:tbl>
    <w:p w14:paraId="3C9453ED">
      <w:pPr>
        <w:pStyle w:val="23"/>
        <w:ind w:left="0" w:leftChars="0" w:firstLine="0" w:firstLineChars="0"/>
        <w:rPr>
          <w:rFonts w:hint="eastAsia"/>
          <w:b/>
          <w:bCs/>
          <w:lang w:val="en-US" w:eastAsia="zh-CN"/>
        </w:rPr>
        <w:sectPr>
          <w:pgSz w:w="11905" w:h="16838"/>
          <w:pgMar w:top="1440" w:right="1080" w:bottom="1440" w:left="1080" w:header="1191" w:footer="1134" w:gutter="0"/>
          <w:pgNumType w:fmt="decimal"/>
          <w:cols w:space="720" w:num="1"/>
          <w:titlePg/>
          <w:docGrid w:linePitch="312" w:charSpace="0"/>
        </w:sectPr>
      </w:pPr>
    </w:p>
    <w:p w14:paraId="59A5F1B1">
      <w:pPr>
        <w:adjustRightInd w:val="0"/>
        <w:snapToGrid w:val="0"/>
        <w:spacing w:line="500" w:lineRule="exact"/>
        <w:jc w:val="center"/>
        <w:outlineLvl w:val="0"/>
        <w:rPr>
          <w:rFonts w:hint="eastAsia" w:ascii="宋体" w:hAnsi="宋体" w:eastAsia="宋体" w:cs="宋体"/>
          <w:b/>
          <w:bCs/>
          <w:sz w:val="24"/>
          <w:szCs w:val="20"/>
          <w:lang w:val="en-US" w:eastAsia="zh-CN"/>
        </w:rPr>
      </w:pPr>
      <w:r>
        <w:rPr>
          <w:rFonts w:hint="eastAsia" w:ascii="宋体" w:hAnsi="宋体" w:eastAsia="宋体" w:cs="宋体"/>
          <w:bCs/>
          <w:color w:val="auto"/>
          <w:sz w:val="28"/>
          <w:szCs w:val="24"/>
          <w:highlight w:val="none"/>
          <w:lang w:val="en-US" w:eastAsia="zh-CN"/>
        </w:rPr>
        <w:t>附件7</w:t>
      </w:r>
      <w:r>
        <w:rPr>
          <w:rFonts w:hint="eastAsia" w:ascii="宋体" w:hAnsi="宋体" w:eastAsia="宋体" w:cs="宋体"/>
          <w:b/>
          <w:bCs/>
          <w:sz w:val="24"/>
          <w:szCs w:val="20"/>
          <w:lang w:val="en-US" w:eastAsia="zh-CN"/>
        </w:rPr>
        <w:t>《陕西省财政厅 中国人民银行西安分行关于深人推进政府采购信用融资业务的通知》（陕财办采〔2023]5号）</w:t>
      </w:r>
    </w:p>
    <w:p w14:paraId="4CF4D87C">
      <w:pPr>
        <w:bidi w:val="0"/>
        <w:rPr>
          <w:rFonts w:hint="default"/>
          <w:lang w:val="en-US" w:eastAsia="zh-CN"/>
        </w:rPr>
      </w:pPr>
      <w:r>
        <w:rPr>
          <w:rFonts w:hint="default"/>
          <w:lang w:val="en-US" w:eastAsia="zh-CN"/>
        </w:rPr>
        <w:drawing>
          <wp:inline distT="0" distB="0" distL="114300" distR="114300">
            <wp:extent cx="5758815" cy="7926070"/>
            <wp:effectExtent l="0" t="0" r="13335" b="17780"/>
            <wp:docPr id="41" name="图片 12" descr="榆政财采发 2023 9号(1)_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12" descr="榆政财采发 2023 9号(1)_00"/>
                    <pic:cNvPicPr>
                      <a:picLocks noChangeAspect="1"/>
                    </pic:cNvPicPr>
                  </pic:nvPicPr>
                  <pic:blipFill>
                    <a:blip r:embed="rId29"/>
                    <a:stretch>
                      <a:fillRect/>
                    </a:stretch>
                  </pic:blipFill>
                  <pic:spPr>
                    <a:xfrm>
                      <a:off x="0" y="0"/>
                      <a:ext cx="5758815" cy="7926070"/>
                    </a:xfrm>
                    <a:prstGeom prst="rect">
                      <a:avLst/>
                    </a:prstGeom>
                    <a:noFill/>
                    <a:ln>
                      <a:noFill/>
                    </a:ln>
                  </pic:spPr>
                </pic:pic>
              </a:graphicData>
            </a:graphic>
          </wp:inline>
        </w:drawing>
      </w:r>
      <w:r>
        <w:rPr>
          <w:rFonts w:hint="default"/>
          <w:lang w:val="en-US" w:eastAsia="zh-CN"/>
        </w:rPr>
        <w:drawing>
          <wp:inline distT="0" distB="0" distL="114300" distR="114300">
            <wp:extent cx="5753735" cy="8127365"/>
            <wp:effectExtent l="0" t="0" r="18415" b="6985"/>
            <wp:docPr id="34" name="图片 13" descr="榆政财采发 2023 9号(1)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13" descr="榆政财采发 2023 9号(1)_01"/>
                    <pic:cNvPicPr>
                      <a:picLocks noChangeAspect="1"/>
                    </pic:cNvPicPr>
                  </pic:nvPicPr>
                  <pic:blipFill>
                    <a:blip r:embed="rId30"/>
                    <a:stretch>
                      <a:fillRect/>
                    </a:stretch>
                  </pic:blipFill>
                  <pic:spPr>
                    <a:xfrm>
                      <a:off x="0" y="0"/>
                      <a:ext cx="5753735" cy="8127365"/>
                    </a:xfrm>
                    <a:prstGeom prst="rect">
                      <a:avLst/>
                    </a:prstGeom>
                    <a:noFill/>
                    <a:ln>
                      <a:noFill/>
                    </a:ln>
                  </pic:spPr>
                </pic:pic>
              </a:graphicData>
            </a:graphic>
          </wp:inline>
        </w:drawing>
      </w:r>
      <w:r>
        <w:rPr>
          <w:rFonts w:hint="default"/>
          <w:lang w:val="en-US" w:eastAsia="zh-CN"/>
        </w:rPr>
        <w:drawing>
          <wp:inline distT="0" distB="0" distL="114300" distR="114300">
            <wp:extent cx="5753735" cy="8127365"/>
            <wp:effectExtent l="0" t="0" r="18415" b="6985"/>
            <wp:docPr id="24" name="图片 14" descr="榆政财采发 2023 9号(1)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14" descr="榆政财采发 2023 9号(1)_02"/>
                    <pic:cNvPicPr>
                      <a:picLocks noChangeAspect="1"/>
                    </pic:cNvPicPr>
                  </pic:nvPicPr>
                  <pic:blipFill>
                    <a:blip r:embed="rId31"/>
                    <a:stretch>
                      <a:fillRect/>
                    </a:stretch>
                  </pic:blipFill>
                  <pic:spPr>
                    <a:xfrm>
                      <a:off x="0" y="0"/>
                      <a:ext cx="5753735" cy="8127365"/>
                    </a:xfrm>
                    <a:prstGeom prst="rect">
                      <a:avLst/>
                    </a:prstGeom>
                    <a:noFill/>
                    <a:ln>
                      <a:noFill/>
                    </a:ln>
                  </pic:spPr>
                </pic:pic>
              </a:graphicData>
            </a:graphic>
          </wp:inline>
        </w:drawing>
      </w:r>
      <w:r>
        <w:rPr>
          <w:rFonts w:hint="default"/>
          <w:lang w:val="en-US" w:eastAsia="zh-CN"/>
        </w:rPr>
        <w:drawing>
          <wp:inline distT="0" distB="0" distL="114300" distR="114300">
            <wp:extent cx="5753735" cy="8127365"/>
            <wp:effectExtent l="0" t="0" r="18415" b="6985"/>
            <wp:docPr id="35" name="图片 15" descr="榆政财采发 2023 9号(1)_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15" descr="榆政财采发 2023 9号(1)_03"/>
                    <pic:cNvPicPr>
                      <a:picLocks noChangeAspect="1"/>
                    </pic:cNvPicPr>
                  </pic:nvPicPr>
                  <pic:blipFill>
                    <a:blip r:embed="rId32"/>
                    <a:stretch>
                      <a:fillRect/>
                    </a:stretch>
                  </pic:blipFill>
                  <pic:spPr>
                    <a:xfrm>
                      <a:off x="0" y="0"/>
                      <a:ext cx="5753735" cy="8127365"/>
                    </a:xfrm>
                    <a:prstGeom prst="rect">
                      <a:avLst/>
                    </a:prstGeom>
                    <a:noFill/>
                    <a:ln>
                      <a:noFill/>
                    </a:ln>
                  </pic:spPr>
                </pic:pic>
              </a:graphicData>
            </a:graphic>
          </wp:inline>
        </w:drawing>
      </w:r>
      <w:r>
        <w:rPr>
          <w:rFonts w:hint="default"/>
          <w:lang w:val="en-US" w:eastAsia="zh-CN"/>
        </w:rPr>
        <w:drawing>
          <wp:inline distT="0" distB="0" distL="114300" distR="114300">
            <wp:extent cx="5753735" cy="8127365"/>
            <wp:effectExtent l="0" t="0" r="18415" b="6985"/>
            <wp:docPr id="36" name="图片 16" descr="榆政财采发 2023 9号(1)_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16" descr="榆政财采发 2023 9号(1)_04"/>
                    <pic:cNvPicPr>
                      <a:picLocks noChangeAspect="1"/>
                    </pic:cNvPicPr>
                  </pic:nvPicPr>
                  <pic:blipFill>
                    <a:blip r:embed="rId33"/>
                    <a:stretch>
                      <a:fillRect/>
                    </a:stretch>
                  </pic:blipFill>
                  <pic:spPr>
                    <a:xfrm>
                      <a:off x="0" y="0"/>
                      <a:ext cx="5753735" cy="8127365"/>
                    </a:xfrm>
                    <a:prstGeom prst="rect">
                      <a:avLst/>
                    </a:prstGeom>
                    <a:noFill/>
                    <a:ln>
                      <a:noFill/>
                    </a:ln>
                  </pic:spPr>
                </pic:pic>
              </a:graphicData>
            </a:graphic>
          </wp:inline>
        </w:drawing>
      </w:r>
      <w:r>
        <w:rPr>
          <w:rFonts w:hint="default"/>
          <w:lang w:val="en-US" w:eastAsia="zh-CN"/>
        </w:rPr>
        <w:drawing>
          <wp:inline distT="0" distB="0" distL="114300" distR="114300">
            <wp:extent cx="5753735" cy="8127365"/>
            <wp:effectExtent l="0" t="0" r="18415" b="6985"/>
            <wp:docPr id="23" name="图片 17" descr="榆政财采发 2023 9号(1)_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17" descr="榆政财采发 2023 9号(1)_05"/>
                    <pic:cNvPicPr>
                      <a:picLocks noChangeAspect="1"/>
                    </pic:cNvPicPr>
                  </pic:nvPicPr>
                  <pic:blipFill>
                    <a:blip r:embed="rId34"/>
                    <a:stretch>
                      <a:fillRect/>
                    </a:stretch>
                  </pic:blipFill>
                  <pic:spPr>
                    <a:xfrm>
                      <a:off x="0" y="0"/>
                      <a:ext cx="5753735" cy="8127365"/>
                    </a:xfrm>
                    <a:prstGeom prst="rect">
                      <a:avLst/>
                    </a:prstGeom>
                    <a:noFill/>
                    <a:ln>
                      <a:noFill/>
                    </a:ln>
                  </pic:spPr>
                </pic:pic>
              </a:graphicData>
            </a:graphic>
          </wp:inline>
        </w:drawing>
      </w:r>
      <w:r>
        <w:rPr>
          <w:rFonts w:hint="default"/>
          <w:lang w:val="en-US" w:eastAsia="zh-CN"/>
        </w:rPr>
        <w:drawing>
          <wp:inline distT="0" distB="0" distL="114300" distR="114300">
            <wp:extent cx="5753735" cy="8127365"/>
            <wp:effectExtent l="0" t="0" r="18415" b="6985"/>
            <wp:docPr id="39" name="图片 18" descr="榆政财采发 2023 9号(1)_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18" descr="榆政财采发 2023 9号(1)_06"/>
                    <pic:cNvPicPr>
                      <a:picLocks noChangeAspect="1"/>
                    </pic:cNvPicPr>
                  </pic:nvPicPr>
                  <pic:blipFill>
                    <a:blip r:embed="rId35"/>
                    <a:stretch>
                      <a:fillRect/>
                    </a:stretch>
                  </pic:blipFill>
                  <pic:spPr>
                    <a:xfrm>
                      <a:off x="0" y="0"/>
                      <a:ext cx="5753735" cy="8127365"/>
                    </a:xfrm>
                    <a:prstGeom prst="rect">
                      <a:avLst/>
                    </a:prstGeom>
                    <a:noFill/>
                    <a:ln>
                      <a:noFill/>
                    </a:ln>
                  </pic:spPr>
                </pic:pic>
              </a:graphicData>
            </a:graphic>
          </wp:inline>
        </w:drawing>
      </w:r>
      <w:r>
        <w:rPr>
          <w:rFonts w:hint="default"/>
          <w:lang w:val="en-US" w:eastAsia="zh-CN"/>
        </w:rPr>
        <w:drawing>
          <wp:inline distT="0" distB="0" distL="114300" distR="114300">
            <wp:extent cx="5753735" cy="8127365"/>
            <wp:effectExtent l="0" t="0" r="18415" b="6985"/>
            <wp:docPr id="28" name="图片 19" descr="榆政财采发 2023 9号(1)_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19" descr="榆政财采发 2023 9号(1)_07"/>
                    <pic:cNvPicPr>
                      <a:picLocks noChangeAspect="1"/>
                    </pic:cNvPicPr>
                  </pic:nvPicPr>
                  <pic:blipFill>
                    <a:blip r:embed="rId36"/>
                    <a:stretch>
                      <a:fillRect/>
                    </a:stretch>
                  </pic:blipFill>
                  <pic:spPr>
                    <a:xfrm>
                      <a:off x="0" y="0"/>
                      <a:ext cx="5753735" cy="8127365"/>
                    </a:xfrm>
                    <a:prstGeom prst="rect">
                      <a:avLst/>
                    </a:prstGeom>
                    <a:noFill/>
                    <a:ln>
                      <a:noFill/>
                    </a:ln>
                  </pic:spPr>
                </pic:pic>
              </a:graphicData>
            </a:graphic>
          </wp:inline>
        </w:drawing>
      </w:r>
      <w:r>
        <w:rPr>
          <w:rFonts w:hint="default"/>
          <w:lang w:val="en-US" w:eastAsia="zh-CN"/>
        </w:rPr>
        <w:drawing>
          <wp:inline distT="0" distB="0" distL="114300" distR="114300">
            <wp:extent cx="5753735" cy="8127365"/>
            <wp:effectExtent l="0" t="0" r="18415" b="6985"/>
            <wp:docPr id="25" name="图片 20" descr="榆政财采发 2023 9号(1)_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0" descr="榆政财采发 2023 9号(1)_08"/>
                    <pic:cNvPicPr>
                      <a:picLocks noChangeAspect="1"/>
                    </pic:cNvPicPr>
                  </pic:nvPicPr>
                  <pic:blipFill>
                    <a:blip r:embed="rId37"/>
                    <a:stretch>
                      <a:fillRect/>
                    </a:stretch>
                  </pic:blipFill>
                  <pic:spPr>
                    <a:xfrm>
                      <a:off x="0" y="0"/>
                      <a:ext cx="5753735" cy="8127365"/>
                    </a:xfrm>
                    <a:prstGeom prst="rect">
                      <a:avLst/>
                    </a:prstGeom>
                    <a:noFill/>
                    <a:ln>
                      <a:noFill/>
                    </a:ln>
                  </pic:spPr>
                </pic:pic>
              </a:graphicData>
            </a:graphic>
          </wp:inline>
        </w:drawing>
      </w:r>
      <w:r>
        <w:rPr>
          <w:rFonts w:hint="default"/>
          <w:lang w:val="en-US" w:eastAsia="zh-CN"/>
        </w:rPr>
        <w:drawing>
          <wp:inline distT="0" distB="0" distL="114300" distR="114300">
            <wp:extent cx="5753735" cy="8127365"/>
            <wp:effectExtent l="0" t="0" r="18415" b="6985"/>
            <wp:docPr id="27" name="图片 21" descr="榆政财采发 2023 9号(1)_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1" descr="榆政财采发 2023 9号(1)_09"/>
                    <pic:cNvPicPr>
                      <a:picLocks noChangeAspect="1"/>
                    </pic:cNvPicPr>
                  </pic:nvPicPr>
                  <pic:blipFill>
                    <a:blip r:embed="rId38"/>
                    <a:stretch>
                      <a:fillRect/>
                    </a:stretch>
                  </pic:blipFill>
                  <pic:spPr>
                    <a:xfrm>
                      <a:off x="0" y="0"/>
                      <a:ext cx="5753735" cy="8127365"/>
                    </a:xfrm>
                    <a:prstGeom prst="rect">
                      <a:avLst/>
                    </a:prstGeom>
                    <a:noFill/>
                    <a:ln>
                      <a:noFill/>
                    </a:ln>
                  </pic:spPr>
                </pic:pic>
              </a:graphicData>
            </a:graphic>
          </wp:inline>
        </w:drawing>
      </w:r>
      <w:r>
        <w:rPr>
          <w:rFonts w:hint="default"/>
          <w:lang w:val="en-US" w:eastAsia="zh-CN"/>
        </w:rPr>
        <w:drawing>
          <wp:inline distT="0" distB="0" distL="114300" distR="114300">
            <wp:extent cx="5753735" cy="8127365"/>
            <wp:effectExtent l="0" t="0" r="18415" b="6985"/>
            <wp:docPr id="30" name="图片 22" descr="榆政财采发 2023 9号(1)_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22" descr="榆政财采发 2023 9号(1)_10"/>
                    <pic:cNvPicPr>
                      <a:picLocks noChangeAspect="1"/>
                    </pic:cNvPicPr>
                  </pic:nvPicPr>
                  <pic:blipFill>
                    <a:blip r:embed="rId39"/>
                    <a:stretch>
                      <a:fillRect/>
                    </a:stretch>
                  </pic:blipFill>
                  <pic:spPr>
                    <a:xfrm>
                      <a:off x="0" y="0"/>
                      <a:ext cx="5753735" cy="8127365"/>
                    </a:xfrm>
                    <a:prstGeom prst="rect">
                      <a:avLst/>
                    </a:prstGeom>
                    <a:noFill/>
                    <a:ln>
                      <a:noFill/>
                    </a:ln>
                  </pic:spPr>
                </pic:pic>
              </a:graphicData>
            </a:graphic>
          </wp:inline>
        </w:drawing>
      </w:r>
    </w:p>
    <w:p w14:paraId="7AB80588">
      <w:pPr>
        <w:pStyle w:val="2"/>
        <w:jc w:val="center"/>
        <w:rPr>
          <w:rFonts w:hint="eastAsia" w:ascii="宋体" w:hAnsi="宋体" w:eastAsia="宋体" w:cs="宋体"/>
          <w:b w:val="0"/>
          <w:bCs/>
          <w:color w:val="auto"/>
          <w:highlight w:val="none"/>
        </w:rPr>
      </w:pPr>
    </w:p>
    <w:sectPr>
      <w:footerReference r:id="rId16" w:type="default"/>
      <w:type w:val="continuous"/>
      <w:pgSz w:w="11906" w:h="16838"/>
      <w:pgMar w:top="1440" w:right="1080" w:bottom="1440" w:left="1080" w:header="720" w:footer="1134" w:gutter="0"/>
      <w:pgNumType w:fmt="decimal"/>
      <w:cols w:space="720" w:num="1"/>
      <w:docGrid w:type="lines" w:linePitch="315"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monospace">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Arial Narrow">
    <w:altName w:val="Arial"/>
    <w:panose1 w:val="020B0606020202030204"/>
    <w:charset w:val="00"/>
    <w:family w:val="swiss"/>
    <w:pitch w:val="default"/>
    <w:sig w:usb0="00000000" w:usb1="00000000" w:usb2="00000000" w:usb3="00000000" w:csb0="2000009F" w:csb1="DFD7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5C490B">
    <w:pPr>
      <w:pStyle w:val="15"/>
      <w:tabs>
        <w:tab w:val="left" w:pos="5022"/>
        <w:tab w:val="clear" w:pos="4153"/>
        <w:tab w:val="clear" w:pos="8306"/>
      </w:tabs>
    </w:pPr>
    <w: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476CF2">
    <w:pPr>
      <w:pStyle w:val="15"/>
      <w:tabs>
        <w:tab w:val="left" w:pos="5022"/>
        <w:tab w:val="clear" w:pos="4153"/>
        <w:tab w:val="clear" w:pos="8306"/>
      </w:tabs>
    </w:pPr>
    <w: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E4E241">
    <w:pPr>
      <w:pStyle w:val="15"/>
      <w:tabs>
        <w:tab w:val="left" w:pos="5022"/>
        <w:tab w:val="clear" w:pos="4153"/>
        <w:tab w:val="clear" w:pos="8306"/>
      </w:tabs>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5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3C308ECC">
                          <w:pPr>
                            <w:pStyle w:val="15"/>
                          </w:pPr>
                          <w:r>
                            <w:t xml:space="preserve">第 </w:t>
                          </w:r>
                          <w:r>
                            <w:fldChar w:fldCharType="begin"/>
                          </w:r>
                          <w:r>
                            <w:instrText xml:space="preserve"> PAGE  \* MERGEFORMAT </w:instrText>
                          </w:r>
                          <w:r>
                            <w:fldChar w:fldCharType="separate"/>
                          </w:r>
                          <w:r>
                            <w:t>5</w:t>
                          </w:r>
                          <w:r>
                            <w:fldChar w:fldCharType="end"/>
                          </w:r>
                          <w:r>
                            <w:t xml:space="preserve"> 页</w:t>
                          </w:r>
                        </w:p>
                      </w:txbxContent>
                    </wps:txbx>
                    <wps:bodyPr vert="horz" wrap="none" lIns="0" tIns="0" rIns="0" bIns="0" anchor="t" anchorCtr="0" upright="0">
                      <a:spAutoFit/>
                    </wps:bodyPr>
                  </wps:wsp>
                </a:graphicData>
              </a:graphic>
            </wp:anchor>
          </w:drawing>
        </mc:Choice>
        <mc:Fallback>
          <w:pict>
            <v:shape id="文本框 50"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DOqXm5zwAAAAUBAAAPAAAAAAAAAAEA&#10;IAAAACIAAABkcnMvZG93bnJldi54bWxQSwECFAAUAAAACACHTuJAKguZuN8BAADAAwAADgAAAAAA&#10;AAABACAAAAAeAQAAZHJzL2Uyb0RvYy54bWxQSwUGAAAAAAYABgBZAQAAbwUAAAAA&#10;">
              <v:fill on="f" focussize="0,0"/>
              <v:stroke on="f"/>
              <v:imagedata o:title=""/>
              <o:lock v:ext="edit" aspectratio="f"/>
              <v:textbox inset="0mm,0mm,0mm,0mm" style="mso-fit-shape-to-text:t;">
                <w:txbxContent>
                  <w:p w14:paraId="3C308ECC">
                    <w:pPr>
                      <w:pStyle w:val="15"/>
                    </w:pPr>
                    <w:r>
                      <w:t xml:space="preserve">第 </w:t>
                    </w:r>
                    <w:r>
                      <w:fldChar w:fldCharType="begin"/>
                    </w:r>
                    <w:r>
                      <w:instrText xml:space="preserve"> PAGE  \* MERGEFORMAT </w:instrText>
                    </w:r>
                    <w:r>
                      <w:fldChar w:fldCharType="separate"/>
                    </w:r>
                    <w:r>
                      <w:t>5</w:t>
                    </w:r>
                    <w:r>
                      <w:fldChar w:fldCharType="end"/>
                    </w:r>
                    <w:r>
                      <w:t xml:space="preserve"> 页</w:t>
                    </w:r>
                  </w:p>
                </w:txbxContent>
              </v:textbox>
            </v:shape>
          </w:pict>
        </mc:Fallback>
      </mc:AlternateContent>
    </w:r>
    <w:r>
      <w:tab/>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106690">
    <w:pPr>
      <w:pStyle w:val="15"/>
      <w:jc w:val="center"/>
      <w:rPr>
        <w:rFonts w:hint="eastAsia"/>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5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C841FD8">
                          <w:pPr>
                            <w:pStyle w:val="15"/>
                          </w:pPr>
                          <w:r>
                            <w:t xml:space="preserve">第 </w:t>
                          </w:r>
                          <w:r>
                            <w:fldChar w:fldCharType="begin"/>
                          </w:r>
                          <w:r>
                            <w:instrText xml:space="preserve"> PAGE  \* MERGEFORMAT </w:instrText>
                          </w:r>
                          <w:r>
                            <w:fldChar w:fldCharType="separate"/>
                          </w:r>
                          <w:r>
                            <w:t>1</w:t>
                          </w:r>
                          <w:r>
                            <w:fldChar w:fldCharType="end"/>
                          </w:r>
                          <w:r>
                            <w:t xml:space="preserve"> 页</w:t>
                          </w:r>
                        </w:p>
                      </w:txbxContent>
                    </wps:txbx>
                    <wps:bodyPr vert="horz" wrap="none" lIns="0" tIns="0" rIns="0" bIns="0" anchor="t" anchorCtr="0" upright="0">
                      <a:spAutoFit/>
                    </wps:bodyPr>
                  </wps:wsp>
                </a:graphicData>
              </a:graphic>
            </wp:anchor>
          </w:drawing>
        </mc:Choice>
        <mc:Fallback>
          <w:pict>
            <v:shape id="文本框 51"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DOqXm5zwAAAAUBAAAPAAAAAAAAAAEA&#10;IAAAACIAAABkcnMvZG93bnJldi54bWxQSwECFAAUAAAACACHTuJAbVRDmd8BAADAAwAADgAAAAAA&#10;AAABACAAAAAeAQAAZHJzL2Uyb0RvYy54bWxQSwUGAAAAAAYABgBZAQAAbwUAAAAA&#10;">
              <v:fill on="f" focussize="0,0"/>
              <v:stroke on="f"/>
              <v:imagedata o:title=""/>
              <o:lock v:ext="edit" aspectratio="f"/>
              <v:textbox inset="0mm,0mm,0mm,0mm" style="mso-fit-shape-to-text:t;">
                <w:txbxContent>
                  <w:p w14:paraId="1C841FD8">
                    <w:pPr>
                      <w:pStyle w:val="15"/>
                    </w:pPr>
                    <w:r>
                      <w:t xml:space="preserve">第 </w:t>
                    </w:r>
                    <w:r>
                      <w:fldChar w:fldCharType="begin"/>
                    </w:r>
                    <w:r>
                      <w:instrText xml:space="preserve"> PAGE  \* MERGEFORMAT </w:instrText>
                    </w:r>
                    <w:r>
                      <w:fldChar w:fldCharType="separate"/>
                    </w:r>
                    <w:r>
                      <w:t>1</w:t>
                    </w:r>
                    <w:r>
                      <w:fldChar w:fldCharType="end"/>
                    </w:r>
                    <w:r>
                      <w:t xml:space="preserve"> 页</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705F0B">
    <w:pPr>
      <w:pStyle w:val="15"/>
      <w:tabs>
        <w:tab w:val="left" w:pos="5022"/>
        <w:tab w:val="clear" w:pos="4153"/>
        <w:tab w:val="clear" w:pos="8306"/>
      </w:tabs>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5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BF060F3">
                          <w:pPr>
                            <w:pStyle w:val="15"/>
                          </w:pPr>
                          <w:r>
                            <w:t xml:space="preserve">第 </w:t>
                          </w:r>
                          <w:r>
                            <w:fldChar w:fldCharType="begin"/>
                          </w:r>
                          <w:r>
                            <w:instrText xml:space="preserve"> PAGE  \* MERGEFORMAT </w:instrText>
                          </w:r>
                          <w:r>
                            <w:fldChar w:fldCharType="separate"/>
                          </w:r>
                          <w:r>
                            <w:t>39</w:t>
                          </w:r>
                          <w:r>
                            <w:fldChar w:fldCharType="end"/>
                          </w:r>
                          <w:r>
                            <w:t xml:space="preserve"> 页</w:t>
                          </w:r>
                        </w:p>
                      </w:txbxContent>
                    </wps:txbx>
                    <wps:bodyPr vert="horz" wrap="none" lIns="0" tIns="0" rIns="0" bIns="0" anchor="t" anchorCtr="0" upright="0">
                      <a:spAutoFit/>
                    </wps:bodyPr>
                  </wps:wsp>
                </a:graphicData>
              </a:graphic>
            </wp:anchor>
          </w:drawing>
        </mc:Choice>
        <mc:Fallback>
          <w:pict>
            <v:shape id="文本框 52"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M6pebnPAAAABQEAAA8AAAAAAAAAAQAg&#10;AAAAIgAAAGRycy9kb3ducmV2LnhtbFBLAQIUABQAAAAIAIdO4kAkxq523gEAAMADAAAOAAAAAAAA&#10;AAEAIAAAAB4BAABkcnMvZTJvRG9jLnhtbFBLBQYAAAAABgAGAFkBAABuBQAAAAA=&#10;">
              <v:fill on="f" focussize="0,0"/>
              <v:stroke on="f"/>
              <v:imagedata o:title=""/>
              <o:lock v:ext="edit" aspectratio="f"/>
              <v:textbox inset="0mm,0mm,0mm,0mm" style="mso-fit-shape-to-text:t;">
                <w:txbxContent>
                  <w:p w14:paraId="7BF060F3">
                    <w:pPr>
                      <w:pStyle w:val="15"/>
                    </w:pPr>
                    <w:r>
                      <w:t xml:space="preserve">第 </w:t>
                    </w:r>
                    <w:r>
                      <w:fldChar w:fldCharType="begin"/>
                    </w:r>
                    <w:r>
                      <w:instrText xml:space="preserve"> PAGE  \* MERGEFORMAT </w:instrText>
                    </w:r>
                    <w:r>
                      <w:fldChar w:fldCharType="separate"/>
                    </w:r>
                    <w:r>
                      <w:t>39</w:t>
                    </w:r>
                    <w:r>
                      <w:fldChar w:fldCharType="end"/>
                    </w:r>
                    <w:r>
                      <w:t xml:space="preserve"> 页</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0BECA8">
    <w:pPr>
      <w:pStyle w:val="15"/>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5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F2E96B0">
                          <w:pPr>
                            <w:pStyle w:val="15"/>
                          </w:pPr>
                          <w:r>
                            <w:t xml:space="preserve">第 </w:t>
                          </w:r>
                          <w:r>
                            <w:fldChar w:fldCharType="begin"/>
                          </w:r>
                          <w:r>
                            <w:instrText xml:space="preserve"> PAGE  \* MERGEFORMAT </w:instrText>
                          </w:r>
                          <w:r>
                            <w:fldChar w:fldCharType="separate"/>
                          </w:r>
                          <w:r>
                            <w:t>38</w:t>
                          </w:r>
                          <w:r>
                            <w:fldChar w:fldCharType="end"/>
                          </w:r>
                          <w:r>
                            <w:t xml:space="preserve"> 页</w:t>
                          </w:r>
                        </w:p>
                      </w:txbxContent>
                    </wps:txbx>
                    <wps:bodyPr vert="horz" wrap="none" lIns="0" tIns="0" rIns="0" bIns="0" anchor="t" anchorCtr="0" upright="0">
                      <a:spAutoFit/>
                    </wps:bodyPr>
                  </wps:wsp>
                </a:graphicData>
              </a:graphic>
            </wp:anchor>
          </w:drawing>
        </mc:Choice>
        <mc:Fallback>
          <w:pict>
            <v:shape id="文本框 53"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DOqXm5zwAAAAUBAAAPAAAAAAAAAAEA&#10;IAAAACIAAABkcnMvZG93bnJldi54bWxQSwECFAAUAAAACACHTuJAY5l0V98BAADAAwAADgAAAAAA&#10;AAABACAAAAAeAQAAZHJzL2Uyb0RvYy54bWxQSwUGAAAAAAYABgBZAQAAbwUAAAAA&#10;">
              <v:fill on="f" focussize="0,0"/>
              <v:stroke on="f"/>
              <v:imagedata o:title=""/>
              <o:lock v:ext="edit" aspectratio="f"/>
              <v:textbox inset="0mm,0mm,0mm,0mm" style="mso-fit-shape-to-text:t;">
                <w:txbxContent>
                  <w:p w14:paraId="6F2E96B0">
                    <w:pPr>
                      <w:pStyle w:val="15"/>
                    </w:pPr>
                    <w:r>
                      <w:t xml:space="preserve">第 </w:t>
                    </w:r>
                    <w:r>
                      <w:fldChar w:fldCharType="begin"/>
                    </w:r>
                    <w:r>
                      <w:instrText xml:space="preserve"> PAGE  \* MERGEFORMAT </w:instrText>
                    </w:r>
                    <w:r>
                      <w:fldChar w:fldCharType="separate"/>
                    </w:r>
                    <w:r>
                      <w:t>38</w:t>
                    </w:r>
                    <w:r>
                      <w:fldChar w:fldCharType="end"/>
                    </w:r>
                    <w:r>
                      <w:t xml:space="preserve"> 页</w:t>
                    </w:r>
                  </w:p>
                </w:txbxContent>
              </v:textbox>
            </v:shape>
          </w:pict>
        </mc:Fallback>
      </mc:AlternateContent>
    </w:r>
    <w:r>
      <w:rPr>
        <w:rFonts w:hint="eastAsia"/>
      </w:rPr>
      <w:t xml:space="preserve">                                             </w:t>
    </w:r>
    <w:r>
      <w:rPr>
        <w:rFonts w:hint="eastAsia"/>
        <w:sz w:val="16"/>
        <w:szCs w:val="18"/>
      </w:rPr>
      <w:t xml:space="preserve">  </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683DC0">
    <w:pPr>
      <w:pStyle w:val="15"/>
      <w:rPr>
        <w:rFonts w:hint="eastAsia"/>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0" name="文本框 5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45F5E4B">
                          <w:pPr>
                            <w:pStyle w:val="15"/>
                          </w:pPr>
                          <w:r>
                            <w:t xml:space="preserve">第 </w:t>
                          </w:r>
                          <w:r>
                            <w:fldChar w:fldCharType="begin"/>
                          </w:r>
                          <w:r>
                            <w:instrText xml:space="preserve"> PAGE  \* MERGEFORMAT </w:instrText>
                          </w:r>
                          <w:r>
                            <w:fldChar w:fldCharType="separate"/>
                          </w:r>
                          <w:r>
                            <w:t>62</w:t>
                          </w:r>
                          <w:r>
                            <w:fldChar w:fldCharType="end"/>
                          </w:r>
                          <w:r>
                            <w:t xml:space="preserve"> 页</w:t>
                          </w:r>
                        </w:p>
                      </w:txbxContent>
                    </wps:txbx>
                    <wps:bodyPr vert="horz" wrap="none" lIns="0" tIns="0" rIns="0" bIns="0" anchor="t" anchorCtr="0" upright="0">
                      <a:spAutoFit/>
                    </wps:bodyPr>
                  </wps:wsp>
                </a:graphicData>
              </a:graphic>
            </wp:anchor>
          </w:drawing>
        </mc:Choice>
        <mc:Fallback>
          <w:pict>
            <v:shape id="文本框 54"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DOqXm5zwAAAAUBAAAPAAAAAAAAAAEA&#10;IAAAACIAAABkcnMvZG93bnJldi54bWxQSwECFAAUAAAACACHTuJA7WG2FN8BAADAAwAADgAAAAAA&#10;AAABACAAAAAeAQAAZHJzL2Uyb0RvYy54bWxQSwUGAAAAAAYABgBZAQAAbwUAAAAA&#10;">
              <v:fill on="f" focussize="0,0"/>
              <v:stroke on="f"/>
              <v:imagedata o:title=""/>
              <o:lock v:ext="edit" aspectratio="f"/>
              <v:textbox inset="0mm,0mm,0mm,0mm" style="mso-fit-shape-to-text:t;">
                <w:txbxContent>
                  <w:p w14:paraId="245F5E4B">
                    <w:pPr>
                      <w:pStyle w:val="15"/>
                    </w:pPr>
                    <w:r>
                      <w:t xml:space="preserve">第 </w:t>
                    </w:r>
                    <w:r>
                      <w:fldChar w:fldCharType="begin"/>
                    </w:r>
                    <w:r>
                      <w:instrText xml:space="preserve"> PAGE  \* MERGEFORMAT </w:instrText>
                    </w:r>
                    <w:r>
                      <w:fldChar w:fldCharType="separate"/>
                    </w:r>
                    <w:r>
                      <w:t>62</w:t>
                    </w:r>
                    <w:r>
                      <w:fldChar w:fldCharType="end"/>
                    </w:r>
                    <w:r>
                      <w:t xml:space="preserve"> 页</w:t>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7120E8">
    <w:pPr>
      <w:pStyle w:val="15"/>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文本框 5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74459EE">
                          <w:pPr>
                            <w:pStyle w:val="15"/>
                          </w:pPr>
                          <w:r>
                            <w:t xml:space="preserve">第 </w:t>
                          </w:r>
                          <w:r>
                            <w:fldChar w:fldCharType="begin"/>
                          </w:r>
                          <w:r>
                            <w:instrText xml:space="preserve"> PAGE  \* MERGEFORMAT </w:instrText>
                          </w:r>
                          <w:r>
                            <w:fldChar w:fldCharType="separate"/>
                          </w:r>
                          <w:r>
                            <w:t>72</w:t>
                          </w:r>
                          <w:r>
                            <w:fldChar w:fldCharType="end"/>
                          </w:r>
                          <w:r>
                            <w:t xml:space="preserve"> 页</w:t>
                          </w:r>
                        </w:p>
                      </w:txbxContent>
                    </wps:txbx>
                    <wps:bodyPr vert="horz" wrap="none" lIns="0" tIns="0" rIns="0" bIns="0" anchor="t" anchorCtr="0" upright="0">
                      <a:spAutoFit/>
                    </wps:bodyPr>
                  </wps:wsp>
                </a:graphicData>
              </a:graphic>
            </wp:anchor>
          </w:drawing>
        </mc:Choice>
        <mc:Fallback>
          <w:pict>
            <v:shape id="文本框 55"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AAAAAGRycy9QSwECFAAUAAAACACHTuJAzql5uc8AAAAFAQAADwAAAAAAAAAB&#10;ACAAAAAiAAAAZHJzL2Rvd25yZXYueG1sUEsBAhQAFAAAAAgAh07iQKo+bDXgAQAAwAMAAA4AAAAA&#10;AAAAAQAgAAAAHgEAAGRycy9lMm9Eb2MueG1sUEsFBgAAAAAGAAYAWQEAAHAFAAAAAA==&#10;">
              <v:fill on="f" focussize="0,0"/>
              <v:stroke on="f"/>
              <v:imagedata o:title=""/>
              <o:lock v:ext="edit" aspectratio="f"/>
              <v:textbox inset="0mm,0mm,0mm,0mm" style="mso-fit-shape-to-text:t;">
                <w:txbxContent>
                  <w:p w14:paraId="174459EE">
                    <w:pPr>
                      <w:pStyle w:val="15"/>
                    </w:pPr>
                    <w:r>
                      <w:t xml:space="preserve">第 </w:t>
                    </w:r>
                    <w:r>
                      <w:fldChar w:fldCharType="begin"/>
                    </w:r>
                    <w:r>
                      <w:instrText xml:space="preserve"> PAGE  \* MERGEFORMAT </w:instrText>
                    </w:r>
                    <w:r>
                      <w:fldChar w:fldCharType="separate"/>
                    </w:r>
                    <w:r>
                      <w:t>72</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7B5DA4">
    <w:pPr>
      <w:pStyle w:val="16"/>
      <w:pBdr>
        <w:bottom w:val="none" w:color="auto" w:sz="0" w:space="1"/>
      </w:pBdr>
      <w:tabs>
        <w:tab w:val="left" w:pos="7864"/>
        <w:tab w:val="clear" w:pos="4153"/>
      </w:tabs>
      <w:rPr>
        <w:sz w:val="10"/>
        <w:szCs w:val="1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BF17AE">
    <w:pPr>
      <w:pStyle w:val="16"/>
      <w:jc w:val="lef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B6E87B">
    <w:pPr>
      <w:pStyle w:val="16"/>
      <w:pBdr>
        <w:bottom w:val="none" w:color="auto" w:sz="0" w:space="1"/>
      </w:pBdr>
      <w:tabs>
        <w:tab w:val="clear" w:pos="4153"/>
      </w:tabs>
      <w:ind w:firstLine="355"/>
      <w:jc w:val="left"/>
      <w:rPr>
        <w:sz w:val="10"/>
        <w:szCs w:val="10"/>
        <w:u w:val="single"/>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09DE15">
    <w:pPr>
      <w:pStyle w:val="16"/>
      <w:pBdr>
        <w:bottom w:val="none" w:color="auto" w:sz="0" w:space="1"/>
      </w:pBdr>
      <w:tabs>
        <w:tab w:val="left" w:pos="7864"/>
        <w:tab w:val="clear" w:pos="4153"/>
      </w:tabs>
      <w:rPr>
        <w:sz w:val="10"/>
        <w:szCs w:val="10"/>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CB2EE9">
    <w:pPr>
      <w:pStyle w:val="16"/>
      <w:pBdr>
        <w:bottom w:val="none" w:color="auto" w:sz="0" w:space="1"/>
      </w:pBdr>
      <w:tabs>
        <w:tab w:val="clear" w:pos="4153"/>
      </w:tabs>
      <w:ind w:firstLine="469"/>
      <w:jc w:val="both"/>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9BB599">
    <w:pPr>
      <w:pStyle w:val="16"/>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A6CF4C9"/>
    <w:multiLevelType w:val="singleLevel"/>
    <w:tmpl w:val="9A6CF4C9"/>
    <w:lvl w:ilvl="0" w:tentative="0">
      <w:start w:val="5"/>
      <w:numFmt w:val="chineseCounting"/>
      <w:suff w:val="space"/>
      <w:lvlText w:val="第%1部分"/>
      <w:lvlJc w:val="left"/>
      <w:rPr>
        <w:rFonts w:hint="eastAsia"/>
      </w:rPr>
    </w:lvl>
  </w:abstractNum>
  <w:abstractNum w:abstractNumId="1">
    <w:nsid w:val="AB20EBB6"/>
    <w:multiLevelType w:val="singleLevel"/>
    <w:tmpl w:val="AB20EBB6"/>
    <w:lvl w:ilvl="0" w:tentative="0">
      <w:start w:val="1"/>
      <w:numFmt w:val="decimal"/>
      <w:lvlText w:val="%1."/>
      <w:lvlJc w:val="left"/>
      <w:pPr>
        <w:tabs>
          <w:tab w:val="left" w:pos="312"/>
        </w:tabs>
      </w:pPr>
    </w:lvl>
  </w:abstractNum>
  <w:abstractNum w:abstractNumId="2">
    <w:nsid w:val="AE6F79D6"/>
    <w:multiLevelType w:val="singleLevel"/>
    <w:tmpl w:val="AE6F79D6"/>
    <w:lvl w:ilvl="0" w:tentative="0">
      <w:start w:val="1"/>
      <w:numFmt w:val="decimal"/>
      <w:suff w:val="nothing"/>
      <w:lvlText w:val="%1）"/>
      <w:lvlJc w:val="left"/>
    </w:lvl>
  </w:abstractNum>
  <w:abstractNum w:abstractNumId="3">
    <w:nsid w:val="E9CE3150"/>
    <w:multiLevelType w:val="singleLevel"/>
    <w:tmpl w:val="E9CE3150"/>
    <w:lvl w:ilvl="0" w:tentative="0">
      <w:start w:val="4"/>
      <w:numFmt w:val="chineseCounting"/>
      <w:suff w:val="nothing"/>
      <w:lvlText w:val="%1、"/>
      <w:lvlJc w:val="left"/>
      <w:rPr>
        <w:rFonts w:hint="eastAsia"/>
      </w:rPr>
    </w:lvl>
  </w:abstractNum>
  <w:abstractNum w:abstractNumId="4">
    <w:nsid w:val="00000032"/>
    <w:multiLevelType w:val="multilevel"/>
    <w:tmpl w:val="00000032"/>
    <w:lvl w:ilvl="0" w:tentative="0">
      <w:start w:val="1"/>
      <w:numFmt w:val="decimal"/>
      <w:lvlText w:val="%1"/>
      <w:lvlJc w:val="left"/>
      <w:pPr>
        <w:tabs>
          <w:tab w:val="left" w:pos="420"/>
        </w:tabs>
        <w:ind w:left="460" w:hanging="25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5">
    <w:nsid w:val="3F955A2F"/>
    <w:multiLevelType w:val="singleLevel"/>
    <w:tmpl w:val="3F955A2F"/>
    <w:lvl w:ilvl="0" w:tentative="0">
      <w:start w:val="2"/>
      <w:numFmt w:val="decimal"/>
      <w:lvlText w:val="%1."/>
      <w:lvlJc w:val="left"/>
      <w:pPr>
        <w:tabs>
          <w:tab w:val="left" w:pos="312"/>
        </w:tabs>
      </w:pPr>
    </w:lvl>
  </w:abstractNum>
  <w:abstractNum w:abstractNumId="6">
    <w:nsid w:val="43B80D14"/>
    <w:multiLevelType w:val="singleLevel"/>
    <w:tmpl w:val="43B80D14"/>
    <w:lvl w:ilvl="0" w:tentative="0">
      <w:start w:val="1"/>
      <w:numFmt w:val="decimal"/>
      <w:suff w:val="nothing"/>
      <w:lvlText w:val="%1．"/>
      <w:lvlJc w:val="left"/>
      <w:pPr>
        <w:ind w:left="0" w:firstLine="400"/>
      </w:pPr>
      <w:rPr>
        <w:rFonts w:hint="default"/>
      </w:rPr>
    </w:lvl>
  </w:abstractNum>
  <w:abstractNum w:abstractNumId="7">
    <w:nsid w:val="5006901E"/>
    <w:multiLevelType w:val="singleLevel"/>
    <w:tmpl w:val="5006901E"/>
    <w:lvl w:ilvl="0" w:tentative="0">
      <w:start w:val="6"/>
      <w:numFmt w:val="chineseCounting"/>
      <w:suff w:val="space"/>
      <w:lvlText w:val="第%1部分"/>
      <w:lvlJc w:val="left"/>
      <w:rPr>
        <w:rFonts w:hint="eastAsia"/>
      </w:rPr>
    </w:lvl>
  </w:abstractNum>
  <w:abstractNum w:abstractNumId="8">
    <w:nsid w:val="6EE01ACF"/>
    <w:multiLevelType w:val="singleLevel"/>
    <w:tmpl w:val="6EE01ACF"/>
    <w:lvl w:ilvl="0" w:tentative="0">
      <w:start w:val="1"/>
      <w:numFmt w:val="decimal"/>
      <w:suff w:val="space"/>
      <w:lvlText w:val="%1."/>
      <w:lvlJc w:val="left"/>
    </w:lvl>
  </w:abstractNum>
  <w:num w:numId="1">
    <w:abstractNumId w:val="4"/>
  </w:num>
  <w:num w:numId="2">
    <w:abstractNumId w:val="2"/>
  </w:num>
  <w:num w:numId="3">
    <w:abstractNumId w:val="3"/>
  </w:num>
  <w:num w:numId="4">
    <w:abstractNumId w:val="0"/>
  </w:num>
  <w:num w:numId="5">
    <w:abstractNumId w:val="1"/>
  </w:num>
  <w:num w:numId="6">
    <w:abstractNumId w:val="7"/>
  </w:num>
  <w:num w:numId="7">
    <w:abstractNumId w:val="5"/>
  </w:num>
  <w:num w:numId="8">
    <w:abstractNumId w:val="6"/>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hyphenationZone w:val="360"/>
  <w:drawingGridVerticalSpacing w:val="156"/>
  <w:displayHorizontalDrawingGridEvery w:val="1"/>
  <w:displayVerticalDrawingGridEvery w:val="1"/>
  <w:noPunctuationKerning w:val="1"/>
  <w:characterSpacingControl w:val="compressPunctuation"/>
  <w:footnotePr>
    <w:pos w:val="beneathText"/>
  </w:foot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FkYjQ1Y2E0MjIxYTQwN2ViZjkxODNiMTBmYzA1MWYifQ=="/>
  </w:docVars>
  <w:rsids>
    <w:rsidRoot w:val="0079742D"/>
    <w:rsid w:val="00000623"/>
    <w:rsid w:val="00060C6A"/>
    <w:rsid w:val="001846B1"/>
    <w:rsid w:val="001A65AF"/>
    <w:rsid w:val="002011D5"/>
    <w:rsid w:val="0026608C"/>
    <w:rsid w:val="0027109E"/>
    <w:rsid w:val="002B247F"/>
    <w:rsid w:val="00307A95"/>
    <w:rsid w:val="00360C74"/>
    <w:rsid w:val="00382DFA"/>
    <w:rsid w:val="003A4DB8"/>
    <w:rsid w:val="00470159"/>
    <w:rsid w:val="004D1775"/>
    <w:rsid w:val="0050638A"/>
    <w:rsid w:val="00724552"/>
    <w:rsid w:val="0079742D"/>
    <w:rsid w:val="007C3F1A"/>
    <w:rsid w:val="00814795"/>
    <w:rsid w:val="00844285"/>
    <w:rsid w:val="00885B23"/>
    <w:rsid w:val="008C150C"/>
    <w:rsid w:val="008C24C3"/>
    <w:rsid w:val="00994EB0"/>
    <w:rsid w:val="00A07FD7"/>
    <w:rsid w:val="00A16BE5"/>
    <w:rsid w:val="00A508D1"/>
    <w:rsid w:val="00A87F74"/>
    <w:rsid w:val="00B71F65"/>
    <w:rsid w:val="00C84172"/>
    <w:rsid w:val="00D03026"/>
    <w:rsid w:val="00D074CA"/>
    <w:rsid w:val="00D64AE1"/>
    <w:rsid w:val="00D9057F"/>
    <w:rsid w:val="00DC5E6F"/>
    <w:rsid w:val="00DF3269"/>
    <w:rsid w:val="00EA233A"/>
    <w:rsid w:val="011253ED"/>
    <w:rsid w:val="01227D26"/>
    <w:rsid w:val="01344155"/>
    <w:rsid w:val="01400398"/>
    <w:rsid w:val="014F4893"/>
    <w:rsid w:val="01566C2F"/>
    <w:rsid w:val="01583748"/>
    <w:rsid w:val="015B080F"/>
    <w:rsid w:val="015E4AD6"/>
    <w:rsid w:val="016814B1"/>
    <w:rsid w:val="016C0FA1"/>
    <w:rsid w:val="016F45ED"/>
    <w:rsid w:val="018E7169"/>
    <w:rsid w:val="019978BC"/>
    <w:rsid w:val="01B110AA"/>
    <w:rsid w:val="01B14C06"/>
    <w:rsid w:val="01BA61B0"/>
    <w:rsid w:val="01E90844"/>
    <w:rsid w:val="01F63C79"/>
    <w:rsid w:val="02084A3C"/>
    <w:rsid w:val="0224187C"/>
    <w:rsid w:val="023B4716"/>
    <w:rsid w:val="023F0464"/>
    <w:rsid w:val="0245619D"/>
    <w:rsid w:val="02517DD4"/>
    <w:rsid w:val="0259781F"/>
    <w:rsid w:val="02641C78"/>
    <w:rsid w:val="027C5214"/>
    <w:rsid w:val="02D3482C"/>
    <w:rsid w:val="02D52B76"/>
    <w:rsid w:val="02E62FD5"/>
    <w:rsid w:val="02F73FA3"/>
    <w:rsid w:val="0305345B"/>
    <w:rsid w:val="031059A9"/>
    <w:rsid w:val="03123DCA"/>
    <w:rsid w:val="0317318F"/>
    <w:rsid w:val="031A4A2D"/>
    <w:rsid w:val="031F2043"/>
    <w:rsid w:val="033B6E7D"/>
    <w:rsid w:val="034029EA"/>
    <w:rsid w:val="034D7E3F"/>
    <w:rsid w:val="035000AB"/>
    <w:rsid w:val="03595555"/>
    <w:rsid w:val="03604B36"/>
    <w:rsid w:val="036B5288"/>
    <w:rsid w:val="036B6956"/>
    <w:rsid w:val="03885E3A"/>
    <w:rsid w:val="038F541B"/>
    <w:rsid w:val="03992B05"/>
    <w:rsid w:val="03A30908"/>
    <w:rsid w:val="03AE57BF"/>
    <w:rsid w:val="03D472D2"/>
    <w:rsid w:val="03DB240E"/>
    <w:rsid w:val="03DC52E9"/>
    <w:rsid w:val="03E5328D"/>
    <w:rsid w:val="03E716A2"/>
    <w:rsid w:val="040C6A6B"/>
    <w:rsid w:val="04110AF5"/>
    <w:rsid w:val="043F299D"/>
    <w:rsid w:val="045F4DED"/>
    <w:rsid w:val="04610B65"/>
    <w:rsid w:val="04722D72"/>
    <w:rsid w:val="0473621C"/>
    <w:rsid w:val="049727D9"/>
    <w:rsid w:val="04A171B4"/>
    <w:rsid w:val="04C45A07"/>
    <w:rsid w:val="04D672B4"/>
    <w:rsid w:val="04E83035"/>
    <w:rsid w:val="05045994"/>
    <w:rsid w:val="054A3B1B"/>
    <w:rsid w:val="05526700"/>
    <w:rsid w:val="056D178C"/>
    <w:rsid w:val="0580326D"/>
    <w:rsid w:val="05883ED0"/>
    <w:rsid w:val="05A14F91"/>
    <w:rsid w:val="05A827C4"/>
    <w:rsid w:val="05C80770"/>
    <w:rsid w:val="05D82ABB"/>
    <w:rsid w:val="05F45A09"/>
    <w:rsid w:val="05F67C50"/>
    <w:rsid w:val="060C4B01"/>
    <w:rsid w:val="0624009C"/>
    <w:rsid w:val="06263AAC"/>
    <w:rsid w:val="062A4F87"/>
    <w:rsid w:val="063B3638"/>
    <w:rsid w:val="064222D0"/>
    <w:rsid w:val="064E5DB1"/>
    <w:rsid w:val="064E6EC7"/>
    <w:rsid w:val="065169B7"/>
    <w:rsid w:val="066A1827"/>
    <w:rsid w:val="0679606A"/>
    <w:rsid w:val="068678D2"/>
    <w:rsid w:val="06983D72"/>
    <w:rsid w:val="069D1BFD"/>
    <w:rsid w:val="06A05249"/>
    <w:rsid w:val="06BA27AF"/>
    <w:rsid w:val="06C07699"/>
    <w:rsid w:val="06CD1F43"/>
    <w:rsid w:val="06FE4956"/>
    <w:rsid w:val="07177C01"/>
    <w:rsid w:val="072D4D2F"/>
    <w:rsid w:val="076F5347"/>
    <w:rsid w:val="078723F4"/>
    <w:rsid w:val="07A64AE1"/>
    <w:rsid w:val="07B35D39"/>
    <w:rsid w:val="07C05BA3"/>
    <w:rsid w:val="07C33380"/>
    <w:rsid w:val="07CD02C0"/>
    <w:rsid w:val="07D900C6"/>
    <w:rsid w:val="07EA70C4"/>
    <w:rsid w:val="07F615C4"/>
    <w:rsid w:val="07F67948"/>
    <w:rsid w:val="07FB307F"/>
    <w:rsid w:val="080A5070"/>
    <w:rsid w:val="08236132"/>
    <w:rsid w:val="082F2D28"/>
    <w:rsid w:val="08386081"/>
    <w:rsid w:val="084F6F27"/>
    <w:rsid w:val="08562D76"/>
    <w:rsid w:val="0865674A"/>
    <w:rsid w:val="08716E9D"/>
    <w:rsid w:val="08745B19"/>
    <w:rsid w:val="088A0DC2"/>
    <w:rsid w:val="089F1C5C"/>
    <w:rsid w:val="08A63D15"/>
    <w:rsid w:val="08AC25CB"/>
    <w:rsid w:val="08B62BFD"/>
    <w:rsid w:val="08B80F70"/>
    <w:rsid w:val="08BF40AC"/>
    <w:rsid w:val="08CB0A91"/>
    <w:rsid w:val="08CE2541"/>
    <w:rsid w:val="08D04020"/>
    <w:rsid w:val="08DF474E"/>
    <w:rsid w:val="08EC0C19"/>
    <w:rsid w:val="08F1718F"/>
    <w:rsid w:val="08FA3336"/>
    <w:rsid w:val="08FB4F21"/>
    <w:rsid w:val="09000221"/>
    <w:rsid w:val="0933642F"/>
    <w:rsid w:val="09385677"/>
    <w:rsid w:val="094255AE"/>
    <w:rsid w:val="09485C1D"/>
    <w:rsid w:val="095742E5"/>
    <w:rsid w:val="0960145E"/>
    <w:rsid w:val="09684744"/>
    <w:rsid w:val="096E162E"/>
    <w:rsid w:val="09815735"/>
    <w:rsid w:val="09C527D8"/>
    <w:rsid w:val="09C53944"/>
    <w:rsid w:val="09C645FB"/>
    <w:rsid w:val="09D122E9"/>
    <w:rsid w:val="09DC47EA"/>
    <w:rsid w:val="09DE4A06"/>
    <w:rsid w:val="09E27460"/>
    <w:rsid w:val="09E714B5"/>
    <w:rsid w:val="09E810D6"/>
    <w:rsid w:val="0A002BCE"/>
    <w:rsid w:val="0A353611"/>
    <w:rsid w:val="0A9F4B3E"/>
    <w:rsid w:val="0AC736EC"/>
    <w:rsid w:val="0ACE6829"/>
    <w:rsid w:val="0ADD5499"/>
    <w:rsid w:val="0AEE6ECB"/>
    <w:rsid w:val="0AF71E29"/>
    <w:rsid w:val="0B00275A"/>
    <w:rsid w:val="0B097861"/>
    <w:rsid w:val="0B0C7351"/>
    <w:rsid w:val="0B0E131B"/>
    <w:rsid w:val="0B1306DF"/>
    <w:rsid w:val="0B266665"/>
    <w:rsid w:val="0B291CB1"/>
    <w:rsid w:val="0B2B77D7"/>
    <w:rsid w:val="0B332B30"/>
    <w:rsid w:val="0B380146"/>
    <w:rsid w:val="0B3A5C6C"/>
    <w:rsid w:val="0B3D39AE"/>
    <w:rsid w:val="0B3F03EC"/>
    <w:rsid w:val="0B5374D4"/>
    <w:rsid w:val="0B61769D"/>
    <w:rsid w:val="0B6A3CF7"/>
    <w:rsid w:val="0B81389B"/>
    <w:rsid w:val="0B974E6D"/>
    <w:rsid w:val="0BA61553"/>
    <w:rsid w:val="0BBC48D3"/>
    <w:rsid w:val="0BC65752"/>
    <w:rsid w:val="0BE34556"/>
    <w:rsid w:val="0BE36304"/>
    <w:rsid w:val="0BED0F30"/>
    <w:rsid w:val="0BEF2EFA"/>
    <w:rsid w:val="0BF03A87"/>
    <w:rsid w:val="0BF95B27"/>
    <w:rsid w:val="0C0E0F76"/>
    <w:rsid w:val="0C142961"/>
    <w:rsid w:val="0C152235"/>
    <w:rsid w:val="0C1E0947"/>
    <w:rsid w:val="0C29264A"/>
    <w:rsid w:val="0C4F3999"/>
    <w:rsid w:val="0C612B29"/>
    <w:rsid w:val="0C645D0A"/>
    <w:rsid w:val="0C646D4A"/>
    <w:rsid w:val="0C71390F"/>
    <w:rsid w:val="0C727688"/>
    <w:rsid w:val="0C84018E"/>
    <w:rsid w:val="0C8A3494"/>
    <w:rsid w:val="0C8C0749"/>
    <w:rsid w:val="0CA57A5D"/>
    <w:rsid w:val="0CA912FB"/>
    <w:rsid w:val="0CD12600"/>
    <w:rsid w:val="0CD143AE"/>
    <w:rsid w:val="0CDD0FA5"/>
    <w:rsid w:val="0CE00A95"/>
    <w:rsid w:val="0CE02278"/>
    <w:rsid w:val="0CF60E20"/>
    <w:rsid w:val="0CFA470C"/>
    <w:rsid w:val="0CFC4C11"/>
    <w:rsid w:val="0CFF53BF"/>
    <w:rsid w:val="0D075586"/>
    <w:rsid w:val="0D1129FD"/>
    <w:rsid w:val="0D2564A8"/>
    <w:rsid w:val="0D2C5A88"/>
    <w:rsid w:val="0D486352"/>
    <w:rsid w:val="0D49488C"/>
    <w:rsid w:val="0D4B23B2"/>
    <w:rsid w:val="0D58687D"/>
    <w:rsid w:val="0D5A0848"/>
    <w:rsid w:val="0D5D20E6"/>
    <w:rsid w:val="0D611BD6"/>
    <w:rsid w:val="0D690A8B"/>
    <w:rsid w:val="0D7F02AE"/>
    <w:rsid w:val="0D887163"/>
    <w:rsid w:val="0D924542"/>
    <w:rsid w:val="0D935B07"/>
    <w:rsid w:val="0D993CD9"/>
    <w:rsid w:val="0DBC0D40"/>
    <w:rsid w:val="0DCD1019"/>
    <w:rsid w:val="0DD04666"/>
    <w:rsid w:val="0DD135A6"/>
    <w:rsid w:val="0DDA54E4"/>
    <w:rsid w:val="0DDF4B63"/>
    <w:rsid w:val="0DE3083D"/>
    <w:rsid w:val="0DFB1385"/>
    <w:rsid w:val="0DFC65E6"/>
    <w:rsid w:val="0E0E518E"/>
    <w:rsid w:val="0E1C78AB"/>
    <w:rsid w:val="0E204A31"/>
    <w:rsid w:val="0E2A021A"/>
    <w:rsid w:val="0E43308A"/>
    <w:rsid w:val="0E4532A6"/>
    <w:rsid w:val="0E456E02"/>
    <w:rsid w:val="0E5B4877"/>
    <w:rsid w:val="0E8536A2"/>
    <w:rsid w:val="0E9F5CF7"/>
    <w:rsid w:val="0EB61AAE"/>
    <w:rsid w:val="0EB9334C"/>
    <w:rsid w:val="0EC248F6"/>
    <w:rsid w:val="0EC62A9B"/>
    <w:rsid w:val="0EE53811"/>
    <w:rsid w:val="0EEA0F15"/>
    <w:rsid w:val="0EF5524E"/>
    <w:rsid w:val="0EF652C3"/>
    <w:rsid w:val="0F0C3DC3"/>
    <w:rsid w:val="0F114F36"/>
    <w:rsid w:val="0F16254C"/>
    <w:rsid w:val="0F264E85"/>
    <w:rsid w:val="0F5431D2"/>
    <w:rsid w:val="0F5D461F"/>
    <w:rsid w:val="0F7722A1"/>
    <w:rsid w:val="0F8A641D"/>
    <w:rsid w:val="0FA1450C"/>
    <w:rsid w:val="0FA3772F"/>
    <w:rsid w:val="0FA730B2"/>
    <w:rsid w:val="0FA97864"/>
    <w:rsid w:val="0FDC3796"/>
    <w:rsid w:val="0FFF7484"/>
    <w:rsid w:val="10034331"/>
    <w:rsid w:val="103E61FE"/>
    <w:rsid w:val="104065DD"/>
    <w:rsid w:val="10430842"/>
    <w:rsid w:val="104D4694"/>
    <w:rsid w:val="105512EF"/>
    <w:rsid w:val="105A290D"/>
    <w:rsid w:val="106A0DA2"/>
    <w:rsid w:val="106D2640"/>
    <w:rsid w:val="107C6D27"/>
    <w:rsid w:val="10802373"/>
    <w:rsid w:val="108A0CDB"/>
    <w:rsid w:val="108C3F07"/>
    <w:rsid w:val="108C6F6A"/>
    <w:rsid w:val="10991687"/>
    <w:rsid w:val="10993435"/>
    <w:rsid w:val="109E4EEF"/>
    <w:rsid w:val="10AA73F0"/>
    <w:rsid w:val="10B010FE"/>
    <w:rsid w:val="10B169D0"/>
    <w:rsid w:val="10C36704"/>
    <w:rsid w:val="10CF7616"/>
    <w:rsid w:val="10D10E21"/>
    <w:rsid w:val="10D12BCF"/>
    <w:rsid w:val="10D40911"/>
    <w:rsid w:val="10D5430D"/>
    <w:rsid w:val="10DB57FB"/>
    <w:rsid w:val="10DC1574"/>
    <w:rsid w:val="10E16B8A"/>
    <w:rsid w:val="10FC72F8"/>
    <w:rsid w:val="11070F08"/>
    <w:rsid w:val="110C00AB"/>
    <w:rsid w:val="111932C0"/>
    <w:rsid w:val="1122342A"/>
    <w:rsid w:val="112D1D65"/>
    <w:rsid w:val="113A4C18"/>
    <w:rsid w:val="113E5D8A"/>
    <w:rsid w:val="11627CCB"/>
    <w:rsid w:val="116972AB"/>
    <w:rsid w:val="117B2B3A"/>
    <w:rsid w:val="117F087D"/>
    <w:rsid w:val="11836655"/>
    <w:rsid w:val="119500A0"/>
    <w:rsid w:val="11C32562"/>
    <w:rsid w:val="11D64215"/>
    <w:rsid w:val="11EC57E6"/>
    <w:rsid w:val="121548EA"/>
    <w:rsid w:val="121C60CC"/>
    <w:rsid w:val="122F22A3"/>
    <w:rsid w:val="123478B9"/>
    <w:rsid w:val="123F4757"/>
    <w:rsid w:val="124C0149"/>
    <w:rsid w:val="129C002D"/>
    <w:rsid w:val="129E1FB9"/>
    <w:rsid w:val="12C96D07"/>
    <w:rsid w:val="12D20E80"/>
    <w:rsid w:val="12D26D34"/>
    <w:rsid w:val="12D62275"/>
    <w:rsid w:val="12D90460"/>
    <w:rsid w:val="12F157AA"/>
    <w:rsid w:val="12F4238B"/>
    <w:rsid w:val="12FA48B2"/>
    <w:rsid w:val="130C0735"/>
    <w:rsid w:val="131B2827"/>
    <w:rsid w:val="131B6383"/>
    <w:rsid w:val="13206BDA"/>
    <w:rsid w:val="13272F7A"/>
    <w:rsid w:val="13286CF2"/>
    <w:rsid w:val="134055F9"/>
    <w:rsid w:val="134A4EBA"/>
    <w:rsid w:val="134E49AB"/>
    <w:rsid w:val="138A3509"/>
    <w:rsid w:val="139B3968"/>
    <w:rsid w:val="139C7259"/>
    <w:rsid w:val="13A63646"/>
    <w:rsid w:val="13B776A1"/>
    <w:rsid w:val="13BD3271"/>
    <w:rsid w:val="13BF31B2"/>
    <w:rsid w:val="13E470BD"/>
    <w:rsid w:val="13FA243C"/>
    <w:rsid w:val="13FA68E0"/>
    <w:rsid w:val="140432BB"/>
    <w:rsid w:val="14065285"/>
    <w:rsid w:val="140C6A36"/>
    <w:rsid w:val="140E413A"/>
    <w:rsid w:val="14151024"/>
    <w:rsid w:val="142A526B"/>
    <w:rsid w:val="144B2C98"/>
    <w:rsid w:val="14665D24"/>
    <w:rsid w:val="146855F8"/>
    <w:rsid w:val="147131C9"/>
    <w:rsid w:val="14736A30"/>
    <w:rsid w:val="147E4E1C"/>
    <w:rsid w:val="14816145"/>
    <w:rsid w:val="14830684"/>
    <w:rsid w:val="14860174"/>
    <w:rsid w:val="14A81E98"/>
    <w:rsid w:val="14BE0306"/>
    <w:rsid w:val="14C667C2"/>
    <w:rsid w:val="14CD7B51"/>
    <w:rsid w:val="14D26837"/>
    <w:rsid w:val="14E32449"/>
    <w:rsid w:val="14E37374"/>
    <w:rsid w:val="14EB0D24"/>
    <w:rsid w:val="14F122F5"/>
    <w:rsid w:val="14FC3F92"/>
    <w:rsid w:val="14FE41AE"/>
    <w:rsid w:val="150572EB"/>
    <w:rsid w:val="150E6CF3"/>
    <w:rsid w:val="152A4FA3"/>
    <w:rsid w:val="152D05F0"/>
    <w:rsid w:val="152F25BA"/>
    <w:rsid w:val="154F4A0A"/>
    <w:rsid w:val="156A53A0"/>
    <w:rsid w:val="156C1118"/>
    <w:rsid w:val="1578429D"/>
    <w:rsid w:val="158F79C6"/>
    <w:rsid w:val="159A3ED7"/>
    <w:rsid w:val="15A72150"/>
    <w:rsid w:val="15B66837"/>
    <w:rsid w:val="15BF393E"/>
    <w:rsid w:val="15C800B5"/>
    <w:rsid w:val="15D078F9"/>
    <w:rsid w:val="15D849FF"/>
    <w:rsid w:val="15DD0DD4"/>
    <w:rsid w:val="160752E5"/>
    <w:rsid w:val="16096967"/>
    <w:rsid w:val="16184DFC"/>
    <w:rsid w:val="161C2B3E"/>
    <w:rsid w:val="162E2871"/>
    <w:rsid w:val="162F753B"/>
    <w:rsid w:val="163C7C78"/>
    <w:rsid w:val="164107F7"/>
    <w:rsid w:val="166444E5"/>
    <w:rsid w:val="16646293"/>
    <w:rsid w:val="166938A9"/>
    <w:rsid w:val="16775FC6"/>
    <w:rsid w:val="16783AEC"/>
    <w:rsid w:val="168862BB"/>
    <w:rsid w:val="16970417"/>
    <w:rsid w:val="16A14DF1"/>
    <w:rsid w:val="16AF1C41"/>
    <w:rsid w:val="16DB47A7"/>
    <w:rsid w:val="16E24FBD"/>
    <w:rsid w:val="16E42F30"/>
    <w:rsid w:val="170456B1"/>
    <w:rsid w:val="17153623"/>
    <w:rsid w:val="172F4AF3"/>
    <w:rsid w:val="17342109"/>
    <w:rsid w:val="17355617"/>
    <w:rsid w:val="17546308"/>
    <w:rsid w:val="175B58E8"/>
    <w:rsid w:val="175D340E"/>
    <w:rsid w:val="1776627E"/>
    <w:rsid w:val="177B279C"/>
    <w:rsid w:val="17875105"/>
    <w:rsid w:val="178C5B14"/>
    <w:rsid w:val="179B3F36"/>
    <w:rsid w:val="179E7583"/>
    <w:rsid w:val="17A70B2D"/>
    <w:rsid w:val="17D15BAA"/>
    <w:rsid w:val="17D44EB7"/>
    <w:rsid w:val="17DD00AB"/>
    <w:rsid w:val="17F33307"/>
    <w:rsid w:val="17F6462B"/>
    <w:rsid w:val="17FA26E6"/>
    <w:rsid w:val="181D0DEF"/>
    <w:rsid w:val="18374C5F"/>
    <w:rsid w:val="184C5231"/>
    <w:rsid w:val="18567E5D"/>
    <w:rsid w:val="185C36C6"/>
    <w:rsid w:val="187B20EB"/>
    <w:rsid w:val="187C5B16"/>
    <w:rsid w:val="18816EBE"/>
    <w:rsid w:val="189B0F47"/>
    <w:rsid w:val="189C1D14"/>
    <w:rsid w:val="18D314AE"/>
    <w:rsid w:val="18E32286"/>
    <w:rsid w:val="18FA6A3B"/>
    <w:rsid w:val="18FE2223"/>
    <w:rsid w:val="19193365"/>
    <w:rsid w:val="192214AB"/>
    <w:rsid w:val="19520625"/>
    <w:rsid w:val="196A1E12"/>
    <w:rsid w:val="19B66E06"/>
    <w:rsid w:val="19BE5CBA"/>
    <w:rsid w:val="19CC487B"/>
    <w:rsid w:val="19DD0836"/>
    <w:rsid w:val="19DE010A"/>
    <w:rsid w:val="19E35721"/>
    <w:rsid w:val="1A134258"/>
    <w:rsid w:val="1A18674C"/>
    <w:rsid w:val="1A361CF4"/>
    <w:rsid w:val="1A3F504D"/>
    <w:rsid w:val="1A400DC5"/>
    <w:rsid w:val="1A584361"/>
    <w:rsid w:val="1A6C3968"/>
    <w:rsid w:val="1A6E7911"/>
    <w:rsid w:val="1A895941"/>
    <w:rsid w:val="1A937147"/>
    <w:rsid w:val="1AA154CF"/>
    <w:rsid w:val="1AC35E60"/>
    <w:rsid w:val="1AF776D6"/>
    <w:rsid w:val="1AFA0F74"/>
    <w:rsid w:val="1B1B527C"/>
    <w:rsid w:val="1B4A5639"/>
    <w:rsid w:val="1B4B5C73"/>
    <w:rsid w:val="1B666609"/>
    <w:rsid w:val="1B6C00C4"/>
    <w:rsid w:val="1B723200"/>
    <w:rsid w:val="1B875F77"/>
    <w:rsid w:val="1B8D1DE8"/>
    <w:rsid w:val="1B900D63"/>
    <w:rsid w:val="1B970EB9"/>
    <w:rsid w:val="1BBE4697"/>
    <w:rsid w:val="1BD9502D"/>
    <w:rsid w:val="1BDA551F"/>
    <w:rsid w:val="1C275D99"/>
    <w:rsid w:val="1C3F09CF"/>
    <w:rsid w:val="1C422BD3"/>
    <w:rsid w:val="1C646FED"/>
    <w:rsid w:val="1C7134B8"/>
    <w:rsid w:val="1C8036FB"/>
    <w:rsid w:val="1C980A44"/>
    <w:rsid w:val="1CAC44F0"/>
    <w:rsid w:val="1CAF0084"/>
    <w:rsid w:val="1CB02232"/>
    <w:rsid w:val="1CB810E7"/>
    <w:rsid w:val="1CC31975"/>
    <w:rsid w:val="1CCB706C"/>
    <w:rsid w:val="1CCD3CDE"/>
    <w:rsid w:val="1CD23133"/>
    <w:rsid w:val="1CD54EEA"/>
    <w:rsid w:val="1CDD6D9F"/>
    <w:rsid w:val="1CEF74C6"/>
    <w:rsid w:val="1CF57C45"/>
    <w:rsid w:val="1CFF2872"/>
    <w:rsid w:val="1D0D1432"/>
    <w:rsid w:val="1D2A0873"/>
    <w:rsid w:val="1D2F75FB"/>
    <w:rsid w:val="1D3E783E"/>
    <w:rsid w:val="1D4604A0"/>
    <w:rsid w:val="1D804E1C"/>
    <w:rsid w:val="1D822468"/>
    <w:rsid w:val="1D903E12"/>
    <w:rsid w:val="1DA11B98"/>
    <w:rsid w:val="1DA43419"/>
    <w:rsid w:val="1DAD0520"/>
    <w:rsid w:val="1DAE2E4B"/>
    <w:rsid w:val="1DC51D0D"/>
    <w:rsid w:val="1DE55F0B"/>
    <w:rsid w:val="1DF0665E"/>
    <w:rsid w:val="1DF628BE"/>
    <w:rsid w:val="1E2C7696"/>
    <w:rsid w:val="1E484B4A"/>
    <w:rsid w:val="1E49403F"/>
    <w:rsid w:val="1E58492F"/>
    <w:rsid w:val="1E6E5F01"/>
    <w:rsid w:val="1E894902"/>
    <w:rsid w:val="1EA50BD9"/>
    <w:rsid w:val="1ECE2E43"/>
    <w:rsid w:val="1EEB7551"/>
    <w:rsid w:val="1EF67AE2"/>
    <w:rsid w:val="1EF74148"/>
    <w:rsid w:val="1EFA7794"/>
    <w:rsid w:val="1EFF2FFD"/>
    <w:rsid w:val="1F10520A"/>
    <w:rsid w:val="1F15637C"/>
    <w:rsid w:val="1F1840BF"/>
    <w:rsid w:val="1F185E6D"/>
    <w:rsid w:val="1F301408"/>
    <w:rsid w:val="1F3044ED"/>
    <w:rsid w:val="1F3412F1"/>
    <w:rsid w:val="1F444EB4"/>
    <w:rsid w:val="1F6D61B8"/>
    <w:rsid w:val="1F707A57"/>
    <w:rsid w:val="1FAE1AA5"/>
    <w:rsid w:val="1FBB3882"/>
    <w:rsid w:val="1FC06E59"/>
    <w:rsid w:val="1FCA1DA7"/>
    <w:rsid w:val="1FCB6E3E"/>
    <w:rsid w:val="1FD7246A"/>
    <w:rsid w:val="1FDF0AB1"/>
    <w:rsid w:val="200902A2"/>
    <w:rsid w:val="202B07D6"/>
    <w:rsid w:val="20511636"/>
    <w:rsid w:val="20745325"/>
    <w:rsid w:val="20765541"/>
    <w:rsid w:val="20857532"/>
    <w:rsid w:val="208A4B48"/>
    <w:rsid w:val="20914128"/>
    <w:rsid w:val="2092148C"/>
    <w:rsid w:val="209B6D55"/>
    <w:rsid w:val="20C53DD2"/>
    <w:rsid w:val="20D109C9"/>
    <w:rsid w:val="20D64231"/>
    <w:rsid w:val="20F12AC3"/>
    <w:rsid w:val="20F12E19"/>
    <w:rsid w:val="20F16975"/>
    <w:rsid w:val="20F841A8"/>
    <w:rsid w:val="21093CBF"/>
    <w:rsid w:val="211803A6"/>
    <w:rsid w:val="211A2370"/>
    <w:rsid w:val="212136FE"/>
    <w:rsid w:val="21246D4B"/>
    <w:rsid w:val="213D0C17"/>
    <w:rsid w:val="213F7FC0"/>
    <w:rsid w:val="21625AFD"/>
    <w:rsid w:val="21706DE3"/>
    <w:rsid w:val="2177331E"/>
    <w:rsid w:val="21837F15"/>
    <w:rsid w:val="218617B3"/>
    <w:rsid w:val="21867A05"/>
    <w:rsid w:val="218F4CD2"/>
    <w:rsid w:val="21983295"/>
    <w:rsid w:val="21A8797C"/>
    <w:rsid w:val="21B856E5"/>
    <w:rsid w:val="21BF0821"/>
    <w:rsid w:val="21BF6A73"/>
    <w:rsid w:val="21C228B7"/>
    <w:rsid w:val="21CB18BC"/>
    <w:rsid w:val="21D00C81"/>
    <w:rsid w:val="21FC1A76"/>
    <w:rsid w:val="21FC7CC7"/>
    <w:rsid w:val="22274D44"/>
    <w:rsid w:val="22460F43"/>
    <w:rsid w:val="226F0499"/>
    <w:rsid w:val="2274785E"/>
    <w:rsid w:val="227939BB"/>
    <w:rsid w:val="22833F45"/>
    <w:rsid w:val="22877591"/>
    <w:rsid w:val="22A92AD4"/>
    <w:rsid w:val="22AC263C"/>
    <w:rsid w:val="22AF0896"/>
    <w:rsid w:val="22BB723B"/>
    <w:rsid w:val="22BD7457"/>
    <w:rsid w:val="22C73E32"/>
    <w:rsid w:val="22DB3D01"/>
    <w:rsid w:val="22E177D9"/>
    <w:rsid w:val="22FF35CB"/>
    <w:rsid w:val="230E1A60"/>
    <w:rsid w:val="230F5F30"/>
    <w:rsid w:val="233C481F"/>
    <w:rsid w:val="23445482"/>
    <w:rsid w:val="2369138D"/>
    <w:rsid w:val="236B7037"/>
    <w:rsid w:val="237815D0"/>
    <w:rsid w:val="238166D6"/>
    <w:rsid w:val="23902475"/>
    <w:rsid w:val="239062B2"/>
    <w:rsid w:val="23A3664D"/>
    <w:rsid w:val="23CE2F9E"/>
    <w:rsid w:val="23D36806"/>
    <w:rsid w:val="23DD3B82"/>
    <w:rsid w:val="23F24EDE"/>
    <w:rsid w:val="23FA12B9"/>
    <w:rsid w:val="2409047A"/>
    <w:rsid w:val="240971E3"/>
    <w:rsid w:val="241E7520"/>
    <w:rsid w:val="241F1A4B"/>
    <w:rsid w:val="241F37F9"/>
    <w:rsid w:val="24286B52"/>
    <w:rsid w:val="24410DB7"/>
    <w:rsid w:val="24765B0F"/>
    <w:rsid w:val="247E367B"/>
    <w:rsid w:val="248329ED"/>
    <w:rsid w:val="248875F1"/>
    <w:rsid w:val="248A4491"/>
    <w:rsid w:val="24967F5F"/>
    <w:rsid w:val="24B46637"/>
    <w:rsid w:val="24C74DF4"/>
    <w:rsid w:val="24D12D46"/>
    <w:rsid w:val="24DF1B22"/>
    <w:rsid w:val="24F1163A"/>
    <w:rsid w:val="24F46A34"/>
    <w:rsid w:val="25056D80"/>
    <w:rsid w:val="250C1FD0"/>
    <w:rsid w:val="25115838"/>
    <w:rsid w:val="25237319"/>
    <w:rsid w:val="2524556B"/>
    <w:rsid w:val="254479BB"/>
    <w:rsid w:val="25461985"/>
    <w:rsid w:val="25806FEC"/>
    <w:rsid w:val="259A75DB"/>
    <w:rsid w:val="25A44E0F"/>
    <w:rsid w:val="25CD5C03"/>
    <w:rsid w:val="25D074A1"/>
    <w:rsid w:val="25DD396C"/>
    <w:rsid w:val="25E92311"/>
    <w:rsid w:val="25FF1B34"/>
    <w:rsid w:val="26086C3B"/>
    <w:rsid w:val="261C4494"/>
    <w:rsid w:val="261E645E"/>
    <w:rsid w:val="26306192"/>
    <w:rsid w:val="265579A6"/>
    <w:rsid w:val="265A320F"/>
    <w:rsid w:val="265B126E"/>
    <w:rsid w:val="265E2CFF"/>
    <w:rsid w:val="26751DF6"/>
    <w:rsid w:val="267D26D4"/>
    <w:rsid w:val="268F110A"/>
    <w:rsid w:val="269146F2"/>
    <w:rsid w:val="269B7AAF"/>
    <w:rsid w:val="269F0C21"/>
    <w:rsid w:val="26A30712"/>
    <w:rsid w:val="26B40B71"/>
    <w:rsid w:val="26B76A93"/>
    <w:rsid w:val="26BC7A25"/>
    <w:rsid w:val="26C32B62"/>
    <w:rsid w:val="26CA3A81"/>
    <w:rsid w:val="26F251F5"/>
    <w:rsid w:val="26F70A5D"/>
    <w:rsid w:val="270245A5"/>
    <w:rsid w:val="27082C6B"/>
    <w:rsid w:val="270E64D3"/>
    <w:rsid w:val="270F4C49"/>
    <w:rsid w:val="271B246D"/>
    <w:rsid w:val="27421CD9"/>
    <w:rsid w:val="27CE17BE"/>
    <w:rsid w:val="27E05829"/>
    <w:rsid w:val="27F46B71"/>
    <w:rsid w:val="281302A3"/>
    <w:rsid w:val="2826333B"/>
    <w:rsid w:val="282E0988"/>
    <w:rsid w:val="28416434"/>
    <w:rsid w:val="286E6AFD"/>
    <w:rsid w:val="28B9246E"/>
    <w:rsid w:val="28BA1D43"/>
    <w:rsid w:val="28D01566"/>
    <w:rsid w:val="28ED2118"/>
    <w:rsid w:val="28F2772E"/>
    <w:rsid w:val="29023E15"/>
    <w:rsid w:val="290C4C94"/>
    <w:rsid w:val="2937635E"/>
    <w:rsid w:val="2939710B"/>
    <w:rsid w:val="293B10D5"/>
    <w:rsid w:val="2973261D"/>
    <w:rsid w:val="29842A7C"/>
    <w:rsid w:val="29883BEF"/>
    <w:rsid w:val="29A0362E"/>
    <w:rsid w:val="29AE7AF9"/>
    <w:rsid w:val="29AF561F"/>
    <w:rsid w:val="29B17638"/>
    <w:rsid w:val="29B33362"/>
    <w:rsid w:val="29C72C3A"/>
    <w:rsid w:val="29DE3ED0"/>
    <w:rsid w:val="29F00112"/>
    <w:rsid w:val="2A0C2A72"/>
    <w:rsid w:val="2A0E2181"/>
    <w:rsid w:val="2A0E6CBE"/>
    <w:rsid w:val="2A181417"/>
    <w:rsid w:val="2A191BF9"/>
    <w:rsid w:val="2A1C2CB5"/>
    <w:rsid w:val="2A2B2EF8"/>
    <w:rsid w:val="2A351FC9"/>
    <w:rsid w:val="2A41271B"/>
    <w:rsid w:val="2A6E7289"/>
    <w:rsid w:val="2A905451"/>
    <w:rsid w:val="2A930A9D"/>
    <w:rsid w:val="2AA170D3"/>
    <w:rsid w:val="2AEB08D9"/>
    <w:rsid w:val="2AF92FF6"/>
    <w:rsid w:val="2B050CFF"/>
    <w:rsid w:val="2B05199B"/>
    <w:rsid w:val="2B0D6AA1"/>
    <w:rsid w:val="2B1240B8"/>
    <w:rsid w:val="2B211492"/>
    <w:rsid w:val="2B285689"/>
    <w:rsid w:val="2B3B360F"/>
    <w:rsid w:val="2B6A5CA2"/>
    <w:rsid w:val="2B6F23ED"/>
    <w:rsid w:val="2B7408CF"/>
    <w:rsid w:val="2B77216D"/>
    <w:rsid w:val="2B797443"/>
    <w:rsid w:val="2B8D373E"/>
    <w:rsid w:val="2B91322F"/>
    <w:rsid w:val="2B966A97"/>
    <w:rsid w:val="2BA54F2C"/>
    <w:rsid w:val="2BB138D1"/>
    <w:rsid w:val="2BBD70D2"/>
    <w:rsid w:val="2BC453B2"/>
    <w:rsid w:val="2BD1187D"/>
    <w:rsid w:val="2BD55811"/>
    <w:rsid w:val="2BE47802"/>
    <w:rsid w:val="2BE9306B"/>
    <w:rsid w:val="2BED00B7"/>
    <w:rsid w:val="2BEE3121"/>
    <w:rsid w:val="2BF37A45"/>
    <w:rsid w:val="2BFD6B16"/>
    <w:rsid w:val="2C023E73"/>
    <w:rsid w:val="2C077995"/>
    <w:rsid w:val="2C174547"/>
    <w:rsid w:val="2C491D5B"/>
    <w:rsid w:val="2C496917"/>
    <w:rsid w:val="2C640943"/>
    <w:rsid w:val="2C970D19"/>
    <w:rsid w:val="2C9C2162"/>
    <w:rsid w:val="2C9D2348"/>
    <w:rsid w:val="2CBC077F"/>
    <w:rsid w:val="2CC17B44"/>
    <w:rsid w:val="2D297E19"/>
    <w:rsid w:val="2D2D6F87"/>
    <w:rsid w:val="2D391DD0"/>
    <w:rsid w:val="2D3D4257"/>
    <w:rsid w:val="2D485B6F"/>
    <w:rsid w:val="2D4A18E7"/>
    <w:rsid w:val="2D546C0A"/>
    <w:rsid w:val="2D585F21"/>
    <w:rsid w:val="2D6055AE"/>
    <w:rsid w:val="2D685FC7"/>
    <w:rsid w:val="2D7C3A6A"/>
    <w:rsid w:val="2D8A43D9"/>
    <w:rsid w:val="2D8F7C42"/>
    <w:rsid w:val="2D95462C"/>
    <w:rsid w:val="2D962D7E"/>
    <w:rsid w:val="2DB17BB8"/>
    <w:rsid w:val="2DB94CBF"/>
    <w:rsid w:val="2DBB4593"/>
    <w:rsid w:val="2DD85145"/>
    <w:rsid w:val="2DDB4F34"/>
    <w:rsid w:val="2DF45CF7"/>
    <w:rsid w:val="2DFE6398"/>
    <w:rsid w:val="2E1A39AF"/>
    <w:rsid w:val="2E1F0FC6"/>
    <w:rsid w:val="2E2C0F7E"/>
    <w:rsid w:val="2E3305CD"/>
    <w:rsid w:val="2E3F76F9"/>
    <w:rsid w:val="2E4C78E1"/>
    <w:rsid w:val="2E586286"/>
    <w:rsid w:val="2E674FE3"/>
    <w:rsid w:val="2E6C3ADF"/>
    <w:rsid w:val="2E7E481A"/>
    <w:rsid w:val="2E895F88"/>
    <w:rsid w:val="2E8B21B7"/>
    <w:rsid w:val="2E9B161E"/>
    <w:rsid w:val="2E9C43C4"/>
    <w:rsid w:val="2ECB6A58"/>
    <w:rsid w:val="2ED022C0"/>
    <w:rsid w:val="2EF22236"/>
    <w:rsid w:val="2EF91817"/>
    <w:rsid w:val="2F012479"/>
    <w:rsid w:val="2F0D014A"/>
    <w:rsid w:val="2F2443BA"/>
    <w:rsid w:val="2F2C2B98"/>
    <w:rsid w:val="2F3E547B"/>
    <w:rsid w:val="2F48454C"/>
    <w:rsid w:val="2F603644"/>
    <w:rsid w:val="2F68699C"/>
    <w:rsid w:val="2F752568"/>
    <w:rsid w:val="2F9432ED"/>
    <w:rsid w:val="2F971030"/>
    <w:rsid w:val="2FB71881"/>
    <w:rsid w:val="2FB93E30"/>
    <w:rsid w:val="2FC021F3"/>
    <w:rsid w:val="2FD23E16"/>
    <w:rsid w:val="2FE853E7"/>
    <w:rsid w:val="2FF4615F"/>
    <w:rsid w:val="2FF63413"/>
    <w:rsid w:val="30061DB6"/>
    <w:rsid w:val="30161389"/>
    <w:rsid w:val="30227315"/>
    <w:rsid w:val="30240B15"/>
    <w:rsid w:val="3034552F"/>
    <w:rsid w:val="30556326"/>
    <w:rsid w:val="305D4040"/>
    <w:rsid w:val="30656A38"/>
    <w:rsid w:val="306A10C1"/>
    <w:rsid w:val="30901D07"/>
    <w:rsid w:val="30963095"/>
    <w:rsid w:val="309A4933"/>
    <w:rsid w:val="309D1159"/>
    <w:rsid w:val="309D4424"/>
    <w:rsid w:val="30C36EC5"/>
    <w:rsid w:val="30D047F9"/>
    <w:rsid w:val="30D434F9"/>
    <w:rsid w:val="30DA75E4"/>
    <w:rsid w:val="30F878AC"/>
    <w:rsid w:val="30FE4C1A"/>
    <w:rsid w:val="310F3573"/>
    <w:rsid w:val="31132938"/>
    <w:rsid w:val="31172428"/>
    <w:rsid w:val="311A5A74"/>
    <w:rsid w:val="3126266B"/>
    <w:rsid w:val="31305298"/>
    <w:rsid w:val="31377B0B"/>
    <w:rsid w:val="313844C5"/>
    <w:rsid w:val="313F54DB"/>
    <w:rsid w:val="315115A8"/>
    <w:rsid w:val="31532D34"/>
    <w:rsid w:val="316B2774"/>
    <w:rsid w:val="31720ADD"/>
    <w:rsid w:val="31774C75"/>
    <w:rsid w:val="317B29B7"/>
    <w:rsid w:val="318850D4"/>
    <w:rsid w:val="318F0210"/>
    <w:rsid w:val="31906DAB"/>
    <w:rsid w:val="31A024CE"/>
    <w:rsid w:val="31AA3A6B"/>
    <w:rsid w:val="31CE331C"/>
    <w:rsid w:val="31D9592F"/>
    <w:rsid w:val="31DB724B"/>
    <w:rsid w:val="31E87C92"/>
    <w:rsid w:val="31F53655"/>
    <w:rsid w:val="31FD39C8"/>
    <w:rsid w:val="320F3E6F"/>
    <w:rsid w:val="32186458"/>
    <w:rsid w:val="321C6E50"/>
    <w:rsid w:val="323E5792"/>
    <w:rsid w:val="32430FFB"/>
    <w:rsid w:val="3244724D"/>
    <w:rsid w:val="32496611"/>
    <w:rsid w:val="32715B68"/>
    <w:rsid w:val="327F2033"/>
    <w:rsid w:val="32821B23"/>
    <w:rsid w:val="328533C1"/>
    <w:rsid w:val="32902492"/>
    <w:rsid w:val="32A93554"/>
    <w:rsid w:val="32B72DD0"/>
    <w:rsid w:val="32C739DA"/>
    <w:rsid w:val="32FA3DAF"/>
    <w:rsid w:val="33000F4D"/>
    <w:rsid w:val="33024A12"/>
    <w:rsid w:val="330B7D6A"/>
    <w:rsid w:val="33122EA7"/>
    <w:rsid w:val="332B21BB"/>
    <w:rsid w:val="33423060"/>
    <w:rsid w:val="335F1E64"/>
    <w:rsid w:val="33613E2E"/>
    <w:rsid w:val="337C6572"/>
    <w:rsid w:val="338B2C59"/>
    <w:rsid w:val="339715FE"/>
    <w:rsid w:val="33995376"/>
    <w:rsid w:val="33B34BC8"/>
    <w:rsid w:val="33BE302F"/>
    <w:rsid w:val="33CF0D98"/>
    <w:rsid w:val="33D60378"/>
    <w:rsid w:val="33FD21E4"/>
    <w:rsid w:val="34036C94"/>
    <w:rsid w:val="340A0022"/>
    <w:rsid w:val="342F27C8"/>
    <w:rsid w:val="345E036E"/>
    <w:rsid w:val="34632FD8"/>
    <w:rsid w:val="346D7C8B"/>
    <w:rsid w:val="34806536"/>
    <w:rsid w:val="34822A88"/>
    <w:rsid w:val="34897199"/>
    <w:rsid w:val="349A75F8"/>
    <w:rsid w:val="34A00474"/>
    <w:rsid w:val="34A73AC3"/>
    <w:rsid w:val="34AE30A3"/>
    <w:rsid w:val="34CC177B"/>
    <w:rsid w:val="34DA1676"/>
    <w:rsid w:val="34E24AFB"/>
    <w:rsid w:val="34E56399"/>
    <w:rsid w:val="34EC7728"/>
    <w:rsid w:val="34F211E2"/>
    <w:rsid w:val="34F52A80"/>
    <w:rsid w:val="35026356"/>
    <w:rsid w:val="351004EC"/>
    <w:rsid w:val="35262C3A"/>
    <w:rsid w:val="353006BF"/>
    <w:rsid w:val="353466F6"/>
    <w:rsid w:val="353C245D"/>
    <w:rsid w:val="354D466A"/>
    <w:rsid w:val="35773495"/>
    <w:rsid w:val="357F234A"/>
    <w:rsid w:val="35831E3A"/>
    <w:rsid w:val="35A26038"/>
    <w:rsid w:val="35AC4A89"/>
    <w:rsid w:val="35B867A6"/>
    <w:rsid w:val="35CB37E1"/>
    <w:rsid w:val="35DC59EE"/>
    <w:rsid w:val="35E53C5E"/>
    <w:rsid w:val="35EE24BB"/>
    <w:rsid w:val="360F7B72"/>
    <w:rsid w:val="3623361D"/>
    <w:rsid w:val="36370E76"/>
    <w:rsid w:val="3639699D"/>
    <w:rsid w:val="36454AF6"/>
    <w:rsid w:val="366A6525"/>
    <w:rsid w:val="366E2AEA"/>
    <w:rsid w:val="36727B5E"/>
    <w:rsid w:val="368A2C42"/>
    <w:rsid w:val="368D0A96"/>
    <w:rsid w:val="36B973A6"/>
    <w:rsid w:val="36C12761"/>
    <w:rsid w:val="36C941C4"/>
    <w:rsid w:val="36CA1CEB"/>
    <w:rsid w:val="36CE17DB"/>
    <w:rsid w:val="36D30B9F"/>
    <w:rsid w:val="36EC7EB3"/>
    <w:rsid w:val="36FD79CA"/>
    <w:rsid w:val="37046FAB"/>
    <w:rsid w:val="37321D6A"/>
    <w:rsid w:val="37425EAE"/>
    <w:rsid w:val="374675C3"/>
    <w:rsid w:val="3756532C"/>
    <w:rsid w:val="375872F6"/>
    <w:rsid w:val="376B702A"/>
    <w:rsid w:val="376E6B1A"/>
    <w:rsid w:val="376F1E40"/>
    <w:rsid w:val="37751C56"/>
    <w:rsid w:val="377C1237"/>
    <w:rsid w:val="37844548"/>
    <w:rsid w:val="37920A5A"/>
    <w:rsid w:val="37A3615F"/>
    <w:rsid w:val="37A57DC9"/>
    <w:rsid w:val="37B4237D"/>
    <w:rsid w:val="37B85F09"/>
    <w:rsid w:val="37C579BF"/>
    <w:rsid w:val="37D03A6B"/>
    <w:rsid w:val="37E1109A"/>
    <w:rsid w:val="37FE7E9E"/>
    <w:rsid w:val="380368FB"/>
    <w:rsid w:val="380B24F4"/>
    <w:rsid w:val="38422BA3"/>
    <w:rsid w:val="385E6B8E"/>
    <w:rsid w:val="387E4B3B"/>
    <w:rsid w:val="388252B3"/>
    <w:rsid w:val="388A7983"/>
    <w:rsid w:val="38995E18"/>
    <w:rsid w:val="38B501DA"/>
    <w:rsid w:val="38C17494"/>
    <w:rsid w:val="38CC58A6"/>
    <w:rsid w:val="38CD161E"/>
    <w:rsid w:val="38EB3928"/>
    <w:rsid w:val="38EE029C"/>
    <w:rsid w:val="38F117B0"/>
    <w:rsid w:val="39131727"/>
    <w:rsid w:val="391D25A6"/>
    <w:rsid w:val="3922772E"/>
    <w:rsid w:val="39360CDF"/>
    <w:rsid w:val="393D0552"/>
    <w:rsid w:val="394538AA"/>
    <w:rsid w:val="3958119C"/>
    <w:rsid w:val="397A17A6"/>
    <w:rsid w:val="3986014B"/>
    <w:rsid w:val="39914B4E"/>
    <w:rsid w:val="39B36A66"/>
    <w:rsid w:val="39B50A30"/>
    <w:rsid w:val="39B60304"/>
    <w:rsid w:val="39CD7B28"/>
    <w:rsid w:val="39D2513E"/>
    <w:rsid w:val="39DC7D6B"/>
    <w:rsid w:val="39E135D3"/>
    <w:rsid w:val="39E76710"/>
    <w:rsid w:val="39E906DA"/>
    <w:rsid w:val="39F41558"/>
    <w:rsid w:val="3A0B68A2"/>
    <w:rsid w:val="3A1C460B"/>
    <w:rsid w:val="3A347BA7"/>
    <w:rsid w:val="3A383CB2"/>
    <w:rsid w:val="3A9F434E"/>
    <w:rsid w:val="3AB40CE8"/>
    <w:rsid w:val="3AC6638E"/>
    <w:rsid w:val="3ADB44C6"/>
    <w:rsid w:val="3AED5FA8"/>
    <w:rsid w:val="3AFF6407"/>
    <w:rsid w:val="3B1B0D67"/>
    <w:rsid w:val="3B1C66FB"/>
    <w:rsid w:val="3B2E0A9A"/>
    <w:rsid w:val="3B352408"/>
    <w:rsid w:val="3B381919"/>
    <w:rsid w:val="3B385475"/>
    <w:rsid w:val="3B4574A4"/>
    <w:rsid w:val="3B5F6EA5"/>
    <w:rsid w:val="3B707EB1"/>
    <w:rsid w:val="3B7B1805"/>
    <w:rsid w:val="3B7C7A57"/>
    <w:rsid w:val="3B7F56B8"/>
    <w:rsid w:val="3BD61A9A"/>
    <w:rsid w:val="3BDF1913"/>
    <w:rsid w:val="3BEE1FD7"/>
    <w:rsid w:val="3BF33A92"/>
    <w:rsid w:val="3BF84C04"/>
    <w:rsid w:val="3BFA35D5"/>
    <w:rsid w:val="3BFA79EA"/>
    <w:rsid w:val="3C0B0DDB"/>
    <w:rsid w:val="3C0B4937"/>
    <w:rsid w:val="3C0E2679"/>
    <w:rsid w:val="3C153A08"/>
    <w:rsid w:val="3C181106"/>
    <w:rsid w:val="3C1E28BD"/>
    <w:rsid w:val="3C202EE7"/>
    <w:rsid w:val="3C2E6878"/>
    <w:rsid w:val="3C320447"/>
    <w:rsid w:val="3C553E04"/>
    <w:rsid w:val="3C58166B"/>
    <w:rsid w:val="3C85293C"/>
    <w:rsid w:val="3C9E06C0"/>
    <w:rsid w:val="3CAC57BB"/>
    <w:rsid w:val="3CAC611A"/>
    <w:rsid w:val="3CB52AF5"/>
    <w:rsid w:val="3CCF1E09"/>
    <w:rsid w:val="3CD15B81"/>
    <w:rsid w:val="3CED6733"/>
    <w:rsid w:val="3D015D3A"/>
    <w:rsid w:val="3D136199"/>
    <w:rsid w:val="3D1912D6"/>
    <w:rsid w:val="3D202664"/>
    <w:rsid w:val="3D347271"/>
    <w:rsid w:val="3D453E79"/>
    <w:rsid w:val="3D5D5666"/>
    <w:rsid w:val="3D5F689F"/>
    <w:rsid w:val="3D687B67"/>
    <w:rsid w:val="3D840E45"/>
    <w:rsid w:val="3DA91EB2"/>
    <w:rsid w:val="3DA9265A"/>
    <w:rsid w:val="3DBE3AF9"/>
    <w:rsid w:val="3DC079A3"/>
    <w:rsid w:val="3DC47494"/>
    <w:rsid w:val="3DC64DDF"/>
    <w:rsid w:val="3DD05E38"/>
    <w:rsid w:val="3DD11BB1"/>
    <w:rsid w:val="3DDD2303"/>
    <w:rsid w:val="3DDF370F"/>
    <w:rsid w:val="3DFB432B"/>
    <w:rsid w:val="3E0B30B8"/>
    <w:rsid w:val="3E230732"/>
    <w:rsid w:val="3E2B12C1"/>
    <w:rsid w:val="3E3F4D6C"/>
    <w:rsid w:val="3E4C5AAA"/>
    <w:rsid w:val="3E8E17C7"/>
    <w:rsid w:val="3E8F7AA2"/>
    <w:rsid w:val="3EAF3CA0"/>
    <w:rsid w:val="3EB72B54"/>
    <w:rsid w:val="3EC31CC5"/>
    <w:rsid w:val="3ED737ED"/>
    <w:rsid w:val="3EDB2CE7"/>
    <w:rsid w:val="3EE55913"/>
    <w:rsid w:val="3EF06066"/>
    <w:rsid w:val="3EFB0C93"/>
    <w:rsid w:val="3F055FB6"/>
    <w:rsid w:val="3F132C69"/>
    <w:rsid w:val="3F147FA7"/>
    <w:rsid w:val="3F2521B4"/>
    <w:rsid w:val="3F577E93"/>
    <w:rsid w:val="3F5C7DD5"/>
    <w:rsid w:val="3F66303C"/>
    <w:rsid w:val="3F823162"/>
    <w:rsid w:val="3F836EDA"/>
    <w:rsid w:val="3FA70E1B"/>
    <w:rsid w:val="3FC45529"/>
    <w:rsid w:val="40060AEF"/>
    <w:rsid w:val="4010076E"/>
    <w:rsid w:val="40210BCD"/>
    <w:rsid w:val="40267F92"/>
    <w:rsid w:val="40334C02"/>
    <w:rsid w:val="403A3A3D"/>
    <w:rsid w:val="405368AD"/>
    <w:rsid w:val="40645361"/>
    <w:rsid w:val="407451A1"/>
    <w:rsid w:val="40754A75"/>
    <w:rsid w:val="407927B7"/>
    <w:rsid w:val="40805350"/>
    <w:rsid w:val="40870327"/>
    <w:rsid w:val="408F77C2"/>
    <w:rsid w:val="4090365D"/>
    <w:rsid w:val="40970E8F"/>
    <w:rsid w:val="40A37834"/>
    <w:rsid w:val="40A52E1C"/>
    <w:rsid w:val="40C477AB"/>
    <w:rsid w:val="40C672BD"/>
    <w:rsid w:val="40C81049"/>
    <w:rsid w:val="40D45C40"/>
    <w:rsid w:val="40D53766"/>
    <w:rsid w:val="40F956A6"/>
    <w:rsid w:val="41024986"/>
    <w:rsid w:val="41175B2C"/>
    <w:rsid w:val="411B386E"/>
    <w:rsid w:val="41324C34"/>
    <w:rsid w:val="4134048C"/>
    <w:rsid w:val="414032D5"/>
    <w:rsid w:val="41432DC5"/>
    <w:rsid w:val="41436921"/>
    <w:rsid w:val="414D154E"/>
    <w:rsid w:val="415B010F"/>
    <w:rsid w:val="41601281"/>
    <w:rsid w:val="41611946"/>
    <w:rsid w:val="417A7D46"/>
    <w:rsid w:val="41847666"/>
    <w:rsid w:val="41B23984"/>
    <w:rsid w:val="41B31CF9"/>
    <w:rsid w:val="41B4781F"/>
    <w:rsid w:val="41CC2DBB"/>
    <w:rsid w:val="41D1217F"/>
    <w:rsid w:val="41D476EB"/>
    <w:rsid w:val="41DE4E43"/>
    <w:rsid w:val="41E33C60"/>
    <w:rsid w:val="41F145CF"/>
    <w:rsid w:val="41F1637D"/>
    <w:rsid w:val="420C1409"/>
    <w:rsid w:val="42116A20"/>
    <w:rsid w:val="42277FF1"/>
    <w:rsid w:val="422C1AAB"/>
    <w:rsid w:val="423170C2"/>
    <w:rsid w:val="424E1A22"/>
    <w:rsid w:val="42507548"/>
    <w:rsid w:val="4262727B"/>
    <w:rsid w:val="427F7E2D"/>
    <w:rsid w:val="42835EF4"/>
    <w:rsid w:val="429F227D"/>
    <w:rsid w:val="42B23D5F"/>
    <w:rsid w:val="42B5717F"/>
    <w:rsid w:val="42C136D2"/>
    <w:rsid w:val="42D207EE"/>
    <w:rsid w:val="42E67EAC"/>
    <w:rsid w:val="42F30A76"/>
    <w:rsid w:val="42FA74B4"/>
    <w:rsid w:val="430215D1"/>
    <w:rsid w:val="430A3F67"/>
    <w:rsid w:val="4320516C"/>
    <w:rsid w:val="432B58BF"/>
    <w:rsid w:val="433B1FA6"/>
    <w:rsid w:val="434D1CD9"/>
    <w:rsid w:val="4359242C"/>
    <w:rsid w:val="436314FD"/>
    <w:rsid w:val="436A63E7"/>
    <w:rsid w:val="437B23A2"/>
    <w:rsid w:val="43803E5D"/>
    <w:rsid w:val="43911BC6"/>
    <w:rsid w:val="43972F54"/>
    <w:rsid w:val="43BC2E35"/>
    <w:rsid w:val="43D07143"/>
    <w:rsid w:val="43D23F8D"/>
    <w:rsid w:val="440A3726"/>
    <w:rsid w:val="441E71D2"/>
    <w:rsid w:val="44213356"/>
    <w:rsid w:val="442962A2"/>
    <w:rsid w:val="444A6219"/>
    <w:rsid w:val="44625310"/>
    <w:rsid w:val="4469092A"/>
    <w:rsid w:val="446C43E1"/>
    <w:rsid w:val="447137A5"/>
    <w:rsid w:val="4477138A"/>
    <w:rsid w:val="4492209A"/>
    <w:rsid w:val="44B00772"/>
    <w:rsid w:val="44C935E1"/>
    <w:rsid w:val="44CD30D2"/>
    <w:rsid w:val="44F7014F"/>
    <w:rsid w:val="44FC39B7"/>
    <w:rsid w:val="45034D45"/>
    <w:rsid w:val="450A60D4"/>
    <w:rsid w:val="4530540F"/>
    <w:rsid w:val="453F3D5D"/>
    <w:rsid w:val="45533430"/>
    <w:rsid w:val="456A6B72"/>
    <w:rsid w:val="45913DE9"/>
    <w:rsid w:val="45A33E32"/>
    <w:rsid w:val="45B61FE8"/>
    <w:rsid w:val="45B93656"/>
    <w:rsid w:val="45C81AEB"/>
    <w:rsid w:val="45C920D3"/>
    <w:rsid w:val="45D64208"/>
    <w:rsid w:val="45D71D2E"/>
    <w:rsid w:val="46031CB0"/>
    <w:rsid w:val="460C19D8"/>
    <w:rsid w:val="46344937"/>
    <w:rsid w:val="46454EEA"/>
    <w:rsid w:val="46483133"/>
    <w:rsid w:val="464A0752"/>
    <w:rsid w:val="464A1BFE"/>
    <w:rsid w:val="464E0242"/>
    <w:rsid w:val="46527201"/>
    <w:rsid w:val="466510E8"/>
    <w:rsid w:val="466A4950"/>
    <w:rsid w:val="46712183"/>
    <w:rsid w:val="467632F5"/>
    <w:rsid w:val="468123C6"/>
    <w:rsid w:val="46845A12"/>
    <w:rsid w:val="46A240EA"/>
    <w:rsid w:val="46AE4ED9"/>
    <w:rsid w:val="46B30DE6"/>
    <w:rsid w:val="46D22C21"/>
    <w:rsid w:val="46DB328A"/>
    <w:rsid w:val="4703102D"/>
    <w:rsid w:val="47082F4F"/>
    <w:rsid w:val="470D1EAB"/>
    <w:rsid w:val="47264D1B"/>
    <w:rsid w:val="47473012"/>
    <w:rsid w:val="474F17A4"/>
    <w:rsid w:val="47525B10"/>
    <w:rsid w:val="47867568"/>
    <w:rsid w:val="478B1022"/>
    <w:rsid w:val="47950089"/>
    <w:rsid w:val="479B7F61"/>
    <w:rsid w:val="47B47B3D"/>
    <w:rsid w:val="47D6229D"/>
    <w:rsid w:val="47D91D8D"/>
    <w:rsid w:val="47E86299"/>
    <w:rsid w:val="47F6293F"/>
    <w:rsid w:val="47FB1307"/>
    <w:rsid w:val="480F155C"/>
    <w:rsid w:val="48153C8D"/>
    <w:rsid w:val="48194F9E"/>
    <w:rsid w:val="481E0235"/>
    <w:rsid w:val="48272AF9"/>
    <w:rsid w:val="48390B53"/>
    <w:rsid w:val="486F44A0"/>
    <w:rsid w:val="4871646A"/>
    <w:rsid w:val="48746518"/>
    <w:rsid w:val="488E2B78"/>
    <w:rsid w:val="48BA396D"/>
    <w:rsid w:val="48CB5B7A"/>
    <w:rsid w:val="48D842C5"/>
    <w:rsid w:val="48E36524"/>
    <w:rsid w:val="48ED1CCD"/>
    <w:rsid w:val="48F055E1"/>
    <w:rsid w:val="48F13107"/>
    <w:rsid w:val="48F549A5"/>
    <w:rsid w:val="48F6071D"/>
    <w:rsid w:val="48F7696F"/>
    <w:rsid w:val="49060960"/>
    <w:rsid w:val="491D5915"/>
    <w:rsid w:val="492E7EB7"/>
    <w:rsid w:val="49331971"/>
    <w:rsid w:val="49373210"/>
    <w:rsid w:val="493C2BF3"/>
    <w:rsid w:val="49543DC1"/>
    <w:rsid w:val="495A5150"/>
    <w:rsid w:val="495A6EFE"/>
    <w:rsid w:val="498B21B5"/>
    <w:rsid w:val="499A554C"/>
    <w:rsid w:val="499F0DB5"/>
    <w:rsid w:val="49A841AD"/>
    <w:rsid w:val="49BC1967"/>
    <w:rsid w:val="49BF4FB3"/>
    <w:rsid w:val="49CB3958"/>
    <w:rsid w:val="49ED1B20"/>
    <w:rsid w:val="4A0155CC"/>
    <w:rsid w:val="4A062BE2"/>
    <w:rsid w:val="4A2512BA"/>
    <w:rsid w:val="4A2C7A38"/>
    <w:rsid w:val="4A4756D4"/>
    <w:rsid w:val="4A484FA8"/>
    <w:rsid w:val="4A5F709C"/>
    <w:rsid w:val="4A8C758B"/>
    <w:rsid w:val="4A92680E"/>
    <w:rsid w:val="4AAE12AF"/>
    <w:rsid w:val="4AC5484B"/>
    <w:rsid w:val="4ACB00B3"/>
    <w:rsid w:val="4AD60806"/>
    <w:rsid w:val="4AD8457E"/>
    <w:rsid w:val="4AD92437"/>
    <w:rsid w:val="4B0610EB"/>
    <w:rsid w:val="4B074E64"/>
    <w:rsid w:val="4B105AC6"/>
    <w:rsid w:val="4B1F3F5B"/>
    <w:rsid w:val="4B547D59"/>
    <w:rsid w:val="4B6C4CC7"/>
    <w:rsid w:val="4B7122DD"/>
    <w:rsid w:val="4B756A4E"/>
    <w:rsid w:val="4B780257"/>
    <w:rsid w:val="4B7E5126"/>
    <w:rsid w:val="4B9977DF"/>
    <w:rsid w:val="4B9B755F"/>
    <w:rsid w:val="4BAB57EF"/>
    <w:rsid w:val="4BB94120"/>
    <w:rsid w:val="4BB943B0"/>
    <w:rsid w:val="4BD06BAB"/>
    <w:rsid w:val="4BE31185"/>
    <w:rsid w:val="4BE567F2"/>
    <w:rsid w:val="4BFE6267"/>
    <w:rsid w:val="4C07336D"/>
    <w:rsid w:val="4C0B7195"/>
    <w:rsid w:val="4C115F9A"/>
    <w:rsid w:val="4C192C29"/>
    <w:rsid w:val="4C196BFC"/>
    <w:rsid w:val="4C43011D"/>
    <w:rsid w:val="4C46376A"/>
    <w:rsid w:val="4C4A792C"/>
    <w:rsid w:val="4C4C5224"/>
    <w:rsid w:val="4C5F2180"/>
    <w:rsid w:val="4C8C12EC"/>
    <w:rsid w:val="4C910E89"/>
    <w:rsid w:val="4CB81373"/>
    <w:rsid w:val="4CCA6149"/>
    <w:rsid w:val="4D0C050F"/>
    <w:rsid w:val="4D0E4287"/>
    <w:rsid w:val="4D0E6A50"/>
    <w:rsid w:val="4D153868"/>
    <w:rsid w:val="4D1D44CA"/>
    <w:rsid w:val="4D21045F"/>
    <w:rsid w:val="4D295652"/>
    <w:rsid w:val="4D312395"/>
    <w:rsid w:val="4D3A507C"/>
    <w:rsid w:val="4D445EFB"/>
    <w:rsid w:val="4D5123C6"/>
    <w:rsid w:val="4D550108"/>
    <w:rsid w:val="4D573E80"/>
    <w:rsid w:val="4D5B4FF3"/>
    <w:rsid w:val="4D614AB8"/>
    <w:rsid w:val="4D6B16DA"/>
    <w:rsid w:val="4D970721"/>
    <w:rsid w:val="4DB017E2"/>
    <w:rsid w:val="4DB210B7"/>
    <w:rsid w:val="4DB42272"/>
    <w:rsid w:val="4DBF250C"/>
    <w:rsid w:val="4DD46B6E"/>
    <w:rsid w:val="4DD97637"/>
    <w:rsid w:val="4DF07E31"/>
    <w:rsid w:val="4E037B64"/>
    <w:rsid w:val="4E0F0A25"/>
    <w:rsid w:val="4E1206DA"/>
    <w:rsid w:val="4E1C29D4"/>
    <w:rsid w:val="4E2A3343"/>
    <w:rsid w:val="4E3715BC"/>
    <w:rsid w:val="4E437B54"/>
    <w:rsid w:val="4E606D65"/>
    <w:rsid w:val="4E704ACE"/>
    <w:rsid w:val="4E7E71EB"/>
    <w:rsid w:val="4E90472A"/>
    <w:rsid w:val="4EDA416D"/>
    <w:rsid w:val="4EEA4880"/>
    <w:rsid w:val="4EF676C9"/>
    <w:rsid w:val="4EFD0A57"/>
    <w:rsid w:val="4F035942"/>
    <w:rsid w:val="4F045E2D"/>
    <w:rsid w:val="4F082DD2"/>
    <w:rsid w:val="4F3E697A"/>
    <w:rsid w:val="4F466F82"/>
    <w:rsid w:val="4F50502B"/>
    <w:rsid w:val="4F5148FF"/>
    <w:rsid w:val="4F5A1A06"/>
    <w:rsid w:val="4F6B5077"/>
    <w:rsid w:val="4F7A3E56"/>
    <w:rsid w:val="4F820F5D"/>
    <w:rsid w:val="4F860A4D"/>
    <w:rsid w:val="4F9111A0"/>
    <w:rsid w:val="4F97276D"/>
    <w:rsid w:val="4FA113E3"/>
    <w:rsid w:val="4FBA6377"/>
    <w:rsid w:val="4FBC0F17"/>
    <w:rsid w:val="4FC74BC1"/>
    <w:rsid w:val="4FD07F1A"/>
    <w:rsid w:val="4FE925AF"/>
    <w:rsid w:val="4FF46228"/>
    <w:rsid w:val="500C6F2D"/>
    <w:rsid w:val="500D0826"/>
    <w:rsid w:val="50146059"/>
    <w:rsid w:val="504306EC"/>
    <w:rsid w:val="505428F9"/>
    <w:rsid w:val="50597F0F"/>
    <w:rsid w:val="50616347"/>
    <w:rsid w:val="50830AE8"/>
    <w:rsid w:val="50A53155"/>
    <w:rsid w:val="50FE0AB7"/>
    <w:rsid w:val="510446CC"/>
    <w:rsid w:val="5104627E"/>
    <w:rsid w:val="510F6820"/>
    <w:rsid w:val="512D3B2B"/>
    <w:rsid w:val="513B5867"/>
    <w:rsid w:val="51501312"/>
    <w:rsid w:val="51542485"/>
    <w:rsid w:val="51663853"/>
    <w:rsid w:val="517D5E7F"/>
    <w:rsid w:val="517D76C1"/>
    <w:rsid w:val="519136D9"/>
    <w:rsid w:val="519539EE"/>
    <w:rsid w:val="519A433C"/>
    <w:rsid w:val="51A4340C"/>
    <w:rsid w:val="51BA2C30"/>
    <w:rsid w:val="51CF7C15"/>
    <w:rsid w:val="51DA0BDC"/>
    <w:rsid w:val="51DB0935"/>
    <w:rsid w:val="51E952C3"/>
    <w:rsid w:val="51E97071"/>
    <w:rsid w:val="51EE42CD"/>
    <w:rsid w:val="51EE4F7D"/>
    <w:rsid w:val="51F53C68"/>
    <w:rsid w:val="520B6FE7"/>
    <w:rsid w:val="521A547C"/>
    <w:rsid w:val="52214A5D"/>
    <w:rsid w:val="5239455B"/>
    <w:rsid w:val="524424F9"/>
    <w:rsid w:val="52462715"/>
    <w:rsid w:val="52466271"/>
    <w:rsid w:val="524D40A7"/>
    <w:rsid w:val="527E5A0B"/>
    <w:rsid w:val="52846D9A"/>
    <w:rsid w:val="52B163BE"/>
    <w:rsid w:val="52D425F5"/>
    <w:rsid w:val="52D6121B"/>
    <w:rsid w:val="52E141EC"/>
    <w:rsid w:val="52E77A54"/>
    <w:rsid w:val="52FB705C"/>
    <w:rsid w:val="5319253D"/>
    <w:rsid w:val="531B76FE"/>
    <w:rsid w:val="533A401B"/>
    <w:rsid w:val="533F3BBA"/>
    <w:rsid w:val="534F73A8"/>
    <w:rsid w:val="53507E24"/>
    <w:rsid w:val="5360033A"/>
    <w:rsid w:val="53656BCB"/>
    <w:rsid w:val="536A2433"/>
    <w:rsid w:val="536C018C"/>
    <w:rsid w:val="538928BA"/>
    <w:rsid w:val="538E5CD5"/>
    <w:rsid w:val="538E6122"/>
    <w:rsid w:val="53990623"/>
    <w:rsid w:val="53A5346C"/>
    <w:rsid w:val="53B8319F"/>
    <w:rsid w:val="53C36641"/>
    <w:rsid w:val="53D8739D"/>
    <w:rsid w:val="54061346"/>
    <w:rsid w:val="54161C73"/>
    <w:rsid w:val="54280B64"/>
    <w:rsid w:val="5444374C"/>
    <w:rsid w:val="5455279C"/>
    <w:rsid w:val="546A3D97"/>
    <w:rsid w:val="548656FA"/>
    <w:rsid w:val="549459BA"/>
    <w:rsid w:val="54AF0513"/>
    <w:rsid w:val="54BC0A6D"/>
    <w:rsid w:val="54C067AF"/>
    <w:rsid w:val="54F16968"/>
    <w:rsid w:val="54F2623D"/>
    <w:rsid w:val="54FE2E33"/>
    <w:rsid w:val="550B28E5"/>
    <w:rsid w:val="555111B5"/>
    <w:rsid w:val="555336E2"/>
    <w:rsid w:val="55540CA5"/>
    <w:rsid w:val="555917B4"/>
    <w:rsid w:val="55665450"/>
    <w:rsid w:val="557430F6"/>
    <w:rsid w:val="557650C0"/>
    <w:rsid w:val="5579695E"/>
    <w:rsid w:val="557F071D"/>
    <w:rsid w:val="558C6691"/>
    <w:rsid w:val="559F4338"/>
    <w:rsid w:val="55B1434A"/>
    <w:rsid w:val="55C23E61"/>
    <w:rsid w:val="55C67DF5"/>
    <w:rsid w:val="55E55DA1"/>
    <w:rsid w:val="55E77D6B"/>
    <w:rsid w:val="55EE4C56"/>
    <w:rsid w:val="56210509"/>
    <w:rsid w:val="562543F0"/>
    <w:rsid w:val="56286B38"/>
    <w:rsid w:val="56725887"/>
    <w:rsid w:val="567C04B4"/>
    <w:rsid w:val="568E6439"/>
    <w:rsid w:val="56A95021"/>
    <w:rsid w:val="56BD3745"/>
    <w:rsid w:val="56D3758C"/>
    <w:rsid w:val="56DE5B14"/>
    <w:rsid w:val="56F64D11"/>
    <w:rsid w:val="57030BD5"/>
    <w:rsid w:val="57034731"/>
    <w:rsid w:val="571B5F1F"/>
    <w:rsid w:val="571D7D97"/>
    <w:rsid w:val="5737087F"/>
    <w:rsid w:val="573E39BB"/>
    <w:rsid w:val="57623B4D"/>
    <w:rsid w:val="577218B7"/>
    <w:rsid w:val="57827D4C"/>
    <w:rsid w:val="578735B4"/>
    <w:rsid w:val="57902DBE"/>
    <w:rsid w:val="57996E43"/>
    <w:rsid w:val="57B15210"/>
    <w:rsid w:val="57B32A0E"/>
    <w:rsid w:val="57C00874"/>
    <w:rsid w:val="57EF2F07"/>
    <w:rsid w:val="58164938"/>
    <w:rsid w:val="581D5CC6"/>
    <w:rsid w:val="582D6EF7"/>
    <w:rsid w:val="58496ABB"/>
    <w:rsid w:val="58497B64"/>
    <w:rsid w:val="584B45E2"/>
    <w:rsid w:val="585B234B"/>
    <w:rsid w:val="58753A6F"/>
    <w:rsid w:val="588E7DA0"/>
    <w:rsid w:val="5898534D"/>
    <w:rsid w:val="58A75590"/>
    <w:rsid w:val="58B33F35"/>
    <w:rsid w:val="58DF4D2A"/>
    <w:rsid w:val="59034EBC"/>
    <w:rsid w:val="590D5D3B"/>
    <w:rsid w:val="590F1AB3"/>
    <w:rsid w:val="5917373F"/>
    <w:rsid w:val="591A3FB4"/>
    <w:rsid w:val="591C41D0"/>
    <w:rsid w:val="592D17B4"/>
    <w:rsid w:val="593C03CE"/>
    <w:rsid w:val="59422965"/>
    <w:rsid w:val="596F4300"/>
    <w:rsid w:val="5996188C"/>
    <w:rsid w:val="599D70BF"/>
    <w:rsid w:val="599D7A79"/>
    <w:rsid w:val="59BB7545"/>
    <w:rsid w:val="59C31E69"/>
    <w:rsid w:val="59CB4D9E"/>
    <w:rsid w:val="59DD2F98"/>
    <w:rsid w:val="59E33AE8"/>
    <w:rsid w:val="59FB2037"/>
    <w:rsid w:val="59FC6C67"/>
    <w:rsid w:val="59FF0918"/>
    <w:rsid w:val="5A0709DC"/>
    <w:rsid w:val="5A0A5DD6"/>
    <w:rsid w:val="5A2473C4"/>
    <w:rsid w:val="5A3572F7"/>
    <w:rsid w:val="5A44578C"/>
    <w:rsid w:val="5A623E64"/>
    <w:rsid w:val="5A64198B"/>
    <w:rsid w:val="5A6804AB"/>
    <w:rsid w:val="5AB3021C"/>
    <w:rsid w:val="5AC70F4B"/>
    <w:rsid w:val="5ACC7530"/>
    <w:rsid w:val="5AEC407C"/>
    <w:rsid w:val="5AFC1BC3"/>
    <w:rsid w:val="5B027F7A"/>
    <w:rsid w:val="5B1E5FDD"/>
    <w:rsid w:val="5B311471"/>
    <w:rsid w:val="5B4E3FF3"/>
    <w:rsid w:val="5B4E6201"/>
    <w:rsid w:val="5B975D90"/>
    <w:rsid w:val="5BAA7871"/>
    <w:rsid w:val="5BB24978"/>
    <w:rsid w:val="5BC36B85"/>
    <w:rsid w:val="5BDB3ECE"/>
    <w:rsid w:val="5BEA5EBF"/>
    <w:rsid w:val="5BEB0E80"/>
    <w:rsid w:val="5C197442"/>
    <w:rsid w:val="5C1D5175"/>
    <w:rsid w:val="5C266515"/>
    <w:rsid w:val="5C313AEE"/>
    <w:rsid w:val="5C341831"/>
    <w:rsid w:val="5C3B496D"/>
    <w:rsid w:val="5C537F09"/>
    <w:rsid w:val="5C677510"/>
    <w:rsid w:val="5C7D137A"/>
    <w:rsid w:val="5C8C6F77"/>
    <w:rsid w:val="5C8E2CEF"/>
    <w:rsid w:val="5C910A31"/>
    <w:rsid w:val="5C9B1B86"/>
    <w:rsid w:val="5CAC13C7"/>
    <w:rsid w:val="5CBC5AAE"/>
    <w:rsid w:val="5CBD35D4"/>
    <w:rsid w:val="5CC46711"/>
    <w:rsid w:val="5CDD3C76"/>
    <w:rsid w:val="5CF8460C"/>
    <w:rsid w:val="5D0D455B"/>
    <w:rsid w:val="5D185437"/>
    <w:rsid w:val="5D374438"/>
    <w:rsid w:val="5D4F6E91"/>
    <w:rsid w:val="5D55380D"/>
    <w:rsid w:val="5D5A3BA2"/>
    <w:rsid w:val="5D5C1E17"/>
    <w:rsid w:val="5D6815BE"/>
    <w:rsid w:val="5D6972B8"/>
    <w:rsid w:val="5D6D0B56"/>
    <w:rsid w:val="5D6D4FFA"/>
    <w:rsid w:val="5D726581"/>
    <w:rsid w:val="5D79574D"/>
    <w:rsid w:val="5D7F6ADB"/>
    <w:rsid w:val="5D8B3DE3"/>
    <w:rsid w:val="5D8D11F8"/>
    <w:rsid w:val="5D8F4F70"/>
    <w:rsid w:val="5DB524FD"/>
    <w:rsid w:val="5DC7295C"/>
    <w:rsid w:val="5DD129AB"/>
    <w:rsid w:val="5DDE3802"/>
    <w:rsid w:val="5DE52DE2"/>
    <w:rsid w:val="5DE84681"/>
    <w:rsid w:val="5DF9688E"/>
    <w:rsid w:val="5E1611EE"/>
    <w:rsid w:val="5E257683"/>
    <w:rsid w:val="5E2751A9"/>
    <w:rsid w:val="5E292944"/>
    <w:rsid w:val="5E296C3F"/>
    <w:rsid w:val="5E2E29DB"/>
    <w:rsid w:val="5E322207"/>
    <w:rsid w:val="5E341674"/>
    <w:rsid w:val="5E3873B6"/>
    <w:rsid w:val="5E4A56CF"/>
    <w:rsid w:val="5E581391"/>
    <w:rsid w:val="5E5E2B95"/>
    <w:rsid w:val="5E622685"/>
    <w:rsid w:val="5E663E07"/>
    <w:rsid w:val="5E850121"/>
    <w:rsid w:val="5E900B9B"/>
    <w:rsid w:val="5EC944B2"/>
    <w:rsid w:val="5ED30E33"/>
    <w:rsid w:val="5EE25574"/>
    <w:rsid w:val="5EE27322"/>
    <w:rsid w:val="5EF157B7"/>
    <w:rsid w:val="5EFD42DE"/>
    <w:rsid w:val="5F0C25F1"/>
    <w:rsid w:val="5F0C439F"/>
    <w:rsid w:val="5F1020E1"/>
    <w:rsid w:val="5F2F107A"/>
    <w:rsid w:val="5F49114F"/>
    <w:rsid w:val="5F4D50E3"/>
    <w:rsid w:val="5F5C205E"/>
    <w:rsid w:val="5F5F6BC4"/>
    <w:rsid w:val="5F64242D"/>
    <w:rsid w:val="5F6B7317"/>
    <w:rsid w:val="5F776541"/>
    <w:rsid w:val="5F8A72AC"/>
    <w:rsid w:val="5F8B1768"/>
    <w:rsid w:val="5F944AC0"/>
    <w:rsid w:val="5FA665A1"/>
    <w:rsid w:val="5FAD16DE"/>
    <w:rsid w:val="5FB40CBE"/>
    <w:rsid w:val="5FB46F10"/>
    <w:rsid w:val="5FB602EC"/>
    <w:rsid w:val="5FBC4017"/>
    <w:rsid w:val="5FC5111D"/>
    <w:rsid w:val="60237BF2"/>
    <w:rsid w:val="60261490"/>
    <w:rsid w:val="60347715"/>
    <w:rsid w:val="6054424F"/>
    <w:rsid w:val="605C4EB2"/>
    <w:rsid w:val="60771CEC"/>
    <w:rsid w:val="608D114A"/>
    <w:rsid w:val="608F34D9"/>
    <w:rsid w:val="60965AC9"/>
    <w:rsid w:val="60C801DC"/>
    <w:rsid w:val="60F35A30"/>
    <w:rsid w:val="60F65306"/>
    <w:rsid w:val="60FD48E7"/>
    <w:rsid w:val="61064EA9"/>
    <w:rsid w:val="61241E74"/>
    <w:rsid w:val="613E3090"/>
    <w:rsid w:val="61412A26"/>
    <w:rsid w:val="61426602"/>
    <w:rsid w:val="614E0C9F"/>
    <w:rsid w:val="616C18C6"/>
    <w:rsid w:val="61834DEC"/>
    <w:rsid w:val="619F599E"/>
    <w:rsid w:val="61A33757"/>
    <w:rsid w:val="61B52ACC"/>
    <w:rsid w:val="61BB6DE5"/>
    <w:rsid w:val="61CF613C"/>
    <w:rsid w:val="61DA61FE"/>
    <w:rsid w:val="61DF5D9B"/>
    <w:rsid w:val="61F41846"/>
    <w:rsid w:val="62083543"/>
    <w:rsid w:val="62173786"/>
    <w:rsid w:val="62285994"/>
    <w:rsid w:val="622E7C1C"/>
    <w:rsid w:val="627B5AC3"/>
    <w:rsid w:val="62946B85"/>
    <w:rsid w:val="62CF7BBD"/>
    <w:rsid w:val="62DD0319"/>
    <w:rsid w:val="62DE6052"/>
    <w:rsid w:val="62E06D1C"/>
    <w:rsid w:val="62E343B9"/>
    <w:rsid w:val="62EE40D6"/>
    <w:rsid w:val="62F12229"/>
    <w:rsid w:val="631B1054"/>
    <w:rsid w:val="63302D52"/>
    <w:rsid w:val="63470EF7"/>
    <w:rsid w:val="634C56B2"/>
    <w:rsid w:val="63520F1A"/>
    <w:rsid w:val="637B11B5"/>
    <w:rsid w:val="637F322E"/>
    <w:rsid w:val="63807109"/>
    <w:rsid w:val="63851126"/>
    <w:rsid w:val="63A177AC"/>
    <w:rsid w:val="63B374DF"/>
    <w:rsid w:val="63BC2837"/>
    <w:rsid w:val="63BC6393"/>
    <w:rsid w:val="63E570D2"/>
    <w:rsid w:val="63F35B2D"/>
    <w:rsid w:val="64063AB3"/>
    <w:rsid w:val="640E3950"/>
    <w:rsid w:val="640F6E0B"/>
    <w:rsid w:val="641461CF"/>
    <w:rsid w:val="64153CF6"/>
    <w:rsid w:val="642D54E3"/>
    <w:rsid w:val="64306D81"/>
    <w:rsid w:val="64436AB5"/>
    <w:rsid w:val="6454481E"/>
    <w:rsid w:val="646F78AA"/>
    <w:rsid w:val="647749B0"/>
    <w:rsid w:val="647B7FFD"/>
    <w:rsid w:val="64827531"/>
    <w:rsid w:val="649966D5"/>
    <w:rsid w:val="64A5151D"/>
    <w:rsid w:val="64B21544"/>
    <w:rsid w:val="64CD45D0"/>
    <w:rsid w:val="64D50DF3"/>
    <w:rsid w:val="64EE4C72"/>
    <w:rsid w:val="64EE6A20"/>
    <w:rsid w:val="64F32289"/>
    <w:rsid w:val="64F63B27"/>
    <w:rsid w:val="64FE478A"/>
    <w:rsid w:val="651545AD"/>
    <w:rsid w:val="655820EC"/>
    <w:rsid w:val="656B0071"/>
    <w:rsid w:val="656C203B"/>
    <w:rsid w:val="65790209"/>
    <w:rsid w:val="658C6239"/>
    <w:rsid w:val="658F1B6B"/>
    <w:rsid w:val="659D21F5"/>
    <w:rsid w:val="65B35574"/>
    <w:rsid w:val="65BB227A"/>
    <w:rsid w:val="65BD4645"/>
    <w:rsid w:val="65D200F0"/>
    <w:rsid w:val="65EA1853"/>
    <w:rsid w:val="65F53DDF"/>
    <w:rsid w:val="660521AC"/>
    <w:rsid w:val="661A0861"/>
    <w:rsid w:val="66246E4B"/>
    <w:rsid w:val="6632293D"/>
    <w:rsid w:val="663366B5"/>
    <w:rsid w:val="66410DD2"/>
    <w:rsid w:val="664D3C1B"/>
    <w:rsid w:val="66574C92"/>
    <w:rsid w:val="666D205A"/>
    <w:rsid w:val="66807B4C"/>
    <w:rsid w:val="66911D59"/>
    <w:rsid w:val="66AF4903"/>
    <w:rsid w:val="66D02156"/>
    <w:rsid w:val="66D71736"/>
    <w:rsid w:val="66DC6D4D"/>
    <w:rsid w:val="66E85221"/>
    <w:rsid w:val="66F61BBC"/>
    <w:rsid w:val="671604B0"/>
    <w:rsid w:val="67185FD7"/>
    <w:rsid w:val="67277FC8"/>
    <w:rsid w:val="676034DA"/>
    <w:rsid w:val="676A4358"/>
    <w:rsid w:val="6773320D"/>
    <w:rsid w:val="678C0773"/>
    <w:rsid w:val="67931B01"/>
    <w:rsid w:val="67957627"/>
    <w:rsid w:val="679C70D3"/>
    <w:rsid w:val="679E3223"/>
    <w:rsid w:val="67A45ABC"/>
    <w:rsid w:val="67B75E1C"/>
    <w:rsid w:val="67C223E6"/>
    <w:rsid w:val="67C577E1"/>
    <w:rsid w:val="67D85766"/>
    <w:rsid w:val="67EC1211"/>
    <w:rsid w:val="680E73DA"/>
    <w:rsid w:val="681C5653"/>
    <w:rsid w:val="681D1251"/>
    <w:rsid w:val="6828049B"/>
    <w:rsid w:val="683706DE"/>
    <w:rsid w:val="684A6664"/>
    <w:rsid w:val="685C1EF3"/>
    <w:rsid w:val="685E3D08"/>
    <w:rsid w:val="6865349E"/>
    <w:rsid w:val="686D2352"/>
    <w:rsid w:val="68701E42"/>
    <w:rsid w:val="687234C5"/>
    <w:rsid w:val="687C4343"/>
    <w:rsid w:val="68831B76"/>
    <w:rsid w:val="68866F70"/>
    <w:rsid w:val="68896A60"/>
    <w:rsid w:val="68906041"/>
    <w:rsid w:val="68AA0EB0"/>
    <w:rsid w:val="68CF4DBB"/>
    <w:rsid w:val="68D0468F"/>
    <w:rsid w:val="68DE6DAC"/>
    <w:rsid w:val="68EA5751"/>
    <w:rsid w:val="69006D22"/>
    <w:rsid w:val="69076303"/>
    <w:rsid w:val="69166546"/>
    <w:rsid w:val="693115D2"/>
    <w:rsid w:val="69392234"/>
    <w:rsid w:val="693D1D24"/>
    <w:rsid w:val="694C1F68"/>
    <w:rsid w:val="69564B94"/>
    <w:rsid w:val="69605A13"/>
    <w:rsid w:val="69713FF2"/>
    <w:rsid w:val="697B45FB"/>
    <w:rsid w:val="69A578CA"/>
    <w:rsid w:val="69B813AB"/>
    <w:rsid w:val="69BF37A7"/>
    <w:rsid w:val="69C42446"/>
    <w:rsid w:val="69CB37D4"/>
    <w:rsid w:val="69DA63C4"/>
    <w:rsid w:val="69DD0FB4"/>
    <w:rsid w:val="6A040A94"/>
    <w:rsid w:val="6A136F29"/>
    <w:rsid w:val="6A154A4F"/>
    <w:rsid w:val="6A184540"/>
    <w:rsid w:val="6A1F2016"/>
    <w:rsid w:val="6A21367E"/>
    <w:rsid w:val="6A5A6906"/>
    <w:rsid w:val="6A6652AB"/>
    <w:rsid w:val="6A7F636D"/>
    <w:rsid w:val="6A855A1F"/>
    <w:rsid w:val="6A956EF3"/>
    <w:rsid w:val="6A9A6D03"/>
    <w:rsid w:val="6A9C1B32"/>
    <w:rsid w:val="6AB73D58"/>
    <w:rsid w:val="6ABE2AE9"/>
    <w:rsid w:val="6AD16513"/>
    <w:rsid w:val="6AD761A9"/>
    <w:rsid w:val="6ADE5F45"/>
    <w:rsid w:val="6AFE3735"/>
    <w:rsid w:val="6B185D7C"/>
    <w:rsid w:val="6B5415A7"/>
    <w:rsid w:val="6B6329AD"/>
    <w:rsid w:val="6B7439F8"/>
    <w:rsid w:val="6B881251"/>
    <w:rsid w:val="6BB139C7"/>
    <w:rsid w:val="6BB42046"/>
    <w:rsid w:val="6BC06C3D"/>
    <w:rsid w:val="6BC229B5"/>
    <w:rsid w:val="6C0E1756"/>
    <w:rsid w:val="6C1206A7"/>
    <w:rsid w:val="6C1A0D92"/>
    <w:rsid w:val="6C3C0C16"/>
    <w:rsid w:val="6C44786E"/>
    <w:rsid w:val="6C515AE7"/>
    <w:rsid w:val="6C552807"/>
    <w:rsid w:val="6C5C0714"/>
    <w:rsid w:val="6C627CF4"/>
    <w:rsid w:val="6C98401E"/>
    <w:rsid w:val="6CA65E33"/>
    <w:rsid w:val="6CAF3F01"/>
    <w:rsid w:val="6CB22A29"/>
    <w:rsid w:val="6CCB3AEB"/>
    <w:rsid w:val="6CD52274"/>
    <w:rsid w:val="6CDC7AA6"/>
    <w:rsid w:val="6D090170"/>
    <w:rsid w:val="6D0F3371"/>
    <w:rsid w:val="6D17288C"/>
    <w:rsid w:val="6D232646"/>
    <w:rsid w:val="6D365409"/>
    <w:rsid w:val="6D3C0545"/>
    <w:rsid w:val="6D4A4A10"/>
    <w:rsid w:val="6D6261FE"/>
    <w:rsid w:val="6D6830E8"/>
    <w:rsid w:val="6D793547"/>
    <w:rsid w:val="6D7D4DE5"/>
    <w:rsid w:val="6D85529C"/>
    <w:rsid w:val="6DA17723"/>
    <w:rsid w:val="6DAA3701"/>
    <w:rsid w:val="6DAD31F1"/>
    <w:rsid w:val="6DFB3C9C"/>
    <w:rsid w:val="6DFD1A82"/>
    <w:rsid w:val="6DFD5F26"/>
    <w:rsid w:val="6E0948CB"/>
    <w:rsid w:val="6E1312A6"/>
    <w:rsid w:val="6E276AFF"/>
    <w:rsid w:val="6E296D1B"/>
    <w:rsid w:val="6E2C3F57"/>
    <w:rsid w:val="6E3336F6"/>
    <w:rsid w:val="6E4C2A0A"/>
    <w:rsid w:val="6E4E01BB"/>
    <w:rsid w:val="6E4F0B95"/>
    <w:rsid w:val="6E656E42"/>
    <w:rsid w:val="6E657628"/>
    <w:rsid w:val="6E6715F2"/>
    <w:rsid w:val="6E7D7067"/>
    <w:rsid w:val="6E804461"/>
    <w:rsid w:val="6E843F52"/>
    <w:rsid w:val="6E865F1C"/>
    <w:rsid w:val="6E8877AA"/>
    <w:rsid w:val="6E91666F"/>
    <w:rsid w:val="6E961A11"/>
    <w:rsid w:val="6EA2262A"/>
    <w:rsid w:val="6EAA3EBB"/>
    <w:rsid w:val="6EB74327"/>
    <w:rsid w:val="6EB8009F"/>
    <w:rsid w:val="6ECE5420"/>
    <w:rsid w:val="6EE72B87"/>
    <w:rsid w:val="6EF015E7"/>
    <w:rsid w:val="6F0230C8"/>
    <w:rsid w:val="6F0C162D"/>
    <w:rsid w:val="6F1057E5"/>
    <w:rsid w:val="6F176B74"/>
    <w:rsid w:val="6F4F4560"/>
    <w:rsid w:val="6F6A1399"/>
    <w:rsid w:val="6F6F4C02"/>
    <w:rsid w:val="6F753C7B"/>
    <w:rsid w:val="6F9500AA"/>
    <w:rsid w:val="6FA10B33"/>
    <w:rsid w:val="6FB40867"/>
    <w:rsid w:val="6FB50225"/>
    <w:rsid w:val="6FC7059A"/>
    <w:rsid w:val="6FD1766A"/>
    <w:rsid w:val="6FE23626"/>
    <w:rsid w:val="700D2A50"/>
    <w:rsid w:val="701029A4"/>
    <w:rsid w:val="70134ABB"/>
    <w:rsid w:val="70135A3B"/>
    <w:rsid w:val="703421FE"/>
    <w:rsid w:val="70381498"/>
    <w:rsid w:val="7045307C"/>
    <w:rsid w:val="7047792D"/>
    <w:rsid w:val="70561FBA"/>
    <w:rsid w:val="705838E8"/>
    <w:rsid w:val="70587444"/>
    <w:rsid w:val="705E3726"/>
    <w:rsid w:val="7060279C"/>
    <w:rsid w:val="70651B61"/>
    <w:rsid w:val="706A53C9"/>
    <w:rsid w:val="70730722"/>
    <w:rsid w:val="707712FD"/>
    <w:rsid w:val="707D6EAA"/>
    <w:rsid w:val="70860455"/>
    <w:rsid w:val="7095202C"/>
    <w:rsid w:val="70953EC6"/>
    <w:rsid w:val="70AE52B6"/>
    <w:rsid w:val="70E4517B"/>
    <w:rsid w:val="70E94540"/>
    <w:rsid w:val="71020AA7"/>
    <w:rsid w:val="71135FCA"/>
    <w:rsid w:val="711803BE"/>
    <w:rsid w:val="71193077"/>
    <w:rsid w:val="71205BDF"/>
    <w:rsid w:val="71265794"/>
    <w:rsid w:val="71325EE7"/>
    <w:rsid w:val="71327C95"/>
    <w:rsid w:val="71381023"/>
    <w:rsid w:val="714107D9"/>
    <w:rsid w:val="7141612A"/>
    <w:rsid w:val="71632544"/>
    <w:rsid w:val="716B1BD6"/>
    <w:rsid w:val="7183791B"/>
    <w:rsid w:val="71902C0D"/>
    <w:rsid w:val="71A212BE"/>
    <w:rsid w:val="71B0505E"/>
    <w:rsid w:val="71B42DA0"/>
    <w:rsid w:val="71C21B46"/>
    <w:rsid w:val="71D21478"/>
    <w:rsid w:val="71E76CD1"/>
    <w:rsid w:val="71ED5260"/>
    <w:rsid w:val="71F4003B"/>
    <w:rsid w:val="71FF1759"/>
    <w:rsid w:val="72023B0B"/>
    <w:rsid w:val="720A0C12"/>
    <w:rsid w:val="72121874"/>
    <w:rsid w:val="72161365"/>
    <w:rsid w:val="722241AD"/>
    <w:rsid w:val="72233A82"/>
    <w:rsid w:val="72450626"/>
    <w:rsid w:val="724759C2"/>
    <w:rsid w:val="724834E8"/>
    <w:rsid w:val="724A3704"/>
    <w:rsid w:val="725D6F93"/>
    <w:rsid w:val="728269FA"/>
    <w:rsid w:val="72852B34"/>
    <w:rsid w:val="72A62E8B"/>
    <w:rsid w:val="72AB713A"/>
    <w:rsid w:val="72D60A97"/>
    <w:rsid w:val="72D66C3C"/>
    <w:rsid w:val="72E96A79"/>
    <w:rsid w:val="72EB0A43"/>
    <w:rsid w:val="72ED672C"/>
    <w:rsid w:val="730613D9"/>
    <w:rsid w:val="73125FD0"/>
    <w:rsid w:val="731C0BFD"/>
    <w:rsid w:val="731F565C"/>
    <w:rsid w:val="73353A6C"/>
    <w:rsid w:val="73547510"/>
    <w:rsid w:val="73571C35"/>
    <w:rsid w:val="735C36EF"/>
    <w:rsid w:val="735C549D"/>
    <w:rsid w:val="736B748E"/>
    <w:rsid w:val="73724CC1"/>
    <w:rsid w:val="738F74C0"/>
    <w:rsid w:val="73A17354"/>
    <w:rsid w:val="73A330CC"/>
    <w:rsid w:val="73A759E2"/>
    <w:rsid w:val="73AB01D2"/>
    <w:rsid w:val="73B452D9"/>
    <w:rsid w:val="73C51294"/>
    <w:rsid w:val="73CB43D1"/>
    <w:rsid w:val="73D74B24"/>
    <w:rsid w:val="73F05BE5"/>
    <w:rsid w:val="73F12089"/>
    <w:rsid w:val="73F25E01"/>
    <w:rsid w:val="73F90F3E"/>
    <w:rsid w:val="74017DF2"/>
    <w:rsid w:val="7407365B"/>
    <w:rsid w:val="740A4EF9"/>
    <w:rsid w:val="742C1313"/>
    <w:rsid w:val="74373814"/>
    <w:rsid w:val="744A1799"/>
    <w:rsid w:val="745A5E80"/>
    <w:rsid w:val="74716D26"/>
    <w:rsid w:val="74827185"/>
    <w:rsid w:val="748922C2"/>
    <w:rsid w:val="749D5D6D"/>
    <w:rsid w:val="749F7D37"/>
    <w:rsid w:val="74A95E46"/>
    <w:rsid w:val="74AB66DC"/>
    <w:rsid w:val="74C432FA"/>
    <w:rsid w:val="74C7103C"/>
    <w:rsid w:val="74CC0400"/>
    <w:rsid w:val="74D379E1"/>
    <w:rsid w:val="74D95DBD"/>
    <w:rsid w:val="74DC4AE7"/>
    <w:rsid w:val="74F11C15"/>
    <w:rsid w:val="75232716"/>
    <w:rsid w:val="75355FA6"/>
    <w:rsid w:val="75483F2B"/>
    <w:rsid w:val="75535318"/>
    <w:rsid w:val="75542306"/>
    <w:rsid w:val="75952EE8"/>
    <w:rsid w:val="75C64E50"/>
    <w:rsid w:val="75D51537"/>
    <w:rsid w:val="75F33A38"/>
    <w:rsid w:val="75F47C0F"/>
    <w:rsid w:val="7634625D"/>
    <w:rsid w:val="763A5AC3"/>
    <w:rsid w:val="763B583E"/>
    <w:rsid w:val="765B5EE0"/>
    <w:rsid w:val="766052A4"/>
    <w:rsid w:val="766514D6"/>
    <w:rsid w:val="76726D86"/>
    <w:rsid w:val="767E572A"/>
    <w:rsid w:val="768371E5"/>
    <w:rsid w:val="76897D5D"/>
    <w:rsid w:val="768E0063"/>
    <w:rsid w:val="768F16E6"/>
    <w:rsid w:val="7693567A"/>
    <w:rsid w:val="76A01B45"/>
    <w:rsid w:val="76A95A38"/>
    <w:rsid w:val="76B63116"/>
    <w:rsid w:val="76CC0B8C"/>
    <w:rsid w:val="76DB492B"/>
    <w:rsid w:val="76FA1255"/>
    <w:rsid w:val="77091498"/>
    <w:rsid w:val="771A18F7"/>
    <w:rsid w:val="77244524"/>
    <w:rsid w:val="772E0EFE"/>
    <w:rsid w:val="773F310C"/>
    <w:rsid w:val="77530965"/>
    <w:rsid w:val="776C7C79"/>
    <w:rsid w:val="77957284"/>
    <w:rsid w:val="779F004E"/>
    <w:rsid w:val="77CD4BBB"/>
    <w:rsid w:val="77D53A70"/>
    <w:rsid w:val="77D9530E"/>
    <w:rsid w:val="77E912C9"/>
    <w:rsid w:val="77E93077"/>
    <w:rsid w:val="77F02658"/>
    <w:rsid w:val="78063C29"/>
    <w:rsid w:val="780712D8"/>
    <w:rsid w:val="78322C70"/>
    <w:rsid w:val="78342545"/>
    <w:rsid w:val="784B135F"/>
    <w:rsid w:val="78511348"/>
    <w:rsid w:val="78580A05"/>
    <w:rsid w:val="78591FAB"/>
    <w:rsid w:val="786A41B8"/>
    <w:rsid w:val="78902F65"/>
    <w:rsid w:val="78916DC1"/>
    <w:rsid w:val="789F2BB6"/>
    <w:rsid w:val="78CA2EA9"/>
    <w:rsid w:val="78D67AA0"/>
    <w:rsid w:val="790C526F"/>
    <w:rsid w:val="79116D2A"/>
    <w:rsid w:val="7929017A"/>
    <w:rsid w:val="79442C5B"/>
    <w:rsid w:val="794762A8"/>
    <w:rsid w:val="79534C4C"/>
    <w:rsid w:val="7956473D"/>
    <w:rsid w:val="79752E15"/>
    <w:rsid w:val="79823784"/>
    <w:rsid w:val="7984574E"/>
    <w:rsid w:val="79935991"/>
    <w:rsid w:val="79951709"/>
    <w:rsid w:val="79A47B9E"/>
    <w:rsid w:val="79AB6836"/>
    <w:rsid w:val="79CE4C1B"/>
    <w:rsid w:val="79E24222"/>
    <w:rsid w:val="79E306C6"/>
    <w:rsid w:val="79E61F64"/>
    <w:rsid w:val="79F63C5C"/>
    <w:rsid w:val="7A0B3779"/>
    <w:rsid w:val="7A1E34AC"/>
    <w:rsid w:val="7A266805"/>
    <w:rsid w:val="7A3126BD"/>
    <w:rsid w:val="7A440A39"/>
    <w:rsid w:val="7A480529"/>
    <w:rsid w:val="7A807CC3"/>
    <w:rsid w:val="7A8F7F06"/>
    <w:rsid w:val="7A9674E6"/>
    <w:rsid w:val="7AA83541"/>
    <w:rsid w:val="7AC72763"/>
    <w:rsid w:val="7ADD5115"/>
    <w:rsid w:val="7AE55D78"/>
    <w:rsid w:val="7AE85F45"/>
    <w:rsid w:val="7AF4245F"/>
    <w:rsid w:val="7AFD7566"/>
    <w:rsid w:val="7B113011"/>
    <w:rsid w:val="7B2A7C2F"/>
    <w:rsid w:val="7B446F42"/>
    <w:rsid w:val="7B4E7DC1"/>
    <w:rsid w:val="7B533629"/>
    <w:rsid w:val="7B5652D8"/>
    <w:rsid w:val="7B5D6256"/>
    <w:rsid w:val="7B607AF4"/>
    <w:rsid w:val="7B6A44CF"/>
    <w:rsid w:val="7B7B492E"/>
    <w:rsid w:val="7B86755B"/>
    <w:rsid w:val="7B9D2AF7"/>
    <w:rsid w:val="7BA63759"/>
    <w:rsid w:val="7BAB127C"/>
    <w:rsid w:val="7BAE6AB2"/>
    <w:rsid w:val="7BB3231A"/>
    <w:rsid w:val="7BB73BB8"/>
    <w:rsid w:val="7BB8348D"/>
    <w:rsid w:val="7BD81D81"/>
    <w:rsid w:val="7BF87D2D"/>
    <w:rsid w:val="7BFB54A5"/>
    <w:rsid w:val="7C13614C"/>
    <w:rsid w:val="7C1F175E"/>
    <w:rsid w:val="7C2154D6"/>
    <w:rsid w:val="7C2823C0"/>
    <w:rsid w:val="7C4C35C3"/>
    <w:rsid w:val="7C5F0F7A"/>
    <w:rsid w:val="7C633AE7"/>
    <w:rsid w:val="7C6F0797"/>
    <w:rsid w:val="7C72188D"/>
    <w:rsid w:val="7C7C4E69"/>
    <w:rsid w:val="7C7D364A"/>
    <w:rsid w:val="7C947A56"/>
    <w:rsid w:val="7C9712F4"/>
    <w:rsid w:val="7CA0395B"/>
    <w:rsid w:val="7CA3413D"/>
    <w:rsid w:val="7CA462C8"/>
    <w:rsid w:val="7CAC1243"/>
    <w:rsid w:val="7CBD259D"/>
    <w:rsid w:val="7CD97B5E"/>
    <w:rsid w:val="7D20753B"/>
    <w:rsid w:val="7D221505"/>
    <w:rsid w:val="7D2232B3"/>
    <w:rsid w:val="7D23702C"/>
    <w:rsid w:val="7D2A660C"/>
    <w:rsid w:val="7D341239"/>
    <w:rsid w:val="7D3C766F"/>
    <w:rsid w:val="7D515947"/>
    <w:rsid w:val="7D7B252F"/>
    <w:rsid w:val="7D821FA4"/>
    <w:rsid w:val="7D87580C"/>
    <w:rsid w:val="7D8775BA"/>
    <w:rsid w:val="7D9B4E14"/>
    <w:rsid w:val="7DB87774"/>
    <w:rsid w:val="7DCC321F"/>
    <w:rsid w:val="7DCF6ACD"/>
    <w:rsid w:val="7DF06F0E"/>
    <w:rsid w:val="7DF6029C"/>
    <w:rsid w:val="7E036C66"/>
    <w:rsid w:val="7E096221"/>
    <w:rsid w:val="7E0B3D48"/>
    <w:rsid w:val="7E130E4E"/>
    <w:rsid w:val="7E1B3C67"/>
    <w:rsid w:val="7E1C5F55"/>
    <w:rsid w:val="7E3C0D42"/>
    <w:rsid w:val="7E3D5ECB"/>
    <w:rsid w:val="7E4D4360"/>
    <w:rsid w:val="7E6054A8"/>
    <w:rsid w:val="7E71385C"/>
    <w:rsid w:val="7E835FD4"/>
    <w:rsid w:val="7E8D29AE"/>
    <w:rsid w:val="7E9712AE"/>
    <w:rsid w:val="7EBA751C"/>
    <w:rsid w:val="7EC94FAA"/>
    <w:rsid w:val="7EDC7492"/>
    <w:rsid w:val="7EEB3B79"/>
    <w:rsid w:val="7F08297D"/>
    <w:rsid w:val="7F250E39"/>
    <w:rsid w:val="7F272BF3"/>
    <w:rsid w:val="7F273047"/>
    <w:rsid w:val="7F280929"/>
    <w:rsid w:val="7F480FCB"/>
    <w:rsid w:val="7F637BB3"/>
    <w:rsid w:val="7F6556D9"/>
    <w:rsid w:val="7F6E1521"/>
    <w:rsid w:val="7F791185"/>
    <w:rsid w:val="7F961D37"/>
    <w:rsid w:val="7FB34CE5"/>
    <w:rsid w:val="7FB87EFF"/>
    <w:rsid w:val="7FC22B2C"/>
    <w:rsid w:val="7FD64829"/>
    <w:rsid w:val="7FD83478"/>
    <w:rsid w:val="7FDC1E3F"/>
    <w:rsid w:val="7FE9455C"/>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9" w:semiHidden="0" w:name="heading 3"/>
    <w:lsdException w:qFormat="1" w:unhideWhenUsed="0" w:uiPriority="0" w:semiHidden="0" w:name="heading 4"/>
    <w:lsdException w:qFormat="1" w:uiPriority="0" w:name="heading 5"/>
    <w:lsdException w:qFormat="1" w:unhideWhenUsed="0"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iPriority="0" w:semiHidden="0" w:name="header"/>
    <w:lsdException w:qFormat="1"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99" w:semiHidden="0" w:name="Body Text Indent 2"/>
    <w:lsdException w:qFormat="1" w:unhideWhenUsed="0" w:uiPriority="0" w:semiHidden="0" w:name="Body Text Indent 3"/>
    <w:lsdException w:qFormat="1" w:unhideWhenUsed="0" w:uiPriority="0" w:semiHidden="0" w:name="Block Text"/>
    <w:lsdException w:qFormat="1"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iPriority="99" w:semiHidden="0" w:name="Plain Text"/>
    <w:lsdException w:unhideWhenUsed="0" w:uiPriority="0" w:semiHidden="0" w:name="E-mail Signature"/>
    <w:lsdException w:qFormat="1" w:uiPriority="99"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link w:val="39"/>
    <w:qFormat/>
    <w:uiPriority w:val="9"/>
    <w:pPr>
      <w:keepNext/>
      <w:keepLines/>
      <w:spacing w:before="340" w:after="330" w:line="576" w:lineRule="auto"/>
      <w:outlineLvl w:val="0"/>
    </w:pPr>
    <w:rPr>
      <w:b/>
      <w:kern w:val="44"/>
      <w:sz w:val="44"/>
    </w:rPr>
  </w:style>
  <w:style w:type="paragraph" w:styleId="3">
    <w:name w:val="heading 2"/>
    <w:basedOn w:val="1"/>
    <w:next w:val="1"/>
    <w:link w:val="40"/>
    <w:qFormat/>
    <w:uiPriority w:val="0"/>
    <w:pPr>
      <w:keepNext/>
      <w:keepLines/>
      <w:spacing w:before="260" w:after="260" w:line="415" w:lineRule="auto"/>
      <w:outlineLvl w:val="1"/>
    </w:pPr>
    <w:rPr>
      <w:rFonts w:ascii="Arial" w:hAnsi="Arial" w:eastAsia="黑体"/>
      <w:b/>
      <w:kern w:val="0"/>
      <w:sz w:val="32"/>
    </w:rPr>
  </w:style>
  <w:style w:type="paragraph" w:styleId="4">
    <w:name w:val="heading 3"/>
    <w:basedOn w:val="1"/>
    <w:next w:val="5"/>
    <w:qFormat/>
    <w:uiPriority w:val="9"/>
    <w:pPr>
      <w:keepNext/>
      <w:keepLines/>
      <w:spacing w:before="260" w:after="260" w:line="415" w:lineRule="auto"/>
      <w:outlineLvl w:val="2"/>
    </w:pPr>
    <w:rPr>
      <w:b/>
      <w:sz w:val="32"/>
    </w:rPr>
  </w:style>
  <w:style w:type="paragraph" w:styleId="6">
    <w:name w:val="heading 4"/>
    <w:basedOn w:val="1"/>
    <w:next w:val="1"/>
    <w:qFormat/>
    <w:uiPriority w:val="0"/>
    <w:pPr>
      <w:keepNext/>
      <w:keepLines/>
      <w:adjustRightInd w:val="0"/>
      <w:spacing w:before="280" w:beforeLines="0" w:beforeAutospacing="0" w:after="290" w:afterLines="0" w:afterAutospacing="0" w:line="376" w:lineRule="atLeast"/>
      <w:outlineLvl w:val="3"/>
    </w:pPr>
    <w:rPr>
      <w:rFonts w:ascii="Arial" w:hAnsi="Arial" w:eastAsia="黑体"/>
      <w:b/>
      <w:kern w:val="0"/>
      <w:sz w:val="28"/>
    </w:rPr>
  </w:style>
  <w:style w:type="paragraph" w:styleId="7">
    <w:name w:val="heading 6"/>
    <w:basedOn w:val="1"/>
    <w:next w:val="1"/>
    <w:qFormat/>
    <w:uiPriority w:val="0"/>
    <w:pPr>
      <w:spacing w:before="100" w:beforeAutospacing="1" w:after="100" w:afterAutospacing="1"/>
      <w:jc w:val="left"/>
      <w:outlineLvl w:val="5"/>
    </w:pPr>
    <w:rPr>
      <w:rFonts w:hint="eastAsia" w:ascii="宋体" w:hAnsi="宋体" w:eastAsia="宋体" w:cs="宋体"/>
      <w:b/>
      <w:bCs/>
      <w:kern w:val="0"/>
      <w:sz w:val="15"/>
      <w:szCs w:val="15"/>
      <w:lang w:val="en-US" w:eastAsia="zh-CN" w:bidi="ar"/>
    </w:rPr>
  </w:style>
  <w:style w:type="character" w:default="1" w:styleId="26">
    <w:name w:val="Default Paragraph Font"/>
    <w:semiHidden/>
    <w:qFormat/>
    <w:uiPriority w:val="0"/>
  </w:style>
  <w:style w:type="table" w:default="1" w:styleId="24">
    <w:name w:val="Normal Table"/>
    <w:semiHidden/>
    <w:qFormat/>
    <w:uiPriority w:val="0"/>
    <w:tblPr>
      <w:tblCellMar>
        <w:top w:w="0" w:type="dxa"/>
        <w:left w:w="108" w:type="dxa"/>
        <w:bottom w:w="0" w:type="dxa"/>
        <w:right w:w="108" w:type="dxa"/>
      </w:tblCellMar>
    </w:tblPr>
  </w:style>
  <w:style w:type="paragraph" w:styleId="5">
    <w:name w:val="Normal Indent"/>
    <w:basedOn w:val="1"/>
    <w:next w:val="1"/>
    <w:qFormat/>
    <w:uiPriority w:val="0"/>
    <w:pPr>
      <w:autoSpaceDE w:val="0"/>
      <w:autoSpaceDN w:val="0"/>
      <w:adjustRightInd w:val="0"/>
      <w:spacing w:line="640" w:lineRule="exact"/>
      <w:ind w:firstLine="585"/>
    </w:pPr>
    <w:rPr>
      <w:rFonts w:ascii="楷体_GB2312" w:eastAsia="楷体_GB2312"/>
      <w:kern w:val="0"/>
      <w:sz w:val="32"/>
      <w:szCs w:val="32"/>
    </w:rPr>
  </w:style>
  <w:style w:type="paragraph" w:styleId="8">
    <w:name w:val="Body Text"/>
    <w:basedOn w:val="1"/>
    <w:next w:val="1"/>
    <w:qFormat/>
    <w:uiPriority w:val="0"/>
    <w:pPr>
      <w:spacing w:after="120"/>
    </w:pPr>
  </w:style>
  <w:style w:type="paragraph" w:styleId="9">
    <w:name w:val="Body Text Indent"/>
    <w:basedOn w:val="1"/>
    <w:next w:val="10"/>
    <w:qFormat/>
    <w:uiPriority w:val="0"/>
    <w:pPr>
      <w:ind w:left="1083" w:leftChars="30" w:hanging="1020" w:hangingChars="425"/>
    </w:pPr>
    <w:rPr>
      <w:rFonts w:ascii="宋体" w:hAnsi="宋体"/>
      <w:sz w:val="24"/>
    </w:rPr>
  </w:style>
  <w:style w:type="paragraph" w:styleId="10">
    <w:name w:val="envelope return"/>
    <w:basedOn w:val="1"/>
    <w:qFormat/>
    <w:uiPriority w:val="0"/>
    <w:pPr>
      <w:snapToGrid w:val="0"/>
    </w:pPr>
    <w:rPr>
      <w:rFonts w:ascii="Arial" w:hAnsi="Arial"/>
    </w:rPr>
  </w:style>
  <w:style w:type="paragraph" w:styleId="11">
    <w:name w:val="Block Text"/>
    <w:basedOn w:val="1"/>
    <w:next w:val="12"/>
    <w:qFormat/>
    <w:uiPriority w:val="0"/>
    <w:pPr>
      <w:autoSpaceDE w:val="0"/>
      <w:autoSpaceDN w:val="0"/>
      <w:adjustRightInd w:val="0"/>
      <w:spacing w:line="360" w:lineRule="auto"/>
      <w:ind w:left="237" w:right="216" w:firstLine="420"/>
    </w:pPr>
    <w:rPr>
      <w:rFonts w:ascii="宋体" w:hAnsi="宋体"/>
      <w:kern w:val="0"/>
      <w:sz w:val="24"/>
      <w:szCs w:val="21"/>
    </w:rPr>
  </w:style>
  <w:style w:type="paragraph" w:styleId="12">
    <w:name w:val="Plain Text"/>
    <w:basedOn w:val="1"/>
    <w:unhideWhenUsed/>
    <w:qFormat/>
    <w:uiPriority w:val="99"/>
    <w:rPr>
      <w:rFonts w:hint="eastAsia" w:ascii="宋体" w:hAnsi="Courier New"/>
      <w:sz w:val="24"/>
    </w:rPr>
  </w:style>
  <w:style w:type="paragraph" w:styleId="13">
    <w:name w:val="toc 3"/>
    <w:basedOn w:val="1"/>
    <w:next w:val="1"/>
    <w:qFormat/>
    <w:uiPriority w:val="0"/>
    <w:pPr>
      <w:ind w:left="840" w:leftChars="400"/>
    </w:pPr>
  </w:style>
  <w:style w:type="paragraph" w:styleId="14">
    <w:name w:val="Body Text Indent 2"/>
    <w:basedOn w:val="1"/>
    <w:qFormat/>
    <w:uiPriority w:val="99"/>
    <w:pPr>
      <w:tabs>
        <w:tab w:val="left" w:pos="5625"/>
      </w:tabs>
      <w:ind w:left="1138" w:leftChars="542"/>
    </w:pPr>
    <w:rPr>
      <w:rFonts w:ascii="Times New Roman"/>
      <w:kern w:val="2"/>
    </w:rPr>
  </w:style>
  <w:style w:type="paragraph" w:styleId="15">
    <w:name w:val="footer"/>
    <w:basedOn w:val="1"/>
    <w:next w:val="1"/>
    <w:unhideWhenUsed/>
    <w:qFormat/>
    <w:uiPriority w:val="0"/>
    <w:pPr>
      <w:tabs>
        <w:tab w:val="center" w:pos="4153"/>
        <w:tab w:val="right" w:pos="8306"/>
      </w:tabs>
      <w:snapToGrid w:val="0"/>
      <w:jc w:val="left"/>
    </w:pPr>
    <w:rPr>
      <w:sz w:val="18"/>
    </w:rPr>
  </w:style>
  <w:style w:type="paragraph" w:styleId="16">
    <w:name w:val="header"/>
    <w:basedOn w:val="1"/>
    <w:unhideWhenUsed/>
    <w:qFormat/>
    <w:uiPriority w:val="0"/>
    <w:pPr>
      <w:pBdr>
        <w:bottom w:val="single" w:color="auto" w:sz="6" w:space="1"/>
      </w:pBdr>
      <w:tabs>
        <w:tab w:val="center" w:pos="4153"/>
        <w:tab w:val="right" w:pos="8306"/>
      </w:tabs>
      <w:adjustRightInd w:val="0"/>
      <w:spacing w:line="240" w:lineRule="atLeast"/>
      <w:jc w:val="center"/>
    </w:pPr>
    <w:rPr>
      <w:kern w:val="0"/>
      <w:sz w:val="18"/>
    </w:rPr>
  </w:style>
  <w:style w:type="paragraph" w:styleId="17">
    <w:name w:val="toc 1"/>
    <w:basedOn w:val="1"/>
    <w:next w:val="1"/>
    <w:unhideWhenUsed/>
    <w:qFormat/>
    <w:uiPriority w:val="39"/>
  </w:style>
  <w:style w:type="paragraph" w:styleId="18">
    <w:name w:val="Body Text Indent 3"/>
    <w:basedOn w:val="1"/>
    <w:qFormat/>
    <w:uiPriority w:val="0"/>
    <w:pPr>
      <w:adjustRightInd w:val="0"/>
      <w:spacing w:before="120" w:line="420" w:lineRule="auto"/>
      <w:ind w:right="-550" w:firstLine="425"/>
      <w:textAlignment w:val="baseline"/>
    </w:pPr>
    <w:rPr>
      <w:rFonts w:ascii="宋体" w:eastAsia="宋体" w:cs="Times New Roman"/>
      <w:spacing w:val="14"/>
      <w:kern w:val="0"/>
      <w:sz w:val="24"/>
      <w:szCs w:val="20"/>
    </w:rPr>
  </w:style>
  <w:style w:type="paragraph" w:styleId="19">
    <w:name w:val="toc 2"/>
    <w:basedOn w:val="1"/>
    <w:next w:val="1"/>
    <w:qFormat/>
    <w:uiPriority w:val="0"/>
    <w:pPr>
      <w:ind w:left="420" w:leftChars="200"/>
    </w:pPr>
  </w:style>
  <w:style w:type="paragraph" w:styleId="20">
    <w:name w:val="HTML Preformatted"/>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黑体" w:hAnsi="Courier New" w:eastAsia="黑体" w:cs="Courier New"/>
      <w:kern w:val="0"/>
      <w:sz w:val="20"/>
    </w:rPr>
  </w:style>
  <w:style w:type="paragraph" w:styleId="21">
    <w:name w:val="Normal (Web)"/>
    <w:basedOn w:val="1"/>
    <w:unhideWhenUsed/>
    <w:qFormat/>
    <w:uiPriority w:val="99"/>
    <w:pPr>
      <w:spacing w:before="100" w:beforeAutospacing="1" w:after="100" w:afterAutospacing="1"/>
      <w:jc w:val="left"/>
    </w:pPr>
    <w:rPr>
      <w:kern w:val="0"/>
      <w:sz w:val="24"/>
    </w:rPr>
  </w:style>
  <w:style w:type="paragraph" w:styleId="22">
    <w:name w:val="Body Text First Indent"/>
    <w:basedOn w:val="8"/>
    <w:next w:val="8"/>
    <w:qFormat/>
    <w:uiPriority w:val="0"/>
    <w:pPr>
      <w:adjustRightInd w:val="0"/>
      <w:ind w:firstLine="420"/>
      <w:jc w:val="left"/>
      <w:textAlignment w:val="baseline"/>
    </w:pPr>
    <w:rPr>
      <w:kern w:val="0"/>
      <w:sz w:val="21"/>
    </w:rPr>
  </w:style>
  <w:style w:type="paragraph" w:styleId="23">
    <w:name w:val="Body Text First Indent 2"/>
    <w:basedOn w:val="9"/>
    <w:qFormat/>
    <w:uiPriority w:val="0"/>
    <w:pPr>
      <w:ind w:firstLine="420"/>
    </w:pPr>
    <w:rPr>
      <w:rFonts w:hint="eastAsia"/>
      <w:sz w:val="21"/>
    </w:rPr>
  </w:style>
  <w:style w:type="table" w:styleId="25">
    <w:name w:val="Table Grid"/>
    <w:basedOn w:val="2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7">
    <w:name w:val="Strong"/>
    <w:basedOn w:val="26"/>
    <w:qFormat/>
    <w:uiPriority w:val="0"/>
    <w:rPr>
      <w:b/>
      <w:bCs/>
    </w:rPr>
  </w:style>
  <w:style w:type="character" w:styleId="28">
    <w:name w:val="FollowedHyperlink"/>
    <w:qFormat/>
    <w:uiPriority w:val="0"/>
    <w:rPr>
      <w:color w:val="800080"/>
      <w:u w:val="none"/>
    </w:rPr>
  </w:style>
  <w:style w:type="character" w:styleId="29">
    <w:name w:val="Emphasis"/>
    <w:qFormat/>
    <w:uiPriority w:val="0"/>
    <w:rPr>
      <w:b/>
      <w:bCs/>
    </w:rPr>
  </w:style>
  <w:style w:type="character" w:styleId="30">
    <w:name w:val="HTML Definition"/>
    <w:qFormat/>
    <w:uiPriority w:val="0"/>
  </w:style>
  <w:style w:type="character" w:styleId="31">
    <w:name w:val="HTML Typewriter"/>
    <w:qFormat/>
    <w:uiPriority w:val="0"/>
    <w:rPr>
      <w:rFonts w:hint="default" w:ascii="monospace" w:hAnsi="monospace" w:eastAsia="monospace" w:cs="monospace"/>
      <w:sz w:val="20"/>
    </w:rPr>
  </w:style>
  <w:style w:type="character" w:styleId="32">
    <w:name w:val="HTML Acronym"/>
    <w:qFormat/>
    <w:uiPriority w:val="0"/>
  </w:style>
  <w:style w:type="character" w:styleId="33">
    <w:name w:val="HTML Variable"/>
    <w:qFormat/>
    <w:uiPriority w:val="0"/>
  </w:style>
  <w:style w:type="character" w:styleId="34">
    <w:name w:val="Hyperlink"/>
    <w:unhideWhenUsed/>
    <w:qFormat/>
    <w:uiPriority w:val="99"/>
    <w:rPr>
      <w:rFonts w:hint="eastAsia" w:ascii="宋体" w:hAnsi="宋体" w:eastAsia="宋体" w:cs="宋体"/>
      <w:color w:val="000000"/>
      <w:sz w:val="18"/>
      <w:szCs w:val="18"/>
      <w:u w:val="none"/>
    </w:rPr>
  </w:style>
  <w:style w:type="character" w:styleId="35">
    <w:name w:val="HTML Code"/>
    <w:qFormat/>
    <w:uiPriority w:val="0"/>
    <w:rPr>
      <w:rFonts w:ascii="monospace" w:hAnsi="monospace" w:eastAsia="monospace" w:cs="monospace"/>
      <w:sz w:val="20"/>
    </w:rPr>
  </w:style>
  <w:style w:type="character" w:styleId="36">
    <w:name w:val="HTML Cite"/>
    <w:qFormat/>
    <w:uiPriority w:val="0"/>
  </w:style>
  <w:style w:type="character" w:styleId="37">
    <w:name w:val="HTML Keyboard"/>
    <w:qFormat/>
    <w:uiPriority w:val="0"/>
    <w:rPr>
      <w:rFonts w:hint="default" w:ascii="monospace" w:hAnsi="monospace" w:eastAsia="monospace" w:cs="monospace"/>
      <w:sz w:val="20"/>
    </w:rPr>
  </w:style>
  <w:style w:type="character" w:styleId="38">
    <w:name w:val="HTML Sample"/>
    <w:qFormat/>
    <w:uiPriority w:val="0"/>
    <w:rPr>
      <w:rFonts w:hint="default" w:ascii="monospace" w:hAnsi="monospace" w:eastAsia="monospace" w:cs="monospace"/>
    </w:rPr>
  </w:style>
  <w:style w:type="character" w:customStyle="1" w:styleId="39">
    <w:name w:val="标题 1 Char"/>
    <w:link w:val="2"/>
    <w:qFormat/>
    <w:uiPriority w:val="9"/>
    <w:rPr>
      <w:b/>
      <w:kern w:val="44"/>
      <w:sz w:val="44"/>
    </w:rPr>
  </w:style>
  <w:style w:type="character" w:customStyle="1" w:styleId="40">
    <w:name w:val="标题 2 Char"/>
    <w:link w:val="3"/>
    <w:qFormat/>
    <w:uiPriority w:val="0"/>
    <w:rPr>
      <w:rFonts w:ascii="Arial" w:hAnsi="Arial" w:eastAsia="黑体"/>
      <w:b/>
      <w:sz w:val="32"/>
    </w:rPr>
  </w:style>
  <w:style w:type="paragraph" w:customStyle="1" w:styleId="41">
    <w:name w:val="Default"/>
    <w:qFormat/>
    <w:uiPriority w:val="0"/>
    <w:pPr>
      <w:widowControl w:val="0"/>
      <w:autoSpaceDE w:val="0"/>
      <w:autoSpaceDN w:val="0"/>
      <w:adjustRightInd w:val="0"/>
    </w:pPr>
    <w:rPr>
      <w:rFonts w:ascii="Arial" w:hAnsi="Arial" w:eastAsia="宋体" w:cs="Arial"/>
      <w:color w:val="000000"/>
      <w:sz w:val="24"/>
      <w:szCs w:val="24"/>
      <w:lang w:val="en-US" w:eastAsia="zh-CN" w:bidi="ar-SA"/>
    </w:rPr>
  </w:style>
  <w:style w:type="paragraph" w:customStyle="1" w:styleId="42">
    <w:name w:val="正式文本"/>
    <w:basedOn w:val="1"/>
    <w:qFormat/>
    <w:uiPriority w:val="0"/>
    <w:pPr>
      <w:spacing w:line="540" w:lineRule="exact"/>
      <w:ind w:firstLine="200" w:firstLineChars="200"/>
    </w:pPr>
    <w:rPr>
      <w:rFonts w:ascii="宋体" w:hAnsi="Arial Narrow"/>
      <w:sz w:val="28"/>
      <w:szCs w:val="24"/>
    </w:rPr>
  </w:style>
  <w:style w:type="paragraph" w:customStyle="1" w:styleId="43">
    <w:name w:val="正文（绿盟科技）"/>
    <w:qFormat/>
    <w:uiPriority w:val="0"/>
    <w:pPr>
      <w:spacing w:line="300" w:lineRule="auto"/>
    </w:pPr>
    <w:rPr>
      <w:rFonts w:ascii="Arial" w:hAnsi="Arial" w:eastAsia="宋体" w:cs="黑体"/>
      <w:sz w:val="21"/>
      <w:szCs w:val="21"/>
      <w:lang w:val="en-US" w:eastAsia="zh-CN" w:bidi="ar-SA"/>
    </w:rPr>
  </w:style>
  <w:style w:type="character" w:customStyle="1" w:styleId="44">
    <w:name w:val="font61"/>
    <w:qFormat/>
    <w:uiPriority w:val="0"/>
    <w:rPr>
      <w:rFonts w:hint="default" w:ascii="Calibri" w:hAnsi="Calibri" w:cs="Calibri"/>
      <w:color w:val="000000"/>
      <w:sz w:val="24"/>
      <w:szCs w:val="24"/>
      <w:u w:val="none"/>
    </w:rPr>
  </w:style>
  <w:style w:type="character" w:customStyle="1" w:styleId="45">
    <w:name w:val="font01"/>
    <w:qFormat/>
    <w:uiPriority w:val="0"/>
    <w:rPr>
      <w:rFonts w:hint="eastAsia" w:ascii="宋体" w:hAnsi="宋体" w:eastAsia="宋体" w:cs="宋体"/>
      <w:color w:val="000000"/>
      <w:sz w:val="24"/>
      <w:szCs w:val="24"/>
      <w:u w:val="none"/>
    </w:rPr>
  </w:style>
  <w:style w:type="character" w:customStyle="1" w:styleId="46">
    <w:name w:val="font81"/>
    <w:qFormat/>
    <w:uiPriority w:val="0"/>
    <w:rPr>
      <w:rFonts w:hint="eastAsia" w:ascii="宋体" w:hAnsi="宋体" w:eastAsia="宋体" w:cs="宋体"/>
      <w:color w:val="000000"/>
      <w:sz w:val="24"/>
      <w:szCs w:val="24"/>
      <w:u w:val="none"/>
    </w:rPr>
  </w:style>
  <w:style w:type="character" w:customStyle="1" w:styleId="47">
    <w:name w:val="mini-outputtext1"/>
    <w:qFormat/>
    <w:uiPriority w:val="0"/>
  </w:style>
  <w:style w:type="paragraph" w:customStyle="1" w:styleId="48">
    <w:name w:val="列出段落1"/>
    <w:basedOn w:val="1"/>
    <w:qFormat/>
    <w:uiPriority w:val="34"/>
    <w:pPr>
      <w:ind w:firstLine="420" w:firstLineChars="200"/>
    </w:pPr>
  </w:style>
  <w:style w:type="table" w:customStyle="1" w:styleId="49">
    <w:name w:val="网格型1"/>
    <w:basedOn w:val="24"/>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50">
    <w:name w:val="正文缩进1"/>
    <w:basedOn w:val="1"/>
    <w:qFormat/>
    <w:uiPriority w:val="0"/>
    <w:pPr>
      <w:ind w:firstLine="420" w:firstLineChars="200"/>
    </w:pPr>
  </w:style>
  <w:style w:type="paragraph" w:customStyle="1" w:styleId="51">
    <w:name w:val="Table Paragraph"/>
    <w:basedOn w:val="1"/>
    <w:qFormat/>
    <w:uiPriority w:val="1"/>
    <w:rPr>
      <w:rFonts w:ascii="宋体" w:hAnsi="宋体" w:eastAsia="宋体" w:cs="宋体"/>
      <w:lang w:val="zh-CN" w:eastAsia="zh-CN" w:bidi="zh-CN"/>
    </w:rPr>
  </w:style>
  <w:style w:type="paragraph" w:customStyle="1" w:styleId="52">
    <w:name w:val="样式 10 磅"/>
    <w:qFormat/>
    <w:uiPriority w:val="0"/>
    <w:pPr>
      <w:widowControl w:val="0"/>
      <w:jc w:val="both"/>
    </w:pPr>
    <w:rPr>
      <w:rFonts w:ascii="Calibri" w:hAnsi="Calibri" w:eastAsia="宋体" w:cs="Times New Roman"/>
      <w:kern w:val="2"/>
      <w:sz w:val="21"/>
      <w:szCs w:val="24"/>
      <w:lang w:val="en-US" w:eastAsia="zh-CN" w:bidi="ar-SA"/>
    </w:rPr>
  </w:style>
  <w:style w:type="paragraph" w:customStyle="1" w:styleId="53">
    <w:name w:val="Fließtext"/>
    <w:basedOn w:val="1"/>
    <w:qFormat/>
    <w:uiPriority w:val="0"/>
    <w:pPr>
      <w:overflowPunct w:val="0"/>
      <w:autoSpaceDE w:val="0"/>
      <w:autoSpaceDN w:val="0"/>
      <w:adjustRightInd w:val="0"/>
      <w:textAlignment w:val="baseline"/>
    </w:pPr>
    <w:rPr>
      <w:kern w:val="28"/>
      <w:sz w:val="28"/>
      <w:szCs w:val="20"/>
    </w:rPr>
  </w:style>
  <w:style w:type="paragraph" w:customStyle="1" w:styleId="54">
    <w:name w:val="UserStyle_0"/>
    <w:basedOn w:val="1"/>
    <w:qFormat/>
    <w:uiPriority w:val="0"/>
    <w:pPr>
      <w:snapToGrid w:val="0"/>
      <w:spacing w:line="360" w:lineRule="auto"/>
      <w:ind w:firstLine="200" w:firstLineChars="200"/>
      <w:jc w:val="left"/>
      <w:textAlignment w:val="baseline"/>
    </w:pPr>
    <w:rPr>
      <w:rFonts w:ascii="Times New Roman" w:hAnsi="Times New Roman" w:eastAsia="宋体"/>
      <w:color w:val="000000"/>
      <w:kern w:val="0"/>
      <w:sz w:val="24"/>
      <w:szCs w:val="28"/>
      <w:lang w:val="en-US" w:eastAsia="zh-CN" w:bidi="ar-SA"/>
    </w:rPr>
  </w:style>
  <w:style w:type="character" w:customStyle="1" w:styleId="55">
    <w:name w:val="NormalCharacter"/>
    <w:qFormat/>
    <w:uiPriority w:val="0"/>
    <w:rPr>
      <w:kern w:val="2"/>
      <w:sz w:val="21"/>
      <w:lang w:val="en-US" w:eastAsia="zh-CN" w:bidi="ar-SA"/>
    </w:rPr>
  </w:style>
  <w:style w:type="character" w:customStyle="1" w:styleId="56">
    <w:name w:val="font51"/>
    <w:basedOn w:val="26"/>
    <w:qFormat/>
    <w:uiPriority w:val="0"/>
    <w:rPr>
      <w:rFonts w:hint="default" w:ascii="仿宋_GB2312" w:eastAsia="仿宋_GB2312" w:cs="仿宋_GB2312"/>
      <w:color w:val="000000"/>
      <w:sz w:val="20"/>
      <w:szCs w:val="20"/>
      <w:u w:val="none"/>
    </w:rPr>
  </w:style>
  <w:style w:type="character" w:customStyle="1" w:styleId="57">
    <w:name w:val="font91"/>
    <w:basedOn w:val="26"/>
    <w:qFormat/>
    <w:uiPriority w:val="0"/>
    <w:rPr>
      <w:rFonts w:hint="default" w:ascii="仿宋_GB2312" w:eastAsia="仿宋_GB2312" w:cs="仿宋_GB2312"/>
      <w:color w:val="FF0000"/>
      <w:sz w:val="20"/>
      <w:szCs w:val="20"/>
      <w:u w:val="none"/>
    </w:rPr>
  </w:style>
  <w:style w:type="character" w:customStyle="1" w:styleId="58">
    <w:name w:val="font41"/>
    <w:basedOn w:val="26"/>
    <w:qFormat/>
    <w:uiPriority w:val="0"/>
    <w:rPr>
      <w:rFonts w:hint="eastAsia" w:ascii="宋体" w:hAnsi="宋体" w:eastAsia="宋体" w:cs="宋体"/>
      <w:b/>
      <w:bCs/>
      <w:color w:val="000000"/>
      <w:sz w:val="22"/>
      <w:szCs w:val="22"/>
      <w:u w:val="none"/>
    </w:rPr>
  </w:style>
  <w:style w:type="character" w:customStyle="1" w:styleId="59">
    <w:name w:val="font71"/>
    <w:basedOn w:val="26"/>
    <w:qFormat/>
    <w:uiPriority w:val="0"/>
    <w:rPr>
      <w:rFonts w:ascii="Calibri" w:hAnsi="Calibri" w:cs="Calibri"/>
      <w:color w:val="000000"/>
      <w:sz w:val="20"/>
      <w:szCs w:val="20"/>
      <w:u w:val="none"/>
    </w:rPr>
  </w:style>
  <w:style w:type="paragraph" w:styleId="60">
    <w:name w:val="List Paragraph"/>
    <w:basedOn w:val="1"/>
    <w:autoRedefine/>
    <w:qFormat/>
    <w:uiPriority w:val="34"/>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footer" Target="footer1.xml"/><Relationship Id="rId42" Type="http://schemas.openxmlformats.org/officeDocument/2006/relationships/fontTable" Target="fontTable.xml"/><Relationship Id="rId41" Type="http://schemas.openxmlformats.org/officeDocument/2006/relationships/numbering" Target="numbering.xml"/><Relationship Id="rId40" Type="http://schemas.openxmlformats.org/officeDocument/2006/relationships/customXml" Target="../customXml/item1.xml"/><Relationship Id="rId4" Type="http://schemas.openxmlformats.org/officeDocument/2006/relationships/header" Target="header2.xml"/><Relationship Id="rId39" Type="http://schemas.openxmlformats.org/officeDocument/2006/relationships/image" Target="media/image22.jpeg"/><Relationship Id="rId38" Type="http://schemas.openxmlformats.org/officeDocument/2006/relationships/image" Target="media/image21.jpeg"/><Relationship Id="rId37" Type="http://schemas.openxmlformats.org/officeDocument/2006/relationships/image" Target="media/image20.jpeg"/><Relationship Id="rId36" Type="http://schemas.openxmlformats.org/officeDocument/2006/relationships/image" Target="media/image19.jpeg"/><Relationship Id="rId35" Type="http://schemas.openxmlformats.org/officeDocument/2006/relationships/image" Target="media/image18.jpeg"/><Relationship Id="rId34" Type="http://schemas.openxmlformats.org/officeDocument/2006/relationships/image" Target="media/image17.jpeg"/><Relationship Id="rId33" Type="http://schemas.openxmlformats.org/officeDocument/2006/relationships/image" Target="media/image16.jpeg"/><Relationship Id="rId32" Type="http://schemas.openxmlformats.org/officeDocument/2006/relationships/image" Target="media/image15.jpeg"/><Relationship Id="rId31" Type="http://schemas.openxmlformats.org/officeDocument/2006/relationships/image" Target="media/image14.jpeg"/><Relationship Id="rId30" Type="http://schemas.openxmlformats.org/officeDocument/2006/relationships/image" Target="media/image13.jpeg"/><Relationship Id="rId3" Type="http://schemas.openxmlformats.org/officeDocument/2006/relationships/header" Target="header1.xml"/><Relationship Id="rId29" Type="http://schemas.openxmlformats.org/officeDocument/2006/relationships/image" Target="media/image12.jpeg"/><Relationship Id="rId28" Type="http://schemas.openxmlformats.org/officeDocument/2006/relationships/image" Target="media/image11.png"/><Relationship Id="rId27" Type="http://schemas.openxmlformats.org/officeDocument/2006/relationships/image" Target="media/image10.png"/><Relationship Id="rId26" Type="http://schemas.openxmlformats.org/officeDocument/2006/relationships/image" Target="media/image9.png"/><Relationship Id="rId25" Type="http://schemas.openxmlformats.org/officeDocument/2006/relationships/image" Target="media/image8.png"/><Relationship Id="rId24" Type="http://schemas.openxmlformats.org/officeDocument/2006/relationships/image" Target="media/image7.png"/><Relationship Id="rId23" Type="http://schemas.openxmlformats.org/officeDocument/2006/relationships/image" Target="media/image6.png"/><Relationship Id="rId22" Type="http://schemas.openxmlformats.org/officeDocument/2006/relationships/image" Target="media/image5.png"/><Relationship Id="rId21" Type="http://schemas.openxmlformats.org/officeDocument/2006/relationships/image" Target="media/image4.png"/><Relationship Id="rId20" Type="http://schemas.openxmlformats.org/officeDocument/2006/relationships/image" Target="media/image3.png"/><Relationship Id="rId2" Type="http://schemas.openxmlformats.org/officeDocument/2006/relationships/settings" Target="settings.xml"/><Relationship Id="rId19" Type="http://schemas.openxmlformats.org/officeDocument/2006/relationships/image" Target="media/image2.png"/><Relationship Id="rId18" Type="http://schemas.openxmlformats.org/officeDocument/2006/relationships/image" Target="media/image1.png"/><Relationship Id="rId17" Type="http://schemas.openxmlformats.org/officeDocument/2006/relationships/theme" Target="theme/theme1.xml"/><Relationship Id="rId16" Type="http://schemas.openxmlformats.org/officeDocument/2006/relationships/footer" Target="footer8.xml"/><Relationship Id="rId15" Type="http://schemas.openxmlformats.org/officeDocument/2006/relationships/footer" Target="footer7.xml"/><Relationship Id="rId14" Type="http://schemas.openxmlformats.org/officeDocument/2006/relationships/footer" Target="footer6.xml"/><Relationship Id="rId13" Type="http://schemas.openxmlformats.org/officeDocument/2006/relationships/footer" Target="footer5.xml"/><Relationship Id="rId12" Type="http://schemas.openxmlformats.org/officeDocument/2006/relationships/header" Target="header6.xml"/><Relationship Id="rId11" Type="http://schemas.openxmlformats.org/officeDocument/2006/relationships/header" Target="head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93</Pages>
  <Words>24510</Words>
  <Characters>26789</Characters>
  <Lines>297</Lines>
  <Paragraphs>83</Paragraphs>
  <TotalTime>48</TotalTime>
  <ScaleCrop>false</ScaleCrop>
  <LinksUpToDate>false</LinksUpToDate>
  <CharactersWithSpaces>28432</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2025-03-20T12:55:00Z</dcterms:created>
  <dc:creator>Administrator</dc:creator>
  <cp:lastModifiedBy>米丽</cp:lastModifiedBy>
  <cp:lastPrinted>2024-11-15T01:07:00Z</cp:lastPrinted>
  <dcterms:modified xsi:type="dcterms:W3CDTF">2026-10-19T10:46:59Z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40D85483F25E4A95A5A7F8C7E1AA889C_13</vt:lpwstr>
  </property>
  <property fmtid="{D5CDD505-2E9C-101B-9397-08002B2CF9AE}" pid="4" name="KSOTemplateDocerSaveRecord">
    <vt:lpwstr>eyJoZGlkIjoiNTViYzEyMTU1NjE2NGVhYWY0ZmM4NjMxZjJlMjNjYzkiLCJ1c2VySWQiOiIxMTUwOTYxMDM2In0=</vt:lpwstr>
  </property>
</Properties>
</file>