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3593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Theme="majorEastAsia" w:hAnsiTheme="majorEastAsia" w:eastAsiaTheme="majorEastAsia" w:cstheme="majorEastAsia"/>
          <w:b/>
          <w:bCs/>
          <w:i w:val="0"/>
          <w:iCs w:val="0"/>
          <w:caps w:val="0"/>
          <w:color w:val="333333"/>
          <w:spacing w:val="0"/>
          <w:sz w:val="24"/>
          <w:szCs w:val="24"/>
        </w:rPr>
      </w:pPr>
      <w:r>
        <w:rPr>
          <w:rFonts w:hint="eastAsia" w:asciiTheme="majorEastAsia" w:hAnsiTheme="majorEastAsia" w:eastAsiaTheme="majorEastAsia" w:cstheme="majorEastAsia"/>
          <w:b/>
          <w:bCs/>
          <w:i w:val="0"/>
          <w:iCs w:val="0"/>
          <w:caps w:val="0"/>
          <w:color w:val="333333"/>
          <w:spacing w:val="0"/>
          <w:sz w:val="24"/>
          <w:szCs w:val="24"/>
          <w:bdr w:val="none" w:color="auto" w:sz="0" w:space="0"/>
          <w:shd w:val="clear" w:fill="FFFFFF"/>
        </w:rPr>
        <w:t>技术、服务、商务及其他要求</w:t>
      </w:r>
    </w:p>
    <w:p w14:paraId="6F17D3F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Theme="majorEastAsia" w:hAnsiTheme="majorEastAsia" w:eastAsiaTheme="majorEastAsia" w:cstheme="majorEastAsia"/>
          <w:b/>
          <w:bCs/>
          <w:i w:val="0"/>
          <w:iCs w:val="0"/>
          <w:caps w:val="0"/>
          <w:color w:val="333333"/>
          <w:spacing w:val="0"/>
          <w:sz w:val="21"/>
          <w:szCs w:val="21"/>
        </w:rPr>
      </w:pPr>
      <w:r>
        <w:rPr>
          <w:rFonts w:hint="eastAsia" w:asciiTheme="majorEastAsia" w:hAnsiTheme="majorEastAsia" w:eastAsiaTheme="majorEastAsia" w:cstheme="majorEastAsia"/>
          <w:b/>
          <w:bCs/>
          <w:i w:val="0"/>
          <w:iCs w:val="0"/>
          <w:caps w:val="0"/>
          <w:color w:val="333333"/>
          <w:spacing w:val="0"/>
          <w:sz w:val="21"/>
          <w:szCs w:val="21"/>
          <w:bdr w:val="none" w:color="auto" w:sz="0" w:space="0"/>
          <w:shd w:val="clear" w:fill="FFFFFF"/>
        </w:rPr>
        <w:t>3.1采购项目概况</w:t>
      </w:r>
    </w:p>
    <w:p w14:paraId="05F1B7C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对西安军采通信息服务平台客户端（含APP、PC端）现有功能运行提供技术支持，及时解决平台服务企业遇到的各类使用问题；实时更新我市中标企业数据库、融合企业信息库等信息；按照市军民融合发展服务中心业务需要，对西安军采通信息服务平台现有部分功能进行优化。依据市军民融合发展服务中心工作规划，对西安军采通信息服务平台进行功能升级，增加部分功能。基于西安军采通信息服务平台开展数据处理及分析工作，结合年度运维情况形成年度运行报告。</w:t>
      </w:r>
    </w:p>
    <w:p w14:paraId="0B522BD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3.2服务内容及服务要求</w:t>
      </w:r>
    </w:p>
    <w:p w14:paraId="71BE949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3.2.1服务内容</w:t>
      </w:r>
    </w:p>
    <w:p w14:paraId="1277BFB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采购包1：</w:t>
      </w:r>
    </w:p>
    <w:p w14:paraId="0C5B0E3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采购包预算金额（元）: 300,000.00</w:t>
      </w:r>
    </w:p>
    <w:p w14:paraId="1846B8F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采购包最高限价（元）: 300,000.00</w:t>
      </w:r>
    </w:p>
    <w:p w14:paraId="0AE7E6D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供应商报价不允许超过标的金额</w:t>
      </w:r>
    </w:p>
    <w:p w14:paraId="3F0431E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（招单价的）供应商报价不允许超过标的单价</w:t>
      </w:r>
    </w:p>
    <w:tbl>
      <w:tblPr>
        <w:tblW w:w="536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593"/>
        <w:gridCol w:w="1573"/>
        <w:gridCol w:w="750"/>
        <w:gridCol w:w="1155"/>
        <w:gridCol w:w="705"/>
        <w:gridCol w:w="720"/>
        <w:gridCol w:w="855"/>
        <w:gridCol w:w="690"/>
        <w:gridCol w:w="662"/>
        <w:gridCol w:w="702"/>
        <w:gridCol w:w="765"/>
      </w:tblGrid>
      <w:tr w14:paraId="418466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9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B6FFE8">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序号</w:t>
            </w:r>
          </w:p>
        </w:tc>
        <w:tc>
          <w:tcPr>
            <w:tcW w:w="15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C698A1">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标的名称</w:t>
            </w:r>
          </w:p>
        </w:tc>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DBE260">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数量</w:t>
            </w:r>
          </w:p>
        </w:tc>
        <w:tc>
          <w:tcPr>
            <w:tcW w:w="115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A84DAE">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标的金额（元）</w:t>
            </w:r>
          </w:p>
        </w:tc>
        <w:tc>
          <w:tcPr>
            <w:tcW w:w="70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0E1F20">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计量单位</w:t>
            </w:r>
          </w:p>
        </w:tc>
        <w:tc>
          <w:tcPr>
            <w:tcW w:w="72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A3A066">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所属行业</w:t>
            </w:r>
          </w:p>
        </w:tc>
        <w:tc>
          <w:tcPr>
            <w:tcW w:w="85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5BEC75">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是否核心产品</w:t>
            </w:r>
          </w:p>
        </w:tc>
        <w:tc>
          <w:tcPr>
            <w:tcW w:w="69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6BB4A7">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是否允许进口产品</w:t>
            </w:r>
          </w:p>
        </w:tc>
        <w:tc>
          <w:tcPr>
            <w:tcW w:w="66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C7A317">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是否属于节能产品</w:t>
            </w:r>
          </w:p>
        </w:tc>
        <w:tc>
          <w:tcPr>
            <w:tcW w:w="70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384996">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是否属于环境标志产品</w:t>
            </w:r>
          </w:p>
        </w:tc>
        <w:tc>
          <w:tcPr>
            <w:tcW w:w="76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046846">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是否实施本国产品政策</w:t>
            </w:r>
          </w:p>
        </w:tc>
      </w:tr>
      <w:tr w14:paraId="779244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9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287638">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1</w:t>
            </w:r>
          </w:p>
        </w:tc>
        <w:tc>
          <w:tcPr>
            <w:tcW w:w="15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A89AE8">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2026年西安市军民融合发展服务中心西安军采通信息服务平台运维项目</w:t>
            </w:r>
          </w:p>
        </w:tc>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14061D">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1.00</w:t>
            </w:r>
          </w:p>
        </w:tc>
        <w:tc>
          <w:tcPr>
            <w:tcW w:w="115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86A213">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300,000.00</w:t>
            </w:r>
            <w:bookmarkStart w:id="0" w:name="_GoBack"/>
            <w:bookmarkEnd w:id="0"/>
          </w:p>
        </w:tc>
        <w:tc>
          <w:tcPr>
            <w:tcW w:w="70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C55104">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项</w:t>
            </w:r>
          </w:p>
        </w:tc>
        <w:tc>
          <w:tcPr>
            <w:tcW w:w="72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78162F">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软件和信息技术服务业</w:t>
            </w:r>
          </w:p>
        </w:tc>
        <w:tc>
          <w:tcPr>
            <w:tcW w:w="85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596278">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否</w:t>
            </w:r>
          </w:p>
        </w:tc>
        <w:tc>
          <w:tcPr>
            <w:tcW w:w="69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301AD4">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否</w:t>
            </w:r>
          </w:p>
        </w:tc>
        <w:tc>
          <w:tcPr>
            <w:tcW w:w="66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EF2327">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否</w:t>
            </w:r>
          </w:p>
        </w:tc>
        <w:tc>
          <w:tcPr>
            <w:tcW w:w="70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0BE6DC">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否</w:t>
            </w:r>
          </w:p>
        </w:tc>
        <w:tc>
          <w:tcPr>
            <w:tcW w:w="76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E9545C">
            <w:pPr>
              <w:keepNext w:val="0"/>
              <w:keepLines w:val="0"/>
              <w:widowControl/>
              <w:suppressLineNumbers w:val="0"/>
              <w:wordWrap w:val="0"/>
              <w:spacing w:before="0" w:beforeAutospacing="0" w:after="0" w:afterAutospacing="0" w:line="480" w:lineRule="atLeast"/>
              <w:ind w:left="0" w:right="0"/>
              <w:jc w:val="center"/>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否</w:t>
            </w:r>
          </w:p>
        </w:tc>
      </w:tr>
    </w:tbl>
    <w:p w14:paraId="0E0EB3B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3.2.2服务要求</w:t>
      </w:r>
    </w:p>
    <w:p w14:paraId="1626D28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采购包1：</w:t>
      </w:r>
    </w:p>
    <w:p w14:paraId="7B13E8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标的名称：2026年西安市军民融合发展服务中心西安军采通信息服务平台运维项目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7737631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A189DB">
            <w:pPr>
              <w:keepNext w:val="0"/>
              <w:keepLines w:val="0"/>
              <w:widowControl/>
              <w:suppressLineNumbers w:val="0"/>
              <w:wordWrap w:val="0"/>
              <w:spacing w:before="0" w:beforeAutospacing="0" w:after="0" w:afterAutospacing="0" w:line="480" w:lineRule="atLeast"/>
              <w:ind w:left="0" w:right="0"/>
              <w:jc w:val="left"/>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C39430">
            <w:pPr>
              <w:keepNext w:val="0"/>
              <w:keepLines w:val="0"/>
              <w:widowControl/>
              <w:suppressLineNumbers w:val="0"/>
              <w:wordWrap w:val="0"/>
              <w:spacing w:before="0" w:beforeAutospacing="0" w:after="0" w:afterAutospacing="0" w:line="480" w:lineRule="atLeast"/>
              <w:ind w:left="0" w:right="0"/>
              <w:jc w:val="left"/>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6F5D7E">
            <w:pPr>
              <w:keepNext w:val="0"/>
              <w:keepLines w:val="0"/>
              <w:widowControl/>
              <w:suppressLineNumbers w:val="0"/>
              <w:wordWrap w:val="0"/>
              <w:spacing w:before="0" w:beforeAutospacing="0" w:after="0" w:afterAutospacing="0" w:line="480" w:lineRule="atLeast"/>
              <w:ind w:left="0" w:right="0"/>
              <w:jc w:val="left"/>
              <w:rPr>
                <w:rFonts w:hint="eastAsia"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kern w:val="0"/>
                <w:sz w:val="21"/>
                <w:szCs w:val="21"/>
                <w:bdr w:val="none" w:color="auto" w:sz="0" w:space="0"/>
                <w:lang w:val="en-US" w:eastAsia="zh-CN" w:bidi="ar"/>
              </w:rPr>
              <w:t>技术参数与性能指标</w:t>
            </w:r>
          </w:p>
        </w:tc>
      </w:tr>
      <w:tr w14:paraId="0C68B5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C5FCCF">
            <w:pPr>
              <w:keepNext w:val="0"/>
              <w:keepLines w:val="0"/>
              <w:widowControl/>
              <w:suppressLineNumbers w:val="0"/>
              <w:wordWrap w:val="0"/>
              <w:spacing w:before="0" w:beforeAutospacing="0" w:after="0" w:afterAutospacing="0" w:line="480" w:lineRule="atLeast"/>
              <w:ind w:left="0" w:right="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kern w:val="0"/>
                <w:sz w:val="21"/>
                <w:szCs w:val="21"/>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24FD96">
            <w:pPr>
              <w:rPr>
                <w:rFonts w:hint="eastAsia" w:asciiTheme="majorEastAsia" w:hAnsiTheme="majorEastAsia" w:eastAsiaTheme="majorEastAsia" w:cstheme="majorEastAsia"/>
                <w:color w:val="auto"/>
                <w:sz w:val="21"/>
                <w:szCs w:val="21"/>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ADB9C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一、采购内容</w:t>
            </w:r>
          </w:p>
          <w:p w14:paraId="1708BF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1.现有功能运维。对西安军采通信息服务平台客户端（含APP、PC端）现有功能运行提供技术支持，及时解决平台服务企业遇到的各类使用问题；实时更新我市中标企业数据库、融合企业信息库等信息；按照市军民融合发展服务中心业务需要，对西安军采通信息服务平台现有部分功能进行优化。</w:t>
            </w:r>
          </w:p>
          <w:p w14:paraId="2A1B68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2.平台功能升级。依据市军民融合发展服务中心工作计划，对西安军采通信息服务平台进行功能升级，增加部分功能。</w:t>
            </w:r>
          </w:p>
          <w:p w14:paraId="74544A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3.数据分析。基于西安军采通信息服务平台开展数据处理及分析工作，结合年度运维情况形成年度运行报告。</w:t>
            </w:r>
          </w:p>
          <w:p w14:paraId="099D3D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二、成果文件</w:t>
            </w:r>
          </w:p>
          <w:p w14:paraId="1408E7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1.西安军采通信息服务平台现有各项功能（含客户端和管理端）正常运行，数据及时更新。</w:t>
            </w:r>
          </w:p>
          <w:p w14:paraId="7D1C43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2.按要求完成西安军采通信息服务平台功能升级，并上线运行。</w:t>
            </w:r>
          </w:p>
          <w:p w14:paraId="76CBBE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3.形成西安军采通信息服务平台年度运行报告。</w:t>
            </w:r>
          </w:p>
          <w:p w14:paraId="271E2D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三、服务期：合同签订之日起一年。</w:t>
            </w:r>
          </w:p>
          <w:p w14:paraId="5B3F7B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四、付款方式</w:t>
            </w:r>
          </w:p>
          <w:p w14:paraId="60BA15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1.本合同签字生效后20日内，乙方向甲方出具正式发票，甲方向乙方支付项目金额的50%；</w:t>
            </w:r>
          </w:p>
          <w:p w14:paraId="74E907E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2.乙方完成平台功能升级经验收合格后，乙方向甲方出具正式发票，甲方向乙方支付合同金额的40%；</w:t>
            </w:r>
          </w:p>
          <w:p w14:paraId="2C421B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bdr w:val="none" w:color="auto" w:sz="0" w:space="0"/>
              </w:rPr>
              <w:t>3.乙方完成平台年度运行报告经验收合格后，乙方向甲方出具正式发票，甲方向乙方支付合同金额的10%。</w:t>
            </w:r>
          </w:p>
        </w:tc>
      </w:tr>
    </w:tbl>
    <w:p w14:paraId="47785E8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3.2.3人员配置要求</w:t>
      </w:r>
    </w:p>
    <w:p w14:paraId="7A33F13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采购包1：</w:t>
      </w:r>
    </w:p>
    <w:p w14:paraId="3137F5F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满足采购需求</w:t>
      </w:r>
    </w:p>
    <w:p w14:paraId="2594753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3.2.4设施设备要求</w:t>
      </w:r>
    </w:p>
    <w:p w14:paraId="4B15A9C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采购包1：</w:t>
      </w:r>
    </w:p>
    <w:p w14:paraId="71AE145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满足采购需求</w:t>
      </w:r>
    </w:p>
    <w:p w14:paraId="318844E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3.2.5其他要求</w:t>
      </w:r>
    </w:p>
    <w:p w14:paraId="5364F07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采购包1：</w:t>
      </w:r>
    </w:p>
    <w:p w14:paraId="7028E8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无</w:t>
      </w:r>
    </w:p>
    <w:p w14:paraId="6D9DCB9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3.3商务要求</w:t>
      </w:r>
    </w:p>
    <w:p w14:paraId="240CABD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3.3.1服务期限</w:t>
      </w:r>
    </w:p>
    <w:p w14:paraId="4B27577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采购包1：</w:t>
      </w:r>
    </w:p>
    <w:p w14:paraId="09E8E7A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签订合同之日起一年</w:t>
      </w:r>
    </w:p>
    <w:p w14:paraId="226B935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3.3.2服务地点</w:t>
      </w:r>
    </w:p>
    <w:p w14:paraId="105CAA2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采购包1：</w:t>
      </w:r>
    </w:p>
    <w:p w14:paraId="7855FB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甲方指定地点</w:t>
      </w:r>
    </w:p>
    <w:p w14:paraId="69B160C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3.3.3考核（验收）标准和方法</w:t>
      </w:r>
    </w:p>
    <w:p w14:paraId="79EFF64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采购包1：</w:t>
      </w:r>
    </w:p>
    <w:p w14:paraId="1FF9486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依据竞争性磋商文件、磋商响应文件、澄清表（函）、合同内容及附件文本、合同签定时国家和行业现行的标准和技术规范，自行组织验收。</w:t>
      </w:r>
    </w:p>
    <w:p w14:paraId="5C275DD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3.3.4支付方式</w:t>
      </w:r>
    </w:p>
    <w:p w14:paraId="3B427F2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采购包1：</w:t>
      </w:r>
    </w:p>
    <w:p w14:paraId="28E856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分期付款</w:t>
      </w:r>
    </w:p>
    <w:p w14:paraId="7AC564B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3.3.5支付约定</w:t>
      </w:r>
    </w:p>
    <w:p w14:paraId="407487B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采购包1：</w:t>
      </w:r>
    </w:p>
    <w:p w14:paraId="2C014C1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1、 预付款，本合同签字生效后20日内，乙方向甲方出具正式发票，达到付款条件起20个工作日内，支付合同总金额的50.0%</w:t>
      </w:r>
    </w:p>
    <w:p w14:paraId="616701B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2、 进度款，乙方完成平台功能升级经验收合格后，乙方向甲方出具正式发票，达到付款条件起20个工作日内，支付合同总金额的40.0%</w:t>
      </w:r>
    </w:p>
    <w:p w14:paraId="4B6D84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3、 进度款，乙方完成平台年度运行报告经验收合格后，乙方向甲方出具正式发票，达到付款条件起20个工作日内，支付合同总金额的10.0%</w:t>
      </w:r>
    </w:p>
    <w:p w14:paraId="472D1C3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3.3.6违约责任及解决争议的方法</w:t>
      </w:r>
    </w:p>
    <w:p w14:paraId="3993D05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采购包1：</w:t>
      </w:r>
    </w:p>
    <w:p w14:paraId="65F2158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本项目在履约过程中发生的争议，由甲、乙双方当事人协商解决，协商不成的向甲方所在地的人民法院提起诉讼。</w:t>
      </w:r>
    </w:p>
    <w:p w14:paraId="3D7B52B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Theme="majorEastAsia" w:hAnsiTheme="majorEastAsia" w:eastAsiaTheme="majorEastAsia" w:cstheme="majorEastAsia"/>
          <w:b/>
          <w:bCs/>
          <w:i w:val="0"/>
          <w:iCs w:val="0"/>
          <w:caps w:val="0"/>
          <w:color w:val="auto"/>
          <w:spacing w:val="0"/>
          <w:sz w:val="21"/>
          <w:szCs w:val="21"/>
        </w:rPr>
      </w:pPr>
      <w:r>
        <w:rPr>
          <w:rFonts w:hint="eastAsia" w:asciiTheme="majorEastAsia" w:hAnsiTheme="majorEastAsia" w:eastAsiaTheme="majorEastAsia" w:cstheme="majorEastAsia"/>
          <w:b/>
          <w:bCs/>
          <w:i w:val="0"/>
          <w:iCs w:val="0"/>
          <w:caps w:val="0"/>
          <w:color w:val="auto"/>
          <w:spacing w:val="0"/>
          <w:sz w:val="21"/>
          <w:szCs w:val="21"/>
          <w:bdr w:val="none" w:color="auto" w:sz="0" w:space="0"/>
          <w:shd w:val="clear" w:fill="FFFFFF"/>
        </w:rPr>
        <w:t>3.4其他要求</w:t>
      </w:r>
    </w:p>
    <w:p w14:paraId="1DEA9D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i w:val="0"/>
          <w:iCs w:val="0"/>
          <w:caps w:val="0"/>
          <w:color w:val="auto"/>
          <w:spacing w:val="0"/>
          <w:sz w:val="21"/>
          <w:szCs w:val="21"/>
          <w:bdr w:val="none" w:color="auto" w:sz="0" w:space="0"/>
          <w:shd w:val="clear" w:fill="FFFFFF"/>
        </w:rPr>
        <w:t>（1）成交供应商在领取成交通知书前，须向采购代理机构提供纸质版响应文件2份，且提供的响应文件必须与在陕西省政府采购综合管理平台的项目电子化交易系统中递交的电子响应文件内容一致，纸质版响应文件必须装订成册签字盖章。（2）如磋商文件中融资相关内容与新政策要求有出入，按照最新要求执行。</w:t>
      </w:r>
    </w:p>
    <w:p w14:paraId="2F727A03">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7C63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2026-10-16T07:41:38Z</dcterms:created>
  <dc:creator>Administrator</dc:creator>
  <cp:lastModifiedBy>-☞笨笨</cp:lastModifiedBy>
  <dcterms:modified xsi:type="dcterms:W3CDTF">2026-10-16T07:46:01Z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eyJoZGlkIjoiMWZmZDYyYzU4NjlmYmRlYmQ0NWI4OTM4MjdjYjc3MjIiLCJ1c2VySWQiOiI1NTMwMTc4NDcifQ==</vt:lpwstr>
  </property>
  <property fmtid="{D5CDD505-2E9C-101B-9397-08002B2CF9AE}" pid="4" name="ICV">
    <vt:lpwstr>3DB2FA9320654F6888636BDFA5EAB136_12</vt:lpwstr>
  </property>
</Properties>
</file>