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版本号：SCZA2026-CS-0888-00120260519001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2026年陕西省财政厅外部系统接口管理平台运维项目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SCZA2026-CS-0888-001</w:t>
      </w:r>
      <w:r>
        <w:br/>
      </w:r>
      <w:r>
        <w:br/>
      </w:r>
      <w:r>
        <w:br/>
      </w:r>
    </w:p>
    <w:p>
      <w:pPr>
        <w:pStyle w:val="null3"/>
        <w:jc w:val="center"/>
        <w:outlineLvl w:val="2"/>
      </w:pPr>
      <w:r>
        <w:rPr>
          <w:rFonts w:ascii="仿宋_GB2312" w:hAnsi="仿宋_GB2312" w:cs="仿宋_GB2312" w:eastAsia="仿宋_GB2312"/>
          <w:sz w:val="28"/>
          <w:b/>
        </w:rPr>
        <w:t>陕西省财政厅机关</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陕西省财政厅机关</w:t>
      </w:r>
      <w:r>
        <w:rPr>
          <w:rFonts w:ascii="仿宋_GB2312" w:hAnsi="仿宋_GB2312" w:cs="仿宋_GB2312" w:eastAsia="仿宋_GB2312"/>
        </w:rPr>
        <w:t>委托，拟对</w:t>
      </w:r>
      <w:r>
        <w:rPr>
          <w:rFonts w:ascii="仿宋_GB2312" w:hAnsi="仿宋_GB2312" w:cs="仿宋_GB2312" w:eastAsia="仿宋_GB2312"/>
        </w:rPr>
        <w:t>2026年陕西省财政厅外部系统接口管理平台运维项目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SCZA2026-CS-0888-001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2026年陕西省财政厅外部系统接口管理平台运维项目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2026年陕西省财政厅外部系统接口管理平台服务项目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1、信用信息：供应商在递交响应文件截止时间前被“信用中国 ” 网站（www.creditchina.gov.cn）和中国政府采购网（www.ccgp.gov.cn）上被列入失信被执行人、重大税收违法失信主体、政府采购严重违法失信行为记录名单的，不得参加磋商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陕西省财政厅机关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陕西省西安市碑林区冰窖巷13号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029-68936493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赵锦天、白国锋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陕西省财政厅政府采购管理处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采购包1：316,800.00元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代理服务费收费标准：代理服务费参照《国家计委关于印发&lt;招标代理服务收费管理暂行办法&gt;的通知》（计价格〔2002〕1980号）规定标准（按标段）下浮30%收取。 中标单位的招标代理服务费交纳信息 银行户名：陕西省采购招标有限责任公司 开户银行：中国光大银行西安友谊路支行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陕西省财政厅机关</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陕西省财政厅机关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陕西省财政厅机关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地址：西安市雁塔区锦业路1号都市之门C座9层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2026年陕西省财政厅外部系统接口管理平台服务项目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316,800.00</w:t>
      </w:r>
    </w:p>
    <w:p>
      <w:pPr>
        <w:pStyle w:val="null3"/>
      </w:pPr>
      <w:r>
        <w:rPr>
          <w:rFonts w:ascii="仿宋_GB2312" w:hAnsi="仿宋_GB2312" w:cs="仿宋_GB2312" w:eastAsia="仿宋_GB2312"/>
        </w:rPr>
        <w:t>采购包最高限价（元）: 316,800.00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2026年陕西省财政厅外部系统接口管理平台运维</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316,800.00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标的名称：2026年陕西省财政厅外部系统接口管理平台运维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1"/>
                <w:b/>
                <w:color w:val="000000"/>
              </w:rPr>
              <w:t>项目概述</w:t>
            </w:r>
          </w:p>
          <w:p>
            <w:pPr>
              <w:pStyle w:val="null3"/>
              <w:ind w:firstLine="420"/>
              <w:jc w:val="both"/>
            </w:pPr>
            <w:r>
              <w:rPr>
                <w:rFonts w:ascii="仿宋_GB2312" w:hAnsi="仿宋_GB2312" w:cs="仿宋_GB2312" w:eastAsia="仿宋_GB2312"/>
                <w:sz w:val="21"/>
                <w:color w:val="000000"/>
              </w:rPr>
              <w:t>陕西省财政厅外部系统接口管理平台建设项目</w:t>
            </w:r>
            <w:r>
              <w:rPr>
                <w:rFonts w:ascii="仿宋_GB2312" w:hAnsi="仿宋_GB2312" w:cs="仿宋_GB2312" w:eastAsia="仿宋_GB2312"/>
                <w:sz w:val="21"/>
                <w:color w:val="000000"/>
              </w:rPr>
              <w:t>2024年终验，2026年开始进入付费运维期。</w:t>
            </w:r>
          </w:p>
          <w:p>
            <w:pPr>
              <w:pStyle w:val="null3"/>
              <w:ind w:firstLine="422"/>
              <w:jc w:val="both"/>
            </w:pPr>
            <w:r>
              <w:rPr>
                <w:rFonts w:ascii="仿宋_GB2312" w:hAnsi="仿宋_GB2312" w:cs="仿宋_GB2312" w:eastAsia="仿宋_GB2312"/>
                <w:sz w:val="21"/>
                <w:b/>
                <w:color w:val="000000"/>
              </w:rPr>
              <w:t>（一）服务依据</w:t>
            </w:r>
          </w:p>
          <w:p>
            <w:pPr>
              <w:pStyle w:val="null3"/>
              <w:ind w:firstLine="420"/>
            </w:pPr>
            <w:r>
              <w:rPr>
                <w:rFonts w:ascii="仿宋_GB2312" w:hAnsi="仿宋_GB2312" w:cs="仿宋_GB2312" w:eastAsia="仿宋_GB2312"/>
                <w:sz w:val="21"/>
                <w:color w:val="000000"/>
              </w:rPr>
              <w:t>陕西省财政厅外部系统接口管理平台作为财政内部系统的数据交互，外部采集数据及对外提供数据的通道，实现了预算管理一体化系统与非税、惠民一卡通系统等内部系统间互联互通，</w:t>
            </w:r>
            <w:r>
              <w:rPr>
                <w:rFonts w:ascii="仿宋_GB2312" w:hAnsi="仿宋_GB2312" w:cs="仿宋_GB2312" w:eastAsia="仿宋_GB2312"/>
                <w:sz w:val="21"/>
                <w:color w:val="000000"/>
              </w:rPr>
              <w:t>以及</w:t>
            </w:r>
            <w:r>
              <w:rPr>
                <w:rFonts w:ascii="仿宋_GB2312" w:hAnsi="仿宋_GB2312" w:cs="仿宋_GB2312" w:eastAsia="仿宋_GB2312"/>
                <w:sz w:val="21"/>
                <w:color w:val="000000"/>
              </w:rPr>
              <w:t>省财政厅与中国人民银行、省民政厅、省人大等外部门数据共享交换。为确保接口平稳运行，数据传输过程规范、安全、准确，需要由专业的运维服务公司对接口管理平台已上线的接口进行运维监控，保障平台运行稳定和安全，及时进行</w:t>
            </w:r>
            <w:r>
              <w:rPr>
                <w:rFonts w:ascii="仿宋_GB2312" w:hAnsi="仿宋_GB2312" w:cs="仿宋_GB2312" w:eastAsia="仿宋_GB2312"/>
                <w:sz w:val="21"/>
                <w:color w:val="000000"/>
              </w:rPr>
              <w:t>Bug 修复、故障排除、系统功能完善，完成后台技术规则、参数变更和相关脚本撰写，开展业务培训等；并根据业务需求，协助相关业务人员开展接口联调测试、数据统计查询等工作，实现跨部门、跨系统数据及时准确传输。</w:t>
            </w:r>
          </w:p>
          <w:p>
            <w:pPr>
              <w:pStyle w:val="null3"/>
              <w:ind w:firstLine="422"/>
              <w:jc w:val="both"/>
            </w:pPr>
            <w:r>
              <w:rPr>
                <w:rFonts w:ascii="仿宋_GB2312" w:hAnsi="仿宋_GB2312" w:cs="仿宋_GB2312" w:eastAsia="仿宋_GB2312"/>
                <w:sz w:val="21"/>
                <w:b/>
                <w:color w:val="000000"/>
              </w:rPr>
              <w:t>（二）服务目标</w:t>
            </w:r>
          </w:p>
          <w:p>
            <w:pPr>
              <w:pStyle w:val="null3"/>
              <w:ind w:firstLine="420"/>
              <w:jc w:val="both"/>
            </w:pPr>
            <w:r>
              <w:rPr>
                <w:rFonts w:ascii="仿宋_GB2312" w:hAnsi="仿宋_GB2312" w:cs="仿宋_GB2312" w:eastAsia="仿宋_GB2312"/>
                <w:sz w:val="21"/>
                <w:color w:val="000000"/>
              </w:rPr>
              <w:t>一是系统稳定性保障。实时跟踪系统运行状态，对系统漏洞与故障及时响应并修复，保障系统平稳、安全运行。同时定期开展系统压力测试，模拟数据峰值等极端场景，验证平台承载能力，确保数据传输时系统功能不卡顿。二是系统功能优化。根据实际工作需求，完成系统功能迭代、补丁更新部署等操作，不断优化系统资源配置，降低资源占用率，</w:t>
            </w:r>
          </w:p>
          <w:p>
            <w:pPr>
              <w:pStyle w:val="null3"/>
              <w:jc w:val="both"/>
            </w:pPr>
            <w:r>
              <w:rPr>
                <w:rFonts w:ascii="仿宋_GB2312" w:hAnsi="仿宋_GB2312" w:cs="仿宋_GB2312" w:eastAsia="仿宋_GB2312"/>
                <w:sz w:val="21"/>
                <w:color w:val="000000"/>
              </w:rPr>
              <w:t>持续提升系统性能。三是开展技术培训。定期开展培训课程，围绕平台数据源管理、接口配置、接口发布等核心操作，开展相关课程并组织实操教学，确保使用人员熟练掌握系统功能。四是建立日常技术支持机制，通过线上答疑、线下驻场等方式，及时解决使用人员在接口配置、参数变更中遇到的系统操作问题，助力财政数据交互工作高效推进，切实将平台技术优势转化为业务实效。</w:t>
            </w:r>
          </w:p>
          <w:p>
            <w:pPr>
              <w:pStyle w:val="null3"/>
              <w:ind w:firstLine="422"/>
              <w:jc w:val="both"/>
            </w:pPr>
            <w:r>
              <w:rPr>
                <w:rFonts w:ascii="仿宋_GB2312" w:hAnsi="仿宋_GB2312" w:cs="仿宋_GB2312" w:eastAsia="仿宋_GB2312"/>
                <w:sz w:val="21"/>
                <w:b/>
                <w:color w:val="000000"/>
              </w:rPr>
              <w:t>二、需求分析</w:t>
            </w:r>
          </w:p>
          <w:p>
            <w:pPr>
              <w:pStyle w:val="null3"/>
              <w:ind w:firstLine="422"/>
              <w:jc w:val="both"/>
            </w:pPr>
            <w:r>
              <w:rPr>
                <w:rFonts w:ascii="仿宋_GB2312" w:hAnsi="仿宋_GB2312" w:cs="仿宋_GB2312" w:eastAsia="仿宋_GB2312"/>
                <w:sz w:val="21"/>
                <w:b/>
                <w:color w:val="000000"/>
              </w:rPr>
              <w:t>（一）服务内容</w:t>
            </w:r>
          </w:p>
          <w:p>
            <w:pPr>
              <w:pStyle w:val="null3"/>
              <w:ind w:firstLine="422"/>
              <w:jc w:val="left"/>
            </w:pPr>
            <w:r>
              <w:rPr>
                <w:rFonts w:ascii="仿宋_GB2312" w:hAnsi="仿宋_GB2312" w:cs="仿宋_GB2312" w:eastAsia="仿宋_GB2312"/>
                <w:sz w:val="21"/>
                <w:b/>
                <w:color w:val="000000"/>
              </w:rPr>
              <w:t>1.系统运行维护服务</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1）定期巡检服务</w:t>
            </w:r>
          </w:p>
          <w:p>
            <w:pPr>
              <w:pStyle w:val="null3"/>
              <w:ind w:firstLine="420"/>
              <w:jc w:val="both"/>
            </w:pPr>
            <w:r>
              <w:rPr>
                <w:rFonts w:ascii="仿宋_GB2312" w:hAnsi="仿宋_GB2312" w:cs="仿宋_GB2312" w:eastAsia="仿宋_GB2312"/>
                <w:sz w:val="21"/>
                <w:color w:val="000000"/>
              </w:rPr>
              <w:t>每日对系统运行情况开展巡检服务，并做好巡检记录，形成巡检报告。巡检内容包括但不限于：系统功能运行情况、数据库服务状态、中间件运行状态、接口调用及日志情况、系统服务进程及资源使用情况等。对巡检过程中发现的问题或缺陷应及时分析处理。</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2）故障处理服务</w:t>
            </w:r>
          </w:p>
          <w:p>
            <w:pPr>
              <w:pStyle w:val="null3"/>
              <w:ind w:firstLine="420"/>
              <w:jc w:val="both"/>
            </w:pPr>
            <w:r>
              <w:rPr>
                <w:rFonts w:ascii="仿宋_GB2312" w:hAnsi="仿宋_GB2312" w:cs="仿宋_GB2312" w:eastAsia="仿宋_GB2312"/>
                <w:sz w:val="21"/>
                <w:color w:val="000000"/>
              </w:rPr>
              <w:t>建立系统应急处理机制，提供故障应急处理服务，当网络访问异常或系统运行出现故障时，运维服务人员应立即上报，根据要求对问题进行排查和处理，使系统正常运行，保障系统在运维年度内的运行安全和数据安全。</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3）系统部署、迁移、测试</w:t>
            </w:r>
          </w:p>
          <w:p>
            <w:pPr>
              <w:pStyle w:val="null3"/>
              <w:ind w:firstLine="420"/>
              <w:jc w:val="both"/>
            </w:pPr>
            <w:r>
              <w:rPr>
                <w:rFonts w:ascii="仿宋_GB2312" w:hAnsi="仿宋_GB2312" w:cs="仿宋_GB2312" w:eastAsia="仿宋_GB2312"/>
                <w:sz w:val="21"/>
                <w:color w:val="000000"/>
              </w:rPr>
              <w:t>根据业务需求、系统优化等实际需要，配合开展系统部署、环境配置、数据迁移及相关测试工作，确保系统在调整过程中的稳定性和数据安全。</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4）系统压力测试服务</w:t>
            </w:r>
          </w:p>
          <w:p>
            <w:pPr>
              <w:pStyle w:val="null3"/>
              <w:ind w:firstLine="420"/>
              <w:jc w:val="both"/>
            </w:pPr>
            <w:r>
              <w:rPr>
                <w:rFonts w:ascii="仿宋_GB2312" w:hAnsi="仿宋_GB2312" w:cs="仿宋_GB2312" w:eastAsia="仿宋_GB2312"/>
                <w:sz w:val="21"/>
                <w:color w:val="000000"/>
              </w:rPr>
              <w:t>定期开展系统压力测试，模拟高并发访问及数据传输峰值等场景，对系统承载能力、响应性能进行验证。根据测试结果分析系统性能瓶颈，提出优化建议并配合实施，确保系统在高负载情况下稳定运行。</w:t>
            </w:r>
          </w:p>
          <w:p>
            <w:pPr>
              <w:pStyle w:val="null3"/>
              <w:ind w:firstLine="422"/>
              <w:jc w:val="both"/>
            </w:pPr>
            <w:r>
              <w:rPr>
                <w:rFonts w:ascii="仿宋_GB2312" w:hAnsi="仿宋_GB2312" w:cs="仿宋_GB2312" w:eastAsia="仿宋_GB2312"/>
                <w:sz w:val="21"/>
                <w:b/>
                <w:color w:val="000000"/>
              </w:rPr>
              <w:t>2.接口运维</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1）接口新增</w:t>
            </w:r>
          </w:p>
          <w:p>
            <w:pPr>
              <w:pStyle w:val="null3"/>
              <w:ind w:firstLine="420"/>
              <w:jc w:val="both"/>
            </w:pPr>
            <w:r>
              <w:rPr>
                <w:rFonts w:ascii="仿宋_GB2312" w:hAnsi="仿宋_GB2312" w:cs="仿宋_GB2312" w:eastAsia="仿宋_GB2312"/>
                <w:sz w:val="21"/>
                <w:color w:val="000000"/>
              </w:rPr>
              <w:t>根据数据整合共享需求及业务发展需要，跨部门、跨系统间数据共享越来越紧密，接口平台对接的业务场景不断扩展，接口平台严格按照系统对接接口标准方案，在接口平台测试数据库维护新增实体表及相关信息，包含库表英文名称、库表中文名称、英文字段、中文注释、字段类型、字段长度、字段精度、是否允许为空、默认值、主键、索引等内</w:t>
            </w:r>
          </w:p>
          <w:p>
            <w:pPr>
              <w:pStyle w:val="null3"/>
              <w:jc w:val="both"/>
            </w:pPr>
            <w:r>
              <w:rPr>
                <w:rFonts w:ascii="仿宋_GB2312" w:hAnsi="仿宋_GB2312" w:cs="仿宋_GB2312" w:eastAsia="仿宋_GB2312"/>
                <w:sz w:val="21"/>
                <w:color w:val="000000"/>
              </w:rPr>
              <w:t>容，并进行联调测试工作，确保每个接口联调测试正常。</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2）接口变更</w:t>
            </w:r>
          </w:p>
          <w:p>
            <w:pPr>
              <w:pStyle w:val="null3"/>
              <w:ind w:firstLine="420"/>
              <w:jc w:val="both"/>
            </w:pPr>
            <w:r>
              <w:rPr>
                <w:rFonts w:ascii="仿宋_GB2312" w:hAnsi="仿宋_GB2312" w:cs="仿宋_GB2312" w:eastAsia="仿宋_GB2312"/>
                <w:sz w:val="21"/>
                <w:color w:val="000000"/>
              </w:rPr>
              <w:t>近年来，随着业务需求变化及标准迭代更新，为保障业务顺利衔接及数据正常交互，已上线运行的数据接口、服务接口需同步调整更新。业务需求变化较大，需新增数据库实体表，并针对新增的数据库实体表进行接口联调测试；业务需求变化较小，新增或调整数据库实体表表字段、字段长度、字段精度、主键、索引等变更事项，确保变更后的输入接口和输出接口的数据标准、数据内容一致。</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3）接口上线</w:t>
            </w:r>
          </w:p>
          <w:p>
            <w:pPr>
              <w:pStyle w:val="null3"/>
              <w:ind w:firstLine="420"/>
              <w:jc w:val="both"/>
            </w:pPr>
            <w:r>
              <w:rPr>
                <w:rFonts w:ascii="仿宋_GB2312" w:hAnsi="仿宋_GB2312" w:cs="仿宋_GB2312" w:eastAsia="仿宋_GB2312"/>
                <w:sz w:val="21"/>
                <w:color w:val="000000"/>
              </w:rPr>
              <w:t>在接口平台测试环境联调工作完成后，接口平台生产数据库按照测试数据库配置的数据库实体表，在生产数据库逐一进行数据库实体表新增工作，主要包含新增库表英文名称、库表中文名称、英文字段、中文注释、字段类型、字段长度、字段精度、是否允许为空、默认值、主键、索引等。涉及内外网数据交互共享的业务，需要同步在网闸数据库进行上述操作。</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4）已上线接口运维</w:t>
            </w:r>
          </w:p>
          <w:p>
            <w:pPr>
              <w:pStyle w:val="null3"/>
              <w:ind w:firstLine="420"/>
              <w:jc w:val="both"/>
            </w:pPr>
            <w:r>
              <w:rPr>
                <w:rFonts w:ascii="仿宋_GB2312" w:hAnsi="仿宋_GB2312" w:cs="仿宋_GB2312" w:eastAsia="仿宋_GB2312"/>
                <w:sz w:val="21"/>
                <w:color w:val="000000"/>
              </w:rPr>
              <w:t>接口平台目前已上线运行了预算管理一体化系统与非税暨票据管理一体化平台系统、预算管理一体化系统与惠民一卡通兑付系统等应用场景，对已上线应用场景的接口进行运维监控，保障接口运行稳定，数据对接正常，并协助需求方进行数据接收状态查询。</w:t>
            </w:r>
          </w:p>
          <w:p>
            <w:pPr>
              <w:pStyle w:val="null3"/>
              <w:ind w:firstLine="422"/>
              <w:jc w:val="both"/>
            </w:pPr>
            <w:r>
              <w:rPr>
                <w:rFonts w:ascii="仿宋_GB2312" w:hAnsi="仿宋_GB2312" w:cs="仿宋_GB2312" w:eastAsia="仿宋_GB2312"/>
                <w:sz w:val="21"/>
                <w:b/>
                <w:color w:val="000000"/>
              </w:rPr>
              <w:t>3.系统更新服务</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1）系统 Bug修复</w:t>
            </w:r>
          </w:p>
          <w:p>
            <w:pPr>
              <w:pStyle w:val="null3"/>
              <w:ind w:firstLine="420"/>
              <w:jc w:val="both"/>
            </w:pPr>
            <w:r>
              <w:rPr>
                <w:rFonts w:ascii="仿宋_GB2312" w:hAnsi="仿宋_GB2312" w:cs="仿宋_GB2312" w:eastAsia="仿宋_GB2312"/>
                <w:sz w:val="21"/>
                <w:color w:val="000000"/>
              </w:rPr>
              <w:t>及时对系统产生的</w:t>
            </w:r>
            <w:r>
              <w:rPr>
                <w:rFonts w:ascii="仿宋_GB2312" w:hAnsi="仿宋_GB2312" w:cs="仿宋_GB2312" w:eastAsia="仿宋_GB2312"/>
                <w:sz w:val="21"/>
                <w:color w:val="000000"/>
              </w:rPr>
              <w:t>Bug、漏洞、设计缺陷进行修复，保证采购人稳定使用系统。修复内容包括但不限于功能缺失、功能异常、响应缓慢、内存泄漏、卡顿和死机、布局错乱、文字显示问题、图标显示错误、浏览器兼容性、操作系统兼容性、设备兼容性、权限漏洞、数据泄露、注入攻击、安全漏洞等问题。</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2）系统功能优化</w:t>
            </w:r>
          </w:p>
          <w:p>
            <w:pPr>
              <w:pStyle w:val="null3"/>
              <w:ind w:firstLine="420"/>
              <w:jc w:val="both"/>
            </w:pPr>
            <w:r>
              <w:rPr>
                <w:rFonts w:ascii="仿宋_GB2312" w:hAnsi="仿宋_GB2312" w:cs="仿宋_GB2312" w:eastAsia="仿宋_GB2312"/>
                <w:sz w:val="21"/>
                <w:color w:val="000000"/>
              </w:rPr>
              <w:t>对系统的代码进行持续优化，提高系统的性能和稳定性；根据系统的实际运行情况，调整系统的配置参数，以达到最佳的性能表现；根据采购人使用过程中的需求对现有功能模块进行优化调整，提升采购人满意度，优化功能流程。</w:t>
            </w:r>
          </w:p>
          <w:p>
            <w:pPr>
              <w:pStyle w:val="null3"/>
              <w:ind w:firstLine="422"/>
              <w:jc w:val="both"/>
            </w:pPr>
            <w:r>
              <w:rPr>
                <w:rFonts w:ascii="仿宋_GB2312" w:hAnsi="仿宋_GB2312" w:cs="仿宋_GB2312" w:eastAsia="仿宋_GB2312"/>
                <w:sz w:val="21"/>
                <w:b/>
                <w:color w:val="000000"/>
              </w:rPr>
              <w:t>4.数据统计服务</w:t>
            </w:r>
          </w:p>
          <w:p>
            <w:pPr>
              <w:pStyle w:val="null3"/>
              <w:ind w:firstLine="420"/>
              <w:jc w:val="both"/>
            </w:pPr>
            <w:r>
              <w:rPr>
                <w:rFonts w:ascii="仿宋_GB2312" w:hAnsi="仿宋_GB2312" w:cs="仿宋_GB2312" w:eastAsia="仿宋_GB2312"/>
                <w:sz w:val="21"/>
                <w:color w:val="000000"/>
              </w:rPr>
              <w:t>根据采购人的需求，提供相关数据统计服务，保证统计数据的完整性和准确度。</w:t>
            </w:r>
          </w:p>
          <w:p>
            <w:pPr>
              <w:pStyle w:val="null3"/>
              <w:ind w:firstLine="422"/>
              <w:jc w:val="both"/>
            </w:pPr>
            <w:r>
              <w:rPr>
                <w:rFonts w:ascii="仿宋_GB2312" w:hAnsi="仿宋_GB2312" w:cs="仿宋_GB2312" w:eastAsia="仿宋_GB2312"/>
                <w:sz w:val="21"/>
                <w:b/>
                <w:color w:val="000000"/>
              </w:rPr>
              <w:t>5.培训服务</w:t>
            </w:r>
          </w:p>
          <w:p>
            <w:pPr>
              <w:pStyle w:val="null3"/>
              <w:ind w:firstLine="420"/>
              <w:jc w:val="both"/>
            </w:pPr>
            <w:r>
              <w:rPr>
                <w:rFonts w:ascii="仿宋_GB2312" w:hAnsi="仿宋_GB2312" w:cs="仿宋_GB2312" w:eastAsia="仿宋_GB2312"/>
                <w:sz w:val="21"/>
                <w:color w:val="000000"/>
              </w:rPr>
              <w:t>根据采购人需求开展系统培训服务，培训内容包括平台操作、接口配置等，每年至少开展不少于</w:t>
            </w:r>
            <w:r>
              <w:rPr>
                <w:rFonts w:ascii="仿宋_GB2312" w:hAnsi="仿宋_GB2312" w:cs="仿宋_GB2312" w:eastAsia="仿宋_GB2312"/>
                <w:sz w:val="21"/>
                <w:color w:val="000000"/>
              </w:rPr>
              <w:t>2次集中培训，并根据需要提供日常技术指导，确保相关人员熟练掌握系统使用。</w:t>
            </w:r>
          </w:p>
          <w:p>
            <w:pPr>
              <w:pStyle w:val="null3"/>
              <w:ind w:firstLine="422"/>
              <w:jc w:val="both"/>
            </w:pPr>
            <w:r>
              <w:rPr>
                <w:rFonts w:ascii="仿宋_GB2312" w:hAnsi="仿宋_GB2312" w:cs="仿宋_GB2312" w:eastAsia="仿宋_GB2312"/>
                <w:sz w:val="21"/>
                <w:b/>
                <w:color w:val="000000"/>
              </w:rPr>
              <w:t>6.其他运维工作事项</w:t>
            </w:r>
          </w:p>
          <w:p>
            <w:pPr>
              <w:pStyle w:val="null3"/>
              <w:ind w:firstLine="420"/>
              <w:jc w:val="both"/>
            </w:pPr>
            <w:r>
              <w:rPr>
                <w:rFonts w:ascii="仿宋_GB2312" w:hAnsi="仿宋_GB2312" w:cs="仿宋_GB2312" w:eastAsia="仿宋_GB2312"/>
                <w:sz w:val="21"/>
                <w:color w:val="000000"/>
              </w:rPr>
              <w:t>完成采购人及其相关业务部门要求的其他工作事项。</w:t>
            </w:r>
          </w:p>
          <w:p>
            <w:pPr>
              <w:pStyle w:val="null3"/>
              <w:numPr>
                <w:ilvl w:val="0"/>
                <w:numId w:val="1"/>
              </w:numPr>
              <w:jc w:val="both"/>
            </w:pPr>
            <w:r>
              <w:rPr>
                <w:rFonts w:ascii="仿宋_GB2312" w:hAnsi="仿宋_GB2312" w:cs="仿宋_GB2312" w:eastAsia="仿宋_GB2312"/>
                <w:sz w:val="21"/>
                <w:b/>
                <w:color w:val="000000"/>
              </w:rPr>
              <w:t>服务要求</w:t>
            </w:r>
          </w:p>
          <w:p>
            <w:pPr>
              <w:pStyle w:val="null3"/>
              <w:ind w:firstLine="422"/>
              <w:jc w:val="left"/>
            </w:pPr>
            <w:r>
              <w:rPr>
                <w:rFonts w:ascii="仿宋_GB2312" w:hAnsi="仿宋_GB2312" w:cs="仿宋_GB2312" w:eastAsia="仿宋_GB2312"/>
                <w:sz w:val="21"/>
                <w:b/>
                <w:color w:val="000000"/>
              </w:rPr>
              <w:t>1.服务形式</w:t>
            </w:r>
          </w:p>
          <w:p>
            <w:pPr>
              <w:pStyle w:val="null3"/>
              <w:ind w:firstLine="420"/>
              <w:jc w:val="left"/>
            </w:pPr>
            <w:r>
              <w:rPr>
                <w:rFonts w:ascii="仿宋_GB2312" w:hAnsi="仿宋_GB2312" w:cs="仿宋_GB2312" w:eastAsia="仿宋_GB2312"/>
                <w:sz w:val="21"/>
                <w:color w:val="000000"/>
              </w:rPr>
              <w:t>★需2名运维人员提供运维服务。</w:t>
            </w:r>
          </w:p>
          <w:p>
            <w:pPr>
              <w:pStyle w:val="null3"/>
              <w:ind w:firstLine="422"/>
              <w:jc w:val="left"/>
            </w:pPr>
            <w:r>
              <w:rPr>
                <w:rFonts w:ascii="仿宋_GB2312" w:hAnsi="仿宋_GB2312" w:cs="仿宋_GB2312" w:eastAsia="仿宋_GB2312"/>
                <w:sz w:val="21"/>
                <w:b/>
                <w:color w:val="000000"/>
              </w:rPr>
              <w:t>2.日常巡检</w:t>
            </w:r>
          </w:p>
          <w:p>
            <w:pPr>
              <w:pStyle w:val="null3"/>
              <w:ind w:firstLine="420"/>
              <w:jc w:val="left"/>
            </w:pPr>
            <w:r>
              <w:rPr>
                <w:rFonts w:ascii="仿宋_GB2312" w:hAnsi="仿宋_GB2312" w:cs="仿宋_GB2312" w:eastAsia="仿宋_GB2312"/>
                <w:sz w:val="21"/>
                <w:color w:val="000000"/>
              </w:rPr>
              <w:t>每日对系统运行情况开展巡检服务，每次巡检均需做好记录，对巡检过程中发现的问题或缺陷应及时分析处理并形成巡检报告。</w:t>
            </w:r>
          </w:p>
          <w:p>
            <w:pPr>
              <w:pStyle w:val="null3"/>
              <w:ind w:firstLine="422"/>
              <w:jc w:val="left"/>
            </w:pPr>
            <w:r>
              <w:rPr>
                <w:rFonts w:ascii="仿宋_GB2312" w:hAnsi="仿宋_GB2312" w:cs="仿宋_GB2312" w:eastAsia="仿宋_GB2312"/>
                <w:sz w:val="21"/>
                <w:b/>
                <w:color w:val="000000"/>
              </w:rPr>
              <w:t>3.运维服务时间</w:t>
            </w:r>
          </w:p>
          <w:p>
            <w:pPr>
              <w:pStyle w:val="null3"/>
              <w:ind w:firstLine="420"/>
              <w:jc w:val="left"/>
            </w:pPr>
            <w:r>
              <w:rPr>
                <w:rFonts w:ascii="仿宋_GB2312" w:hAnsi="仿宋_GB2312" w:cs="仿宋_GB2312" w:eastAsia="仿宋_GB2312"/>
                <w:sz w:val="21"/>
                <w:color w:val="000000"/>
              </w:rPr>
              <w:t>提供</w:t>
            </w:r>
            <w:r>
              <w:rPr>
                <w:rFonts w:ascii="仿宋_GB2312" w:hAnsi="仿宋_GB2312" w:cs="仿宋_GB2312" w:eastAsia="仿宋_GB2312"/>
                <w:sz w:val="21"/>
                <w:color w:val="000000"/>
              </w:rPr>
              <w:t>5*8 小时工作日运维服务，7*24小时电话及工作群远程技术服务。</w:t>
            </w:r>
          </w:p>
          <w:p>
            <w:pPr>
              <w:pStyle w:val="null3"/>
              <w:ind w:firstLine="422"/>
              <w:jc w:val="left"/>
            </w:pPr>
            <w:r>
              <w:rPr>
                <w:rFonts w:ascii="仿宋_GB2312" w:hAnsi="仿宋_GB2312" w:cs="仿宋_GB2312" w:eastAsia="仿宋_GB2312"/>
                <w:sz w:val="21"/>
                <w:b/>
                <w:color w:val="000000"/>
              </w:rPr>
              <w:t>4.运维服务响应时限</w:t>
            </w:r>
          </w:p>
          <w:p>
            <w:pPr>
              <w:pStyle w:val="null3"/>
              <w:ind w:firstLine="420"/>
              <w:jc w:val="left"/>
            </w:pPr>
            <w:r>
              <w:rPr>
                <w:rFonts w:ascii="仿宋_GB2312" w:hAnsi="仿宋_GB2312" w:cs="仿宋_GB2312" w:eastAsia="仿宋_GB2312"/>
                <w:sz w:val="21"/>
                <w:color w:val="000000"/>
              </w:rPr>
              <w:t>运维技术人员接到采购人服务请求后，工作日</w:t>
            </w:r>
            <w:r>
              <w:rPr>
                <w:rFonts w:ascii="仿宋_GB2312" w:hAnsi="仿宋_GB2312" w:cs="仿宋_GB2312" w:eastAsia="仿宋_GB2312"/>
                <w:sz w:val="21"/>
                <w:color w:val="000000"/>
              </w:rPr>
              <w:t>30分钟内做出实质性响应，非工作日2小时内做出实质性响应，按照采购人要求时限完成任务。</w:t>
            </w:r>
          </w:p>
          <w:p>
            <w:pPr>
              <w:pStyle w:val="null3"/>
              <w:ind w:firstLine="422"/>
              <w:jc w:val="left"/>
            </w:pPr>
            <w:r>
              <w:rPr>
                <w:rFonts w:ascii="仿宋_GB2312" w:hAnsi="仿宋_GB2312" w:cs="仿宋_GB2312" w:eastAsia="仿宋_GB2312"/>
                <w:sz w:val="21"/>
                <w:b/>
                <w:color w:val="000000"/>
              </w:rPr>
              <w:t>5.故障响应时限</w:t>
            </w:r>
          </w:p>
          <w:p>
            <w:pPr>
              <w:pStyle w:val="null3"/>
              <w:ind w:firstLine="420"/>
              <w:jc w:val="left"/>
            </w:pPr>
            <w:r>
              <w:rPr>
                <w:rFonts w:ascii="仿宋_GB2312" w:hAnsi="仿宋_GB2312" w:cs="仿宋_GB2312" w:eastAsia="仿宋_GB2312"/>
                <w:sz w:val="21"/>
                <w:color w:val="000000"/>
              </w:rPr>
              <w:t>系统出现故障时，影响系统正常运行，运维厂商</w:t>
            </w:r>
            <w:r>
              <w:rPr>
                <w:rFonts w:ascii="仿宋_GB2312" w:hAnsi="仿宋_GB2312" w:cs="仿宋_GB2312" w:eastAsia="仿宋_GB2312"/>
                <w:sz w:val="21"/>
                <w:color w:val="000000"/>
              </w:rPr>
              <w:t>30分钟内做出实质性响应，非工作日2小时内做出实质性响应，原则上8小时内解决问题。</w:t>
            </w:r>
          </w:p>
          <w:p>
            <w:pPr>
              <w:pStyle w:val="null3"/>
              <w:ind w:firstLine="422"/>
              <w:jc w:val="left"/>
            </w:pPr>
            <w:r>
              <w:rPr>
                <w:rFonts w:ascii="仿宋_GB2312" w:hAnsi="仿宋_GB2312" w:cs="仿宋_GB2312" w:eastAsia="仿宋_GB2312"/>
                <w:sz w:val="21"/>
                <w:b/>
                <w:color w:val="000000"/>
              </w:rPr>
              <w:t>6.运维服务人员要求</w:t>
            </w:r>
          </w:p>
          <w:p>
            <w:pPr>
              <w:pStyle w:val="null3"/>
              <w:ind w:firstLine="420"/>
              <w:jc w:val="left"/>
            </w:pPr>
            <w:r>
              <w:rPr>
                <w:rFonts w:ascii="仿宋_GB2312" w:hAnsi="仿宋_GB2312" w:cs="仿宋_GB2312" w:eastAsia="仿宋_GB2312"/>
                <w:sz w:val="21"/>
                <w:color w:val="000000"/>
              </w:rPr>
              <w:t>需要选派具有同类运维项目经验的运维工程师，保障运维工作安全、稳定进行。且需相关开发人员提供技术支持，满足项目优化、升级等需求。</w:t>
            </w:r>
          </w:p>
          <w:p>
            <w:pPr>
              <w:pStyle w:val="null3"/>
              <w:ind w:firstLine="422"/>
              <w:jc w:val="left"/>
            </w:pPr>
            <w:r>
              <w:rPr>
                <w:rFonts w:ascii="仿宋_GB2312" w:hAnsi="仿宋_GB2312" w:cs="仿宋_GB2312" w:eastAsia="仿宋_GB2312"/>
                <w:sz w:val="21"/>
                <w:b/>
                <w:color w:val="000000"/>
              </w:rPr>
              <w:t>7.网络安全及人员保密要求</w:t>
            </w:r>
          </w:p>
          <w:p>
            <w:pPr>
              <w:pStyle w:val="null3"/>
              <w:ind w:firstLine="420"/>
              <w:jc w:val="left"/>
            </w:pPr>
            <w:r>
              <w:rPr>
                <w:rFonts w:ascii="仿宋_GB2312" w:hAnsi="仿宋_GB2312" w:cs="仿宋_GB2312" w:eastAsia="仿宋_GB2312"/>
                <w:sz w:val="21"/>
                <w:color w:val="000000"/>
              </w:rPr>
              <w:t>运维厂商以及技术人员应保障该系统稳定安全运行，确保该系统数据的安全性和可靠性，杜绝系统的数据泄露、篡改或丢失，数据不得用于运维工作之外的其他用途，并作好网络安全防范工作。运维期间，技术人员应对系统相关信息及数据进行保密，不得公开，或向第三方提供。一旦出现泄密情况，运维厂商应承担相关法律责任。</w:t>
            </w:r>
          </w:p>
          <w:p>
            <w:pPr>
              <w:pStyle w:val="null3"/>
              <w:ind w:firstLine="422"/>
              <w:jc w:val="both"/>
            </w:pPr>
            <w:r>
              <w:rPr>
                <w:rFonts w:ascii="仿宋_GB2312" w:hAnsi="仿宋_GB2312" w:cs="仿宋_GB2312" w:eastAsia="仿宋_GB2312"/>
                <w:sz w:val="21"/>
                <w:b/>
                <w:color w:val="000000"/>
              </w:rPr>
              <w:t>（三）服务周期</w:t>
            </w:r>
          </w:p>
          <w:p>
            <w:pPr>
              <w:pStyle w:val="null3"/>
              <w:ind w:firstLine="420"/>
              <w:jc w:val="both"/>
            </w:pPr>
            <w:r>
              <w:rPr>
                <w:rFonts w:ascii="仿宋_GB2312" w:hAnsi="仿宋_GB2312" w:cs="仿宋_GB2312" w:eastAsia="仿宋_GB2312"/>
                <w:sz w:val="21"/>
                <w:color w:val="000000"/>
              </w:rPr>
              <w:t>服务周期一年。</w:t>
            </w:r>
          </w:p>
          <w:p>
            <w:pPr>
              <w:pStyle w:val="null3"/>
              <w:ind w:firstLine="422"/>
              <w:jc w:val="both"/>
            </w:pPr>
            <w:r>
              <w:rPr>
                <w:rFonts w:ascii="仿宋_GB2312" w:hAnsi="仿宋_GB2312" w:cs="仿宋_GB2312" w:eastAsia="仿宋_GB2312"/>
                <w:sz w:val="21"/>
                <w:b/>
                <w:color w:val="000000"/>
              </w:rPr>
              <w:t>三、绩效目标</w:t>
            </w:r>
          </w:p>
          <w:tbl>
            <w:tblPr>
              <w:tblInd w:type="dxa" w:w="135"/>
              <w:tblBorders>
                <w:top w:val="none" w:color="000000" w:sz="4"/>
                <w:left w:val="none" w:color="000000" w:sz="4"/>
                <w:bottom w:val="none" w:color="000000" w:sz="4"/>
                <w:right w:val="none" w:color="000000" w:sz="4"/>
                <w:insideH w:val="none"/>
                <w:insideV w:val="none"/>
              </w:tblBorders>
            </w:tblPr>
            <w:tblGrid>
              <w:gridCol w:w="272"/>
              <w:gridCol w:w="444"/>
              <w:gridCol w:w="491"/>
              <w:gridCol w:w="497"/>
              <w:gridCol w:w="343"/>
              <w:gridCol w:w="479"/>
            </w:tblGrid>
            <w:tr>
              <w:tc>
                <w:tcPr>
                  <w:tcW w:type="dxa" w:w="71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项目名称</w:t>
                  </w:r>
                </w:p>
              </w:tc>
              <w:tc>
                <w:tcPr>
                  <w:tcW w:type="dxa" w:w="1810"/>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w:t>
                  </w:r>
                  <w:r>
                    <w:rPr>
                      <w:rFonts w:ascii="仿宋_GB2312" w:hAnsi="仿宋_GB2312" w:cs="仿宋_GB2312" w:eastAsia="仿宋_GB2312"/>
                      <w:sz w:val="21"/>
                      <w:color w:val="000000"/>
                    </w:rPr>
                    <w:t>省财政厅外部系统接口管理平台</w:t>
                  </w:r>
                </w:p>
              </w:tc>
            </w:tr>
            <w:tr>
              <w:tc>
                <w:tcPr>
                  <w:tcW w:type="dxa" w:w="71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主管部门</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陕西省财政厅</w:t>
                  </w:r>
                </w:p>
              </w:tc>
              <w:tc>
                <w:tcPr>
                  <w:tcW w:type="dxa" w:w="4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实施期限</w:t>
                  </w:r>
                </w:p>
              </w:tc>
              <w:tc>
                <w:tcPr>
                  <w:tcW w:type="dxa" w:w="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一年</w:t>
                  </w:r>
                </w:p>
              </w:tc>
              <w:tc>
                <w:tcPr>
                  <w:tcW w:type="dxa" w:w="47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执行率分值（</w:t>
                  </w:r>
                  <w:r>
                    <w:rPr>
                      <w:rFonts w:ascii="仿宋_GB2312" w:hAnsi="仿宋_GB2312" w:cs="仿宋_GB2312" w:eastAsia="仿宋_GB2312"/>
                      <w:sz w:val="21"/>
                      <w:color w:val="000000"/>
                    </w:rPr>
                    <w:t>10分）</w:t>
                  </w:r>
                </w:p>
              </w:tc>
            </w:tr>
            <w:tr>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资金金额</w:t>
                  </w:r>
                </w:p>
                <w:p>
                  <w:pPr>
                    <w:pStyle w:val="null3"/>
                    <w:jc w:val="center"/>
                  </w:pPr>
                  <w:r>
                    <w:rPr>
                      <w:rFonts w:ascii="仿宋_GB2312" w:hAnsi="仿宋_GB2312" w:cs="仿宋_GB2312" w:eastAsia="仿宋_GB2312"/>
                      <w:sz w:val="21"/>
                      <w:color w:val="000000"/>
                    </w:rPr>
                    <w:t>（万元）</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实施期资金总额：</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年度资金总额：</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9"/>
                  <w:vMerge/>
                  <w:tcBorders>
                    <w:top w:val="single" w:color="000000" w:sz="4"/>
                    <w:left w:val="single" w:color="000000" w:sz="4"/>
                    <w:bottom w:val="single" w:color="000000" w:sz="4"/>
                    <w:right w:val="single" w:color="000000" w:sz="4"/>
                  </w:tcBorders>
                </w:tcPr>
                <w:p/>
              </w:tc>
            </w:tr>
            <w:tr>
              <w:tc>
                <w:tcPr>
                  <w:tcW w:type="dxa" w:w="272"/>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其中：财政拨款</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其中：财政拨款</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9"/>
                  <w:vMerge/>
                  <w:tcBorders>
                    <w:top w:val="single" w:color="000000" w:sz="4"/>
                    <w:left w:val="single" w:color="000000" w:sz="4"/>
                    <w:bottom w:val="single" w:color="000000" w:sz="4"/>
                    <w:right w:val="single" w:color="000000" w:sz="4"/>
                  </w:tcBorders>
                </w:tcPr>
                <w:p/>
              </w:tc>
            </w:tr>
            <w:tr>
              <w:tc>
                <w:tcPr>
                  <w:tcW w:type="dxa" w:w="272"/>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其他资金</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其他资金</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9"/>
                  <w:vMerge/>
                  <w:tcBorders>
                    <w:top w:val="single" w:color="000000" w:sz="4"/>
                    <w:left w:val="single" w:color="000000" w:sz="4"/>
                    <w:bottom w:val="single" w:color="000000" w:sz="4"/>
                    <w:right w:val="single" w:color="000000" w:sz="4"/>
                  </w:tcBorders>
                </w:tcPr>
                <w:p/>
              </w:tc>
            </w:tr>
            <w:tr>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总</w:t>
                  </w:r>
                </w:p>
                <w:p>
                  <w:pPr>
                    <w:pStyle w:val="null3"/>
                    <w:jc w:val="center"/>
                  </w:pPr>
                  <w:r>
                    <w:rPr>
                      <w:rFonts w:ascii="仿宋_GB2312" w:hAnsi="仿宋_GB2312" w:cs="仿宋_GB2312" w:eastAsia="仿宋_GB2312"/>
                      <w:sz w:val="21"/>
                      <w:color w:val="000000"/>
                    </w:rPr>
                    <w:t>体</w:t>
                  </w:r>
                </w:p>
                <w:p>
                  <w:pPr>
                    <w:pStyle w:val="null3"/>
                    <w:jc w:val="center"/>
                  </w:pPr>
                  <w:r>
                    <w:rPr>
                      <w:rFonts w:ascii="仿宋_GB2312" w:hAnsi="仿宋_GB2312" w:cs="仿宋_GB2312" w:eastAsia="仿宋_GB2312"/>
                      <w:sz w:val="21"/>
                      <w:color w:val="000000"/>
                    </w:rPr>
                    <w:t>目</w:t>
                  </w:r>
                </w:p>
                <w:p>
                  <w:pPr>
                    <w:pStyle w:val="null3"/>
                    <w:jc w:val="center"/>
                  </w:pPr>
                  <w:r>
                    <w:rPr>
                      <w:rFonts w:ascii="仿宋_GB2312" w:hAnsi="仿宋_GB2312" w:cs="仿宋_GB2312" w:eastAsia="仿宋_GB2312"/>
                      <w:sz w:val="21"/>
                      <w:color w:val="000000"/>
                    </w:rPr>
                    <w:t>标</w:t>
                  </w:r>
                </w:p>
              </w:tc>
              <w:tc>
                <w:tcPr>
                  <w:tcW w:type="dxa" w:w="143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实施期总目标</w:t>
                  </w:r>
                </w:p>
              </w:tc>
              <w:tc>
                <w:tcPr>
                  <w:tcW w:type="dxa" w:w="8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年度总目标</w:t>
                  </w:r>
                </w:p>
              </w:tc>
            </w:tr>
            <w:tr>
              <w:tc>
                <w:tcPr>
                  <w:tcW w:type="dxa" w:w="272"/>
                  <w:vMerge/>
                  <w:tcBorders>
                    <w:top w:val="none" w:color="000000" w:sz="4"/>
                    <w:left w:val="single" w:color="000000" w:sz="4"/>
                    <w:bottom w:val="single" w:color="000000" w:sz="4"/>
                    <w:right w:val="single" w:color="000000" w:sz="4"/>
                  </w:tcBorders>
                </w:tcPr>
                <w:p/>
              </w:tc>
              <w:tc>
                <w:tcPr>
                  <w:tcW w:type="dxa" w:w="143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通过运维服务保障接口平台稳定、安全、高效的运行，实现跨部门、跨系统数据及时、准确传输，完成新增接口开发和历史接口运维，实现各领域数据共享</w:t>
                  </w:r>
                  <w:r>
                    <w:rPr>
                      <w:rFonts w:ascii="仿宋_GB2312" w:hAnsi="仿宋_GB2312" w:cs="仿宋_GB2312" w:eastAsia="仿宋_GB2312"/>
                      <w:sz w:val="21"/>
                      <w:color w:val="000000"/>
                    </w:rPr>
                    <w:t>,不断提升预算工作科学性、前瞻性。</w:t>
                  </w:r>
                </w:p>
              </w:tc>
              <w:tc>
                <w:tcPr>
                  <w:tcW w:type="dxa" w:w="8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保障接口平台顺利运行，完成新增接口开发和历史接口运维，加强</w:t>
                  </w:r>
                  <w:r>
                    <w:rPr>
                      <w:rFonts w:ascii="仿宋_GB2312" w:hAnsi="仿宋_GB2312" w:cs="仿宋_GB2312" w:eastAsia="仿宋_GB2312"/>
                      <w:sz w:val="21"/>
                      <w:color w:val="000000"/>
                    </w:rPr>
                    <w:t>系统运维服务能力，对系统自身问题不断完善和修正，针对系统安全漏洞及时升级，促进系统持续稳定运行。</w:t>
                  </w:r>
                </w:p>
              </w:tc>
            </w:tr>
            <w:tr>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年</w:t>
                  </w:r>
                </w:p>
                <w:p>
                  <w:pPr>
                    <w:pStyle w:val="null3"/>
                    <w:jc w:val="center"/>
                  </w:pPr>
                  <w:r>
                    <w:rPr>
                      <w:rFonts w:ascii="仿宋_GB2312" w:hAnsi="仿宋_GB2312" w:cs="仿宋_GB2312" w:eastAsia="仿宋_GB2312"/>
                      <w:sz w:val="21"/>
                      <w:color w:val="000000"/>
                    </w:rPr>
                    <w:t>度</w:t>
                  </w:r>
                </w:p>
                <w:p>
                  <w:pPr>
                    <w:pStyle w:val="null3"/>
                    <w:jc w:val="center"/>
                  </w:pPr>
                  <w:r>
                    <w:rPr>
                      <w:rFonts w:ascii="仿宋_GB2312" w:hAnsi="仿宋_GB2312" w:cs="仿宋_GB2312" w:eastAsia="仿宋_GB2312"/>
                      <w:sz w:val="21"/>
                      <w:color w:val="000000"/>
                    </w:rPr>
                    <w:t>绩</w:t>
                  </w:r>
                </w:p>
                <w:p>
                  <w:pPr>
                    <w:pStyle w:val="null3"/>
                    <w:jc w:val="center"/>
                  </w:pPr>
                  <w:r>
                    <w:rPr>
                      <w:rFonts w:ascii="仿宋_GB2312" w:hAnsi="仿宋_GB2312" w:cs="仿宋_GB2312" w:eastAsia="仿宋_GB2312"/>
                      <w:sz w:val="21"/>
                      <w:color w:val="000000"/>
                    </w:rPr>
                    <w:t>效</w:t>
                  </w:r>
                </w:p>
                <w:p>
                  <w:pPr>
                    <w:pStyle w:val="null3"/>
                    <w:jc w:val="center"/>
                  </w:pPr>
                  <w:r>
                    <w:rPr>
                      <w:rFonts w:ascii="仿宋_GB2312" w:hAnsi="仿宋_GB2312" w:cs="仿宋_GB2312" w:eastAsia="仿宋_GB2312"/>
                      <w:sz w:val="21"/>
                      <w:color w:val="000000"/>
                    </w:rPr>
                    <w:t>目</w:t>
                  </w:r>
                </w:p>
                <w:p>
                  <w:pPr>
                    <w:pStyle w:val="null3"/>
                    <w:jc w:val="center"/>
                  </w:pPr>
                  <w:r>
                    <w:rPr>
                      <w:rFonts w:ascii="仿宋_GB2312" w:hAnsi="仿宋_GB2312" w:cs="仿宋_GB2312" w:eastAsia="仿宋_GB2312"/>
                      <w:sz w:val="21"/>
                      <w:color w:val="000000"/>
                    </w:rPr>
                    <w:t>标</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一级目标</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二级目标</w:t>
                  </w:r>
                </w:p>
              </w:tc>
              <w:tc>
                <w:tcPr>
                  <w:tcW w:type="dxa" w:w="4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三级指标</w:t>
                  </w:r>
                </w:p>
              </w:tc>
              <w:tc>
                <w:tcPr>
                  <w:tcW w:type="dxa" w:w="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指标值</w:t>
                  </w:r>
                </w:p>
              </w:tc>
              <w:tc>
                <w:tcPr>
                  <w:tcW w:type="dxa" w:w="4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分值权重</w:t>
                  </w:r>
                </w:p>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90分）</w:t>
                  </w:r>
                </w:p>
              </w:tc>
            </w:tr>
            <w:tr>
              <w:tc>
                <w:tcPr>
                  <w:tcW w:type="dxa" w:w="272"/>
                  <w:vMerge/>
                  <w:tcBorders>
                    <w:top w:val="none" w:color="000000" w:sz="4"/>
                    <w:left w:val="single" w:color="000000" w:sz="4"/>
                    <w:bottom w:val="single" w:color="000000" w:sz="4"/>
                    <w:right w:val="single" w:color="000000" w:sz="4"/>
                  </w:tcBorders>
                </w:tcP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产出</w:t>
                  </w:r>
                </w:p>
                <w:p>
                  <w:pPr>
                    <w:pStyle w:val="null3"/>
                    <w:jc w:val="center"/>
                  </w:pPr>
                  <w:r>
                    <w:rPr>
                      <w:rFonts w:ascii="仿宋_GB2312" w:hAnsi="仿宋_GB2312" w:cs="仿宋_GB2312" w:eastAsia="仿宋_GB2312"/>
                      <w:sz w:val="21"/>
                      <w:color w:val="000000"/>
                    </w:rPr>
                    <w:t>指标</w:t>
                  </w:r>
                </w:p>
              </w:tc>
              <w:tc>
                <w:tcPr>
                  <w:tcW w:type="dxa" w:w="4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数量指标</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系统数量</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2"/>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491"/>
                  <w:vMerge/>
                  <w:tcBorders>
                    <w:top w:val="none" w:color="000000" w:sz="4"/>
                    <w:left w:val="single" w:color="000000" w:sz="4"/>
                    <w:bottom w:val="single" w:color="000000" w:sz="4"/>
                    <w:right w:val="single" w:color="000000" w:sz="4"/>
                  </w:tcBorders>
                </w:tcP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运维人数</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2"/>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4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质量指标</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服务响应时间达标率</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2"/>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491"/>
                  <w:vMerge/>
                  <w:tcBorders>
                    <w:top w:val="none" w:color="000000" w:sz="4"/>
                    <w:left w:val="single" w:color="000000" w:sz="4"/>
                    <w:bottom w:val="single" w:color="000000" w:sz="4"/>
                    <w:right w:val="single" w:color="000000" w:sz="4"/>
                  </w:tcBorders>
                </w:tcP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故障响应率</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2"/>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491"/>
                  <w:vMerge/>
                  <w:tcBorders>
                    <w:top w:val="none" w:color="000000" w:sz="4"/>
                    <w:left w:val="single" w:color="000000" w:sz="4"/>
                    <w:bottom w:val="single" w:color="000000" w:sz="4"/>
                    <w:right w:val="single" w:color="000000" w:sz="4"/>
                  </w:tcBorders>
                </w:tcP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故障排查率</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2"/>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4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时效指标</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服务期限（月）</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2"/>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491"/>
                  <w:vMerge/>
                  <w:tcBorders>
                    <w:top w:val="none" w:color="000000" w:sz="4"/>
                    <w:left w:val="single" w:color="000000" w:sz="4"/>
                    <w:bottom w:val="single" w:color="000000" w:sz="4"/>
                    <w:right w:val="single" w:color="000000" w:sz="4"/>
                  </w:tcBorders>
                </w:tcP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标准日常运维服务（小时）</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2"/>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491"/>
                  <w:vMerge/>
                  <w:tcBorders>
                    <w:top w:val="none" w:color="000000" w:sz="4"/>
                    <w:left w:val="single" w:color="000000" w:sz="4"/>
                    <w:bottom w:val="single" w:color="000000" w:sz="4"/>
                    <w:right w:val="single" w:color="000000" w:sz="4"/>
                  </w:tcBorders>
                </w:tcP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重点响应服务（小时）</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7*24</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2"/>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491"/>
                  <w:vMerge/>
                  <w:tcBorders>
                    <w:top w:val="none" w:color="000000" w:sz="4"/>
                    <w:left w:val="single" w:color="000000" w:sz="4"/>
                    <w:bottom w:val="single" w:color="000000" w:sz="4"/>
                    <w:right w:val="single" w:color="000000" w:sz="4"/>
                  </w:tcBorders>
                </w:tcP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到达现场时间（小时）</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2"/>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491"/>
                  <w:vMerge/>
                  <w:tcBorders>
                    <w:top w:val="none" w:color="000000" w:sz="4"/>
                    <w:left w:val="single" w:color="000000" w:sz="4"/>
                    <w:bottom w:val="single" w:color="000000" w:sz="4"/>
                    <w:right w:val="single" w:color="000000" w:sz="4"/>
                  </w:tcBorders>
                </w:tcP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服务响应评估时间（小时）</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2"/>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效益</w:t>
                  </w:r>
                </w:p>
                <w:p>
                  <w:pPr>
                    <w:pStyle w:val="null3"/>
                    <w:jc w:val="center"/>
                  </w:pPr>
                  <w:r>
                    <w:rPr>
                      <w:rFonts w:ascii="仿宋_GB2312" w:hAnsi="仿宋_GB2312" w:cs="仿宋_GB2312" w:eastAsia="仿宋_GB2312"/>
                      <w:sz w:val="21"/>
                      <w:color w:val="000000"/>
                    </w:rPr>
                    <w:t>指标</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社会效益</w:t>
                  </w:r>
                </w:p>
                <w:p>
                  <w:pPr>
                    <w:pStyle w:val="null3"/>
                    <w:jc w:val="center"/>
                  </w:pPr>
                  <w:r>
                    <w:rPr>
                      <w:rFonts w:ascii="仿宋_GB2312" w:hAnsi="仿宋_GB2312" w:cs="仿宋_GB2312" w:eastAsia="仿宋_GB2312"/>
                      <w:sz w:val="21"/>
                      <w:color w:val="000000"/>
                    </w:rPr>
                    <w:t>指标</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运维服务对接口平台的支撑程度</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2"/>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满意度</w:t>
                  </w:r>
                </w:p>
                <w:p>
                  <w:pPr>
                    <w:pStyle w:val="null3"/>
                    <w:jc w:val="center"/>
                  </w:pPr>
                  <w:r>
                    <w:rPr>
                      <w:rFonts w:ascii="仿宋_GB2312" w:hAnsi="仿宋_GB2312" w:cs="仿宋_GB2312" w:eastAsia="仿宋_GB2312"/>
                      <w:sz w:val="21"/>
                      <w:color w:val="000000"/>
                    </w:rPr>
                    <w:t>指标</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服务对象满意度指标</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使用人员满意度</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陕西省财政厅指定地点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本项目首期款以甲方财政资金实际到位且相关运维（服务）准备工作完成后，监理单位签发开工令，乙方书面提出支付申请函及与拟支付金额等额的符合甲方财务管理要求的相应发票，甲方确认后启动首期款支付流程，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服务期满，且经甲方评价后30个工作日内，依据甲方服务评价结果或结算审计结果（如有）确认的金额，乙方书面提出支付申请函及与拟支付金额等额的符合甲方财务管理要求的相应发票，甲方确认后启动尾款支付流程，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3、提供响应文件递交截止时间前六个月内至少一个月的纳税证明或完税证明，依法免税的单位应提供相关证明材料；时间以税款所属时期为准 4、提供响应文件递交截止时间前近六个月内至少一个月的社会保障资金缴存单据或社保机构开具的社会保险参保缴费情况证明，依法不需要缴纳社会保障资金的单位应提供相关证明材料。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其他资格证明文件.docx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扫描件或复印件，应满足以下要求：①资信证明须为递交响应文件截止时间前三个月内由供应商开户银行出具。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其他资格证明文件.docx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 ”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其他资格证明文件.docx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1.在磋商过程中，磋商小组认为供应商报价明显低于其他实质性响应的供应商报价，有可能影响产品质量或者不能诚信履约的，磋商小组应当要求其在合理的时间内提供成本构成书面说明，并提交相关证明材料。 2.异常低价审查 2.1评审中出现下列情形之一的，磋商小组应当启动异常低价投标审查程序： （1）响应报价低于采购项目最高限价45%的，即投标报价&lt;采购项目最高限价×45%； （2）评标委员会基于专业判断，认为供应商报价过低，有可能影响产品质量或者不能诚信履约的其他情形。 相关法律法规对供应商报价有规定的，从其规定。 2.2评标委员会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投标人提交的相关说明和证明材料，应当加盖投标人（法定名称）电子印章，在评标委员会要求的时间内通过项目电子化交易系统进行提交，否则提交的相关证明材料无效</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供应商结合采购需求进行自主分析，并对现有需求进行梳理。要求对项目需求充分理解，对政策把握准确，并结合现状，提出模块运维现阶段维保存在得问题。 （1）方案逻辑层次清晰、针对性强、与采购内容的吻合程度高的，得6分； （2）方案逻辑层次较清晰、针对性较强、与采购内容的吻合程度一般，内容较简单的，得4分； （3）方案逻辑层次不清晰、不全面，得2分； （4）未提供的不得分。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一、供应商提供具体完善的总体实施运维方案，包括但不限于：①系统运行维护服务；②接口运维服务；③系统更新服务；④数据统计服务；⑤培训服务；并按照以下标准评审： 二、评审标准 1、完整性：方案必须全面，对评审内容中的各项要求有详细描述； 2、可实施性：切合本项目实际情况，提出步骤清晰、合理的方案； 3、针对性：方案能够紧扣项目实际情况，内容科学合理。 三、赋分标准（满分30分） ①系统运行维护服务：每满足一个评审标准得2分，不满足得0分，满分6分； ②接口运维服务：每满足一个评审标准得2分，不满足得0分，满分6分； ③系统更新服务：每满足一个评审标准得2分，不满足得0分，满分6分； ④数据统计服务：每满足一个评审标准得2分，不满足得0分，满分6分； ⑤培训服务：每满足一个评审标准得2分，不满足得0分，满分6分；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人员配置1</w:t>
            </w:r>
          </w:p>
        </w:tc>
        <w:tc>
          <w:tcPr>
            <w:tcW w:type="dxa" w:w="2492"/>
          </w:tcPr>
          <w:p>
            <w:pPr>
              <w:pStyle w:val="null3"/>
            </w:pPr>
            <w:r>
              <w:rPr>
                <w:rFonts w:ascii="仿宋_GB2312" w:hAnsi="仿宋_GB2312" w:cs="仿宋_GB2312" w:eastAsia="仿宋_GB2312"/>
              </w:rPr>
              <w:t>1.针对本项目配备明确的项目服务团队及能力： 服务团队成员满足采购需求的基础要求（2名运维工程师），根据人员配置的完整性及专业技术能力评审； （1）项目服务团队配置完整，具备接口开发、数据库及运维的能力，能够完全保障运维服务质量得6分； （2）项目服务团队配置较完整，基本具备接口开发、数据库及运维的能力，能够保障运维服务质量得4分； （3）项目服务团队仅具备基础运维能力，开发及数据库能力较弱，难以保障运维服务得2分。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人员配置2</w:t>
            </w:r>
          </w:p>
        </w:tc>
        <w:tc>
          <w:tcPr>
            <w:tcW w:type="dxa" w:w="2492"/>
          </w:tcPr>
          <w:p>
            <w:pPr>
              <w:pStyle w:val="null3"/>
            </w:pPr>
            <w:r>
              <w:rPr>
                <w:rFonts w:ascii="仿宋_GB2312" w:hAnsi="仿宋_GB2312" w:cs="仿宋_GB2312" w:eastAsia="仿宋_GB2312"/>
              </w:rPr>
              <w:t>2、项目服务团队人员具有类似项目经验，每有一个人员具有类似项目经验得1.5分，最高得3分。提供相关证明材料（包括但不限于合同、中标通知书、业主证明、成果文件等）。 注：以上人员需提供磋商截止日前近3个月内任意一个月在本单位社保缴纳凭证（须加盖单位公章），未提供本项不得分。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供应商根据采购要求，针对软硬件突发事件、故障等有具体可行的应急处置和解决方案： （1）方案逻辑层次清晰、针对性强、与采购内容的吻合程度高的，得8分； （2）方案逻辑层次较清晰、针对性较强、与采购内容的吻合程度一般，内容较简单的，得5分； （3）方案逻辑层次不清晰、不全面，得2分； （4）未提供的不得分。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交接方案</w:t>
            </w:r>
          </w:p>
        </w:tc>
        <w:tc>
          <w:tcPr>
            <w:tcW w:type="dxa" w:w="2492"/>
          </w:tcPr>
          <w:p>
            <w:pPr>
              <w:pStyle w:val="null3"/>
            </w:pPr>
            <w:r>
              <w:rPr>
                <w:rFonts w:ascii="仿宋_GB2312" w:hAnsi="仿宋_GB2312" w:cs="仿宋_GB2312" w:eastAsia="仿宋_GB2312"/>
              </w:rPr>
              <w:t>供应商针对本项目提供详细的交接方案： 供应商提供与原维护单位交接方案，保障项目实施顺利进行，根据交接的数据完整、安全保障、保密性评审： （1）方案完整详细、描述清晰、内容科学合理、可实施性强的，保障项目顺利交接方案评审，得6分。 （2）方案较完整但简单、内容合理性及可实施性一般的，得4分。 （3）方案内容有缺失，影响到项目实施的，得2分。 （4）未提供的不得分。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供应商针对本项目提出实施过程具体的运维质量保证措施，由磋商小组进行综合评审： （1）方案逻辑层次清晰、针对性强、能够充分保证本项目质量标准的，得8分； （2）方案逻辑层次较清晰、针对性较强、能够保证本项目质量要求的，得5分； （3）方案逻辑层次不清晰、不全面，较难达到本项目质量控制目标的，得2分； （4）未提供的不得分。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供应商针对项目运维期间安全保密职责提供具体的保密措施，由磋商小组进行综合评审： （1）保密措施内容详细完整，且利于项目实施的得8分； （2）保密措施内容满足本项目需求，合理且不影响项目实施的得 5分； （3）保密措施内容有欠缺，影响到项目实施的得2分； （4）未提供的不得分。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提供自2023年1月1日以来供应商承担的类似项目业绩，每提供一个得1分，最多得5分。以合同签订日期为准。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基准价：有效响应文件最后报价中的最低报价为评审基准价。供应商报价得分：报价得分=(评审基准价／最后报价)×20。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详见附件：拟投入专业人员.docx</w:t>
      </w:r>
    </w:p>
    <w:p>
      <w:pPr>
        <w:pStyle w:val="null3"/>
        <w:ind w:firstLine="960"/>
      </w:pPr>
      <w:r>
        <w:rPr>
          <w:rFonts w:ascii="仿宋_GB2312" w:hAnsi="仿宋_GB2312" w:cs="仿宋_GB2312" w:eastAsia="仿宋_GB2312"/>
        </w:rPr>
        <w:t>详见附件：其他资格证明文件.docx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详见附件：陕西省财政厅运维服务类项目合同书（范本）.docx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