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 xml:space="preserve">截止时间前近六个月中至少一个月的纳税证明或完税证明，依法免税的单位应提供相关证明材料；时间以税款所属时期为准 </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highlight w:val="none"/>
        </w:rPr>
        <w:t>且2022年10月1日后出具的审计报告应当经过</w:t>
      </w:r>
      <w:r>
        <w:rPr>
          <w:rFonts w:ascii="仿宋_GB2312" w:hAnsi="仿宋_GB2312" w:eastAsia="仿宋_GB2312" w:cs="仿宋_GB2312"/>
          <w:b/>
          <w:bCs/>
          <w:color w:val="0000FF"/>
          <w:highlight w:val="none"/>
        </w:rPr>
        <w:t>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网站（www.creditchina.gov.cn）和中国政府采购网（www.ccgp.gov.cn）上被列入失信 被执行人、重大税收违法失信主体、政府采购 严重违法失信行为记录名单的，不得参加磋商：</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ABC544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3FAD7097">
      <w:bookmarkStart w:id="0" w:name="_GoBack"/>
      <w:bookmarkEnd w:id="0"/>
    </w:p>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w:t>
      </w:r>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37D56E7"/>
    <w:rsid w:val="0A06052B"/>
    <w:rsid w:val="0EDA46E0"/>
    <w:rsid w:val="2105312C"/>
    <w:rsid w:val="212E4233"/>
    <w:rsid w:val="2DCF44E2"/>
    <w:rsid w:val="300264A9"/>
    <w:rsid w:val="37121898"/>
    <w:rsid w:val="408E4B20"/>
    <w:rsid w:val="4629227B"/>
    <w:rsid w:val="61526029"/>
    <w:rsid w:val="6F3F7B68"/>
    <w:rsid w:val="75B01AD0"/>
    <w:rsid w:val="77C33D3D"/>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1799</Words>
  <Characters>1847</Characters>
  <Lines>0</Lines>
  <Paragraphs>0</Paragraphs>
  <TotalTime>0</TotalTime>
  <ScaleCrop>false</ScaleCrop>
  <LinksUpToDate>false</LinksUpToDate>
  <CharactersWithSpaces>1928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投标函编辑</cp:lastModifiedBy>
  <dcterms:modified xsi:type="dcterms:W3CDTF">2026-04-13T10:30:32Z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