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版本号：SXZCZB2026-ZCCS-073520260713001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业务用房改造提升项目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SXZCZB2026-ZCCS-0735</w:t>
      </w:r>
      <w:r>
        <w:br/>
      </w:r>
      <w:r>
        <w:br/>
      </w:r>
      <w:r>
        <w:br/>
      </w:r>
    </w:p>
    <w:p>
      <w:pPr>
        <w:pStyle w:val="null3"/>
        <w:jc w:val="center"/>
        <w:outlineLvl w:val="2"/>
      </w:pPr>
      <w:r>
        <w:rPr>
          <w:rFonts w:ascii="仿宋_GB2312" w:hAnsi="仿宋_GB2312" w:cs="仿宋_GB2312" w:eastAsia="仿宋_GB2312"/>
          <w:sz w:val="28"/>
          <w:b/>
        </w:rPr>
        <w:t>镇安县医院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镇安县医院</w:t>
      </w:r>
      <w:r>
        <w:rPr>
          <w:rFonts w:ascii="仿宋_GB2312" w:hAnsi="仿宋_GB2312" w:cs="仿宋_GB2312" w:eastAsia="仿宋_GB2312"/>
        </w:rPr>
        <w:t>委托，拟对</w:t>
      </w:r>
      <w:r>
        <w:rPr>
          <w:rFonts w:ascii="仿宋_GB2312" w:hAnsi="仿宋_GB2312" w:cs="仿宋_GB2312" w:eastAsia="仿宋_GB2312"/>
        </w:rPr>
        <w:t>业务用房改造提升项目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SXZCZB2026-ZCCS-0735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业务用房改造提升项目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镇安县医院业务用房改造提升项目，包括妇产科改造、手术室改造、原便民药房改造为介入手术室。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采购包1（业务用房改造提升项目）：属于专门面向中小企业采购。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1、营业执照等主体资格证明⽂件：提供合格有效的法人或者其他组织的营业执照等证明文件，自然人的身份证明；</w:t>
      </w:r>
    </w:p>
    <w:p>
      <w:pPr>
        <w:pStyle w:val="null3"/>
      </w:pPr>
      <w:r>
        <w:rPr>
          <w:rFonts w:ascii="仿宋_GB2312" w:hAnsi="仿宋_GB2312" w:cs="仿宋_GB2312" w:eastAsia="仿宋_GB2312"/>
        </w:rPr>
        <w:t>2、法定代表⼈委托书：提供法定代表人授权书（附法定代表人、被授权人身份证复印件），法定代表人直接参加的，须提供法定代表人身份证明及身份证复印件；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6、企业资质：供应商须具备【建筑工程施工总承包三级】及以上资质或【建筑装修装饰工程专业承包二级】及以上资质，并提供有效的安全生产许可证；</w:t>
      </w:r>
    </w:p>
    <w:p>
      <w:pPr>
        <w:pStyle w:val="null3"/>
      </w:pPr>
      <w:r>
        <w:rPr>
          <w:rFonts w:ascii="仿宋_GB2312" w:hAnsi="仿宋_GB2312" w:cs="仿宋_GB2312" w:eastAsia="仿宋_GB2312"/>
        </w:rPr>
        <w:t>7、项目经理：供应商拟派项目经理须具备建筑工程专业二级及以上注册建造师资质、具有安全生产考核合格证（B证），且无在建工程（提供无在建承诺书）；</w:t>
      </w:r>
    </w:p>
    <w:p>
      <w:pPr>
        <w:pStyle w:val="null3"/>
      </w:pPr>
      <w:r>
        <w:rPr>
          <w:rFonts w:ascii="仿宋_GB2312" w:hAnsi="仿宋_GB2312" w:cs="仿宋_GB2312" w:eastAsia="仿宋_GB2312"/>
        </w:rPr>
        <w:t>8、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9、⽆重⼤违法声明：参加政府采购活动前3年内，在经营活动中没有重大违法记录的书面声明；</w:t>
      </w:r>
    </w:p>
    <w:p>
      <w:pPr>
        <w:pStyle w:val="null3"/>
      </w:pPr>
      <w:r>
        <w:rPr>
          <w:rFonts w:ascii="仿宋_GB2312" w:hAnsi="仿宋_GB2312" w:cs="仿宋_GB2312" w:eastAsia="仿宋_GB2312"/>
        </w:rPr>
        <w:t>10、专业技术能⼒承诺：提供具有履行合同所必需的设备和专业技术能力的书面承诺；</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13、⾮联合体投标：本项目不接受联合体投标（提供承诺书）。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镇安县永乐镇南新街43号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0914-5322836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采购包1：2,778,484.64元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镇安县医院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2,778,484.64</w:t>
      </w:r>
    </w:p>
    <w:p>
      <w:pPr>
        <w:pStyle w:val="null3"/>
      </w:pPr>
      <w:r>
        <w:rPr>
          <w:rFonts w:ascii="仿宋_GB2312" w:hAnsi="仿宋_GB2312" w:cs="仿宋_GB2312" w:eastAsia="仿宋_GB2312"/>
        </w:rPr>
        <w:t>采购包最高限价（元）: 2,778,484.64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手术室、介入室、产房业务用房改造提升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2,778,484.64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标的名称：手术室、介入室、产房业务用房改造提升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30"/>
              <w:jc w:val="both"/>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1、工程名称：镇安县医院业务用房改造提升项目</w:t>
            </w:r>
          </w:p>
          <w:p>
            <w:pPr>
              <w:pStyle w:val="null3"/>
              <w:ind w:firstLine="480"/>
              <w:jc w:val="left"/>
            </w:pPr>
            <w:r>
              <w:rPr>
                <w:rFonts w:ascii="仿宋_GB2312" w:hAnsi="仿宋_GB2312" w:cs="仿宋_GB2312" w:eastAsia="仿宋_GB2312"/>
                <w:sz w:val="24"/>
              </w:rPr>
              <w:t>2、建设单位：镇安县医院</w:t>
            </w:r>
          </w:p>
          <w:p>
            <w:pPr>
              <w:pStyle w:val="null3"/>
              <w:ind w:firstLine="480"/>
              <w:jc w:val="left"/>
            </w:pPr>
            <w:r>
              <w:rPr>
                <w:rFonts w:ascii="仿宋_GB2312" w:hAnsi="仿宋_GB2312" w:cs="仿宋_GB2312" w:eastAsia="仿宋_GB2312"/>
                <w:sz w:val="24"/>
              </w:rPr>
              <w:t>3、项目概况：镇安县医院业务用房改造提升项目，包括妇产科改造、手术室改造、原便民药房改造为介入手术室。</w:t>
            </w:r>
          </w:p>
          <w:p>
            <w:pPr>
              <w:pStyle w:val="null3"/>
              <w:jc w:val="left"/>
            </w:pPr>
            <w:r>
              <w:rPr>
                <w:rFonts w:ascii="仿宋_GB2312" w:hAnsi="仿宋_GB2312" w:cs="仿宋_GB2312" w:eastAsia="仿宋_GB2312"/>
                <w:sz w:val="24"/>
                <w:b/>
              </w:rPr>
              <w:t>二、编制范围：</w:t>
            </w:r>
          </w:p>
          <w:p>
            <w:pPr>
              <w:pStyle w:val="null3"/>
              <w:jc w:val="left"/>
            </w:pPr>
            <w:r>
              <w:rPr>
                <w:rFonts w:ascii="仿宋_GB2312" w:hAnsi="仿宋_GB2312" w:cs="仿宋_GB2312" w:eastAsia="仿宋_GB2312"/>
                <w:sz w:val="24"/>
              </w:rPr>
              <w:t xml:space="preserve">   镇安县医院业务用房改造提升项目施工图设计</w:t>
            </w:r>
            <w:r>
              <w:rPr>
                <w:rFonts w:ascii="仿宋_GB2312" w:hAnsi="仿宋_GB2312" w:cs="仿宋_GB2312" w:eastAsia="仿宋_GB2312"/>
                <w:sz w:val="24"/>
              </w:rPr>
              <w:t>范围内所有内容。</w:t>
            </w:r>
          </w:p>
          <w:p>
            <w:pPr>
              <w:pStyle w:val="null3"/>
              <w:jc w:val="left"/>
            </w:pPr>
            <w:r>
              <w:rPr>
                <w:rFonts w:ascii="仿宋_GB2312" w:hAnsi="仿宋_GB2312" w:cs="仿宋_GB2312" w:eastAsia="仿宋_GB2312"/>
                <w:sz w:val="24"/>
                <w:b/>
              </w:rPr>
              <w:t>三、编制依据：</w:t>
            </w:r>
          </w:p>
          <w:p>
            <w:pPr>
              <w:pStyle w:val="null3"/>
              <w:ind w:firstLine="480"/>
              <w:jc w:val="both"/>
            </w:pPr>
            <w:r>
              <w:rPr>
                <w:rFonts w:ascii="仿宋_GB2312" w:hAnsi="仿宋_GB2312" w:cs="仿宋_GB2312" w:eastAsia="仿宋_GB2312"/>
                <w:sz w:val="24"/>
              </w:rPr>
              <w:t>1、依据镇安县医院业务用房改造提升项目施工图；</w:t>
            </w:r>
          </w:p>
          <w:p>
            <w:pPr>
              <w:pStyle w:val="null3"/>
              <w:ind w:firstLine="480"/>
              <w:jc w:val="both"/>
            </w:pPr>
            <w:r>
              <w:rPr>
                <w:rFonts w:ascii="仿宋_GB2312" w:hAnsi="仿宋_GB2312" w:cs="仿宋_GB2312" w:eastAsia="仿宋_GB2312"/>
                <w:sz w:val="24"/>
              </w:rPr>
              <w:t>2、《关于印发2025陕西省建设工程费用规则等计价依据的通知》（陕建管发〔2025〕10号），陕西省工程建设标准《建设工程工程量清单计价标准》（2025）、《房屋建筑与装饰工程工程量计算标准》（2025）；</w:t>
            </w:r>
          </w:p>
          <w:p>
            <w:pPr>
              <w:pStyle w:val="null3"/>
              <w:ind w:firstLine="480"/>
              <w:jc w:val="both"/>
            </w:pPr>
            <w:r>
              <w:rPr>
                <w:rFonts w:ascii="仿宋_GB2312" w:hAnsi="仿宋_GB2312" w:cs="仿宋_GB2312" w:eastAsia="仿宋_GB2312"/>
                <w:sz w:val="24"/>
              </w:rPr>
              <w:t>3、《陕西省建设工程费用规则》（2025）；《陕西省房屋建筑与装饰工程消耗量定额》（2025）、《陕西省通用安装工程消耗量定额》（2025）；与定额相配套使用的基价表；《陕西省建设工程施工机械台班费用定额》（2025）；《陕西省建设工程施工仪器仪表台班费用定额》（2025）及其他相关的计价依据和办法；</w:t>
            </w:r>
          </w:p>
          <w:p>
            <w:pPr>
              <w:pStyle w:val="null3"/>
              <w:ind w:firstLine="480"/>
              <w:jc w:val="both"/>
            </w:pPr>
            <w:r>
              <w:rPr>
                <w:rFonts w:ascii="仿宋_GB2312" w:hAnsi="仿宋_GB2312" w:cs="仿宋_GB2312" w:eastAsia="仿宋_GB2312"/>
                <w:sz w:val="24"/>
              </w:rPr>
              <w:t>4、与建设工程项目有关的标准、规范、图集、技术资料；</w:t>
            </w:r>
          </w:p>
          <w:p>
            <w:pPr>
              <w:pStyle w:val="null3"/>
              <w:ind w:firstLine="480"/>
              <w:jc w:val="both"/>
            </w:pPr>
            <w:r>
              <w:rPr>
                <w:rFonts w:ascii="仿宋_GB2312" w:hAnsi="仿宋_GB2312" w:cs="仿宋_GB2312" w:eastAsia="仿宋_GB2312"/>
                <w:sz w:val="24"/>
              </w:rPr>
              <w:t>5、主要材料价格参照2026年第1期《商洛市工程造价信息》；</w:t>
            </w:r>
          </w:p>
          <w:p>
            <w:pPr>
              <w:pStyle w:val="null3"/>
              <w:ind w:firstLine="480"/>
              <w:jc w:val="both"/>
            </w:pPr>
            <w:r>
              <w:rPr>
                <w:rFonts w:ascii="仿宋_GB2312" w:hAnsi="仿宋_GB2312" w:cs="仿宋_GB2312" w:eastAsia="仿宋_GB2312"/>
                <w:sz w:val="24"/>
              </w:rPr>
              <w:t>6、本工程采用广联达云计价平台GCCP7.5000.23.2编制。</w:t>
            </w:r>
          </w:p>
          <w:p>
            <w:pPr>
              <w:pStyle w:val="null3"/>
              <w:jc w:val="left"/>
            </w:pPr>
            <w:r>
              <w:rPr>
                <w:rFonts w:ascii="仿宋_GB2312" w:hAnsi="仿宋_GB2312" w:cs="仿宋_GB2312" w:eastAsia="仿宋_GB2312"/>
                <w:sz w:val="24"/>
                <w:b/>
              </w:rPr>
              <w:t>四、工程量清单：</w:t>
            </w:r>
          </w:p>
          <w:p>
            <w:pPr>
              <w:pStyle w:val="null3"/>
              <w:ind w:firstLine="480"/>
              <w:jc w:val="both"/>
            </w:pPr>
            <w:r>
              <w:rPr>
                <w:rFonts w:ascii="仿宋_GB2312" w:hAnsi="仿宋_GB2312" w:cs="仿宋_GB2312" w:eastAsia="仿宋_GB2312"/>
                <w:sz w:val="24"/>
              </w:rPr>
              <w:t>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自合同签订之日起120日历天内完工；2、工程建设地点：镇安县医院；3、供应商在施工中应妥善处理好与施工相关的各方面关系，自行解决施工遇到的各项问题及发生的纠纷，并承担由此产生的法律责任及费用。4、供应商应具有协调当地建设管理部门的能力和解决问题的能力。5、付款方式：①预付款：合同生效且达到付款条件后 15 个工作日内，支付合同总金额的 30%；②竣工结算款：工程竣工验收合格，结算审核报告出具且达到付款条件后 15 个工作日内，累计支付至结算审核报告审定总金额的 97%；③质量保证金：剩余结算审核报告审定总金额的 3% 作为质量保证金，缺陷责任期自工程竣工验收合格之日起计算，缺陷责任期满 1 年且达到付款条件后 15 个工作日内，无息付清剩余 3% 质量保证金。（具体以合同签订为准）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供应商须具备【建筑工程施工总承包三级】及以上资质或【建筑装修装饰工程专业承包二级】及以上资质，并提供有效的安全生产许可证；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供应商拟派项目经理须具备建筑工程专业二级及以上注册建造师资质、具有安全生产考核合格证（B证），且无在建工程（提供无在建承诺书）；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竞争性磋商响应文件构成是否有重大缺项，是否按照竞争性磋商文件要求的格式编写竟争性磋商响应文件。</w:t>
            </w:r>
          </w:p>
        </w:tc>
        <w:tc>
          <w:tcPr>
            <w:tcW w:type="dxa" w:w="1661"/>
          </w:tcPr>
          <w:p>
            <w:pPr>
              <w:pStyle w:val="null3"/>
            </w:pPr>
            <w:r>
              <w:rPr>
                <w:rFonts w:ascii="仿宋_GB2312" w:hAnsi="仿宋_GB2312" w:cs="仿宋_GB2312" w:eastAsia="仿宋_GB2312"/>
              </w:rPr>
              <w:t>已标价工程量清单 5、其它.docx 中小企业声明函 4、陕西省政府采购供应商拒绝政府采购领域商业贿赂承诺书.docx 响应文件封面 1、特定资格证明文件.docx 2、磋商项目技术、服务、商务及其他要求条款偏离表.docx 残疾人福利性单位声明函 报价函 标的清单 响应函 3、磋商方案.docx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已标价工程量清单 5、其它.docx 中小企业声明函 4、陕西省政府采购供应商拒绝政府采购领域商业贿赂承诺书.docx 响应文件封面 1、特定资格证明文件.docx 2、磋商项目技术、服务、商务及其他要求条款偏离表.docx 残疾人福利性单位声明函 报价函 标的清单 响应函 3、磋商方案.docx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已标价工程量清单 5、其它.docx 中小企业声明函 4、陕西省政府采购供应商拒绝政府采购领域商业贿赂承诺书.docx 响应文件封面 1、特定资格证明文件.docx 2、磋商项目技术、服务、商务及其他要求条款偏离表.docx 残疾人福利性单位声明函 报价函 标的清单 响应函 3、磋商方案.docx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磋商报价是否超过预算金额或最高限价。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①施工进度计划图：每完全满足一个评审标准得1分，满分3分； ②进度计划保证措施：每完全满足一个评审标准得1分，满分3分。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三、赋分标准（9分） ①工程重难点及解决措施：每完全满足一个评审标准得1分，满分3分； ②工程施工方法：每完全满足一个评审标准得1分，满分3分；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供应商编制完善的文明施工措施，内容包含：①安全文明施工目标及施工现场的临时管理措施②文明施工保障措施。 二、评审标准 1、完整性：方案必须全面，对评审内容中的各项要求有详细描述； 2、可实施性：切合本项目实际情况，提出步骤清晰、合理的方案； 3、针对性：方案能够紧扣项目实际情况，内容科学合理。 三、赋分标准（满分3分） ①安全文明施工目标及施工现场的临时管理措施：每完全满足一个评审标准得1分，满分3分； ②文明施工保障措施：每完全满足一个评审标准得1分，满分3分。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供应商编制完善的环境保护措施，内容包含：①环境保护管理体系②环保控制措施：污染物及废弃物处理的排放、噪音控制、防尘及扬尘的控制措施。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三、赋分标准（满分6分） ①环境保护管理体系：每完全满足一个评审标准得1分，满分3分； ②环保控制措施：每完全满足一个评审标准1分，满分3分。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项目部组成人员配备合理（配备岗位包括但不限于技术负责人、安全员、资料员、材料员、施工员、质量员），每提供 1 名符合要求人员得1分，本项最高得 6 分，超出计分人数不再加分。 评审依据：提供身份证、毕业证，职称证或建造师注册证或职业培训合格证等佐证材料。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针对本项⽬提供①施工机械配备清单；每提供⼀项内容得3分，满分3分。不提供不得分。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针对本项目具有①工程施工承诺（主要体现不得拖欠施工人员工资、给施工人员缴纳保险、工程质量等）。 二、评审标准 1、完整性：方案必须全面，对评审内容中的各项要求有详细描述； 2、可实施性：切合本项目实际情况，提出步骤清晰、合理的方案； 3、针对性：方案能够紧扣项目实际情况，内容科学合理。 三、赋分标准（满分3分） ①工程施工承诺：每完全满足一个评审标准得1分，满分3分。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供应商提供2023年7月起至今的类似业绩证明材料，时间以合同签订日期为准，（文件中附成交/中标通知书或合同复印件，原件备查），每提供一项上述业绩的得1分，最高得5分。不提供或缺项不得分。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满足磋商文件要求且最后报价最低的供应商的价格为磋商基准价得35分，其他各供应商的最后磋商报价得分按下列公式计算：（磋商基准价/最后磋商报价）×35%×100。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详见附件：2、磋商项目技术、服务、商务及其他要求条款偏离表.docx</w:t>
      </w:r>
    </w:p>
    <w:p>
      <w:pPr>
        <w:pStyle w:val="null3"/>
        <w:ind w:firstLine="960"/>
      </w:pPr>
      <w:r>
        <w:rPr>
          <w:rFonts w:ascii="仿宋_GB2312" w:hAnsi="仿宋_GB2312" w:cs="仿宋_GB2312" w:eastAsia="仿宋_GB2312"/>
        </w:rPr>
        <w:t>详见附件：3、磋商方案.docx</w:t>
      </w:r>
    </w:p>
    <w:p>
      <w:pPr>
        <w:pStyle w:val="null3"/>
        <w:ind w:firstLine="960"/>
      </w:pPr>
      <w:r>
        <w:rPr>
          <w:rFonts w:ascii="仿宋_GB2312" w:hAnsi="仿宋_GB2312" w:cs="仿宋_GB2312" w:eastAsia="仿宋_GB2312"/>
        </w:rPr>
        <w:t>详见附件：4、陕西省政府采购供应商拒绝政府采购领域商业贿赂承诺书.docx</w:t>
      </w:r>
    </w:p>
    <w:p>
      <w:pPr>
        <w:pStyle w:val="null3"/>
        <w:ind w:firstLine="960"/>
      </w:pPr>
      <w:r>
        <w:rPr>
          <w:rFonts w:ascii="仿宋_GB2312" w:hAnsi="仿宋_GB2312" w:cs="仿宋_GB2312" w:eastAsia="仿宋_GB2312"/>
        </w:rPr>
        <w:t>详见附件：5、其它.docx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