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版本号：TZZB-Z-2026204C20260804001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结麻所抗结核药品FDC-HR采购项目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TZZB-Z-2026204C</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结麻所抗结核药品FDC-HR采购项目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TZZB-Z-2026204C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结麻所抗结核药品FDC-HR采购项目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陕西省疾病预防控制中心结麻所抗结核药品FDC-HR采购项目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信息查询：投标人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投标人。</w:t>
      </w:r>
    </w:p>
    <w:p>
      <w:pPr>
        <w:pStyle w:val="null3"/>
      </w:pPr>
      <w:r>
        <w:rPr>
          <w:rFonts w:ascii="仿宋_GB2312" w:hAnsi="仿宋_GB2312" w:cs="仿宋_GB2312" w:eastAsia="仿宋_GB2312"/>
        </w:rPr>
        <w:t>3、许可证：投标人需提供有效的《药品生产许可证》或《药品经营许可证》。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029-82476605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 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029-65652860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代理服务费收费标准：依据国家发展改革委《关于进一步放开建设项目专业服务价格的通知》（发改价格〔2015〕299 号）相关规定，经采购人与采购代理机构协商约定，本项目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文件规定的“货物招标”对应费率标准（差额定率累进法）计算收取。代理服务费缴纳账号： 账户名称：同正项目管理有限公司 开户银行：中国建设银行股份有限公司西安长庆支行 账 号：61050190550000001106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对所供产品具有或已取得合法知识产权，投标人应保证所供产品及服务不会出现因第三方提出侵犯其专利权、商标权或其它知识产权而引发法律或经济纠纷，否则由投标人负责解决并承担全部责任；如因此影响到采购人的正常使用，采购人有权单方解除本合同，投标人应无条件向采购人退回已收取的全部合同价款，给采购人造成损失的，由投标人一并赔偿。</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 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陕西省疾病预防控制中心结麻所抗结核药品FDC-HR采购项目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结麻所抗结核药品FDC-HR采购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标的名称：结麻所抗结核药品FDC-HR采购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7"/>
              <w:gridCol w:w="423"/>
              <w:gridCol w:w="302"/>
              <w:gridCol w:w="438"/>
              <w:gridCol w:w="363"/>
              <w:gridCol w:w="363"/>
              <w:gridCol w:w="347"/>
            </w:tblGrid>
            <w:tr>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每片</w:t>
                  </w:r>
                  <w:r>
                    <w:rPr>
                      <w:rFonts w:ascii="仿宋_GB2312" w:hAnsi="仿宋_GB2312" w:cs="仿宋_GB2312" w:eastAsia="仿宋_GB2312"/>
                      <w:sz w:val="20"/>
                    </w:rPr>
                    <w:t>/粒最高限价（元）</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金额（万元）</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申请原因及用途</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抗结核</w:t>
                  </w:r>
                  <w:r>
                    <w:rPr>
                      <w:rFonts w:ascii="仿宋_GB2312" w:hAnsi="仿宋_GB2312" w:cs="仿宋_GB2312" w:eastAsia="仿宋_GB2312"/>
                      <w:sz w:val="20"/>
                    </w:rPr>
                    <w:t>FDC-HR (H150mg R300mg)</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一批</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H:150mg R:300mg</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0.60元</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63万元</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全省抗结核药品供应</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b/>
              </w:rPr>
              <w:t>报价要求</w:t>
            </w:r>
          </w:p>
          <w:p>
            <w:pPr>
              <w:pStyle w:val="null3"/>
              <w:jc w:val="both"/>
            </w:pPr>
            <w:r>
              <w:rPr>
                <w:rFonts w:ascii="仿宋_GB2312" w:hAnsi="仿宋_GB2312" w:cs="仿宋_GB2312" w:eastAsia="仿宋_GB2312"/>
                <w:sz w:val="21"/>
              </w:rPr>
              <w:t>1.投标人按照每片药进行综合单价报价，综合单价包含药品、配送、交付、售后等所有费用，并且不得超过最高单价。中标后按照采购预算除以中标单价确定采购数量，以整盒或整瓶为单位调整供货数量；因整包装调整产生的结算金额不得超过采购预算。中标后按实际验收合格数量及中标单价据实结算，中标单价一经确定，合同履行期间不予调整（不可抗力或法律法规另有规定除外），最终结算总额不得超出本项目预算总额。</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b/>
              </w:rPr>
              <w:t>包装运输</w:t>
            </w:r>
          </w:p>
          <w:p>
            <w:pPr>
              <w:pStyle w:val="null3"/>
              <w:jc w:val="left"/>
            </w:pPr>
            <w:r>
              <w:rPr>
                <w:rFonts w:ascii="仿宋_GB2312" w:hAnsi="仿宋_GB2312" w:cs="仿宋_GB2312" w:eastAsia="仿宋_GB2312"/>
              </w:rPr>
              <w:t>1.投标人需根据所供药品的储运要求（含冷链运输需求的，需严格执行冷链运输标准，全程提供温控记录）选择合适的运输方式，承担从生产厂到采购人指定交货地点所需的全部费用，包括但不限于装卸费、运输费、保险费、仓储费等相关费用。</w:t>
            </w:r>
          </w:p>
          <w:p>
            <w:pPr>
              <w:pStyle w:val="null3"/>
              <w:jc w:val="left"/>
            </w:pPr>
            <w:r>
              <w:rPr>
                <w:rFonts w:ascii="仿宋_GB2312" w:hAnsi="仿宋_GB2312" w:cs="仿宋_GB2312" w:eastAsia="仿宋_GB2312"/>
              </w:rPr>
              <w:t>2.药品的包装及标识需严格执行国家药品包装、标识相关标准，具有良好的密封性、防潮性、防破损性，且需清晰标注药品名称、规格、生产批号、有效期、生产厂家、生产日期等关键信息。</w:t>
            </w:r>
          </w:p>
          <w:p>
            <w:pPr>
              <w:pStyle w:val="null3"/>
              <w:jc w:val="left"/>
            </w:pPr>
            <w:r>
              <w:rPr>
                <w:rFonts w:ascii="仿宋_GB2312" w:hAnsi="仿宋_GB2312" w:cs="仿宋_GB2312" w:eastAsia="仿宋_GB2312"/>
              </w:rPr>
              <w:t>3.所有药品外盒包装上必须清晰、牢固地印制"国家免费药品"中文标识，标识的规格、颜色、位置应符合采购人或国家相关免费药品发放管理规定。</w:t>
            </w:r>
          </w:p>
          <w:p>
            <w:pPr>
              <w:pStyle w:val="null3"/>
              <w:jc w:val="both"/>
            </w:pPr>
            <w:r>
              <w:rPr>
                <w:rFonts w:ascii="仿宋_GB2312" w:hAnsi="仿宋_GB2312" w:cs="仿宋_GB2312" w:eastAsia="仿宋_GB2312"/>
                <w:sz w:val="21"/>
              </w:rPr>
              <w:t>4.发货前，投标人需通过电话或邮件方式向采购人提供待发货物的名称、规格、数量、批号、有效期、生产厂家、发货时间等相关信息；货物运输过程中，需随车携带随货同行单、药品合格证、生产企业同批号检验报告（原件或加盖投标人公章的复印件），供采购人验收核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b/>
              </w:rPr>
              <w:t>质量检验</w:t>
            </w:r>
          </w:p>
          <w:p>
            <w:pPr>
              <w:pStyle w:val="null3"/>
              <w:jc w:val="left"/>
            </w:pPr>
            <w:r>
              <w:rPr>
                <w:rFonts w:ascii="仿宋_GB2312" w:hAnsi="仿宋_GB2312" w:cs="仿宋_GB2312" w:eastAsia="仿宋_GB2312"/>
              </w:rPr>
              <w:t>1.投标人需在药品运往采购人指定交货地点前，按采购人要求提供生产企业同一批号的药品检验报告，每批次货物需随货附带检验报告（原件或加盖投标人公章的复印件），未按要求提供的，采购人有权拒收该批次货物，由此产生的损失由投标人承担。</w:t>
            </w:r>
          </w:p>
          <w:p>
            <w:pPr>
              <w:pStyle w:val="null3"/>
              <w:jc w:val="both"/>
            </w:pPr>
            <w:r>
              <w:rPr>
                <w:rFonts w:ascii="仿宋_GB2312" w:hAnsi="仿宋_GB2312" w:cs="仿宋_GB2312" w:eastAsia="仿宋_GB2312"/>
                <w:sz w:val="21"/>
              </w:rPr>
              <w:t>2.采购人在使用过程中，若对药品质量有质疑，可书面通知投标人，投标人需在收到通知后3个工作日内，向采购人所在地药检所提出抽检申请，对所供药品进行抽检。检验结果出具后，需及时报送采购人：若检验不合格，检验所需全部费用由投标人承担，投标人需无条件召回该批次所有货物，退还对应货款，并承担由此给采购人造成的全部损失；若检验合格，检验所需费用由采购人承担。若双方对当地药检所的检验结果有异议，可共同向中国食品药品检定研究院（中检院）申请仲裁，仲裁费用由异议方先行垫付，仲裁结果为终局结果，最终由责任方承担全部仲裁费用；抽检期间，对应批次货款可暂停支付，待仲裁结果出具后按约定结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b/>
              </w:rPr>
              <w:t>质量保证</w:t>
            </w:r>
          </w:p>
          <w:p>
            <w:pPr>
              <w:pStyle w:val="null3"/>
              <w:jc w:val="left"/>
            </w:pPr>
            <w:r>
              <w:rPr>
                <w:rFonts w:ascii="仿宋_GB2312" w:hAnsi="仿宋_GB2312" w:cs="仿宋_GB2312" w:eastAsia="仿宋_GB2312"/>
              </w:rPr>
              <w:t>1.每批次订单接到甲方通知之日起30日历日内交货，投标人提供的药品每一次供货每种药品应为同一批号且所供药品不得超过生产日期3个月。投标人必须保证药品质量，对确因药品的质量引起的任何缺陷都立即实施补偿，承担更换药品所需费用，并在7个工作日内到达买方指定交货地点。</w:t>
            </w:r>
          </w:p>
          <w:p>
            <w:pPr>
              <w:pStyle w:val="null3"/>
              <w:jc w:val="both"/>
            </w:pPr>
            <w:r>
              <w:rPr>
                <w:rFonts w:ascii="仿宋_GB2312" w:hAnsi="仿宋_GB2312" w:cs="仿宋_GB2312" w:eastAsia="仿宋_GB2312"/>
                <w:sz w:val="21"/>
              </w:rPr>
              <w:t>2.如果由于质量问题需要回收药品，投标人将第一时间通知甲方，并按药典质量标准重新供货并承担所需费用。同时必须按要求保证供货。</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b/>
              </w:rPr>
              <w:t>技术支持</w:t>
            </w:r>
          </w:p>
          <w:p>
            <w:pPr>
              <w:pStyle w:val="null3"/>
              <w:jc w:val="left"/>
            </w:pPr>
            <w:r>
              <w:rPr>
                <w:rFonts w:ascii="仿宋_GB2312" w:hAnsi="仿宋_GB2312" w:cs="仿宋_GB2312" w:eastAsia="仿宋_GB2312"/>
              </w:rPr>
              <w:t>1.提供质保期内全年7×24小时的技术咨询服务。投标人怠于或无法提供技术支持的，采购人有权委托第三方处理，由此产生的费用和后果由投标人负责，费用直接从应付款或</w:t>
            </w:r>
            <w:r>
              <w:rPr>
                <w:rFonts w:ascii="仿宋_GB2312" w:hAnsi="仿宋_GB2312" w:cs="仿宋_GB2312" w:eastAsia="仿宋_GB2312"/>
                <w:sz w:val="20"/>
              </w:rPr>
              <w:t>依法另行追偿</w:t>
            </w:r>
            <w:r>
              <w:rPr>
                <w:rFonts w:ascii="仿宋_GB2312" w:hAnsi="仿宋_GB2312" w:cs="仿宋_GB2312" w:eastAsia="仿宋_GB2312"/>
              </w:rPr>
              <w:t>。投标人须指定</w:t>
            </w:r>
            <w:r>
              <w:rPr>
                <w:rFonts w:ascii="仿宋_GB2312" w:hAnsi="仿宋_GB2312" w:cs="仿宋_GB2312" w:eastAsia="仿宋_GB2312"/>
              </w:rPr>
              <w:t>1名项目负责人和1名质量负责人，提供联系方式，负责订单、质量、召回、应急配送等沟通。因投标人的人员变更原因所造成的任何项目质量、进度滞后的后果，由投标人承担。</w:t>
            </w:r>
          </w:p>
          <w:p>
            <w:pPr>
              <w:pStyle w:val="null3"/>
              <w:jc w:val="both"/>
            </w:pPr>
            <w:r>
              <w:rPr>
                <w:rFonts w:ascii="仿宋_GB2312" w:hAnsi="仿宋_GB2312" w:cs="仿宋_GB2312" w:eastAsia="仿宋_GB2312"/>
                <w:sz w:val="21"/>
              </w:rPr>
              <w:t>2.投标人在项目实施过程中，质量保障人员、资源不足或者执行不力，给项目质量带来的风险超出采购人认定的允许范围时，采购人可终止本项目的合作并进行索赔。</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b/>
              </w:rPr>
              <w:t>知识产权</w:t>
            </w:r>
          </w:p>
          <w:p>
            <w:pPr>
              <w:pStyle w:val="null3"/>
              <w:jc w:val="both"/>
            </w:pPr>
            <w:r>
              <w:rPr>
                <w:rFonts w:ascii="仿宋_GB2312" w:hAnsi="仿宋_GB2312" w:cs="仿宋_GB2312" w:eastAsia="仿宋_GB2312"/>
                <w:sz w:val="21"/>
              </w:rPr>
              <w:t>投标人应对所供产品具有或已取得合法知识产权，投标人应保证所供产品及服务不会出现因第三方提出侵犯其专利权、商标权或其它知识产权而引发法律或经济纠纷，否则由投标人负责解决并承担全部责任；如因此影响到采购人的正常使用，采购人有权单方解除本合同，投标人应无条件向采购人退回已收取的全部合同价款，给采购人造成损失的，由投标人一并赔偿。</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b/>
              </w:rPr>
              <w:t>其他要求</w:t>
            </w:r>
          </w:p>
          <w:p>
            <w:pPr>
              <w:pStyle w:val="null3"/>
              <w:jc w:val="left"/>
            </w:pPr>
            <w:r>
              <w:rPr>
                <w:rFonts w:ascii="仿宋_GB2312" w:hAnsi="仿宋_GB2312" w:cs="仿宋_GB2312" w:eastAsia="仿宋_GB2312"/>
              </w:rPr>
              <w:t>1.投标人应保证所供货物为投标文件中明确的公司制造生产、原包装、全新未使用过的产品，与投标文件承诺一致，并完全符合或高于合同要求的质量、规格和技术性能。</w:t>
            </w:r>
          </w:p>
          <w:p>
            <w:pPr>
              <w:pStyle w:val="null3"/>
              <w:jc w:val="both"/>
            </w:pPr>
            <w:r>
              <w:rPr>
                <w:rFonts w:ascii="仿宋_GB2312" w:hAnsi="仿宋_GB2312" w:cs="仿宋_GB2312" w:eastAsia="仿宋_GB2312"/>
                <w:sz w:val="21"/>
              </w:rPr>
              <w:t>2.投标人应保证所供货物没有因供方的行为或疏忽而产生材料或工艺上的缺陷，并保证药品在正确包装运输、正常使用和保养条件下，在其使用寿命期内具有满意的性能。在最终交付验收后不少于合同规定或乙方承诺（两者以较长的为准）的质量保证期内，本保证保持有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分批次供货，每批次订单接到采购人通知起30个日历日内完成交货。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陕西省疾病预防控制中心指定地点，由甲方指定库房货位并上架，具体收货单位及地址以每次订单通知为准。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预付款，自本合同签订且甲方收到乙方开具的合规发票后，达到付款条件起15个工作日内，支付合同总金额的40.0%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药品到货，经甲方或甲方指定收货单位验收合格、办理入库手续，且甲方收到乙方开具的合规发票、收货单位签字及盖章确认的验收证明等全部文件，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质保期：以双方对所供货物验收合格之日开始计算 ≥12个月，质保期内乙方对甲方提出的服务响应不得超出2小时。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采购结果发布后3个工作日内向代理机构提交纸质版投标文件以存档，投标文件正本1份，副本2份（文件内容、格式及信息须与系统上传电子文件保持一致）。纸质投标文件均须A4纸打印，分别各自装订成册并编制目录和页码。 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投标人需提供以下三种资料中的任意一种：①提供2024或2025年度经会计师事务所或审计机构出具完整的财务审计报告（成立时间至提交响应文件截止时间不足一年的可提供成立后任意时段的资产负债表）；②投标文件提交截止时间前三个月内其基本存款账户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3.提供自2025年6月1日以来已缴存的任意1个月的社会保障资金缴存单据或社保机构开具的社会保险参保缴费情况证明；依法不需要缴纳社会保障资金的投标人应提供相关证明文件。 4.提供自2025年6月1日以来已缴纳的任意1个月的依法缴纳税收的相关凭据(时间以税款所属日期为准)，凭据应有税务机关或代收机关的公章或业务专用章；依法免税或无须缴纳税收的投标人，应提供相应证明文件。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一般资格要求及特殊资格要求.docx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提供以下三种资料中的任意一种：①提供2024或2025年度经会计师事务所或审计机构出具完整的财务审计报告（成立时间至提交响应文件截止时间不足一年的可提供成立后任意时段的资产负债表）；②投标文件提交截止时间前三个月内基本存款账户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一般资格要求及特殊资格要求.docx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投标人需提供有效的《药品生产许可证》或《药品经营许可证》。</w:t>
            </w:r>
          </w:p>
        </w:tc>
        <w:tc>
          <w:tcPr>
            <w:tcW w:type="dxa" w:w="1661"/>
          </w:tcPr>
          <w:p>
            <w:pPr>
              <w:pStyle w:val="null3"/>
            </w:pPr>
            <w:r>
              <w:rPr>
                <w:rFonts w:ascii="仿宋_GB2312" w:hAnsi="仿宋_GB2312" w:cs="仿宋_GB2312" w:eastAsia="仿宋_GB2312"/>
              </w:rPr>
              <w:t>一般资格要求及特殊资格要求.docx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投标人廉洁自律承诺书.docx 业绩一览表.docx 投标人认为有必要说明、阐述的事项或其他材料.docx 中小企业声明函 技术参数与性能指标偏离表.docx 商务应答表.docx 一般资格要求及特殊资格要求.docx 分项报价表.docx 投标函 残疾人福利性单位声明函 标的清单 关于符合本国产品标准的声明函 投标文件封面 总服务方案.docx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投标人廉洁自律承诺书.docx 业绩一览表.docx 投标人认为有必要说明、阐述的事项或其他材料.docx 中小企业声明函 技术参数与性能指标偏离表.docx 商务应答表.docx 一般资格要求及特殊资格要求.docx 分项报价表.docx 投标函 残疾人福利性单位声明函 标的清单 关于符合本国产品标准的声明函 投标文件封面 总服务方案.docx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（3）投标（响应）报价低于最⾼限价45%的，即投标（响应）报价&lt;最⾼限价×45%。 （4）评标委员会认为投标⼈的报价明显低于其他通过符合性审查投标⼈的报价（数量报价下，投标⼈的报价明显⾼于其他通过符合性审查投标⼈的报价），有可能影响产品质量或者不能诚信履约的，应当要求其在评标现场合理的时间内提供书⾯说明，必要时提交相关证明材料；投标⼈不能证明其报价合理性的，评标委员会应当将其作为⽆效投标处理。 评审委员会启动异常低价投标（响应）审查后，应当要求相关供应商在评审现场合理的时间内提供书⾯说明及必要的证明材料，对投标（响应）价格作出解释。</w:t>
            </w:r>
          </w:p>
        </w:tc>
        <w:tc>
          <w:tcPr>
            <w:tcW w:type="dxa" w:w="1661"/>
          </w:tcPr>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抗结核药品参数</w:t>
            </w:r>
          </w:p>
        </w:tc>
        <w:tc>
          <w:tcPr>
            <w:tcW w:type="dxa" w:w="2492"/>
          </w:tcPr>
          <w:p>
            <w:pPr>
              <w:pStyle w:val="null3"/>
            </w:pPr>
            <w:r>
              <w:rPr>
                <w:rFonts w:ascii="仿宋_GB2312" w:hAnsi="仿宋_GB2312" w:cs="仿宋_GB2312" w:eastAsia="仿宋_GB2312"/>
              </w:rPr>
              <w:t>投标人所投产品内容齐全，数量准确无缺漏项，产品规格及技术要求，符合国家标准及采购人要求。所投产品完全符合、响应招标文件要求，没有负偏离计10分；产品不满足不得分。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技术参数与性能指标偏离表.docx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投标人提供的服务方案应包括备货运输方案、配送能力、人员配置及管理、进度保障、仓储条件、药品签收及验收六项内容。每项3分，合计18分。 1.备货运输方案，3分： 明确备货计划及批次安排，得1分；明确运输方式、运输过程管理及随货资料管理，得1分；明确到货通知、交货时限及延误处理措施，得1分。 2.配送能力，3分： 明确配送区域、配送流程及配送联系人，得1分；明确自有或合作物流、车辆、仓储等配送保障资源，得1分；明确配送异常、延误、破损等情形的处理流程，得1分。 3.人员配置及管理，3分： 明确项目负责人，得1分；明确质量、配送、售后等岗位人员分工，得1分；明确岗位职责、联系方式或响应机制，得1分。 4.进度保障，3分： 明确从接到采购人通知至完成供货的节点安排，得1分；明确进度跟踪、内部协调或督办机制，得1分；明确不能按期供货时的补救措施，得1分。 5.仓储条件，3分： 明确药品仓储场所或仓储保障方式，得1分；明确温湿度、防潮、防破损、分区存放等储存管理措施，得1分；明确药品出入库、效期、批号管理措施，得1分。 6.药品签收及验收，3分： 明确随货同行单、合格证、同批号检验报告等随货资料管理，得1分；明确到货签收、数量核对、批号效期核对流程，得1分；明确拒收、退换货、补货处理流程，得1分。 未提供对应内容或内容无法对应本项目的，对应小项不得分。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投标人提供的质量保障措施应包括药品来源渠道、内部管理检验监督制度、药品质检报告三项内容。每项4分，合计12分。 1.药品来源渠道，4分： 明确所投药品生产企业、供货来源或合法采购渠道，得2分；明确批号、效期、合法来源及质量追溯管理措施，得2分。 2.内部管理检验监督制度，4分： 提供药品质量管理、入库验收、出库复核、运输前检查等制度或措施，得2分；明确质量问题发现、报告、处置及责任分工流程，得2分。 3.药品质检报告，4分： 承诺每批次供货随货提供生产企业同批号检验报告原件或加盖投标人公章的复印件，得2分；明确检验报告核对、归档、补正及采购人复核配合机制，得2分。 未提供对应内容或内容无法对应本项目的，对应小项不得分。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实施保障能力</w:t>
            </w:r>
          </w:p>
        </w:tc>
        <w:tc>
          <w:tcPr>
            <w:tcW w:type="dxa" w:w="2492"/>
          </w:tcPr>
          <w:p>
            <w:pPr>
              <w:pStyle w:val="null3"/>
            </w:pPr>
            <w:r>
              <w:rPr>
                <w:rFonts w:ascii="仿宋_GB2312" w:hAnsi="仿宋_GB2312" w:cs="仿宋_GB2312" w:eastAsia="仿宋_GB2312"/>
              </w:rPr>
              <w:t>投标人具备项目实施配套保障能力，包括履约管理制度、药品溯源管理、台账管理三项内容。每项2分，合计6分。 1.履约管理制度，2分： 明确合同履行、订单接收、供货协调、内部审批或履约监督流程的，得2分；未提供的不得分。 2.药品溯源管理，2分： 明确药品批号、生产日期、有效期、生产企业、流向等信息追溯方式的，得2分；未提供的不得分。 3.台账管理，2分： 明确供货台账、验收台账、质检资料台账、售后问题台账等记录内容及保存方式的，得2分；未提供的不得分。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投标人提供的售后服务方案包括售后服务保障体系、售后人员配备、售后服务承诺三项内容。每项2分，合计6分。 1.售后服务保障体系，2分：内容完整且不存在瑕疵的，得2分；每存在一处瑕疵扣0.5分，扣完为止。 2.售后人员配备，2分：内容完整且不存在瑕疵的，得2分；每存在一处瑕疵扣0.5分，扣完为止。 3.售后服务承诺，2分：内容完整且不存在瑕疵的，得2分；每存在一处瑕疵扣0.5分，扣完为止。 本项所称“瑕疵”是指存在下列任一情形：内容不符合本项目采购需求；未明确响应时间、责任人员、处理流程或联系方式；内容前后不一致或相互矛盾；套用其他项目方案；承诺事项无法执行或缺乏对应保障措施；其他不利于项目实施的情形。同一问题不重复扣分，每个子项最多扣至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投标人提供的应急预案包括断供应急、运输配送应急、药品质量异常应急、紧急用药应急四项内容。每项2分，合计8分。 1.断供应急，2分：内容完整且不存在瑕疵的，得2分；每存在一处瑕疵扣0.5分，扣完为止。 2.运输配送应急，2分：内容完整且不存在瑕疵的，得2分；每存在一处瑕疵扣0.5分，扣完为止。 3.药品质量异常应急，2分：内容完整且不存在瑕疵的，得2分；每存在一处瑕疵扣0.5分，扣完为止。 4.紧急用药应急，2分：内容完整且不存在瑕疵的，得2分；每存在一处瑕疵扣0.5分，扣完为止。 本项所称“瑕疵”是指存在下列任一情形：应急情形与本项目药品供应、配送、验收、质量管理需求不匹配；未明确触发条件、处置流程、责任人员、响应时限或补救措施；内容前后不一致或相互矛盾；套用其他项目方案；处置措施明显不可执行；其他不利于项目实施的情形。同一问题不重复扣分，每个子项最多扣至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药品包装要求</w:t>
            </w:r>
          </w:p>
        </w:tc>
        <w:tc>
          <w:tcPr>
            <w:tcW w:type="dxa" w:w="2492"/>
          </w:tcPr>
          <w:p>
            <w:pPr>
              <w:pStyle w:val="null3"/>
            </w:pPr>
            <w:r>
              <w:rPr>
                <w:rFonts w:ascii="仿宋_GB2312" w:hAnsi="仿宋_GB2312" w:cs="仿宋_GB2312" w:eastAsia="仿宋_GB2312"/>
              </w:rPr>
              <w:t>投标人提供药品包装及标识保障措施，内容包括包装密封、防潮、防破损、标识管理及效期标识等内容。合计4分。 1.密封、防潮措施，1分：内容完整且不存在瑕疵的，得1分；存在瑕疵的，每处扣0.5分，扣完为止。 2.防破损措施，1分：内容完整且不存在瑕疵的，得1分；存在瑕疵的，每处扣0.5分，扣完为止。 3.包装标识管理措施，1分：内容完整且不存在瑕疵的，得1分；存在瑕疵的，每处扣0.5分，扣完为止。 4.效期标识，1分：内容完整且不存在瑕疵的，得1分；存在瑕疵的，每处扣0.5分，扣完为止。 本项所称“瑕疵”是指内容不符合国家药品包装、标识管理要求或本项目采购需求；未明确措施、流程、责任人员或处置方式；内容前后不一致或相互矛盾；套用其他项目方案；措施明显不可执行；其他不利于项目实施的情形。同一问题不重复扣分，每个子项最多扣至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投标人提供自2023年1月1日起至投标截止日止，以合同签订时间为准，承担过类似药品供货或药品配送服务业绩的，每提供1个得2分，最高得6分。 投标文件中须提供合同关键页复印件或扫描件，合同关键页应至少体现合同双方、合同签订时间、合同标的内容、签章页等信息。未提供证明材料或证明材料无法体现类似药品供货、配送内容的，不予计分。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价格分采用低价优先法计算，即满足招标文件要求且价格最低报价的为评标基准价，其价格分为满分。其他投标单位的价格分按照以下公式计算：投标报价得分=（评标基准价／投标报价）×价格权值×100%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详见附件：技术参数与性能指标偏离表.docx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详见附件：总服务方案.docx</w:t>
      </w:r>
    </w:p>
    <w:p>
      <w:pPr>
        <w:pStyle w:val="null3"/>
        <w:ind w:firstLine="960"/>
      </w:pPr>
      <w:r>
        <w:rPr>
          <w:rFonts w:ascii="仿宋_GB2312" w:hAnsi="仿宋_GB2312" w:cs="仿宋_GB2312" w:eastAsia="仿宋_GB2312"/>
        </w:rPr>
        <w:t>详见附件：一般资格要求及特殊资格要求.docx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详见附件：投标人认为有必要说明、阐述的事项或其他材料.docx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