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2DE60">
      <w:pPr>
        <w:pStyle w:val="2"/>
        <w:pageBreakBefore/>
        <w:spacing w:line="360" w:lineRule="auto"/>
        <w:jc w:val="center"/>
        <w:rPr>
          <w:rFonts w:hint="eastAsia" w:ascii="方正小标宋简体" w:hAnsi="方正小标宋简体" w:eastAsia="方正小标宋简体" w:cs="方正小标宋简体"/>
          <w:b w:val="0"/>
          <w:bCs/>
          <w:color w:val="FF0000"/>
          <w:kern w:val="0"/>
          <w:sz w:val="36"/>
          <w:szCs w:val="36"/>
          <w:highlight w:val="none"/>
          <w:lang w:eastAsia="zh-CN"/>
        </w:rPr>
      </w:pPr>
      <w:r>
        <w:rPr>
          <w:rFonts w:hint="eastAsia" w:ascii="方正小标宋简体" w:hAnsi="方正小标宋简体" w:eastAsia="方正小标宋简体" w:cs="方正小标宋简体"/>
          <w:b w:val="0"/>
          <w:bCs/>
          <w:sz w:val="44"/>
          <w:szCs w:val="44"/>
          <w:highlight w:val="none"/>
        </w:rPr>
        <w:t>拟签订的合同文本</w:t>
      </w:r>
    </w:p>
    <w:p w14:paraId="5667F2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注：本合同为示范文本，具体条款内容由甲方和乙方协商确定，但不得改变招标文件、投标文件、中标通知书里的实质性内容。）</w:t>
      </w:r>
    </w:p>
    <w:p w14:paraId="5CC97450">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p>
    <w:p w14:paraId="65F4530B">
      <w:pPr>
        <w:rPr>
          <w:rFonts w:hint="eastAsia" w:ascii="仿宋" w:hAnsi="仿宋" w:eastAsia="仿宋" w:cs="仿宋"/>
          <w:b/>
          <w:bCs/>
          <w:color w:val="auto"/>
          <w:spacing w:val="-12"/>
          <w:sz w:val="27"/>
          <w:szCs w:val="27"/>
          <w:u w:val="none" w:color="auto"/>
        </w:rPr>
      </w:pPr>
      <w:r>
        <w:rPr>
          <w:rFonts w:hint="eastAsia" w:ascii="仿宋" w:hAnsi="仿宋" w:eastAsia="仿宋" w:cs="仿宋"/>
          <w:b/>
          <w:bCs/>
          <w:color w:val="auto"/>
          <w:spacing w:val="-12"/>
          <w:sz w:val="27"/>
          <w:szCs w:val="27"/>
          <w:u w:val="none" w:color="auto"/>
        </w:rPr>
        <w:br w:type="page"/>
      </w:r>
    </w:p>
    <w:p w14:paraId="7DA813AE">
      <w:pPr>
        <w:pStyle w:val="6"/>
        <w:spacing w:line="246" w:lineRule="auto"/>
        <w:jc w:val="left"/>
        <w:rPr>
          <w:rFonts w:hint="default" w:ascii="仿宋" w:hAnsi="仿宋" w:eastAsia="仿宋" w:cs="仿宋"/>
          <w:color w:val="auto"/>
          <w:u w:val="none" w:color="auto"/>
          <w:lang w:val="en-US" w:eastAsia="zh-CN"/>
        </w:rPr>
      </w:pPr>
      <w:r>
        <w:rPr>
          <w:rFonts w:hint="eastAsia" w:ascii="仿宋" w:hAnsi="仿宋" w:eastAsia="仿宋" w:cs="仿宋"/>
          <w:b/>
          <w:bCs/>
          <w:color w:val="auto"/>
          <w:spacing w:val="-12"/>
          <w:sz w:val="27"/>
          <w:szCs w:val="27"/>
          <w:u w:val="none" w:color="auto"/>
        </w:rPr>
        <w:t>合同编号</w:t>
      </w:r>
    </w:p>
    <w:p w14:paraId="09E668B5">
      <w:pPr>
        <w:pStyle w:val="6"/>
        <w:spacing w:line="246" w:lineRule="auto"/>
        <w:jc w:val="center"/>
        <w:rPr>
          <w:rFonts w:hint="eastAsia" w:ascii="仿宋" w:hAnsi="仿宋" w:eastAsia="仿宋" w:cs="仿宋"/>
          <w:color w:val="auto"/>
          <w:u w:val="none" w:color="auto"/>
        </w:rPr>
      </w:pPr>
    </w:p>
    <w:p w14:paraId="71D61C7C">
      <w:pPr>
        <w:pStyle w:val="6"/>
        <w:spacing w:line="246" w:lineRule="auto"/>
        <w:jc w:val="center"/>
        <w:rPr>
          <w:rFonts w:hint="eastAsia" w:ascii="仿宋" w:hAnsi="仿宋" w:eastAsia="仿宋" w:cs="仿宋"/>
          <w:color w:val="auto"/>
          <w:u w:val="none" w:color="auto"/>
        </w:rPr>
      </w:pPr>
    </w:p>
    <w:p w14:paraId="596C4125">
      <w:pPr>
        <w:pStyle w:val="6"/>
        <w:spacing w:line="246" w:lineRule="auto"/>
        <w:jc w:val="center"/>
        <w:rPr>
          <w:rFonts w:hint="eastAsia" w:ascii="仿宋" w:hAnsi="仿宋" w:eastAsia="仿宋" w:cs="仿宋"/>
          <w:color w:val="auto"/>
          <w:u w:val="none" w:color="auto"/>
        </w:rPr>
      </w:pPr>
    </w:p>
    <w:p w14:paraId="707F16B2">
      <w:pPr>
        <w:pStyle w:val="6"/>
        <w:spacing w:line="247" w:lineRule="auto"/>
        <w:jc w:val="center"/>
        <w:rPr>
          <w:rFonts w:hint="eastAsia" w:ascii="仿宋" w:hAnsi="仿宋" w:eastAsia="仿宋" w:cs="仿宋"/>
          <w:color w:val="auto"/>
          <w:u w:val="none" w:color="auto"/>
        </w:rPr>
      </w:pPr>
    </w:p>
    <w:p w14:paraId="7860FAC5">
      <w:pPr>
        <w:pStyle w:val="6"/>
        <w:spacing w:line="247" w:lineRule="auto"/>
        <w:jc w:val="center"/>
        <w:rPr>
          <w:rFonts w:hint="eastAsia" w:ascii="仿宋" w:hAnsi="仿宋" w:eastAsia="仿宋" w:cs="仿宋"/>
          <w:color w:val="auto"/>
          <w:u w:val="none" w:color="auto"/>
        </w:rPr>
      </w:pPr>
    </w:p>
    <w:p w14:paraId="26FD1D08">
      <w:pPr>
        <w:pStyle w:val="6"/>
        <w:spacing w:line="247" w:lineRule="auto"/>
        <w:jc w:val="center"/>
        <w:rPr>
          <w:rFonts w:hint="eastAsia" w:ascii="仿宋" w:hAnsi="仿宋" w:eastAsia="仿宋" w:cs="仿宋"/>
          <w:color w:val="auto"/>
          <w:u w:val="none" w:color="auto"/>
        </w:rPr>
      </w:pPr>
    </w:p>
    <w:p w14:paraId="13BC2E3A">
      <w:pPr>
        <w:spacing w:before="104" w:line="362" w:lineRule="auto"/>
        <w:ind w:left="2118" w:right="694" w:hanging="1860"/>
        <w:jc w:val="center"/>
        <w:rPr>
          <w:rFonts w:hint="default" w:ascii="仿宋" w:hAnsi="仿宋" w:eastAsia="仿宋" w:cs="仿宋"/>
          <w:b/>
          <w:bCs/>
          <w:color w:val="auto"/>
          <w:spacing w:val="12"/>
          <w:sz w:val="36"/>
          <w:szCs w:val="36"/>
          <w:u w:val="none" w:color="auto"/>
          <w:lang w:val="en-US" w:eastAsia="zh-CN"/>
        </w:rPr>
      </w:pPr>
      <w:r>
        <w:rPr>
          <w:rFonts w:hint="eastAsia" w:ascii="仿宋" w:hAnsi="仿宋" w:eastAsia="仿宋" w:cs="仿宋"/>
          <w:b/>
          <w:bCs/>
          <w:color w:val="auto"/>
          <w:spacing w:val="12"/>
          <w:sz w:val="36"/>
          <w:szCs w:val="36"/>
          <w:u w:val="none" w:color="auto"/>
        </w:rPr>
        <w:t>陕西省疾病预防控制中心</w:t>
      </w:r>
      <w:r>
        <w:rPr>
          <w:rFonts w:hint="eastAsia" w:ascii="仿宋" w:hAnsi="仿宋" w:eastAsia="仿宋" w:cs="仿宋"/>
          <w:b/>
          <w:bCs/>
          <w:color w:val="auto"/>
          <w:spacing w:val="12"/>
          <w:sz w:val="36"/>
          <w:szCs w:val="36"/>
          <w:u w:val="none" w:color="auto"/>
          <w:lang w:val="en-US" w:eastAsia="zh-CN"/>
        </w:rPr>
        <w:t>抗结核药品－FDC</w:t>
      </w:r>
    </w:p>
    <w:p w14:paraId="189E8D16">
      <w:pPr>
        <w:spacing w:before="104" w:line="362" w:lineRule="auto"/>
        <w:ind w:left="2118" w:right="694" w:hanging="1860"/>
        <w:jc w:val="center"/>
        <w:rPr>
          <w:rFonts w:hint="eastAsia" w:ascii="仿宋" w:hAnsi="仿宋" w:eastAsia="仿宋" w:cs="仿宋"/>
          <w:b/>
          <w:bCs/>
          <w:color w:val="auto"/>
          <w:spacing w:val="14"/>
          <w:sz w:val="36"/>
          <w:szCs w:val="36"/>
          <w:u w:val="none" w:color="auto"/>
          <w:lang w:val="en-US" w:eastAsia="zh-CN"/>
        </w:rPr>
      </w:pPr>
      <w:r>
        <w:rPr>
          <w:rFonts w:hint="eastAsia" w:ascii="仿宋" w:hAnsi="仿宋" w:eastAsia="仿宋" w:cs="仿宋"/>
          <w:b/>
          <w:bCs/>
          <w:color w:val="auto"/>
          <w:spacing w:val="14"/>
          <w:sz w:val="36"/>
          <w:szCs w:val="36"/>
          <w:u w:val="none" w:color="auto"/>
        </w:rPr>
        <w:t>采购</w:t>
      </w:r>
      <w:r>
        <w:rPr>
          <w:rFonts w:hint="eastAsia" w:ascii="仿宋" w:hAnsi="仿宋" w:eastAsia="仿宋" w:cs="仿宋"/>
          <w:b/>
          <w:bCs/>
          <w:color w:val="auto"/>
          <w:spacing w:val="14"/>
          <w:sz w:val="36"/>
          <w:szCs w:val="36"/>
          <w:u w:val="none" w:color="auto"/>
          <w:lang w:val="en-US" w:eastAsia="zh-CN"/>
        </w:rPr>
        <w:t>合同</w:t>
      </w:r>
    </w:p>
    <w:p w14:paraId="57D79B5E">
      <w:pPr>
        <w:pStyle w:val="6"/>
        <w:spacing w:line="249" w:lineRule="auto"/>
        <w:jc w:val="center"/>
        <w:rPr>
          <w:rFonts w:hint="eastAsia" w:ascii="仿宋" w:hAnsi="仿宋" w:eastAsia="仿宋" w:cs="仿宋"/>
          <w:color w:val="auto"/>
          <w:u w:val="none" w:color="auto"/>
        </w:rPr>
      </w:pPr>
    </w:p>
    <w:p w14:paraId="3971A65B">
      <w:pPr>
        <w:pStyle w:val="6"/>
        <w:spacing w:line="249" w:lineRule="auto"/>
        <w:jc w:val="center"/>
        <w:rPr>
          <w:rFonts w:hint="eastAsia" w:ascii="仿宋" w:hAnsi="仿宋" w:eastAsia="仿宋" w:cs="仿宋"/>
          <w:color w:val="auto"/>
          <w:u w:val="none" w:color="auto"/>
        </w:rPr>
      </w:pPr>
    </w:p>
    <w:p w14:paraId="54986D17">
      <w:pPr>
        <w:pStyle w:val="6"/>
        <w:spacing w:line="249" w:lineRule="auto"/>
        <w:jc w:val="center"/>
        <w:rPr>
          <w:rFonts w:hint="eastAsia" w:ascii="仿宋" w:hAnsi="仿宋" w:eastAsia="仿宋" w:cs="仿宋"/>
          <w:color w:val="auto"/>
          <w:u w:val="none" w:color="auto"/>
        </w:rPr>
      </w:pPr>
    </w:p>
    <w:p w14:paraId="152B04EC">
      <w:pPr>
        <w:pStyle w:val="6"/>
        <w:spacing w:line="249" w:lineRule="auto"/>
        <w:jc w:val="center"/>
        <w:rPr>
          <w:rFonts w:hint="eastAsia" w:ascii="仿宋" w:hAnsi="仿宋" w:eastAsia="仿宋" w:cs="仿宋"/>
          <w:color w:val="auto"/>
          <w:u w:val="none" w:color="auto"/>
        </w:rPr>
      </w:pPr>
    </w:p>
    <w:p w14:paraId="58940656">
      <w:pPr>
        <w:pStyle w:val="6"/>
        <w:spacing w:line="249" w:lineRule="auto"/>
        <w:jc w:val="center"/>
        <w:rPr>
          <w:rFonts w:hint="eastAsia" w:ascii="仿宋" w:hAnsi="仿宋" w:eastAsia="仿宋" w:cs="仿宋"/>
          <w:color w:val="auto"/>
          <w:u w:val="none" w:color="auto"/>
        </w:rPr>
      </w:pPr>
    </w:p>
    <w:p w14:paraId="333F7B01">
      <w:pPr>
        <w:pStyle w:val="6"/>
        <w:spacing w:line="249" w:lineRule="auto"/>
        <w:jc w:val="center"/>
        <w:rPr>
          <w:rFonts w:hint="eastAsia" w:ascii="仿宋" w:hAnsi="仿宋" w:eastAsia="仿宋" w:cs="仿宋"/>
          <w:color w:val="auto"/>
          <w:u w:val="none" w:color="auto"/>
        </w:rPr>
      </w:pPr>
    </w:p>
    <w:p w14:paraId="45F90DD3">
      <w:pPr>
        <w:pStyle w:val="6"/>
        <w:spacing w:line="250" w:lineRule="auto"/>
        <w:jc w:val="center"/>
        <w:rPr>
          <w:rFonts w:hint="eastAsia" w:ascii="仿宋" w:hAnsi="仿宋" w:eastAsia="仿宋" w:cs="仿宋"/>
          <w:color w:val="auto"/>
          <w:u w:val="none" w:color="auto"/>
        </w:rPr>
      </w:pPr>
    </w:p>
    <w:p w14:paraId="10CA1AC7">
      <w:pPr>
        <w:pStyle w:val="6"/>
        <w:spacing w:line="250" w:lineRule="auto"/>
        <w:jc w:val="center"/>
        <w:rPr>
          <w:rFonts w:hint="eastAsia" w:ascii="仿宋" w:hAnsi="仿宋" w:eastAsia="仿宋" w:cs="仿宋"/>
          <w:color w:val="auto"/>
          <w:sz w:val="22"/>
          <w:szCs w:val="28"/>
          <w:u w:val="none" w:color="auto"/>
        </w:rPr>
      </w:pPr>
    </w:p>
    <w:p w14:paraId="30F27A79">
      <w:pPr>
        <w:spacing w:before="87" w:line="222" w:lineRule="auto"/>
        <w:jc w:val="center"/>
        <w:rPr>
          <w:rFonts w:hint="eastAsia" w:ascii="仿宋" w:hAnsi="仿宋" w:eastAsia="仿宋" w:cs="仿宋"/>
          <w:b/>
          <w:bCs/>
          <w:color w:val="auto"/>
          <w:sz w:val="32"/>
          <w:szCs w:val="32"/>
          <w:u w:val="none" w:color="auto"/>
        </w:rPr>
      </w:pPr>
      <w:r>
        <w:rPr>
          <w:rFonts w:hint="eastAsia" w:ascii="仿宋" w:hAnsi="仿宋" w:eastAsia="仿宋" w:cs="仿宋"/>
          <w:b/>
          <w:bCs/>
          <w:color w:val="auto"/>
          <w:sz w:val="32"/>
          <w:szCs w:val="32"/>
          <w:u w:val="none" w:color="auto"/>
          <w:lang w:val="en-US" w:eastAsia="zh-CN"/>
        </w:rPr>
        <w:t xml:space="preserve">  </w:t>
      </w:r>
      <w:r>
        <w:rPr>
          <w:rFonts w:hint="eastAsia" w:ascii="仿宋" w:hAnsi="仿宋" w:eastAsia="仿宋" w:cs="仿宋"/>
          <w:b/>
          <w:bCs/>
          <w:color w:val="auto"/>
          <w:sz w:val="32"/>
          <w:szCs w:val="32"/>
          <w:u w:val="none" w:color="auto"/>
        </w:rPr>
        <w:t>甲  方：陕西省疾病预防控制中心</w:t>
      </w:r>
    </w:p>
    <w:p w14:paraId="7FBAEE6C">
      <w:pPr>
        <w:pStyle w:val="6"/>
        <w:spacing w:line="267" w:lineRule="auto"/>
        <w:jc w:val="center"/>
        <w:rPr>
          <w:rFonts w:hint="eastAsia" w:ascii="仿宋" w:hAnsi="仿宋" w:eastAsia="仿宋" w:cs="仿宋"/>
          <w:b/>
          <w:bCs/>
          <w:color w:val="auto"/>
          <w:sz w:val="32"/>
          <w:szCs w:val="32"/>
          <w:u w:val="none" w:color="auto"/>
        </w:rPr>
      </w:pPr>
    </w:p>
    <w:p w14:paraId="1B3DB588">
      <w:pPr>
        <w:pStyle w:val="6"/>
        <w:spacing w:line="267" w:lineRule="auto"/>
        <w:jc w:val="center"/>
        <w:rPr>
          <w:rFonts w:hint="eastAsia" w:ascii="仿宋" w:hAnsi="仿宋" w:eastAsia="仿宋" w:cs="仿宋"/>
          <w:b/>
          <w:bCs/>
          <w:color w:val="auto"/>
          <w:sz w:val="32"/>
          <w:szCs w:val="32"/>
          <w:u w:val="none" w:color="auto"/>
        </w:rPr>
      </w:pPr>
    </w:p>
    <w:p w14:paraId="3ABB305C">
      <w:pPr>
        <w:spacing w:before="87" w:line="220" w:lineRule="auto"/>
        <w:ind w:firstLine="1952" w:firstLineChars="600"/>
        <w:jc w:val="both"/>
        <w:rPr>
          <w:rFonts w:hint="default" w:ascii="仿宋" w:hAnsi="仿宋" w:eastAsia="仿宋" w:cs="仿宋"/>
          <w:b/>
          <w:bCs/>
          <w:color w:val="auto"/>
          <w:spacing w:val="2"/>
          <w:sz w:val="32"/>
          <w:szCs w:val="32"/>
          <w:u w:val="none" w:color="auto"/>
          <w:lang w:val="en-US" w:eastAsia="zh-CN"/>
        </w:rPr>
      </w:pPr>
      <w:r>
        <w:rPr>
          <w:rFonts w:hint="eastAsia" w:ascii="仿宋" w:hAnsi="仿宋" w:eastAsia="仿宋" w:cs="仿宋"/>
          <w:b/>
          <w:bCs/>
          <w:color w:val="auto"/>
          <w:spacing w:val="2"/>
          <w:sz w:val="32"/>
          <w:szCs w:val="32"/>
          <w:u w:val="none" w:color="auto"/>
        </w:rPr>
        <w:t>乙  方：</w:t>
      </w:r>
      <w:r>
        <w:rPr>
          <w:rFonts w:hint="eastAsia" w:ascii="仿宋" w:hAnsi="仿宋" w:eastAsia="仿宋" w:cs="仿宋"/>
          <w:b/>
          <w:bCs/>
          <w:color w:val="auto"/>
          <w:spacing w:val="2"/>
          <w:sz w:val="32"/>
          <w:szCs w:val="32"/>
          <w:u w:val="single" w:color="auto"/>
          <w:lang w:val="en-US" w:eastAsia="zh-CN"/>
        </w:rPr>
        <w:t xml:space="preserve">                      </w:t>
      </w:r>
      <w:r>
        <w:rPr>
          <w:rFonts w:hint="eastAsia" w:ascii="仿宋" w:hAnsi="仿宋" w:eastAsia="仿宋" w:cs="仿宋"/>
          <w:b/>
          <w:bCs/>
          <w:color w:val="auto"/>
          <w:spacing w:val="2"/>
          <w:sz w:val="32"/>
          <w:szCs w:val="32"/>
          <w:u w:val="none" w:color="auto"/>
          <w:lang w:val="en-US" w:eastAsia="zh-CN"/>
        </w:rPr>
        <w:t xml:space="preserve">   </w:t>
      </w:r>
    </w:p>
    <w:p w14:paraId="67820E1C">
      <w:pPr>
        <w:pStyle w:val="6"/>
        <w:spacing w:line="250" w:lineRule="auto"/>
        <w:jc w:val="center"/>
        <w:rPr>
          <w:rFonts w:hint="eastAsia" w:ascii="仿宋" w:hAnsi="仿宋" w:eastAsia="仿宋" w:cs="仿宋"/>
          <w:b/>
          <w:bCs/>
          <w:color w:val="auto"/>
          <w:sz w:val="32"/>
          <w:szCs w:val="32"/>
          <w:u w:val="none" w:color="auto"/>
        </w:rPr>
      </w:pPr>
    </w:p>
    <w:p w14:paraId="7201BD9B">
      <w:pPr>
        <w:pStyle w:val="6"/>
        <w:spacing w:line="250" w:lineRule="auto"/>
        <w:jc w:val="center"/>
        <w:rPr>
          <w:rFonts w:hint="eastAsia" w:ascii="仿宋" w:hAnsi="仿宋" w:eastAsia="仿宋" w:cs="仿宋"/>
          <w:b/>
          <w:bCs/>
          <w:color w:val="auto"/>
          <w:sz w:val="32"/>
          <w:szCs w:val="32"/>
          <w:u w:val="none" w:color="auto"/>
        </w:rPr>
      </w:pPr>
    </w:p>
    <w:p w14:paraId="0882DC92">
      <w:pPr>
        <w:spacing w:before="89" w:line="229" w:lineRule="auto"/>
        <w:jc w:val="center"/>
        <w:rPr>
          <w:rFonts w:hint="eastAsia" w:ascii="仿宋" w:hAnsi="仿宋" w:eastAsia="仿宋" w:cs="仿宋"/>
          <w:color w:val="auto"/>
          <w:sz w:val="28"/>
          <w:szCs w:val="28"/>
          <w:u w:val="none" w:color="auto"/>
        </w:rPr>
      </w:pPr>
      <w:r>
        <w:rPr>
          <w:rFonts w:hint="eastAsia" w:ascii="仿宋" w:hAnsi="仿宋" w:eastAsia="仿宋" w:cs="仿宋"/>
          <w:b/>
          <w:bCs/>
          <w:color w:val="auto"/>
          <w:spacing w:val="1"/>
          <w:sz w:val="32"/>
          <w:szCs w:val="32"/>
          <w:u w:val="single" w:color="auto"/>
          <w:lang w:val="en-US" w:eastAsia="zh-CN"/>
        </w:rPr>
        <w:t xml:space="preserve">     </w:t>
      </w:r>
      <w:r>
        <w:rPr>
          <w:rFonts w:hint="eastAsia" w:ascii="仿宋" w:hAnsi="仿宋" w:eastAsia="仿宋" w:cs="仿宋"/>
          <w:b/>
          <w:bCs/>
          <w:color w:val="auto"/>
          <w:spacing w:val="1"/>
          <w:sz w:val="32"/>
          <w:szCs w:val="32"/>
          <w:u w:val="none" w:color="auto"/>
        </w:rPr>
        <w:t>年</w:t>
      </w:r>
      <w:r>
        <w:rPr>
          <w:rFonts w:hint="eastAsia" w:ascii="仿宋" w:hAnsi="仿宋" w:eastAsia="仿宋" w:cs="仿宋"/>
          <w:b/>
          <w:bCs/>
          <w:color w:val="auto"/>
          <w:spacing w:val="1"/>
          <w:sz w:val="32"/>
          <w:szCs w:val="32"/>
          <w:u w:val="single" w:color="auto"/>
          <w:lang w:val="en-US" w:eastAsia="zh-CN"/>
        </w:rPr>
        <w:t xml:space="preserve">     </w:t>
      </w:r>
      <w:r>
        <w:rPr>
          <w:rFonts w:hint="eastAsia" w:ascii="仿宋" w:hAnsi="仿宋" w:eastAsia="仿宋" w:cs="仿宋"/>
          <w:b/>
          <w:bCs/>
          <w:color w:val="auto"/>
          <w:spacing w:val="-28"/>
          <w:sz w:val="32"/>
          <w:szCs w:val="32"/>
          <w:u w:val="none" w:color="auto"/>
        </w:rPr>
        <w:t xml:space="preserve"> </w:t>
      </w:r>
      <w:r>
        <w:rPr>
          <w:rFonts w:hint="eastAsia" w:ascii="仿宋" w:hAnsi="仿宋" w:eastAsia="仿宋" w:cs="仿宋"/>
          <w:b/>
          <w:bCs/>
          <w:color w:val="auto"/>
          <w:spacing w:val="1"/>
          <w:position w:val="-2"/>
          <w:sz w:val="32"/>
          <w:szCs w:val="32"/>
          <w:u w:val="none" w:color="auto"/>
        </w:rPr>
        <w:t>月</w:t>
      </w:r>
    </w:p>
    <w:p w14:paraId="473FE6DE">
      <w:pPr>
        <w:spacing w:line="229" w:lineRule="auto"/>
        <w:jc w:val="center"/>
        <w:rPr>
          <w:rFonts w:hint="eastAsia" w:ascii="仿宋" w:hAnsi="仿宋" w:eastAsia="仿宋" w:cs="仿宋"/>
          <w:color w:val="auto"/>
          <w:sz w:val="28"/>
          <w:szCs w:val="28"/>
          <w:u w:val="none" w:color="auto"/>
        </w:rPr>
        <w:sectPr>
          <w:pgSz w:w="11910" w:h="16840"/>
          <w:pgMar w:top="1431" w:right="1786" w:bottom="1429" w:left="1786" w:header="0" w:footer="0" w:gutter="0"/>
          <w:cols w:space="720" w:num="1"/>
        </w:sectPr>
      </w:pPr>
    </w:p>
    <w:p w14:paraId="17EE9A91">
      <w:pPr>
        <w:widowControl/>
        <w:kinsoku w:val="0"/>
        <w:autoSpaceDE w:val="0"/>
        <w:autoSpaceDN w:val="0"/>
        <w:adjustRightInd w:val="0"/>
        <w:snapToGrid w:val="0"/>
        <w:spacing w:before="81" w:line="223" w:lineRule="auto"/>
        <w:jc w:val="center"/>
        <w:textAlignment w:val="baseline"/>
        <w:rPr>
          <w:rFonts w:hint="default" w:ascii="楷体" w:hAnsi="楷体" w:eastAsia="楷体" w:cs="楷体"/>
          <w:snapToGrid w:val="0"/>
          <w:color w:val="auto"/>
          <w:kern w:val="0"/>
          <w:sz w:val="32"/>
          <w:szCs w:val="32"/>
          <w:u w:val="none" w:color="auto"/>
          <w:lang w:val="en-US" w:eastAsia="zh-CN"/>
        </w:rPr>
      </w:pPr>
      <w:r>
        <w:rPr>
          <w:rFonts w:hint="eastAsia" w:ascii="楷体" w:hAnsi="楷体" w:eastAsia="楷体" w:cs="楷体"/>
          <w:b/>
          <w:bCs/>
          <w:snapToGrid w:val="0"/>
          <w:color w:val="auto"/>
          <w:spacing w:val="-5"/>
          <w:kern w:val="0"/>
          <w:sz w:val="32"/>
          <w:szCs w:val="32"/>
          <w:u w:val="none" w:color="auto"/>
          <w:lang w:val="en-US" w:eastAsia="zh-CN"/>
        </w:rPr>
        <w:t>陕西省</w:t>
      </w:r>
      <w:r>
        <w:rPr>
          <w:rFonts w:hint="eastAsia" w:ascii="楷体" w:hAnsi="楷体" w:eastAsia="楷体" w:cs="楷体"/>
          <w:b/>
          <w:bCs/>
          <w:snapToGrid w:val="0"/>
          <w:color w:val="auto"/>
          <w:spacing w:val="-5"/>
          <w:kern w:val="0"/>
          <w:sz w:val="32"/>
          <w:szCs w:val="32"/>
          <w:u w:val="none" w:color="auto"/>
          <w:lang w:eastAsia="en-US"/>
        </w:rPr>
        <w:t>抗结核药品-</w:t>
      </w:r>
      <w:r>
        <w:rPr>
          <w:rFonts w:hint="eastAsia" w:ascii="楷体" w:hAnsi="楷体" w:eastAsia="楷体" w:cs="楷体"/>
          <w:b/>
          <w:bCs/>
          <w:snapToGrid w:val="0"/>
          <w:color w:val="auto"/>
          <w:spacing w:val="-5"/>
          <w:kern w:val="0"/>
          <w:sz w:val="32"/>
          <w:szCs w:val="32"/>
          <w:u w:val="none" w:color="auto"/>
          <w:lang w:val="en-US" w:eastAsia="zh-CN"/>
        </w:rPr>
        <w:t xml:space="preserve">FDC供货合同   </w:t>
      </w:r>
    </w:p>
    <w:p w14:paraId="7B8BBCD6">
      <w:pPr>
        <w:pStyle w:val="16"/>
        <w:spacing w:line="360" w:lineRule="auto"/>
        <w:ind w:firstLine="480" w:firstLineChars="200"/>
        <w:rPr>
          <w:rFonts w:hint="eastAsia" w:ascii="仿宋" w:hAnsi="仿宋" w:eastAsia="仿宋" w:cs="仿宋"/>
          <w:color w:val="auto"/>
          <w:highlight w:val="none"/>
          <w:u w:val="none" w:color="auto"/>
        </w:rPr>
      </w:pPr>
    </w:p>
    <w:p w14:paraId="7458431C">
      <w:pPr>
        <w:pStyle w:val="16"/>
        <w:spacing w:line="360" w:lineRule="auto"/>
        <w:ind w:firstLine="480" w:firstLineChars="200"/>
        <w:rPr>
          <w:rFonts w:hint="eastAsia" w:ascii="仿宋" w:hAnsi="仿宋" w:eastAsia="仿宋" w:cs="仿宋"/>
          <w:color w:val="auto"/>
          <w:highlight w:val="none"/>
          <w:u w:val="single" w:color="auto"/>
        </w:rPr>
      </w:pPr>
      <w:r>
        <w:rPr>
          <w:rFonts w:hint="eastAsia" w:ascii="仿宋" w:hAnsi="仿宋" w:eastAsia="仿宋" w:cs="仿宋"/>
          <w:color w:val="auto"/>
          <w:highlight w:val="none"/>
          <w:u w:val="none" w:color="auto"/>
        </w:rPr>
        <w:t xml:space="preserve">采购人（甲方）： </w:t>
      </w:r>
      <w:r>
        <w:rPr>
          <w:rFonts w:hint="eastAsia" w:ascii="仿宋" w:hAnsi="仿宋" w:eastAsia="仿宋" w:cs="仿宋"/>
          <w:color w:val="auto"/>
          <w:highlight w:val="none"/>
          <w:u w:val="single" w:color="auto"/>
        </w:rPr>
        <w:t xml:space="preserve">陕西省疾病预防控制中心 </w:t>
      </w:r>
    </w:p>
    <w:p w14:paraId="0FA090ED">
      <w:pPr>
        <w:pStyle w:val="16"/>
        <w:spacing w:line="360" w:lineRule="auto"/>
        <w:ind w:firstLine="480" w:firstLineChars="200"/>
        <w:outlineLvl w:val="9"/>
        <w:rPr>
          <w:rFonts w:hint="eastAsia" w:ascii="仿宋" w:hAnsi="仿宋" w:eastAsia="仿宋" w:cs="仿宋"/>
          <w:color w:val="auto"/>
          <w:highlight w:val="none"/>
          <w:u w:val="single" w:color="auto"/>
        </w:rPr>
      </w:pPr>
      <w:r>
        <w:rPr>
          <w:rFonts w:hint="eastAsia" w:ascii="仿宋" w:hAnsi="仿宋" w:eastAsia="仿宋" w:cs="仿宋"/>
          <w:color w:val="auto"/>
          <w:highlight w:val="none"/>
          <w:u w:val="none" w:color="auto"/>
        </w:rPr>
        <w:t>供应商（乙方）：</w:t>
      </w:r>
      <w:bookmarkStart w:id="0" w:name="OLE_LINK16"/>
      <w:r>
        <w:rPr>
          <w:rFonts w:hint="eastAsia" w:ascii="仿宋" w:hAnsi="仿宋" w:eastAsia="仿宋" w:cs="仿宋"/>
          <w:color w:val="auto"/>
          <w:highlight w:val="none"/>
          <w:u w:val="single" w:color="auto"/>
        </w:rPr>
        <w:t xml:space="preserve"> </w:t>
      </w:r>
      <w:r>
        <w:rPr>
          <w:rFonts w:hint="eastAsia" w:ascii="仿宋" w:hAnsi="仿宋" w:eastAsia="仿宋" w:cs="仿宋"/>
          <w:color w:val="auto"/>
          <w:highlight w:val="none"/>
          <w:u w:val="single" w:color="auto"/>
          <w:lang w:val="en-US" w:eastAsia="zh-CN"/>
        </w:rPr>
        <w:t xml:space="preserve">                     </w:t>
      </w:r>
      <w:r>
        <w:rPr>
          <w:rFonts w:hint="eastAsia" w:ascii="仿宋" w:hAnsi="仿宋" w:eastAsia="仿宋" w:cs="仿宋"/>
          <w:color w:val="auto"/>
          <w:highlight w:val="none"/>
          <w:u w:val="single" w:color="auto"/>
        </w:rPr>
        <w:t xml:space="preserve">  </w:t>
      </w:r>
      <w:bookmarkEnd w:id="0"/>
    </w:p>
    <w:p w14:paraId="04A09A15">
      <w:pPr>
        <w:pStyle w:val="16"/>
        <w:spacing w:line="360" w:lineRule="auto"/>
        <w:ind w:left="420" w:leftChars="200"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根据《中华人民共和国政府采购法》及实施条例、《中华人民共和国民法典》和甲方</w:t>
      </w:r>
      <w:r>
        <w:rPr>
          <w:rFonts w:hint="eastAsia" w:ascii="仿宋" w:hAnsi="仿宋" w:eastAsia="仿宋" w:cs="仿宋"/>
          <w:color w:val="auto"/>
          <w:highlight w:val="none"/>
          <w:u w:val="single" w:color="auto"/>
        </w:rPr>
        <w:t xml:space="preserve"> 陕西省疾病预防控制中心  </w:t>
      </w:r>
      <w:r>
        <w:rPr>
          <w:rFonts w:hint="eastAsia" w:ascii="仿宋" w:hAnsi="仿宋" w:eastAsia="仿宋" w:cs="仿宋"/>
          <w:color w:val="auto"/>
          <w:kern w:val="0"/>
          <w:sz w:val="24"/>
          <w:szCs w:val="24"/>
          <w:highlight w:val="none"/>
          <w:u w:val="none" w:color="auto"/>
          <w:lang w:val="en-US" w:eastAsia="zh-CN" w:bidi="ar-SA"/>
        </w:rPr>
        <w:t>（</w:t>
      </w:r>
      <w:r>
        <w:rPr>
          <w:rFonts w:hint="eastAsia" w:ascii="仿宋" w:hAnsi="仿宋" w:eastAsia="仿宋" w:cs="仿宋"/>
          <w:color w:val="auto"/>
          <w:highlight w:val="none"/>
          <w:u w:val="none" w:color="auto"/>
        </w:rPr>
        <w:t>项目编号</w:t>
      </w:r>
      <w:r>
        <w:rPr>
          <w:rFonts w:hint="eastAsia" w:ascii="仿宋" w:hAnsi="仿宋" w:eastAsia="仿宋" w:cs="仿宋"/>
          <w:color w:val="auto"/>
          <w:highlight w:val="none"/>
          <w:u w:val="single" w:color="auto"/>
        </w:rPr>
        <w:t>：</w:t>
      </w:r>
      <w:r>
        <w:rPr>
          <w:rFonts w:hint="eastAsia" w:ascii="仿宋" w:hAnsi="仿宋" w:eastAsia="仿宋" w:cs="仿宋"/>
          <w:color w:val="auto"/>
          <w:highlight w:val="none"/>
          <w:u w:val="single" w:color="auto"/>
          <w:lang w:val="en-US" w:eastAsia="zh-CN"/>
        </w:rPr>
        <w:t xml:space="preserve">        </w:t>
      </w:r>
      <w:r>
        <w:rPr>
          <w:rFonts w:hint="eastAsia" w:ascii="仿宋" w:hAnsi="仿宋" w:eastAsia="仿宋" w:cs="仿宋"/>
          <w:i w:val="0"/>
          <w:iCs w:val="0"/>
          <w:color w:val="auto"/>
          <w:highlight w:val="none"/>
          <w:u w:val="none" w:color="auto"/>
          <w:lang w:eastAsia="zh-CN"/>
        </w:rPr>
        <w:t>；</w:t>
      </w:r>
      <w:r>
        <w:rPr>
          <w:rFonts w:hint="eastAsia" w:ascii="仿宋" w:hAnsi="仿宋" w:eastAsia="仿宋" w:cs="仿宋"/>
          <w:i w:val="0"/>
          <w:iCs w:val="0"/>
          <w:color w:val="auto"/>
          <w:highlight w:val="none"/>
          <w:u w:val="none" w:color="auto"/>
          <w:lang w:val="en-US" w:eastAsia="zh-CN"/>
        </w:rPr>
        <w:t>采购包号：</w:t>
      </w:r>
      <w:r>
        <w:rPr>
          <w:rFonts w:hint="eastAsia" w:ascii="仿宋" w:hAnsi="仿宋" w:eastAsia="仿宋" w:cs="仿宋"/>
          <w:i w:val="0"/>
          <w:iCs w:val="0"/>
          <w:color w:val="auto"/>
          <w:highlight w:val="none"/>
          <w:u w:val="single" w:color="auto"/>
          <w:lang w:val="en-US" w:eastAsia="zh-CN"/>
        </w:rPr>
        <w:t xml:space="preserve">           </w:t>
      </w:r>
      <w:r>
        <w:rPr>
          <w:rFonts w:hint="eastAsia" w:ascii="仿宋" w:hAnsi="仿宋" w:eastAsia="仿宋" w:cs="仿宋"/>
          <w:color w:val="auto"/>
          <w:highlight w:val="none"/>
          <w:u w:val="none" w:color="auto"/>
        </w:rPr>
        <w:t>）的招标文件、投标文件等有关规定，为确保甲方采购项目的顺利实施，甲、乙双方在平等自愿原则下签订本合同，并共同遵守如下条款：</w:t>
      </w:r>
    </w:p>
    <w:p w14:paraId="71CDD66B">
      <w:pPr>
        <w:pStyle w:val="16"/>
        <w:spacing w:line="360" w:lineRule="auto"/>
        <w:ind w:firstLine="711" w:firstLineChars="295"/>
        <w:outlineLvl w:val="1"/>
        <w:rPr>
          <w:rFonts w:hint="eastAsia" w:ascii="仿宋" w:hAnsi="仿宋" w:eastAsia="仿宋" w:cs="仿宋"/>
          <w:b/>
          <w:color w:val="auto"/>
          <w:highlight w:val="none"/>
          <w:u w:val="none" w:color="auto"/>
        </w:rPr>
      </w:pPr>
      <w:bookmarkStart w:id="1" w:name="_Toc8686"/>
      <w:bookmarkStart w:id="2" w:name="_Toc3552"/>
      <w:bookmarkStart w:id="3" w:name="_Toc18934"/>
      <w:bookmarkStart w:id="4" w:name="_Toc3373"/>
      <w:r>
        <w:rPr>
          <w:rFonts w:hint="eastAsia" w:ascii="仿宋" w:hAnsi="仿宋" w:eastAsia="仿宋" w:cs="仿宋"/>
          <w:b/>
          <w:color w:val="auto"/>
          <w:highlight w:val="none"/>
          <w:u w:val="none" w:color="auto"/>
        </w:rPr>
        <w:t>第一条 合同标的及数量</w:t>
      </w:r>
      <w:bookmarkEnd w:id="1"/>
      <w:bookmarkEnd w:id="2"/>
      <w:bookmarkEnd w:id="3"/>
      <w:bookmarkEnd w:id="4"/>
    </w:p>
    <w:p w14:paraId="1A0959E8">
      <w:pPr>
        <w:pStyle w:val="4"/>
        <w:spacing w:line="360" w:lineRule="auto"/>
        <w:ind w:firstLine="720" w:firstLineChars="300"/>
        <w:jc w:val="left"/>
        <w:outlineLvl w:val="9"/>
        <w:rPr>
          <w:rFonts w:hint="eastAsia" w:ascii="仿宋" w:hAnsi="仿宋" w:eastAsia="仿宋" w:cs="仿宋"/>
          <w:color w:val="auto"/>
          <w:highlight w:val="none"/>
          <w:u w:val="none" w:color="auto"/>
        </w:rPr>
      </w:pPr>
      <w:r>
        <w:rPr>
          <w:rFonts w:hint="eastAsia" w:ascii="仿宋" w:hAnsi="仿宋" w:eastAsia="仿宋" w:cs="仿宋"/>
          <w:color w:val="auto"/>
          <w:sz w:val="24"/>
          <w:szCs w:val="32"/>
          <w:highlight w:val="none"/>
          <w:u w:val="none" w:color="auto"/>
        </w:rPr>
        <w:t>乙方向甲方提供下列货物（产品）</w:t>
      </w:r>
      <w:r>
        <w:rPr>
          <w:rFonts w:hint="eastAsia" w:ascii="仿宋" w:hAnsi="仿宋" w:eastAsia="仿宋" w:cs="仿宋"/>
          <w:color w:val="auto"/>
          <w:sz w:val="24"/>
          <w:szCs w:val="32"/>
          <w:highlight w:val="none"/>
          <w:u w:val="none" w:color="auto"/>
          <w:lang w:val="en-US" w:eastAsia="zh-CN"/>
        </w:rPr>
        <w:t>及相关服务</w:t>
      </w:r>
      <w:r>
        <w:rPr>
          <w:rFonts w:hint="eastAsia" w:ascii="仿宋" w:hAnsi="仿宋" w:eastAsia="仿宋" w:cs="仿宋"/>
          <w:color w:val="auto"/>
          <w:sz w:val="24"/>
          <w:szCs w:val="32"/>
          <w:highlight w:val="none"/>
          <w:u w:val="none" w:color="auto"/>
        </w:rPr>
        <w:t>：</w:t>
      </w:r>
    </w:p>
    <w:tbl>
      <w:tblPr>
        <w:tblStyle w:val="14"/>
        <w:tblpPr w:leftFromText="180" w:rightFromText="180" w:vertAnchor="text" w:horzAnchor="page" w:tblpX="1862" w:tblpY="457"/>
        <w:tblOverlap w:val="never"/>
        <w:tblW w:w="8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
        <w:gridCol w:w="963"/>
        <w:gridCol w:w="713"/>
        <w:gridCol w:w="775"/>
        <w:gridCol w:w="1562"/>
        <w:gridCol w:w="838"/>
        <w:gridCol w:w="1000"/>
        <w:gridCol w:w="1016"/>
        <w:gridCol w:w="975"/>
      </w:tblGrid>
      <w:tr w14:paraId="6C1E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trPr>
        <w:tc>
          <w:tcPr>
            <w:tcW w:w="544" w:type="dxa"/>
            <w:vAlign w:val="center"/>
          </w:tcPr>
          <w:p w14:paraId="47D1B609">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rPr>
            </w:pPr>
            <w:r>
              <w:rPr>
                <w:rFonts w:hint="eastAsia" w:ascii="仿宋" w:hAnsi="仿宋" w:eastAsia="仿宋" w:cs="仿宋"/>
                <w:color w:val="auto"/>
                <w:sz w:val="20"/>
                <w:szCs w:val="20"/>
                <w:highlight w:val="none"/>
                <w:u w:val="none" w:color="auto"/>
              </w:rPr>
              <w:t>序号</w:t>
            </w:r>
          </w:p>
        </w:tc>
        <w:tc>
          <w:tcPr>
            <w:tcW w:w="963" w:type="dxa"/>
            <w:vAlign w:val="center"/>
          </w:tcPr>
          <w:p w14:paraId="7563A7CA">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rPr>
            </w:pPr>
            <w:r>
              <w:rPr>
                <w:rFonts w:hint="eastAsia" w:ascii="仿宋" w:hAnsi="仿宋" w:eastAsia="仿宋" w:cs="仿宋"/>
                <w:color w:val="auto"/>
                <w:sz w:val="20"/>
                <w:szCs w:val="20"/>
                <w:highlight w:val="none"/>
                <w:u w:val="none" w:color="auto"/>
                <w:lang w:val="en-US" w:eastAsia="zh-CN"/>
              </w:rPr>
              <w:t>药品</w:t>
            </w:r>
            <w:r>
              <w:rPr>
                <w:rFonts w:hint="eastAsia" w:ascii="仿宋" w:hAnsi="仿宋" w:eastAsia="仿宋" w:cs="仿宋"/>
                <w:color w:val="auto"/>
                <w:sz w:val="20"/>
                <w:szCs w:val="20"/>
                <w:highlight w:val="none"/>
                <w:u w:val="none" w:color="auto"/>
              </w:rPr>
              <w:t>名称</w:t>
            </w:r>
          </w:p>
        </w:tc>
        <w:tc>
          <w:tcPr>
            <w:tcW w:w="713" w:type="dxa"/>
            <w:vAlign w:val="center"/>
          </w:tcPr>
          <w:p w14:paraId="48DDF80D">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r>
              <w:rPr>
                <w:rFonts w:hint="eastAsia" w:ascii="仿宋" w:hAnsi="仿宋" w:eastAsia="仿宋" w:cs="仿宋"/>
                <w:color w:val="auto"/>
                <w:kern w:val="0"/>
                <w:sz w:val="20"/>
                <w:szCs w:val="20"/>
                <w:highlight w:val="none"/>
                <w:u w:val="none" w:color="auto"/>
                <w:lang w:val="en-US" w:eastAsia="zh-CN"/>
              </w:rPr>
              <w:t>品牌</w:t>
            </w:r>
          </w:p>
        </w:tc>
        <w:tc>
          <w:tcPr>
            <w:tcW w:w="775" w:type="dxa"/>
            <w:vAlign w:val="center"/>
          </w:tcPr>
          <w:p w14:paraId="26BC5486">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r>
              <w:rPr>
                <w:rFonts w:hint="eastAsia" w:ascii="仿宋" w:hAnsi="仿宋" w:eastAsia="仿宋" w:cs="仿宋"/>
                <w:color w:val="auto"/>
                <w:kern w:val="0"/>
                <w:sz w:val="20"/>
                <w:szCs w:val="20"/>
                <w:highlight w:val="none"/>
                <w:u w:val="none" w:color="auto"/>
                <w:lang w:val="en-US" w:eastAsia="zh-CN"/>
              </w:rPr>
              <w:t>产地</w:t>
            </w:r>
          </w:p>
        </w:tc>
        <w:tc>
          <w:tcPr>
            <w:tcW w:w="1562" w:type="dxa"/>
            <w:vAlign w:val="center"/>
          </w:tcPr>
          <w:p w14:paraId="4C89F3A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kern w:val="0"/>
                <w:sz w:val="20"/>
                <w:szCs w:val="20"/>
                <w:highlight w:val="none"/>
                <w:u w:val="none" w:color="auto"/>
                <w:lang w:val="en-US" w:eastAsia="zh-CN"/>
              </w:rPr>
            </w:pPr>
            <w:r>
              <w:rPr>
                <w:rFonts w:hint="eastAsia" w:ascii="仿宋" w:hAnsi="仿宋" w:eastAsia="仿宋" w:cs="仿宋"/>
                <w:color w:val="auto"/>
                <w:kern w:val="0"/>
                <w:sz w:val="20"/>
                <w:szCs w:val="20"/>
                <w:highlight w:val="none"/>
                <w:u w:val="none" w:color="auto"/>
                <w:lang w:val="en-US" w:eastAsia="zh-CN"/>
              </w:rPr>
              <w:t>制造商名称</w:t>
            </w:r>
          </w:p>
        </w:tc>
        <w:tc>
          <w:tcPr>
            <w:tcW w:w="838" w:type="dxa"/>
            <w:shd w:val="clear" w:color="auto" w:fill="auto"/>
            <w:vAlign w:val="center"/>
          </w:tcPr>
          <w:p w14:paraId="6C67D88C">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kern w:val="2"/>
                <w:sz w:val="20"/>
                <w:szCs w:val="20"/>
                <w:highlight w:val="none"/>
                <w:u w:val="none" w:color="auto"/>
                <w:lang w:val="en-US" w:eastAsia="zh-CN" w:bidi="ar-SA"/>
              </w:rPr>
            </w:pPr>
            <w:r>
              <w:rPr>
                <w:rFonts w:hint="eastAsia" w:ascii="仿宋" w:hAnsi="仿宋" w:eastAsia="仿宋" w:cs="仿宋"/>
                <w:color w:val="auto"/>
                <w:sz w:val="20"/>
                <w:szCs w:val="20"/>
                <w:highlight w:val="none"/>
                <w:u w:val="none" w:color="auto"/>
                <w:lang w:val="en-US" w:eastAsia="zh-CN"/>
              </w:rPr>
              <w:t>每瓶</w:t>
            </w:r>
            <w:r>
              <w:rPr>
                <w:rFonts w:hint="eastAsia" w:ascii="仿宋" w:hAnsi="仿宋" w:eastAsia="仿宋" w:cs="仿宋"/>
                <w:color w:val="auto"/>
                <w:sz w:val="20"/>
                <w:szCs w:val="20"/>
                <w:highlight w:val="none"/>
                <w:u w:val="none" w:color="auto"/>
              </w:rPr>
              <w:t>规格</w:t>
            </w:r>
            <w:r>
              <w:rPr>
                <w:rFonts w:hint="eastAsia" w:ascii="仿宋" w:hAnsi="仿宋" w:eastAsia="仿宋" w:cs="仿宋"/>
                <w:color w:val="auto"/>
                <w:sz w:val="20"/>
                <w:szCs w:val="20"/>
                <w:highlight w:val="none"/>
                <w:u w:val="none" w:color="auto"/>
                <w:lang w:val="en-US" w:eastAsia="zh-CN"/>
              </w:rPr>
              <w:t>单位</w:t>
            </w:r>
          </w:p>
        </w:tc>
        <w:tc>
          <w:tcPr>
            <w:tcW w:w="1000" w:type="dxa"/>
            <w:vAlign w:val="center"/>
          </w:tcPr>
          <w:p w14:paraId="1AC10A79">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rPr>
            </w:pPr>
            <w:r>
              <w:rPr>
                <w:rFonts w:hint="eastAsia" w:ascii="仿宋" w:hAnsi="仿宋" w:eastAsia="仿宋" w:cs="仿宋"/>
                <w:color w:val="auto"/>
                <w:sz w:val="20"/>
                <w:szCs w:val="20"/>
                <w:highlight w:val="none"/>
                <w:u w:val="none" w:color="auto"/>
              </w:rPr>
              <w:t>数量</w:t>
            </w:r>
          </w:p>
          <w:p w14:paraId="293069F6">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rPr>
            </w:pPr>
            <w:r>
              <w:rPr>
                <w:rFonts w:hint="eastAsia" w:ascii="仿宋" w:hAnsi="仿宋" w:eastAsia="仿宋" w:cs="仿宋"/>
                <w:color w:val="auto"/>
                <w:sz w:val="20"/>
                <w:szCs w:val="20"/>
                <w:highlight w:val="none"/>
                <w:u w:val="none" w:color="auto"/>
                <w:lang w:eastAsia="zh-CN"/>
              </w:rPr>
              <w:t>（</w:t>
            </w:r>
            <w:r>
              <w:rPr>
                <w:rFonts w:hint="eastAsia" w:ascii="仿宋" w:hAnsi="仿宋" w:eastAsia="仿宋" w:cs="仿宋"/>
                <w:color w:val="auto"/>
                <w:sz w:val="20"/>
                <w:szCs w:val="20"/>
                <w:highlight w:val="none"/>
                <w:u w:val="none" w:color="auto"/>
                <w:lang w:val="en-US" w:eastAsia="zh-CN"/>
              </w:rPr>
              <w:t>盒/瓶</w:t>
            </w:r>
            <w:r>
              <w:rPr>
                <w:rFonts w:hint="eastAsia" w:ascii="仿宋" w:hAnsi="仿宋" w:eastAsia="仿宋" w:cs="仿宋"/>
                <w:color w:val="auto"/>
                <w:sz w:val="20"/>
                <w:szCs w:val="20"/>
                <w:highlight w:val="none"/>
                <w:u w:val="none" w:color="auto"/>
                <w:lang w:eastAsia="zh-CN"/>
              </w:rPr>
              <w:t>）</w:t>
            </w:r>
          </w:p>
        </w:tc>
        <w:tc>
          <w:tcPr>
            <w:tcW w:w="1016" w:type="dxa"/>
            <w:vAlign w:val="center"/>
          </w:tcPr>
          <w:p w14:paraId="1C8B1D82">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单价</w:t>
            </w:r>
          </w:p>
          <w:p w14:paraId="12263A6A">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rPr>
            </w:pPr>
            <w:r>
              <w:rPr>
                <w:rFonts w:hint="eastAsia" w:ascii="仿宋" w:hAnsi="仿宋" w:eastAsia="仿宋" w:cs="仿宋"/>
                <w:color w:val="auto"/>
                <w:sz w:val="20"/>
                <w:szCs w:val="20"/>
                <w:highlight w:val="none"/>
                <w:u w:val="none" w:color="auto"/>
                <w:lang w:eastAsia="zh-CN"/>
              </w:rPr>
              <w:t>（</w:t>
            </w:r>
            <w:r>
              <w:rPr>
                <w:rFonts w:hint="eastAsia" w:ascii="仿宋" w:hAnsi="仿宋" w:eastAsia="仿宋" w:cs="仿宋"/>
                <w:color w:val="auto"/>
                <w:sz w:val="20"/>
                <w:szCs w:val="20"/>
                <w:highlight w:val="none"/>
                <w:u w:val="none" w:color="auto"/>
              </w:rPr>
              <w:t>元</w:t>
            </w:r>
            <w:r>
              <w:rPr>
                <w:rFonts w:hint="eastAsia" w:ascii="仿宋" w:hAnsi="仿宋" w:eastAsia="仿宋" w:cs="仿宋"/>
                <w:color w:val="auto"/>
                <w:sz w:val="20"/>
                <w:szCs w:val="20"/>
                <w:highlight w:val="none"/>
                <w:u w:val="none" w:color="auto"/>
                <w:lang w:val="en-US" w:eastAsia="zh-CN"/>
              </w:rPr>
              <w:t>/片/粒</w:t>
            </w:r>
            <w:r>
              <w:rPr>
                <w:rFonts w:hint="default" w:ascii="仿宋" w:hAnsi="仿宋" w:eastAsia="仿宋" w:cs="仿宋"/>
                <w:color w:val="auto"/>
                <w:sz w:val="20"/>
                <w:szCs w:val="20"/>
                <w:highlight w:val="none"/>
                <w:u w:val="none" w:color="auto"/>
                <w:lang w:val="en-US" w:eastAsia="zh-CN"/>
              </w:rPr>
              <w:t xml:space="preserve"> </w:t>
            </w:r>
            <w:r>
              <w:rPr>
                <w:rFonts w:hint="eastAsia" w:ascii="仿宋" w:hAnsi="仿宋" w:eastAsia="仿宋" w:cs="仿宋"/>
                <w:color w:val="auto"/>
                <w:sz w:val="20"/>
                <w:szCs w:val="20"/>
                <w:highlight w:val="none"/>
                <w:u w:val="none" w:color="auto"/>
                <w:lang w:val="en-US" w:eastAsia="zh-CN"/>
              </w:rPr>
              <w:t>）</w:t>
            </w:r>
          </w:p>
        </w:tc>
        <w:tc>
          <w:tcPr>
            <w:tcW w:w="975" w:type="dxa"/>
            <w:vAlign w:val="center"/>
          </w:tcPr>
          <w:p w14:paraId="2FD65438">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 xml:space="preserve">合计 </w:t>
            </w:r>
          </w:p>
          <w:p w14:paraId="14745F67">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（元）</w:t>
            </w:r>
            <w:r>
              <w:rPr>
                <w:rFonts w:hint="default" w:ascii="仿宋" w:hAnsi="仿宋" w:eastAsia="仿宋" w:cs="仿宋"/>
                <w:color w:val="auto"/>
                <w:sz w:val="20"/>
                <w:szCs w:val="20"/>
                <w:highlight w:val="none"/>
                <w:u w:val="none" w:color="auto"/>
                <w:lang w:val="en-US" w:eastAsia="zh-CN"/>
              </w:rPr>
              <w:t xml:space="preserve">  </w:t>
            </w:r>
            <w:r>
              <w:rPr>
                <w:rFonts w:hint="eastAsia" w:ascii="仿宋" w:hAnsi="仿宋" w:eastAsia="仿宋" w:cs="仿宋"/>
                <w:color w:val="auto"/>
                <w:sz w:val="20"/>
                <w:szCs w:val="20"/>
                <w:highlight w:val="none"/>
                <w:u w:val="none" w:color="auto"/>
                <w:lang w:val="en-US" w:eastAsia="zh-CN"/>
              </w:rPr>
              <w:t xml:space="preserve"> </w:t>
            </w:r>
            <w:r>
              <w:rPr>
                <w:rFonts w:hint="default" w:ascii="仿宋" w:hAnsi="仿宋" w:eastAsia="仿宋" w:cs="仿宋"/>
                <w:color w:val="auto"/>
                <w:sz w:val="20"/>
                <w:szCs w:val="20"/>
                <w:highlight w:val="none"/>
                <w:u w:val="none" w:color="auto"/>
                <w:lang w:val="en-US" w:eastAsia="zh-CN"/>
              </w:rPr>
              <w:t xml:space="preserve">  </w:t>
            </w:r>
          </w:p>
        </w:tc>
      </w:tr>
      <w:tr w14:paraId="269E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44" w:type="dxa"/>
          </w:tcPr>
          <w:p w14:paraId="6C00D997">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1</w:t>
            </w:r>
          </w:p>
        </w:tc>
        <w:tc>
          <w:tcPr>
            <w:tcW w:w="963" w:type="dxa"/>
            <w:vAlign w:val="center"/>
          </w:tcPr>
          <w:p w14:paraId="23BE490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0"/>
                <w:szCs w:val="20"/>
                <w:highlight w:val="none"/>
                <w:u w:val="none" w:color="auto"/>
                <w:lang w:val="en-US"/>
              </w:rPr>
            </w:pPr>
          </w:p>
        </w:tc>
        <w:tc>
          <w:tcPr>
            <w:tcW w:w="713" w:type="dxa"/>
            <w:vAlign w:val="center"/>
          </w:tcPr>
          <w:p w14:paraId="1B41FF59">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775" w:type="dxa"/>
            <w:vAlign w:val="center"/>
          </w:tcPr>
          <w:p w14:paraId="121AE8A6">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1562" w:type="dxa"/>
            <w:vAlign w:val="center"/>
          </w:tcPr>
          <w:p w14:paraId="4F347B1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838" w:type="dxa"/>
            <w:shd w:val="clear" w:color="auto" w:fill="auto"/>
            <w:vAlign w:val="top"/>
          </w:tcPr>
          <w:p w14:paraId="3DFDC841">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kern w:val="2"/>
                <w:sz w:val="20"/>
                <w:szCs w:val="20"/>
                <w:highlight w:val="none"/>
                <w:u w:val="none" w:color="auto"/>
                <w:lang w:val="en-US" w:eastAsia="zh-CN" w:bidi="ar-SA"/>
              </w:rPr>
            </w:pPr>
          </w:p>
        </w:tc>
        <w:tc>
          <w:tcPr>
            <w:tcW w:w="1000" w:type="dxa"/>
          </w:tcPr>
          <w:p w14:paraId="413CB4FF">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rPr>
            </w:pPr>
          </w:p>
        </w:tc>
        <w:tc>
          <w:tcPr>
            <w:tcW w:w="1016" w:type="dxa"/>
          </w:tcPr>
          <w:p w14:paraId="4CC31F30">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c>
          <w:tcPr>
            <w:tcW w:w="975" w:type="dxa"/>
          </w:tcPr>
          <w:p w14:paraId="6C949717">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r>
      <w:tr w14:paraId="6B6F4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44" w:type="dxa"/>
          </w:tcPr>
          <w:p w14:paraId="50FBA553">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2</w:t>
            </w:r>
          </w:p>
        </w:tc>
        <w:tc>
          <w:tcPr>
            <w:tcW w:w="963" w:type="dxa"/>
            <w:vAlign w:val="center"/>
          </w:tcPr>
          <w:p w14:paraId="19C5B989">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0"/>
                <w:szCs w:val="20"/>
                <w:highlight w:val="none"/>
                <w:u w:val="none" w:color="auto"/>
                <w:lang w:val="en-US"/>
              </w:rPr>
            </w:pPr>
          </w:p>
        </w:tc>
        <w:tc>
          <w:tcPr>
            <w:tcW w:w="713" w:type="dxa"/>
            <w:vAlign w:val="center"/>
          </w:tcPr>
          <w:p w14:paraId="59BE5F3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775" w:type="dxa"/>
            <w:vAlign w:val="center"/>
          </w:tcPr>
          <w:p w14:paraId="725FB020">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1562" w:type="dxa"/>
            <w:vAlign w:val="center"/>
          </w:tcPr>
          <w:p w14:paraId="3739BAA6">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838" w:type="dxa"/>
            <w:shd w:val="clear" w:color="auto" w:fill="auto"/>
            <w:vAlign w:val="top"/>
          </w:tcPr>
          <w:p w14:paraId="66A35AFA">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kern w:val="2"/>
                <w:sz w:val="20"/>
                <w:szCs w:val="20"/>
                <w:highlight w:val="none"/>
                <w:u w:val="none" w:color="auto"/>
                <w:lang w:val="en-US" w:eastAsia="zh-CN" w:bidi="ar-SA"/>
              </w:rPr>
            </w:pPr>
          </w:p>
        </w:tc>
        <w:tc>
          <w:tcPr>
            <w:tcW w:w="1000" w:type="dxa"/>
          </w:tcPr>
          <w:p w14:paraId="6D3C04E1">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rPr>
            </w:pPr>
          </w:p>
        </w:tc>
        <w:tc>
          <w:tcPr>
            <w:tcW w:w="1016" w:type="dxa"/>
          </w:tcPr>
          <w:p w14:paraId="197E733D">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c>
          <w:tcPr>
            <w:tcW w:w="975" w:type="dxa"/>
          </w:tcPr>
          <w:p w14:paraId="4FEE14BD">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r>
      <w:tr w14:paraId="374DA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44" w:type="dxa"/>
          </w:tcPr>
          <w:p w14:paraId="0EB504C8">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3</w:t>
            </w:r>
          </w:p>
        </w:tc>
        <w:tc>
          <w:tcPr>
            <w:tcW w:w="963" w:type="dxa"/>
            <w:vAlign w:val="center"/>
          </w:tcPr>
          <w:p w14:paraId="337A81FC">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0"/>
                <w:szCs w:val="20"/>
                <w:highlight w:val="none"/>
                <w:u w:val="none" w:color="auto"/>
                <w:lang w:val="en-US"/>
              </w:rPr>
            </w:pPr>
          </w:p>
        </w:tc>
        <w:tc>
          <w:tcPr>
            <w:tcW w:w="713" w:type="dxa"/>
            <w:vAlign w:val="center"/>
          </w:tcPr>
          <w:p w14:paraId="6649A663">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775" w:type="dxa"/>
            <w:vAlign w:val="center"/>
          </w:tcPr>
          <w:p w14:paraId="349ABB7D">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1562" w:type="dxa"/>
            <w:vAlign w:val="center"/>
          </w:tcPr>
          <w:p w14:paraId="49A894E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838" w:type="dxa"/>
            <w:shd w:val="clear" w:color="auto" w:fill="auto"/>
            <w:vAlign w:val="top"/>
          </w:tcPr>
          <w:p w14:paraId="0AE0258C">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kern w:val="2"/>
                <w:sz w:val="20"/>
                <w:szCs w:val="20"/>
                <w:highlight w:val="none"/>
                <w:u w:val="none" w:color="auto"/>
                <w:lang w:val="en-US" w:eastAsia="zh-CN" w:bidi="ar-SA"/>
              </w:rPr>
            </w:pPr>
          </w:p>
        </w:tc>
        <w:tc>
          <w:tcPr>
            <w:tcW w:w="1000" w:type="dxa"/>
          </w:tcPr>
          <w:p w14:paraId="398C7944">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rPr>
            </w:pPr>
          </w:p>
        </w:tc>
        <w:tc>
          <w:tcPr>
            <w:tcW w:w="1016" w:type="dxa"/>
          </w:tcPr>
          <w:p w14:paraId="6FC55DF7">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c>
          <w:tcPr>
            <w:tcW w:w="975" w:type="dxa"/>
          </w:tcPr>
          <w:p w14:paraId="3B718E8E">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r>
      <w:tr w14:paraId="1E42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44" w:type="dxa"/>
          </w:tcPr>
          <w:p w14:paraId="2776667B">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4</w:t>
            </w:r>
          </w:p>
        </w:tc>
        <w:tc>
          <w:tcPr>
            <w:tcW w:w="963" w:type="dxa"/>
            <w:vAlign w:val="center"/>
          </w:tcPr>
          <w:p w14:paraId="41AC0D9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0"/>
                <w:szCs w:val="20"/>
                <w:highlight w:val="none"/>
                <w:u w:val="none" w:color="auto"/>
                <w:lang w:val="en-US"/>
              </w:rPr>
            </w:pPr>
          </w:p>
        </w:tc>
        <w:tc>
          <w:tcPr>
            <w:tcW w:w="713" w:type="dxa"/>
            <w:vAlign w:val="center"/>
          </w:tcPr>
          <w:p w14:paraId="3CC18E88">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775" w:type="dxa"/>
            <w:vAlign w:val="center"/>
          </w:tcPr>
          <w:p w14:paraId="538A9AAA">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1562" w:type="dxa"/>
            <w:vAlign w:val="center"/>
          </w:tcPr>
          <w:p w14:paraId="16762DE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838" w:type="dxa"/>
            <w:shd w:val="clear" w:color="auto" w:fill="auto"/>
            <w:vAlign w:val="top"/>
          </w:tcPr>
          <w:p w14:paraId="1310C49A">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kern w:val="2"/>
                <w:sz w:val="20"/>
                <w:szCs w:val="20"/>
                <w:highlight w:val="none"/>
                <w:u w:val="none" w:color="auto"/>
                <w:lang w:val="en-US" w:eastAsia="zh-CN" w:bidi="ar-SA"/>
              </w:rPr>
            </w:pPr>
          </w:p>
        </w:tc>
        <w:tc>
          <w:tcPr>
            <w:tcW w:w="1000" w:type="dxa"/>
          </w:tcPr>
          <w:p w14:paraId="638EAA09">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rPr>
            </w:pPr>
          </w:p>
        </w:tc>
        <w:tc>
          <w:tcPr>
            <w:tcW w:w="1016" w:type="dxa"/>
          </w:tcPr>
          <w:p w14:paraId="324BE99B">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c>
          <w:tcPr>
            <w:tcW w:w="975" w:type="dxa"/>
          </w:tcPr>
          <w:p w14:paraId="051B6309">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r>
      <w:tr w14:paraId="16185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44" w:type="dxa"/>
          </w:tcPr>
          <w:p w14:paraId="138F6B53">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5</w:t>
            </w:r>
          </w:p>
        </w:tc>
        <w:tc>
          <w:tcPr>
            <w:tcW w:w="963" w:type="dxa"/>
            <w:vAlign w:val="center"/>
          </w:tcPr>
          <w:p w14:paraId="4DD18AB2">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0"/>
                <w:szCs w:val="20"/>
                <w:highlight w:val="none"/>
                <w:u w:val="none" w:color="auto"/>
                <w:lang w:val="en-US"/>
              </w:rPr>
            </w:pPr>
          </w:p>
        </w:tc>
        <w:tc>
          <w:tcPr>
            <w:tcW w:w="713" w:type="dxa"/>
            <w:vAlign w:val="center"/>
          </w:tcPr>
          <w:p w14:paraId="32C5279F">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775" w:type="dxa"/>
            <w:vAlign w:val="center"/>
          </w:tcPr>
          <w:p w14:paraId="0733316D">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1562" w:type="dxa"/>
            <w:vAlign w:val="center"/>
          </w:tcPr>
          <w:p w14:paraId="55884E56">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838" w:type="dxa"/>
            <w:shd w:val="clear" w:color="auto" w:fill="auto"/>
            <w:vAlign w:val="top"/>
          </w:tcPr>
          <w:p w14:paraId="6B5AAC72">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kern w:val="2"/>
                <w:sz w:val="20"/>
                <w:szCs w:val="20"/>
                <w:highlight w:val="none"/>
                <w:u w:val="none" w:color="auto"/>
                <w:lang w:val="en-US" w:eastAsia="zh-CN" w:bidi="ar-SA"/>
              </w:rPr>
            </w:pPr>
          </w:p>
        </w:tc>
        <w:tc>
          <w:tcPr>
            <w:tcW w:w="1000" w:type="dxa"/>
          </w:tcPr>
          <w:p w14:paraId="19B1BA20">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rPr>
            </w:pPr>
          </w:p>
        </w:tc>
        <w:tc>
          <w:tcPr>
            <w:tcW w:w="1016" w:type="dxa"/>
          </w:tcPr>
          <w:p w14:paraId="0C168B7D">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c>
          <w:tcPr>
            <w:tcW w:w="975" w:type="dxa"/>
          </w:tcPr>
          <w:p w14:paraId="19DECA8F">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r>
      <w:tr w14:paraId="32478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395" w:type="dxa"/>
            <w:gridSpan w:val="7"/>
          </w:tcPr>
          <w:p w14:paraId="2EECCA2B">
            <w:pPr>
              <w:keepNext w:val="0"/>
              <w:keepLines w:val="0"/>
              <w:pageBreakBefore w:val="0"/>
              <w:kinsoku/>
              <w:wordWrap/>
              <w:overflowPunct/>
              <w:topLinePunct w:val="0"/>
              <w:autoSpaceDE/>
              <w:autoSpaceDN/>
              <w:bidi w:val="0"/>
              <w:adjustRightInd/>
              <w:snapToGrid/>
              <w:spacing w:line="400" w:lineRule="exact"/>
              <w:jc w:val="left"/>
              <w:textAlignment w:val="auto"/>
              <w:outlineLvl w:val="9"/>
              <w:rPr>
                <w:rFonts w:hint="eastAsia" w:ascii="仿宋" w:hAnsi="仿宋" w:eastAsia="仿宋" w:cs="仿宋"/>
                <w:color w:val="auto"/>
                <w:sz w:val="20"/>
                <w:szCs w:val="20"/>
                <w:highlight w:val="none"/>
                <w:u w:val="none" w:color="auto"/>
              </w:rPr>
            </w:pPr>
            <w:r>
              <w:rPr>
                <w:rFonts w:hint="eastAsia" w:ascii="仿宋" w:hAnsi="仿宋" w:eastAsia="仿宋" w:cs="仿宋"/>
                <w:color w:val="auto"/>
                <w:sz w:val="20"/>
                <w:szCs w:val="20"/>
                <w:highlight w:val="none"/>
                <w:u w:val="none" w:color="auto"/>
                <w:lang w:val="en-US" w:eastAsia="zh-CN"/>
              </w:rPr>
              <w:t>总价</w:t>
            </w:r>
          </w:p>
        </w:tc>
        <w:tc>
          <w:tcPr>
            <w:tcW w:w="1016" w:type="dxa"/>
          </w:tcPr>
          <w:p w14:paraId="11B2910E">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c>
          <w:tcPr>
            <w:tcW w:w="975" w:type="dxa"/>
          </w:tcPr>
          <w:p w14:paraId="7FA6D3A6">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r>
    </w:tbl>
    <w:p w14:paraId="01F1E4AE">
      <w:pPr>
        <w:pStyle w:val="4"/>
        <w:spacing w:line="360" w:lineRule="auto"/>
        <w:ind w:firstLine="0"/>
        <w:jc w:val="center"/>
        <w:outlineLvl w:val="9"/>
        <w:rPr>
          <w:rFonts w:hint="eastAsia" w:ascii="仿宋" w:hAnsi="仿宋" w:eastAsia="仿宋" w:cs="仿宋"/>
          <w:b/>
          <w:color w:val="auto"/>
          <w:sz w:val="24"/>
          <w:szCs w:val="24"/>
          <w:highlight w:val="none"/>
          <w:u w:val="none" w:color="auto"/>
        </w:rPr>
      </w:pPr>
      <w:r>
        <w:rPr>
          <w:rFonts w:hint="eastAsia" w:ascii="仿宋" w:hAnsi="仿宋" w:eastAsia="仿宋" w:cs="仿宋"/>
          <w:b/>
          <w:color w:val="auto"/>
          <w:sz w:val="24"/>
          <w:szCs w:val="24"/>
          <w:highlight w:val="none"/>
          <w:u w:val="none" w:color="auto"/>
        </w:rPr>
        <w:t>货物（产品）及相关服务一览表</w:t>
      </w:r>
    </w:p>
    <w:p w14:paraId="2A764229">
      <w:pPr>
        <w:rPr>
          <w:rFonts w:hint="eastAsia" w:ascii="仿宋" w:hAnsi="仿宋" w:eastAsia="仿宋" w:cs="仿宋"/>
          <w:b/>
          <w:color w:val="auto"/>
          <w:sz w:val="24"/>
          <w:szCs w:val="24"/>
          <w:highlight w:val="none"/>
          <w:u w:val="none" w:color="auto"/>
        </w:rPr>
      </w:pPr>
    </w:p>
    <w:p w14:paraId="751596CB">
      <w:pPr>
        <w:pStyle w:val="3"/>
        <w:spacing w:line="360" w:lineRule="auto"/>
        <w:jc w:val="both"/>
        <w:rPr>
          <w:rFonts w:hint="eastAsia" w:ascii="仿宋" w:hAnsi="仿宋" w:eastAsia="仿宋" w:cs="仿宋"/>
          <w:color w:val="auto"/>
          <w:sz w:val="24"/>
          <w:szCs w:val="24"/>
          <w:highlight w:val="none"/>
          <w:u w:val="none" w:color="auto"/>
        </w:rPr>
      </w:pPr>
      <w:bookmarkStart w:id="5" w:name="_Toc14881"/>
      <w:bookmarkStart w:id="6" w:name="_Toc28512"/>
      <w:bookmarkStart w:id="7" w:name="_Toc6586"/>
      <w:bookmarkStart w:id="8" w:name="_Toc15661"/>
      <w:r>
        <w:rPr>
          <w:rFonts w:hint="eastAsia" w:ascii="仿宋" w:hAnsi="仿宋" w:eastAsia="仿宋" w:cs="仿宋"/>
          <w:color w:val="auto"/>
          <w:sz w:val="24"/>
          <w:szCs w:val="24"/>
          <w:highlight w:val="none"/>
          <w:u w:val="none" w:color="auto"/>
        </w:rPr>
        <w:t>第二条 合同价款</w:t>
      </w:r>
      <w:bookmarkEnd w:id="5"/>
      <w:bookmarkEnd w:id="6"/>
      <w:bookmarkEnd w:id="7"/>
      <w:bookmarkEnd w:id="8"/>
    </w:p>
    <w:p w14:paraId="089B13D6">
      <w:pPr>
        <w:spacing w:line="360" w:lineRule="auto"/>
        <w:ind w:firstLine="480" w:firstLineChars="200"/>
        <w:jc w:val="both"/>
        <w:outlineLvl w:val="9"/>
        <w:rPr>
          <w:rFonts w:hint="eastAsia" w:ascii="仿宋" w:hAnsi="仿宋" w:eastAsia="仿宋" w:cs="仿宋"/>
          <w:b w:val="0"/>
          <w:color w:val="auto"/>
          <w:sz w:val="24"/>
          <w:szCs w:val="24"/>
          <w:highlight w:val="none"/>
          <w:u w:val="none" w:color="auto"/>
          <w:lang w:eastAsia="zh-CN"/>
        </w:rPr>
      </w:pPr>
      <w:r>
        <w:rPr>
          <w:rFonts w:hint="eastAsia" w:ascii="仿宋" w:hAnsi="仿宋" w:eastAsia="仿宋" w:cs="仿宋"/>
          <w:b w:val="0"/>
          <w:color w:val="auto"/>
          <w:sz w:val="24"/>
          <w:szCs w:val="24"/>
          <w:highlight w:val="none"/>
          <w:u w:val="none" w:color="auto"/>
        </w:rPr>
        <w:t>1.</w:t>
      </w:r>
      <w:r>
        <w:rPr>
          <w:rFonts w:hint="eastAsia" w:ascii="仿宋" w:hAnsi="仿宋" w:eastAsia="仿宋" w:cs="仿宋"/>
          <w:b w:val="0"/>
          <w:color w:val="auto"/>
          <w:sz w:val="24"/>
          <w:szCs w:val="24"/>
          <w:highlight w:val="none"/>
          <w:u w:val="none" w:color="auto"/>
          <w:lang w:val="en-US" w:eastAsia="zh-CN"/>
        </w:rPr>
        <w:t>合同单价：</w:t>
      </w:r>
      <w:r>
        <w:rPr>
          <w:rFonts w:hint="eastAsia" w:ascii="仿宋" w:hAnsi="仿宋" w:eastAsia="仿宋" w:cs="仿宋"/>
          <w:b w:val="0"/>
          <w:color w:val="auto"/>
          <w:sz w:val="24"/>
          <w:szCs w:val="24"/>
          <w:highlight w:val="none"/>
          <w:u w:val="none" w:color="auto"/>
        </w:rPr>
        <w:t>人民币（大写）</w:t>
      </w:r>
      <w:r>
        <w:rPr>
          <w:rFonts w:hint="eastAsia" w:ascii="仿宋" w:hAnsi="仿宋" w:eastAsia="仿宋" w:cs="仿宋"/>
          <w:b w:val="0"/>
          <w:color w:val="auto"/>
          <w:sz w:val="24"/>
          <w:szCs w:val="24"/>
          <w:highlight w:val="none"/>
          <w:u w:val="single" w:color="auto"/>
          <w:lang w:val="en-US" w:eastAsia="zh-CN"/>
        </w:rPr>
        <w:t xml:space="preserve">                </w:t>
      </w:r>
      <w:r>
        <w:rPr>
          <w:rFonts w:hint="eastAsia" w:ascii="仿宋" w:hAnsi="仿宋" w:eastAsia="仿宋" w:cs="仿宋"/>
          <w:b w:val="0"/>
          <w:color w:val="auto"/>
          <w:sz w:val="24"/>
          <w:szCs w:val="24"/>
          <w:highlight w:val="none"/>
          <w:u w:val="single" w:color="auto"/>
        </w:rPr>
        <w:t xml:space="preserve"> </w:t>
      </w:r>
      <w:r>
        <w:rPr>
          <w:rFonts w:hint="eastAsia" w:ascii="仿宋" w:hAnsi="仿宋" w:eastAsia="仿宋" w:cs="仿宋"/>
          <w:b w:val="0"/>
          <w:color w:val="auto"/>
          <w:sz w:val="24"/>
          <w:szCs w:val="24"/>
          <w:highlight w:val="none"/>
          <w:u w:val="none" w:color="auto"/>
          <w:lang w:eastAsia="zh-CN"/>
        </w:rPr>
        <w:t>；</w:t>
      </w:r>
    </w:p>
    <w:p w14:paraId="077AC2EF">
      <w:pPr>
        <w:spacing w:line="360" w:lineRule="auto"/>
        <w:ind w:firstLine="720" w:firstLineChars="300"/>
        <w:jc w:val="both"/>
        <w:outlineLvl w:val="9"/>
        <w:rPr>
          <w:rFonts w:hint="eastAsia" w:ascii="仿宋" w:hAnsi="仿宋" w:eastAsia="仿宋" w:cs="仿宋"/>
          <w:b w:val="0"/>
          <w:color w:val="auto"/>
          <w:sz w:val="24"/>
          <w:szCs w:val="24"/>
          <w:highlight w:val="none"/>
          <w:u w:val="none" w:color="auto"/>
        </w:rPr>
      </w:pPr>
      <w:r>
        <w:rPr>
          <w:rFonts w:hint="eastAsia" w:ascii="仿宋" w:hAnsi="仿宋" w:eastAsia="仿宋" w:cs="仿宋"/>
          <w:b w:val="0"/>
          <w:color w:val="auto"/>
          <w:sz w:val="24"/>
          <w:szCs w:val="24"/>
          <w:highlight w:val="none"/>
          <w:u w:val="none" w:color="auto"/>
        </w:rPr>
        <w:t>合同总价：人民币（大写）</w:t>
      </w:r>
      <w:r>
        <w:rPr>
          <w:rFonts w:hint="eastAsia" w:ascii="仿宋" w:hAnsi="仿宋" w:eastAsia="仿宋" w:cs="仿宋"/>
          <w:b w:val="0"/>
          <w:color w:val="auto"/>
          <w:sz w:val="24"/>
          <w:szCs w:val="24"/>
          <w:highlight w:val="none"/>
          <w:u w:val="single" w:color="auto"/>
        </w:rPr>
        <w:t xml:space="preserve"> </w:t>
      </w:r>
      <w:r>
        <w:rPr>
          <w:rFonts w:hint="eastAsia" w:ascii="仿宋" w:hAnsi="仿宋" w:eastAsia="仿宋" w:cs="仿宋"/>
          <w:b w:val="0"/>
          <w:color w:val="auto"/>
          <w:sz w:val="24"/>
          <w:szCs w:val="24"/>
          <w:highlight w:val="none"/>
          <w:u w:val="single" w:color="auto"/>
          <w:lang w:val="en-US" w:eastAsia="zh-CN"/>
        </w:rPr>
        <w:t xml:space="preserve">                 </w:t>
      </w:r>
      <w:r>
        <w:rPr>
          <w:rFonts w:hint="eastAsia" w:ascii="仿宋" w:hAnsi="仿宋" w:eastAsia="仿宋" w:cs="仿宋"/>
          <w:b w:val="0"/>
          <w:color w:val="auto"/>
          <w:sz w:val="24"/>
          <w:szCs w:val="24"/>
          <w:highlight w:val="none"/>
          <w:u w:val="none" w:color="auto"/>
        </w:rPr>
        <w:t>。</w:t>
      </w:r>
    </w:p>
    <w:p w14:paraId="2EDEA79B">
      <w:pPr>
        <w:spacing w:line="360" w:lineRule="auto"/>
        <w:ind w:firstLine="480" w:firstLineChars="200"/>
        <w:jc w:val="left"/>
        <w:outlineLvl w:val="9"/>
        <w:rPr>
          <w:rFonts w:hint="eastAsia" w:ascii="仿宋" w:hAnsi="仿宋" w:eastAsia="仿宋" w:cs="仿宋"/>
          <w:b w:val="0"/>
          <w:color w:val="auto"/>
          <w:sz w:val="24"/>
          <w:szCs w:val="24"/>
          <w:highlight w:val="none"/>
          <w:u w:val="none" w:color="auto"/>
        </w:rPr>
      </w:pPr>
      <w:r>
        <w:rPr>
          <w:rFonts w:hint="eastAsia" w:ascii="仿宋" w:hAnsi="仿宋" w:eastAsia="仿宋" w:cs="仿宋"/>
          <w:b w:val="0"/>
          <w:color w:val="auto"/>
          <w:sz w:val="24"/>
          <w:szCs w:val="24"/>
          <w:highlight w:val="none"/>
          <w:u w:val="none" w:color="auto"/>
        </w:rPr>
        <w:t>2.本合同总价是产品、</w:t>
      </w:r>
      <w:r>
        <w:rPr>
          <w:rFonts w:hint="eastAsia" w:ascii="仿宋" w:hAnsi="仿宋" w:eastAsia="仿宋" w:cs="仿宋"/>
          <w:b w:val="0"/>
          <w:color w:val="auto"/>
          <w:sz w:val="24"/>
          <w:szCs w:val="24"/>
          <w:highlight w:val="none"/>
          <w:u w:val="none" w:color="auto"/>
          <w:lang w:val="en-US" w:eastAsia="zh-CN"/>
        </w:rPr>
        <w:t>辅材</w:t>
      </w:r>
      <w:r>
        <w:rPr>
          <w:rFonts w:hint="eastAsia" w:ascii="仿宋" w:hAnsi="仿宋" w:eastAsia="仿宋" w:cs="仿宋"/>
          <w:b w:val="0"/>
          <w:color w:val="auto"/>
          <w:sz w:val="24"/>
          <w:szCs w:val="24"/>
          <w:highlight w:val="none"/>
          <w:u w:val="none" w:color="auto"/>
        </w:rPr>
        <w:t>、制造、包装、运输、安装、调试、检测、验收合格交付使用之前及保修期内保修服务与备用物件等其他有关各项的含税费用。</w:t>
      </w:r>
    </w:p>
    <w:p w14:paraId="06C9B2F8">
      <w:pPr>
        <w:spacing w:line="360" w:lineRule="auto"/>
        <w:ind w:firstLine="480" w:firstLineChars="200"/>
        <w:jc w:val="both"/>
        <w:outlineLvl w:val="9"/>
        <w:rPr>
          <w:rFonts w:hint="eastAsia" w:ascii="仿宋" w:hAnsi="仿宋" w:eastAsia="仿宋" w:cs="仿宋"/>
          <w:b w:val="0"/>
          <w:color w:val="auto"/>
          <w:sz w:val="24"/>
          <w:szCs w:val="24"/>
          <w:highlight w:val="none"/>
          <w:u w:val="none" w:color="auto"/>
        </w:rPr>
      </w:pPr>
      <w:r>
        <w:rPr>
          <w:rFonts w:hint="eastAsia" w:ascii="仿宋" w:hAnsi="仿宋" w:eastAsia="仿宋" w:cs="仿宋"/>
          <w:b w:val="0"/>
          <w:color w:val="auto"/>
          <w:sz w:val="24"/>
          <w:szCs w:val="24"/>
          <w:highlight w:val="none"/>
          <w:u w:val="none" w:color="auto"/>
        </w:rPr>
        <w:t>3.本合同总价还包含乙方应当提供的伴随服务和售后服务费用。</w:t>
      </w:r>
    </w:p>
    <w:p w14:paraId="19A5C95D">
      <w:pPr>
        <w:spacing w:line="360" w:lineRule="auto"/>
        <w:ind w:firstLine="480" w:firstLineChars="200"/>
        <w:jc w:val="left"/>
        <w:outlineLvl w:val="9"/>
        <w:rPr>
          <w:rFonts w:hint="eastAsia" w:ascii="仿宋" w:hAnsi="仿宋" w:eastAsia="仿宋" w:cs="仿宋"/>
          <w:b w:val="0"/>
          <w:color w:val="auto"/>
          <w:sz w:val="24"/>
          <w:szCs w:val="24"/>
          <w:highlight w:val="none"/>
          <w:u w:val="none" w:color="auto"/>
        </w:rPr>
      </w:pPr>
      <w:r>
        <w:rPr>
          <w:rFonts w:hint="eastAsia" w:ascii="仿宋" w:hAnsi="仿宋" w:eastAsia="仿宋" w:cs="仿宋"/>
          <w:b w:val="0"/>
          <w:color w:val="auto"/>
          <w:sz w:val="24"/>
          <w:szCs w:val="24"/>
          <w:highlight w:val="none"/>
          <w:u w:val="none" w:color="auto"/>
        </w:rPr>
        <w:t>4.本合同为固定单价、预算总额控制合同。合同总价为采购预算上限，最终结算金额按实际验收合格数量×中标单价据实结算，且不超过预算上限，甲方无须另向乙方支付本合同规定之外的其他任何费用</w:t>
      </w:r>
      <w:r>
        <w:rPr>
          <w:rFonts w:hint="eastAsia" w:ascii="仿宋" w:hAnsi="仿宋" w:eastAsia="仿宋" w:cs="仿宋"/>
          <w:b w:val="0"/>
          <w:color w:val="auto"/>
          <w:sz w:val="24"/>
          <w:szCs w:val="24"/>
          <w:highlight w:val="none"/>
          <w:u w:val="none" w:color="auto"/>
          <w:lang w:eastAsia="zh-CN"/>
        </w:rPr>
        <w:t>，</w:t>
      </w:r>
      <w:r>
        <w:rPr>
          <w:rFonts w:hint="eastAsia" w:ascii="仿宋" w:hAnsi="仿宋" w:eastAsia="仿宋" w:cs="仿宋"/>
          <w:b w:val="0"/>
          <w:color w:val="auto"/>
          <w:sz w:val="24"/>
          <w:szCs w:val="24"/>
          <w:highlight w:val="none"/>
          <w:u w:val="none" w:color="auto"/>
        </w:rPr>
        <w:t>合同总价不受市场价格变化的影响。</w:t>
      </w:r>
      <w:bookmarkStart w:id="9" w:name="_Toc31924"/>
    </w:p>
    <w:p w14:paraId="05D596C8">
      <w:pPr>
        <w:spacing w:line="360" w:lineRule="auto"/>
        <w:ind w:firstLine="480" w:firstLineChars="200"/>
        <w:jc w:val="left"/>
        <w:outlineLvl w:val="9"/>
        <w:rPr>
          <w:rFonts w:hint="eastAsia" w:ascii="仿宋" w:hAnsi="仿宋" w:eastAsia="仿宋" w:cs="仿宋"/>
          <w:b w:val="0"/>
          <w:color w:val="auto"/>
          <w:sz w:val="24"/>
          <w:szCs w:val="24"/>
          <w:highlight w:val="none"/>
          <w:u w:val="none" w:color="auto"/>
        </w:rPr>
      </w:pPr>
      <w:r>
        <w:rPr>
          <w:rFonts w:hint="eastAsia" w:ascii="仿宋" w:hAnsi="仿宋" w:eastAsia="仿宋" w:cs="仿宋"/>
          <w:b w:val="0"/>
          <w:color w:val="auto"/>
          <w:sz w:val="24"/>
          <w:szCs w:val="24"/>
          <w:highlight w:val="none"/>
          <w:u w:val="none" w:color="auto"/>
          <w:lang w:val="en-US" w:eastAsia="zh-CN"/>
        </w:rPr>
        <w:t>5.</w:t>
      </w:r>
      <w:r>
        <w:rPr>
          <w:rFonts w:hint="eastAsia" w:ascii="仿宋" w:hAnsi="仿宋" w:eastAsia="仿宋" w:cs="仿宋"/>
          <w:b w:val="0"/>
          <w:color w:val="auto"/>
          <w:sz w:val="24"/>
          <w:szCs w:val="24"/>
          <w:highlight w:val="none"/>
          <w:u w:val="none" w:color="auto"/>
        </w:rPr>
        <w:t>合同总价包含到达交货地点</w:t>
      </w:r>
      <w:r>
        <w:rPr>
          <w:rFonts w:hint="eastAsia" w:ascii="仿宋" w:hAnsi="仿宋" w:eastAsia="仿宋" w:cs="仿宋"/>
          <w:b w:val="0"/>
          <w:color w:val="auto"/>
          <w:sz w:val="24"/>
          <w:szCs w:val="24"/>
          <w:highlight w:val="none"/>
          <w:u w:val="none" w:color="auto"/>
          <w:lang w:val="en-US" w:eastAsia="zh-CN"/>
        </w:rPr>
        <w:t>甲方指定地点</w:t>
      </w:r>
      <w:r>
        <w:rPr>
          <w:rFonts w:hint="eastAsia" w:ascii="仿宋" w:hAnsi="仿宋" w:eastAsia="仿宋" w:cs="仿宋"/>
          <w:b w:val="0"/>
          <w:color w:val="auto"/>
          <w:sz w:val="24"/>
          <w:szCs w:val="24"/>
          <w:highlight w:val="none"/>
          <w:u w:val="none" w:color="auto"/>
        </w:rPr>
        <w:t>的库房货位及上货架的运杂费。</w:t>
      </w:r>
    </w:p>
    <w:p w14:paraId="68290C88">
      <w:pPr>
        <w:pStyle w:val="3"/>
        <w:spacing w:line="360" w:lineRule="auto"/>
        <w:ind w:firstLine="241" w:firstLineChars="100"/>
        <w:jc w:val="both"/>
        <w:rPr>
          <w:rFonts w:hint="eastAsia" w:ascii="仿宋" w:hAnsi="仿宋" w:eastAsia="仿宋" w:cs="仿宋"/>
          <w:color w:val="auto"/>
          <w:highlight w:val="none"/>
          <w:u w:val="none" w:color="auto"/>
          <w:lang w:val="en-US" w:eastAsia="zh-CN"/>
        </w:rPr>
      </w:pPr>
      <w:bookmarkStart w:id="10" w:name="_Toc30663"/>
      <w:bookmarkStart w:id="11" w:name="_Toc2721"/>
      <w:bookmarkStart w:id="12" w:name="_Toc14426"/>
      <w:r>
        <w:rPr>
          <w:rFonts w:hint="eastAsia" w:ascii="仿宋" w:hAnsi="仿宋" w:eastAsia="仿宋" w:cs="仿宋"/>
          <w:color w:val="auto"/>
          <w:sz w:val="24"/>
          <w:szCs w:val="24"/>
          <w:highlight w:val="none"/>
          <w:u w:val="none" w:color="auto"/>
        </w:rPr>
        <w:t xml:space="preserve">第三条 </w:t>
      </w:r>
      <w:r>
        <w:rPr>
          <w:rFonts w:hint="eastAsia" w:ascii="仿宋" w:hAnsi="仿宋" w:eastAsia="仿宋" w:cs="仿宋"/>
          <w:color w:val="auto"/>
          <w:sz w:val="24"/>
          <w:szCs w:val="24"/>
          <w:highlight w:val="none"/>
          <w:u w:val="none" w:color="auto"/>
          <w:lang w:val="en-US" w:eastAsia="zh-CN"/>
        </w:rPr>
        <w:t>合同价款</w:t>
      </w:r>
      <w:r>
        <w:rPr>
          <w:rFonts w:hint="eastAsia" w:ascii="仿宋" w:hAnsi="仿宋" w:eastAsia="仿宋" w:cs="仿宋"/>
          <w:color w:val="auto"/>
          <w:sz w:val="24"/>
          <w:szCs w:val="24"/>
          <w:highlight w:val="none"/>
          <w:u w:val="none" w:color="auto"/>
        </w:rPr>
        <w:t>支付</w:t>
      </w:r>
      <w:bookmarkEnd w:id="9"/>
      <w:bookmarkEnd w:id="10"/>
      <w:bookmarkEnd w:id="11"/>
      <w:bookmarkEnd w:id="12"/>
    </w:p>
    <w:p w14:paraId="3FF7E8C3">
      <w:pPr>
        <w:pStyle w:val="1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color w:val="auto"/>
          <w:kern w:val="2"/>
          <w:sz w:val="24"/>
          <w:szCs w:val="24"/>
          <w:highlight w:val="none"/>
          <w:u w:val="none" w:color="auto"/>
          <w:lang w:val="en-US" w:eastAsia="zh-CN" w:bidi="ar-SA"/>
        </w:rPr>
      </w:pPr>
      <w:bookmarkStart w:id="13" w:name="_Toc7176"/>
      <w:bookmarkStart w:id="14" w:name="_Toc24977"/>
      <w:bookmarkStart w:id="15" w:name="_Toc1516"/>
      <w:bookmarkStart w:id="16" w:name="_Toc7450"/>
      <w:r>
        <w:rPr>
          <w:rFonts w:hint="eastAsia" w:ascii="仿宋" w:hAnsi="仿宋" w:eastAsia="仿宋" w:cs="仿宋"/>
          <w:b w:val="0"/>
          <w:color w:val="auto"/>
          <w:kern w:val="2"/>
          <w:sz w:val="24"/>
          <w:szCs w:val="24"/>
          <w:highlight w:val="none"/>
          <w:u w:val="none" w:color="auto"/>
          <w:lang w:val="en-US" w:eastAsia="zh-CN" w:bidi="ar-SA"/>
        </w:rPr>
        <w:t>1.自本合同签订且甲方收到乙方开具的合规发票之日起15个工作日内，财政资金已落实且满足合同约定支付条件后支付合同总金额的40%。</w:t>
      </w:r>
    </w:p>
    <w:p w14:paraId="0B53363D">
      <w:pPr>
        <w:pStyle w:val="1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color w:val="auto"/>
          <w:kern w:val="2"/>
          <w:sz w:val="24"/>
          <w:szCs w:val="24"/>
          <w:highlight w:val="none"/>
          <w:u w:val="none" w:color="auto"/>
          <w:lang w:val="en-US" w:eastAsia="zh-CN" w:bidi="ar-SA"/>
        </w:rPr>
      </w:pPr>
      <w:r>
        <w:rPr>
          <w:rFonts w:hint="eastAsia" w:ascii="仿宋" w:hAnsi="仿宋" w:eastAsia="仿宋" w:cs="仿宋"/>
          <w:b w:val="0"/>
          <w:color w:val="auto"/>
          <w:kern w:val="2"/>
          <w:sz w:val="24"/>
          <w:szCs w:val="24"/>
          <w:highlight w:val="none"/>
          <w:u w:val="none" w:color="auto"/>
          <w:lang w:val="en-US" w:eastAsia="zh-CN" w:bidi="ar-SA"/>
        </w:rPr>
        <w:t>2.全部药品到货，经甲方或甲方指定收货单位验收合格、办理入库手续，且甲方收到乙方开具的合规发票、收货单位签字及盖章确认的验收证明等全部文件之日起30个工作日内，且财政资金到位达到付款条件后支付合同总金额的60%。</w:t>
      </w:r>
    </w:p>
    <w:p w14:paraId="0F1B7543">
      <w:pPr>
        <w:pStyle w:val="16"/>
        <w:numPr>
          <w:ilvl w:val="0"/>
          <w:numId w:val="1"/>
        </w:numPr>
        <w:spacing w:line="360" w:lineRule="auto"/>
        <w:outlineLvl w:val="1"/>
        <w:rPr>
          <w:rFonts w:hint="eastAsia" w:ascii="仿宋" w:hAnsi="仿宋" w:eastAsia="仿宋" w:cs="仿宋"/>
          <w:b/>
          <w:color w:val="auto"/>
          <w:highlight w:val="none"/>
          <w:u w:val="none" w:color="auto"/>
          <w:lang w:val="en-US" w:eastAsia="zh-CN"/>
        </w:rPr>
      </w:pPr>
      <w:r>
        <w:rPr>
          <w:rFonts w:hint="eastAsia" w:ascii="仿宋" w:hAnsi="仿宋" w:eastAsia="仿宋" w:cs="仿宋"/>
          <w:b/>
          <w:color w:val="auto"/>
          <w:highlight w:val="none"/>
          <w:u w:val="none" w:color="auto"/>
        </w:rPr>
        <w:t>交</w:t>
      </w:r>
      <w:r>
        <w:rPr>
          <w:rFonts w:hint="eastAsia" w:ascii="仿宋" w:hAnsi="仿宋" w:eastAsia="仿宋" w:cs="仿宋"/>
          <w:b/>
          <w:color w:val="auto"/>
          <w:highlight w:val="none"/>
          <w:u w:val="none" w:color="auto"/>
          <w:lang w:val="en-US" w:eastAsia="zh-CN"/>
        </w:rPr>
        <w:t>货期限</w:t>
      </w:r>
      <w:bookmarkEnd w:id="13"/>
      <w:bookmarkEnd w:id="14"/>
      <w:bookmarkEnd w:id="15"/>
      <w:bookmarkEnd w:id="16"/>
    </w:p>
    <w:p w14:paraId="4EE93B5D">
      <w:pPr>
        <w:pStyle w:val="16"/>
        <w:numPr>
          <w:ilvl w:val="0"/>
          <w:numId w:val="0"/>
        </w:numPr>
        <w:spacing w:line="360" w:lineRule="auto"/>
        <w:ind w:firstLine="480" w:firstLineChars="200"/>
        <w:outlineLvl w:val="9"/>
        <w:rPr>
          <w:rFonts w:hint="eastAsia" w:ascii="仿宋" w:hAnsi="仿宋" w:eastAsia="仿宋" w:cs="仿宋"/>
          <w:b w:val="0"/>
          <w:bCs/>
          <w:color w:val="auto"/>
          <w:highlight w:val="none"/>
          <w:u w:val="none" w:color="auto"/>
          <w:lang w:val="en-US" w:eastAsia="zh-CN"/>
        </w:rPr>
      </w:pPr>
      <w:r>
        <w:rPr>
          <w:rFonts w:hint="eastAsia" w:ascii="仿宋" w:hAnsi="仿宋" w:eastAsia="仿宋" w:cs="仿宋"/>
          <w:b w:val="0"/>
          <w:bCs/>
          <w:color w:val="auto"/>
          <w:highlight w:val="none"/>
          <w:u w:val="none" w:color="auto"/>
          <w:lang w:val="en-US" w:eastAsia="zh-CN"/>
        </w:rPr>
        <w:t>分批次供货，每批次订单接到甲方通知起30个日历日内完成交货。（甲方指定库房的货位并上架，具体收货单位及地址以每次订单通知为准。）</w:t>
      </w:r>
    </w:p>
    <w:p w14:paraId="0507C548">
      <w:pPr>
        <w:pStyle w:val="16"/>
        <w:numPr>
          <w:ilvl w:val="0"/>
          <w:numId w:val="0"/>
        </w:numPr>
        <w:spacing w:line="360" w:lineRule="auto"/>
        <w:ind w:firstLine="200" w:firstLineChars="0"/>
        <w:outlineLvl w:val="1"/>
        <w:rPr>
          <w:rFonts w:hint="eastAsia" w:ascii="仿宋" w:hAnsi="仿宋" w:eastAsia="仿宋" w:cs="仿宋"/>
          <w:b/>
          <w:color w:val="auto"/>
          <w:highlight w:val="none"/>
          <w:u w:val="none" w:color="auto"/>
          <w:lang w:val="en-US"/>
        </w:rPr>
      </w:pPr>
      <w:bookmarkStart w:id="17" w:name="_Toc2774"/>
      <w:bookmarkStart w:id="18" w:name="_Toc8595"/>
      <w:bookmarkStart w:id="19" w:name="_Toc18347"/>
      <w:bookmarkStart w:id="20" w:name="_Toc6995"/>
      <w:r>
        <w:rPr>
          <w:rFonts w:hint="eastAsia" w:ascii="仿宋" w:hAnsi="仿宋" w:eastAsia="仿宋" w:cs="仿宋"/>
          <w:b/>
          <w:color w:val="auto"/>
          <w:kern w:val="1"/>
          <w:sz w:val="24"/>
          <w:szCs w:val="24"/>
          <w:u w:val="none" w:color="auto"/>
          <w:lang w:val="en-US" w:eastAsia="zh-CN" w:bidi="ar-SA"/>
        </w:rPr>
        <w:t>第五条</w:t>
      </w:r>
      <w:r>
        <w:rPr>
          <w:rFonts w:hint="eastAsia" w:ascii="仿宋" w:hAnsi="仿宋" w:eastAsia="仿宋" w:cs="仿宋"/>
          <w:b/>
          <w:color w:val="auto"/>
          <w:highlight w:val="none"/>
          <w:u w:val="none" w:color="auto"/>
          <w:lang w:val="en-US"/>
        </w:rPr>
        <w:t>包装运输</w:t>
      </w:r>
    </w:p>
    <w:p w14:paraId="5F73FF3B">
      <w:pPr>
        <w:pStyle w:val="16"/>
        <w:numPr>
          <w:ilvl w:val="0"/>
          <w:numId w:val="0"/>
        </w:numPr>
        <w:spacing w:line="360" w:lineRule="auto"/>
        <w:ind w:firstLine="480" w:firstLineChars="200"/>
        <w:outlineLvl w:val="1"/>
        <w:rPr>
          <w:rFonts w:hint="eastAsia" w:ascii="仿宋" w:hAnsi="仿宋" w:eastAsia="仿宋" w:cs="仿宋"/>
          <w:b w:val="0"/>
          <w:bCs/>
          <w:color w:val="auto"/>
          <w:highlight w:val="none"/>
          <w:u w:val="none" w:color="auto"/>
          <w:lang w:val="en-US"/>
        </w:rPr>
      </w:pPr>
      <w:r>
        <w:rPr>
          <w:rFonts w:hint="eastAsia" w:ascii="仿宋" w:hAnsi="仿宋" w:eastAsia="仿宋" w:cs="仿宋"/>
          <w:b w:val="0"/>
          <w:bCs/>
          <w:color w:val="auto"/>
          <w:highlight w:val="none"/>
          <w:u w:val="none" w:color="auto"/>
          <w:lang w:val="en-US"/>
        </w:rPr>
        <w:t>1</w:t>
      </w:r>
      <w:r>
        <w:rPr>
          <w:rFonts w:hint="eastAsia" w:ascii="仿宋" w:hAnsi="仿宋" w:eastAsia="仿宋" w:cs="仿宋"/>
          <w:b w:val="0"/>
          <w:bCs/>
          <w:color w:val="auto"/>
          <w:highlight w:val="none"/>
          <w:u w:val="none" w:color="auto"/>
          <w:lang w:val="en-US" w:eastAsia="zh-CN"/>
        </w:rPr>
        <w:t>.</w:t>
      </w:r>
      <w:r>
        <w:rPr>
          <w:rFonts w:hint="eastAsia" w:ascii="仿宋" w:hAnsi="仿宋" w:eastAsia="仿宋" w:cs="仿宋"/>
          <w:b w:val="0"/>
          <w:bCs/>
          <w:color w:val="auto"/>
          <w:highlight w:val="none"/>
          <w:u w:val="none" w:color="auto"/>
          <w:lang w:val="en-US"/>
        </w:rPr>
        <w:t>运输方式：供应商根据产品储运要求，选择运输方式，并承担一切运输费用，包括从生产厂家到采购人指定交货地点所需的装卸运输</w:t>
      </w:r>
      <w:r>
        <w:rPr>
          <w:rFonts w:hint="eastAsia" w:ascii="仿宋" w:hAnsi="仿宋" w:eastAsia="仿宋" w:cs="仿宋"/>
          <w:b w:val="0"/>
          <w:bCs/>
          <w:color w:val="auto"/>
          <w:highlight w:val="none"/>
          <w:u w:val="none" w:color="auto"/>
          <w:lang w:val="en-US" w:eastAsia="zh-CN"/>
        </w:rPr>
        <w:t>（</w:t>
      </w:r>
      <w:r>
        <w:rPr>
          <w:rFonts w:hint="eastAsia" w:ascii="仿宋" w:hAnsi="仿宋" w:eastAsia="仿宋" w:cs="仿宋"/>
          <w:b w:val="0"/>
          <w:bCs/>
          <w:color w:val="auto"/>
          <w:highlight w:val="none"/>
          <w:u w:val="none" w:color="auto"/>
          <w:lang w:val="en-US"/>
        </w:rPr>
        <w:t>含保险费</w:t>
      </w:r>
      <w:r>
        <w:rPr>
          <w:rFonts w:hint="eastAsia" w:ascii="仿宋" w:hAnsi="仿宋" w:eastAsia="仿宋" w:cs="仿宋"/>
          <w:b w:val="0"/>
          <w:bCs/>
          <w:color w:val="auto"/>
          <w:highlight w:val="none"/>
          <w:u w:val="none" w:color="auto"/>
          <w:lang w:val="en-US" w:eastAsia="zh-CN"/>
        </w:rPr>
        <w:t>）</w:t>
      </w:r>
      <w:r>
        <w:rPr>
          <w:rFonts w:hint="eastAsia" w:ascii="仿宋" w:hAnsi="仿宋" w:eastAsia="仿宋" w:cs="仿宋"/>
          <w:b w:val="0"/>
          <w:bCs/>
          <w:color w:val="auto"/>
          <w:highlight w:val="none"/>
          <w:u w:val="none" w:color="auto"/>
          <w:lang w:val="en-US"/>
        </w:rPr>
        <w:t>及其他一切费用。</w:t>
      </w:r>
    </w:p>
    <w:p w14:paraId="1245351E">
      <w:pPr>
        <w:pStyle w:val="16"/>
        <w:numPr>
          <w:ilvl w:val="0"/>
          <w:numId w:val="0"/>
        </w:numPr>
        <w:spacing w:line="360" w:lineRule="auto"/>
        <w:ind w:firstLine="480" w:firstLineChars="200"/>
        <w:outlineLvl w:val="1"/>
        <w:rPr>
          <w:rFonts w:hint="eastAsia" w:ascii="仿宋" w:hAnsi="仿宋" w:eastAsia="仿宋" w:cs="仿宋"/>
          <w:b w:val="0"/>
          <w:bCs/>
          <w:color w:val="auto"/>
          <w:highlight w:val="none"/>
          <w:u w:val="none" w:color="auto"/>
          <w:lang w:val="en-US"/>
        </w:rPr>
      </w:pPr>
      <w:r>
        <w:rPr>
          <w:rFonts w:hint="eastAsia" w:ascii="仿宋" w:hAnsi="仿宋" w:eastAsia="仿宋" w:cs="仿宋"/>
          <w:b w:val="0"/>
          <w:bCs/>
          <w:color w:val="auto"/>
          <w:highlight w:val="none"/>
          <w:u w:val="none" w:color="auto"/>
          <w:lang w:val="en-US"/>
        </w:rPr>
        <w:t>2</w:t>
      </w:r>
      <w:r>
        <w:rPr>
          <w:rFonts w:hint="eastAsia" w:ascii="仿宋" w:hAnsi="仿宋" w:eastAsia="仿宋" w:cs="仿宋"/>
          <w:b w:val="0"/>
          <w:bCs/>
          <w:color w:val="auto"/>
          <w:highlight w:val="none"/>
          <w:u w:val="none" w:color="auto"/>
          <w:lang w:val="en-US" w:eastAsia="zh-CN"/>
        </w:rPr>
        <w:t>.</w:t>
      </w:r>
      <w:r>
        <w:rPr>
          <w:rFonts w:hint="eastAsia" w:ascii="仿宋" w:hAnsi="仿宋" w:eastAsia="仿宋" w:cs="仿宋"/>
          <w:b w:val="0"/>
          <w:bCs/>
          <w:color w:val="auto"/>
          <w:highlight w:val="none"/>
          <w:u w:val="none" w:color="auto"/>
          <w:lang w:val="en-US"/>
        </w:rPr>
        <w:t>运输费用：由乙方承担发货运输和产品保险费。</w:t>
      </w:r>
    </w:p>
    <w:p w14:paraId="3DAB482F">
      <w:pPr>
        <w:pStyle w:val="16"/>
        <w:numPr>
          <w:ilvl w:val="0"/>
          <w:numId w:val="0"/>
        </w:numPr>
        <w:spacing w:line="360" w:lineRule="auto"/>
        <w:ind w:firstLine="480" w:firstLineChars="200"/>
        <w:outlineLvl w:val="1"/>
        <w:rPr>
          <w:rFonts w:hint="eastAsia" w:ascii="仿宋" w:hAnsi="仿宋" w:eastAsia="仿宋" w:cs="仿宋"/>
          <w:b w:val="0"/>
          <w:bCs/>
          <w:color w:val="auto"/>
          <w:highlight w:val="none"/>
          <w:u w:val="none" w:color="auto"/>
          <w:lang w:val="en-US"/>
        </w:rPr>
      </w:pPr>
      <w:r>
        <w:rPr>
          <w:rFonts w:hint="eastAsia" w:ascii="仿宋" w:hAnsi="仿宋" w:eastAsia="仿宋" w:cs="仿宋"/>
          <w:b w:val="0"/>
          <w:bCs/>
          <w:color w:val="auto"/>
          <w:highlight w:val="none"/>
          <w:u w:val="none" w:color="auto"/>
          <w:lang w:val="en-US"/>
        </w:rPr>
        <w:t>3</w:t>
      </w:r>
      <w:r>
        <w:rPr>
          <w:rFonts w:hint="eastAsia" w:ascii="仿宋" w:hAnsi="仿宋" w:eastAsia="仿宋" w:cs="仿宋"/>
          <w:b w:val="0"/>
          <w:bCs/>
          <w:color w:val="auto"/>
          <w:highlight w:val="none"/>
          <w:u w:val="none" w:color="auto"/>
          <w:lang w:val="en-US" w:eastAsia="zh-CN"/>
        </w:rPr>
        <w:t>.</w:t>
      </w:r>
      <w:r>
        <w:rPr>
          <w:rFonts w:hint="eastAsia" w:ascii="仿宋" w:hAnsi="仿宋" w:eastAsia="仿宋" w:cs="仿宋"/>
          <w:b w:val="0"/>
          <w:bCs/>
          <w:color w:val="auto"/>
          <w:highlight w:val="none"/>
          <w:u w:val="none" w:color="auto"/>
          <w:lang w:val="en-US"/>
        </w:rPr>
        <w:t>发货前乙方通过电话或传真方式向甲方提供待发货物产品的名称、规格、数量、批号、有效期等相关信息。</w:t>
      </w:r>
    </w:p>
    <w:p w14:paraId="1B8A3DE8">
      <w:pPr>
        <w:pStyle w:val="16"/>
        <w:numPr>
          <w:ilvl w:val="0"/>
          <w:numId w:val="0"/>
        </w:numPr>
        <w:spacing w:line="360" w:lineRule="auto"/>
        <w:ind w:firstLine="241" w:firstLineChars="100"/>
        <w:outlineLvl w:val="1"/>
        <w:rPr>
          <w:rFonts w:hint="eastAsia" w:ascii="仿宋" w:hAnsi="仿宋" w:eastAsia="仿宋" w:cs="仿宋"/>
          <w:b/>
          <w:color w:val="auto"/>
          <w:highlight w:val="none"/>
          <w:u w:val="none" w:color="auto"/>
          <w:lang w:val="en-US"/>
        </w:rPr>
      </w:pPr>
      <w:r>
        <w:rPr>
          <w:rFonts w:hint="eastAsia" w:ascii="仿宋" w:hAnsi="仿宋" w:eastAsia="仿宋" w:cs="仿宋"/>
          <w:b/>
          <w:color w:val="auto"/>
          <w:kern w:val="1"/>
          <w:sz w:val="24"/>
          <w:szCs w:val="24"/>
          <w:u w:val="none" w:color="auto"/>
          <w:lang w:val="en-US" w:eastAsia="zh-CN" w:bidi="ar-SA"/>
        </w:rPr>
        <w:t>第六条</w:t>
      </w:r>
      <w:r>
        <w:rPr>
          <w:rFonts w:hint="eastAsia" w:ascii="仿宋" w:hAnsi="仿宋" w:eastAsia="仿宋" w:cs="仿宋"/>
          <w:b/>
          <w:color w:val="auto"/>
          <w:highlight w:val="none"/>
          <w:u w:val="none" w:color="auto"/>
        </w:rPr>
        <w:t>质</w:t>
      </w:r>
      <w:bookmarkEnd w:id="17"/>
      <w:bookmarkEnd w:id="18"/>
      <w:bookmarkEnd w:id="19"/>
      <w:r>
        <w:rPr>
          <w:rFonts w:hint="eastAsia" w:ascii="仿宋" w:hAnsi="仿宋" w:eastAsia="仿宋" w:cs="仿宋"/>
          <w:b/>
          <w:color w:val="auto"/>
          <w:highlight w:val="none"/>
          <w:u w:val="none" w:color="auto"/>
          <w:lang w:val="en-US" w:eastAsia="zh-CN"/>
        </w:rPr>
        <w:t>量保证</w:t>
      </w:r>
      <w:bookmarkEnd w:id="20"/>
    </w:p>
    <w:p w14:paraId="2B309A4B">
      <w:pPr>
        <w:pStyle w:val="11"/>
        <w:numPr>
          <w:ilvl w:val="0"/>
          <w:numId w:val="0"/>
        </w:numPr>
        <w:spacing w:line="360" w:lineRule="auto"/>
        <w:ind w:firstLine="480" w:firstLineChars="200"/>
        <w:rPr>
          <w:rFonts w:hint="eastAsia" w:ascii="仿宋" w:hAnsi="仿宋" w:eastAsia="仿宋" w:cs="仿宋"/>
          <w:color w:val="auto"/>
          <w:sz w:val="24"/>
          <w:highlight w:val="none"/>
          <w:u w:val="none" w:color="auto"/>
          <w:lang w:val="en-US" w:eastAsia="zh-CN"/>
        </w:rPr>
      </w:pPr>
      <w:bookmarkStart w:id="21" w:name="_Toc23635"/>
      <w:bookmarkStart w:id="22" w:name="_Toc5147"/>
      <w:bookmarkStart w:id="23" w:name="_Toc26000"/>
      <w:r>
        <w:rPr>
          <w:rFonts w:hint="eastAsia" w:ascii="仿宋" w:hAnsi="仿宋" w:eastAsia="仿宋" w:cs="仿宋"/>
          <w:color w:val="auto"/>
          <w:kern w:val="2"/>
          <w:sz w:val="24"/>
          <w:szCs w:val="24"/>
          <w:u w:color="auto"/>
          <w:lang w:val="en-US" w:eastAsia="zh-CN" w:bidi="ar-SA"/>
        </w:rPr>
        <w:t>1.保质期：</w:t>
      </w:r>
      <w:r>
        <w:rPr>
          <w:rFonts w:hint="eastAsia" w:ascii="仿宋" w:hAnsi="仿宋" w:eastAsia="仿宋" w:cs="仿宋"/>
          <w:color w:val="auto"/>
          <w:sz w:val="24"/>
          <w:highlight w:val="none"/>
          <w:u w:val="none" w:color="auto"/>
          <w:lang w:val="en-US" w:eastAsia="zh-CN"/>
        </w:rPr>
        <w:t>乙方每次提供的药品应为同一批号且每批次药品的生产日期距甲方指定收货点收货日期不得超过3个月。</w:t>
      </w:r>
    </w:p>
    <w:p w14:paraId="26B96C0B">
      <w:pPr>
        <w:pStyle w:val="11"/>
        <w:numPr>
          <w:ilvl w:val="0"/>
          <w:numId w:val="0"/>
        </w:numPr>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2.本合同项下各药品的质量，必须完全符合投标</w:t>
      </w:r>
      <w:bookmarkStart w:id="49" w:name="_GoBack"/>
      <w:bookmarkEnd w:id="49"/>
      <w:r>
        <w:rPr>
          <w:rFonts w:hint="eastAsia" w:ascii="仿宋" w:hAnsi="仿宋" w:eastAsia="仿宋" w:cs="仿宋"/>
          <w:color w:val="auto"/>
          <w:sz w:val="24"/>
          <w:highlight w:val="none"/>
          <w:u w:val="none" w:color="auto"/>
          <w:lang w:val="en-US" w:eastAsia="zh-CN"/>
        </w:rPr>
        <w:t>响应文件中提交的国家药品监督管理局批准的药品注册标准（详见投标响应文件）、《中华人民共和国药典》最新版以及其他国家强制性标准。前述标准不一致时，以要求最严格者为准。</w:t>
      </w:r>
    </w:p>
    <w:p w14:paraId="0C84A388">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3.每批次订单接到甲方通知之日起30日历日内交货。乙方必须保证药品质量，对确因药品的质量引起的任何缺陷都应立即实施补偿，并承担更换药品所需费用，并在7个工作日内到达买方指定交货地点。</w:t>
      </w:r>
    </w:p>
    <w:p w14:paraId="2EA7DFB4">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4.如果由于质量问题需要回收药品，乙方将第一时间通知甲方，并按甲方能够认同的质量标准重新供货并承担所需费用。</w:t>
      </w:r>
    </w:p>
    <w:p w14:paraId="5523D0C5">
      <w:pPr>
        <w:pStyle w:val="16"/>
        <w:numPr>
          <w:ilvl w:val="0"/>
          <w:numId w:val="0"/>
        </w:numPr>
        <w:spacing w:line="360" w:lineRule="auto"/>
        <w:ind w:firstLine="200" w:firstLineChars="0"/>
        <w:outlineLvl w:val="1"/>
        <w:rPr>
          <w:rFonts w:hint="eastAsia" w:ascii="仿宋" w:hAnsi="仿宋" w:eastAsia="仿宋" w:cs="仿宋"/>
          <w:b/>
          <w:color w:val="auto"/>
          <w:highlight w:val="none"/>
          <w:u w:val="none" w:color="auto"/>
          <w:lang w:val="en-US" w:eastAsia="zh-CN"/>
        </w:rPr>
      </w:pPr>
      <w:r>
        <w:rPr>
          <w:rFonts w:hint="eastAsia" w:ascii="仿宋" w:hAnsi="仿宋" w:eastAsia="仿宋" w:cs="仿宋"/>
          <w:b/>
          <w:color w:val="auto"/>
          <w:kern w:val="1"/>
          <w:sz w:val="24"/>
          <w:szCs w:val="24"/>
          <w:u w:val="none" w:color="auto"/>
          <w:lang w:val="en-US" w:eastAsia="zh-CN" w:bidi="ar-SA"/>
        </w:rPr>
        <w:t>第七条</w:t>
      </w:r>
      <w:r>
        <w:rPr>
          <w:rFonts w:hint="eastAsia" w:ascii="仿宋" w:hAnsi="仿宋" w:eastAsia="仿宋" w:cs="仿宋"/>
          <w:b/>
          <w:color w:val="auto"/>
          <w:highlight w:val="none"/>
          <w:u w:val="none" w:color="auto"/>
          <w:lang w:val="en-US" w:eastAsia="zh-CN"/>
        </w:rPr>
        <w:t>质量检验</w:t>
      </w:r>
    </w:p>
    <w:p w14:paraId="1BE63E56">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1.乙方应在每批次药品发货前，自行或委托制造商按国家标准完成检验，并随货提供加盖乙方公章或质量管理专用章的出厂检验报告。</w:t>
      </w:r>
    </w:p>
    <w:p w14:paraId="00135F0B">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2.初步验收：药品运抵甲方指定地点后，甲方或甲方指定收货单位有权进行初步验收，包括但不限于核对品名、规格、数量、批号、有效期、包装标识（含“国家免费药品”字样）及随货文件。初步验收合格方可办理入库。</w:t>
      </w:r>
    </w:p>
    <w:p w14:paraId="290A7525">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3.质量异议：</w:t>
      </w:r>
    </w:p>
    <w:p w14:paraId="1E500993">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（1）甲方在验收或后续储存使用中，对药品质量有异议的，有权要求暂停该批次药品的付款，并书面通知乙方。</w:t>
      </w:r>
    </w:p>
    <w:p w14:paraId="6A4343A7">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（2）双方对质量异议无法达成一致时，应首先共同委托药品交付地省级或市级药品检验机构进行检验，检验费用由责任方承担。</w:t>
      </w:r>
    </w:p>
    <w:p w14:paraId="665458B3">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（3）如对上述检验结果仍有争议，任何一方可提请中国食品药品检定研究院进行仲裁检验，该检验报告对双方具有最终约束力，仲裁检验费用由败诉方承担。</w:t>
      </w:r>
    </w:p>
    <w:p w14:paraId="0862C2B4">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4.因药品质量问题发生退货、换货的，全部费用（包括但不限于运输、检验、仓储等）及因此给甲方造成的损失均由乙方承担。</w:t>
      </w:r>
    </w:p>
    <w:p w14:paraId="1A40FC37">
      <w:pPr>
        <w:pStyle w:val="16"/>
        <w:spacing w:line="360" w:lineRule="auto"/>
        <w:outlineLvl w:val="1"/>
        <w:rPr>
          <w:rFonts w:hint="eastAsia" w:ascii="仿宋" w:hAnsi="仿宋" w:eastAsia="仿宋" w:cs="仿宋"/>
          <w:b/>
          <w:color w:val="auto"/>
          <w:highlight w:val="none"/>
          <w:u w:val="none" w:color="auto"/>
          <w:lang w:val="en-US" w:eastAsia="zh-CN"/>
        </w:rPr>
      </w:pPr>
      <w:bookmarkStart w:id="24" w:name="_Toc28295"/>
      <w:r>
        <w:rPr>
          <w:rFonts w:hint="eastAsia" w:ascii="仿宋" w:hAnsi="仿宋" w:eastAsia="仿宋" w:cs="仿宋"/>
          <w:b/>
          <w:color w:val="auto"/>
          <w:highlight w:val="none"/>
          <w:u w:val="none" w:color="auto"/>
        </w:rPr>
        <w:t>第</w:t>
      </w:r>
      <w:r>
        <w:rPr>
          <w:rFonts w:hint="eastAsia" w:ascii="仿宋" w:hAnsi="仿宋" w:eastAsia="仿宋" w:cs="仿宋"/>
          <w:b/>
          <w:color w:val="auto"/>
          <w:highlight w:val="none"/>
          <w:u w:val="none" w:color="auto"/>
          <w:lang w:val="en-US" w:eastAsia="zh-CN"/>
        </w:rPr>
        <w:t>八</w:t>
      </w:r>
      <w:r>
        <w:rPr>
          <w:rFonts w:hint="eastAsia" w:ascii="仿宋" w:hAnsi="仿宋" w:eastAsia="仿宋" w:cs="仿宋"/>
          <w:b/>
          <w:color w:val="auto"/>
          <w:highlight w:val="none"/>
          <w:u w:val="none" w:color="auto"/>
        </w:rPr>
        <w:t>条</w:t>
      </w:r>
      <w:r>
        <w:rPr>
          <w:rFonts w:hint="eastAsia" w:ascii="仿宋" w:hAnsi="仿宋" w:eastAsia="仿宋" w:cs="仿宋"/>
          <w:b/>
          <w:color w:val="auto"/>
          <w:highlight w:val="none"/>
          <w:u w:val="none" w:color="auto"/>
          <w:lang w:val="en-US" w:eastAsia="zh-CN"/>
        </w:rPr>
        <w:t xml:space="preserve"> 药品包装</w:t>
      </w:r>
    </w:p>
    <w:p w14:paraId="66629FB0">
      <w:pPr>
        <w:pStyle w:val="16"/>
        <w:spacing w:line="360" w:lineRule="auto"/>
        <w:outlineLvl w:val="1"/>
        <w:rPr>
          <w:rFonts w:hint="eastAsia" w:ascii="仿宋" w:hAnsi="仿宋" w:eastAsia="仿宋" w:cs="仿宋"/>
          <w:b w:val="0"/>
          <w:bCs/>
          <w:color w:val="auto"/>
          <w:highlight w:val="none"/>
          <w:u w:val="none" w:color="auto"/>
          <w:lang w:val="en-US" w:eastAsia="zh-CN"/>
        </w:rPr>
      </w:pPr>
      <w:r>
        <w:rPr>
          <w:rFonts w:hint="eastAsia" w:ascii="仿宋" w:hAnsi="仿宋" w:eastAsia="仿宋" w:cs="仿宋"/>
          <w:b w:val="0"/>
          <w:bCs/>
          <w:color w:val="auto"/>
          <w:highlight w:val="none"/>
          <w:u w:val="none" w:color="auto"/>
          <w:lang w:val="en-US" w:eastAsia="zh-CN"/>
        </w:rPr>
        <w:t>1.药品的包装及标识必须符合《中华人民共和国药品管理法》及国家药品包装、标签和说明书管理的有关规定，具有良好的密封性和防潮性，破损率低于国家规定标准。</w:t>
      </w:r>
    </w:p>
    <w:p w14:paraId="31E64A35">
      <w:pPr>
        <w:pStyle w:val="16"/>
        <w:spacing w:line="360" w:lineRule="auto"/>
        <w:outlineLvl w:val="1"/>
        <w:rPr>
          <w:rFonts w:hint="eastAsia" w:ascii="仿宋" w:hAnsi="仿宋" w:eastAsia="仿宋" w:cs="仿宋"/>
          <w:b w:val="0"/>
          <w:bCs/>
          <w:color w:val="auto"/>
          <w:highlight w:val="none"/>
          <w:u w:val="none" w:color="auto"/>
          <w:lang w:val="en-US" w:eastAsia="zh-CN"/>
        </w:rPr>
      </w:pPr>
      <w:r>
        <w:rPr>
          <w:rFonts w:hint="eastAsia" w:ascii="仿宋" w:hAnsi="仿宋" w:eastAsia="仿宋" w:cs="仿宋"/>
          <w:b w:val="0"/>
          <w:bCs/>
          <w:color w:val="auto"/>
          <w:highlight w:val="none"/>
          <w:u w:val="none" w:color="auto"/>
          <w:lang w:val="en-US" w:eastAsia="zh-CN"/>
        </w:rPr>
        <w:t>2.所有药品外盒包装上必须清晰、牢固地印制“国家免费药品”中文标识，该标识的规格、颜色、位置应符合甲方或国家相关免费药品发放管理的规定。</w:t>
      </w:r>
    </w:p>
    <w:p w14:paraId="408A747D">
      <w:pPr>
        <w:pStyle w:val="16"/>
        <w:spacing w:line="360" w:lineRule="auto"/>
        <w:outlineLvl w:val="1"/>
        <w:rPr>
          <w:rFonts w:hint="eastAsia" w:ascii="仿宋" w:hAnsi="仿宋" w:eastAsia="仿宋" w:cs="仿宋"/>
          <w:b/>
          <w:color w:val="auto"/>
          <w:highlight w:val="none"/>
          <w:u w:val="none" w:color="auto"/>
        </w:rPr>
      </w:pPr>
      <w:r>
        <w:rPr>
          <w:rFonts w:hint="eastAsia" w:ascii="仿宋" w:hAnsi="仿宋" w:eastAsia="仿宋" w:cs="仿宋"/>
          <w:b/>
          <w:color w:val="auto"/>
          <w:highlight w:val="none"/>
          <w:u w:val="none" w:color="auto"/>
          <w:lang w:val="en-US" w:eastAsia="zh-CN"/>
        </w:rPr>
        <w:t xml:space="preserve">第九条 </w:t>
      </w:r>
      <w:r>
        <w:rPr>
          <w:rFonts w:hint="eastAsia" w:ascii="仿宋" w:hAnsi="仿宋" w:eastAsia="仿宋" w:cs="仿宋"/>
          <w:b/>
          <w:color w:val="auto"/>
          <w:highlight w:val="none"/>
          <w:u w:val="none" w:color="auto"/>
        </w:rPr>
        <w:t>权利保证</w:t>
      </w:r>
      <w:bookmarkEnd w:id="21"/>
      <w:bookmarkEnd w:id="22"/>
      <w:bookmarkEnd w:id="23"/>
      <w:bookmarkEnd w:id="24"/>
    </w:p>
    <w:p w14:paraId="7278EC54">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1.乙方保证对其出售的货物享有合法的权利。</w:t>
      </w:r>
    </w:p>
    <w:p w14:paraId="05929B07">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2.乙方保证对其出售的货物上不存在任何未曾向甲方透露的担保物权，如抵押权、质押权、留置权。</w:t>
      </w:r>
    </w:p>
    <w:p w14:paraId="4A2B7E91">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3.乙方保证对其出售的货物或其任何一部分没有侵犯第三方的专利权、版权、商标权或其他权利。</w:t>
      </w:r>
    </w:p>
    <w:p w14:paraId="2635B6C6">
      <w:pPr>
        <w:pStyle w:val="16"/>
        <w:spacing w:line="360" w:lineRule="auto"/>
        <w:ind w:firstLine="480" w:firstLineChars="200"/>
        <w:rPr>
          <w:rFonts w:hint="eastAsia" w:ascii="仿宋" w:hAnsi="仿宋" w:eastAsia="仿宋" w:cs="仿宋"/>
          <w:b/>
          <w:color w:val="auto"/>
          <w:highlight w:val="none"/>
          <w:u w:val="none" w:color="auto"/>
        </w:rPr>
      </w:pPr>
      <w:r>
        <w:rPr>
          <w:rFonts w:hint="eastAsia" w:ascii="仿宋" w:hAnsi="仿宋" w:eastAsia="仿宋" w:cs="仿宋"/>
          <w:color w:val="auto"/>
          <w:highlight w:val="none"/>
          <w:u w:val="none" w:color="auto"/>
        </w:rPr>
        <w:t>4.如甲方使用该货物构成上述侵权的，则由乙方承担全部责任。</w:t>
      </w:r>
    </w:p>
    <w:p w14:paraId="48740947">
      <w:pPr>
        <w:pStyle w:val="16"/>
        <w:spacing w:line="360" w:lineRule="auto"/>
        <w:outlineLvl w:val="1"/>
        <w:rPr>
          <w:rFonts w:hint="eastAsia" w:ascii="仿宋" w:hAnsi="仿宋" w:eastAsia="仿宋" w:cs="仿宋"/>
          <w:b/>
          <w:color w:val="auto"/>
          <w:highlight w:val="none"/>
          <w:u w:val="none" w:color="auto"/>
          <w:lang w:val="en-US" w:eastAsia="zh-CN"/>
        </w:rPr>
      </w:pPr>
      <w:bookmarkStart w:id="25" w:name="_Toc31505"/>
      <w:bookmarkStart w:id="26" w:name="_Toc18410"/>
      <w:bookmarkStart w:id="27" w:name="_Toc31476"/>
      <w:bookmarkStart w:id="28" w:name="_Toc483"/>
      <w:r>
        <w:rPr>
          <w:rFonts w:hint="eastAsia" w:ascii="仿宋" w:hAnsi="仿宋" w:eastAsia="仿宋" w:cs="仿宋"/>
          <w:b/>
          <w:color w:val="auto"/>
          <w:highlight w:val="none"/>
          <w:u w:val="none" w:color="auto"/>
        </w:rPr>
        <w:t>第</w:t>
      </w:r>
      <w:r>
        <w:rPr>
          <w:rFonts w:hint="eastAsia" w:ascii="仿宋" w:hAnsi="仿宋" w:eastAsia="仿宋" w:cs="仿宋"/>
          <w:b/>
          <w:color w:val="auto"/>
          <w:highlight w:val="none"/>
          <w:u w:val="none" w:color="auto"/>
          <w:lang w:val="en-US" w:eastAsia="zh-CN"/>
        </w:rPr>
        <w:t>十</w:t>
      </w:r>
      <w:r>
        <w:rPr>
          <w:rFonts w:hint="eastAsia" w:ascii="仿宋" w:hAnsi="仿宋" w:eastAsia="仿宋" w:cs="仿宋"/>
          <w:b/>
          <w:color w:val="auto"/>
          <w:highlight w:val="none"/>
          <w:u w:val="none" w:color="auto"/>
        </w:rPr>
        <w:t>条售后服务</w:t>
      </w:r>
      <w:bookmarkEnd w:id="25"/>
      <w:bookmarkEnd w:id="26"/>
      <w:bookmarkEnd w:id="27"/>
      <w:r>
        <w:rPr>
          <w:rFonts w:hint="eastAsia" w:ascii="仿宋" w:hAnsi="仿宋" w:eastAsia="仿宋" w:cs="仿宋"/>
          <w:b/>
          <w:color w:val="auto"/>
          <w:highlight w:val="none"/>
          <w:u w:val="none" w:color="auto"/>
          <w:lang w:val="en-US" w:eastAsia="zh-CN"/>
        </w:rPr>
        <w:t>及培训</w:t>
      </w:r>
      <w:bookmarkEnd w:id="28"/>
    </w:p>
    <w:p w14:paraId="103BA9C4">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lang w:val="en-US" w:eastAsia="zh-CN"/>
        </w:rPr>
        <w:t>1.</w:t>
      </w:r>
      <w:r>
        <w:rPr>
          <w:rFonts w:hint="eastAsia" w:ascii="仿宋" w:hAnsi="仿宋" w:eastAsia="仿宋" w:cs="仿宋"/>
          <w:color w:val="auto"/>
          <w:kern w:val="0"/>
          <w:highlight w:val="none"/>
          <w:u w:val="none" w:color="auto"/>
        </w:rPr>
        <w:t>乙方应按照国家有关法律法规以及招标文件要求和投标文件的</w:t>
      </w:r>
      <w:r>
        <w:rPr>
          <w:rFonts w:hint="eastAsia" w:ascii="仿宋" w:hAnsi="仿宋" w:eastAsia="仿宋" w:cs="仿宋"/>
          <w:color w:val="auto"/>
          <w:kern w:val="0"/>
          <w:highlight w:val="none"/>
          <w:u w:val="none" w:color="auto"/>
          <w:lang w:val="en-US" w:eastAsia="zh-CN"/>
        </w:rPr>
        <w:t>售后方案</w:t>
      </w:r>
      <w:r>
        <w:rPr>
          <w:rFonts w:hint="eastAsia" w:ascii="仿宋" w:hAnsi="仿宋" w:eastAsia="仿宋" w:cs="仿宋"/>
          <w:color w:val="auto"/>
          <w:kern w:val="0"/>
          <w:highlight w:val="none"/>
          <w:u w:val="none" w:color="auto"/>
        </w:rPr>
        <w:t>提供服务。</w:t>
      </w:r>
    </w:p>
    <w:p w14:paraId="534D8215">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lang w:val="en-US" w:eastAsia="zh-CN"/>
        </w:rPr>
        <w:t>2.</w:t>
      </w:r>
      <w:r>
        <w:rPr>
          <w:rFonts w:hint="eastAsia" w:ascii="仿宋" w:hAnsi="仿宋" w:eastAsia="仿宋" w:cs="仿宋"/>
          <w:color w:val="auto"/>
          <w:kern w:val="0"/>
          <w:highlight w:val="none"/>
          <w:u w:val="none" w:color="auto"/>
        </w:rPr>
        <w:t>乙方负责提供随货同行单、药品合格证、同批号检验报告、药品说明书、发票、追溯码/追溯信息、冷链或温湿度记录等</w:t>
      </w:r>
      <w:r>
        <w:rPr>
          <w:rFonts w:hint="eastAsia" w:ascii="仿宋" w:hAnsi="仿宋" w:eastAsia="仿宋" w:cs="仿宋"/>
          <w:color w:val="auto"/>
          <w:kern w:val="0"/>
          <w:highlight w:val="none"/>
          <w:u w:val="none" w:color="auto"/>
          <w:lang w:eastAsia="zh-CN"/>
        </w:rPr>
        <w:t>，</w:t>
      </w:r>
      <w:r>
        <w:rPr>
          <w:rFonts w:hint="eastAsia" w:ascii="仿宋" w:hAnsi="仿宋" w:eastAsia="仿宋" w:cs="仿宋"/>
          <w:color w:val="auto"/>
          <w:kern w:val="0"/>
          <w:highlight w:val="none"/>
          <w:u w:val="none" w:color="auto"/>
        </w:rPr>
        <w:t>并对所有技术材料的真实性、准确性、先进性、完整性负责。</w:t>
      </w:r>
    </w:p>
    <w:p w14:paraId="125350F2">
      <w:pPr>
        <w:pStyle w:val="16"/>
        <w:spacing w:line="360" w:lineRule="auto"/>
        <w:ind w:firstLine="480" w:firstLineChars="200"/>
        <w:rPr>
          <w:rFonts w:hint="eastAsia" w:ascii="仿宋" w:hAnsi="仿宋" w:eastAsia="仿宋" w:cs="仿宋"/>
          <w:color w:val="auto"/>
          <w:kern w:val="0"/>
          <w:highlight w:val="none"/>
          <w:u w:val="none" w:color="auto"/>
          <w:lang w:eastAsia="zh-CN"/>
        </w:rPr>
      </w:pPr>
      <w:r>
        <w:rPr>
          <w:rFonts w:hint="eastAsia" w:ascii="仿宋" w:hAnsi="仿宋" w:eastAsia="仿宋" w:cs="仿宋"/>
          <w:color w:val="auto"/>
          <w:kern w:val="0"/>
          <w:highlight w:val="none"/>
          <w:u w:val="none" w:color="auto"/>
          <w:lang w:val="en-US" w:eastAsia="zh-CN"/>
        </w:rPr>
        <w:t>3.</w:t>
      </w:r>
      <w:r>
        <w:rPr>
          <w:rFonts w:hint="eastAsia" w:ascii="仿宋" w:hAnsi="仿宋" w:eastAsia="仿宋" w:cs="仿宋"/>
          <w:color w:val="auto"/>
          <w:kern w:val="0"/>
          <w:highlight w:val="none"/>
          <w:u w:val="none" w:color="auto"/>
        </w:rPr>
        <w:t>人员培训：在甲方提出要求时乙方免费为使用单位培训人员</w:t>
      </w:r>
      <w:r>
        <w:rPr>
          <w:rFonts w:hint="eastAsia" w:ascii="仿宋" w:hAnsi="仿宋" w:eastAsia="仿宋" w:cs="仿宋"/>
          <w:color w:val="auto"/>
          <w:kern w:val="0"/>
          <w:highlight w:val="none"/>
          <w:u w:val="none" w:color="auto"/>
          <w:lang w:eastAsia="zh-CN"/>
        </w:rPr>
        <w:t>。</w:t>
      </w:r>
    </w:p>
    <w:p w14:paraId="235D17F6">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lang w:val="en-US" w:eastAsia="zh-CN"/>
        </w:rPr>
        <w:t>4.</w:t>
      </w:r>
      <w:r>
        <w:rPr>
          <w:rFonts w:hint="eastAsia" w:ascii="仿宋" w:hAnsi="仿宋" w:eastAsia="仿宋" w:cs="仿宋"/>
          <w:color w:val="auto"/>
          <w:kern w:val="0"/>
          <w:highlight w:val="none"/>
          <w:u w:val="none" w:color="auto"/>
        </w:rPr>
        <w:t>售后服务：质保期内乙方对甲方提出的服务响应不得超出</w:t>
      </w:r>
      <w:r>
        <w:rPr>
          <w:rFonts w:hint="eastAsia" w:ascii="仿宋" w:hAnsi="仿宋" w:eastAsia="仿宋" w:cs="仿宋"/>
          <w:color w:val="auto"/>
          <w:kern w:val="0"/>
          <w:highlight w:val="none"/>
          <w:u w:val="none" w:color="auto"/>
          <w:lang w:val="en-US" w:eastAsia="zh-CN"/>
        </w:rPr>
        <w:t>2</w:t>
      </w:r>
      <w:r>
        <w:rPr>
          <w:rFonts w:hint="eastAsia" w:ascii="仿宋" w:hAnsi="仿宋" w:eastAsia="仿宋" w:cs="仿宋"/>
          <w:color w:val="auto"/>
          <w:kern w:val="0"/>
          <w:highlight w:val="none"/>
          <w:u w:val="none" w:color="auto"/>
        </w:rPr>
        <w:t>小时。</w:t>
      </w:r>
    </w:p>
    <w:p w14:paraId="687242FD">
      <w:pPr>
        <w:pStyle w:val="16"/>
        <w:spacing w:line="360" w:lineRule="auto"/>
        <w:outlineLvl w:val="1"/>
        <w:rPr>
          <w:rFonts w:hint="eastAsia" w:ascii="仿宋" w:hAnsi="仿宋" w:eastAsia="仿宋" w:cs="仿宋"/>
          <w:b/>
          <w:color w:val="auto"/>
          <w:highlight w:val="none"/>
          <w:u w:val="none" w:color="auto"/>
        </w:rPr>
      </w:pPr>
      <w:bookmarkStart w:id="29" w:name="_Toc2902"/>
      <w:bookmarkStart w:id="30" w:name="_Toc3919"/>
      <w:bookmarkStart w:id="31" w:name="_Toc28698"/>
      <w:bookmarkStart w:id="32" w:name="_Toc3711"/>
      <w:r>
        <w:rPr>
          <w:rFonts w:hint="eastAsia" w:ascii="仿宋" w:hAnsi="仿宋" w:eastAsia="仿宋" w:cs="仿宋"/>
          <w:b/>
          <w:color w:val="auto"/>
          <w:highlight w:val="none"/>
          <w:u w:val="none" w:color="auto"/>
        </w:rPr>
        <w:t>第</w:t>
      </w:r>
      <w:r>
        <w:rPr>
          <w:rFonts w:hint="eastAsia" w:ascii="仿宋" w:hAnsi="仿宋" w:eastAsia="仿宋" w:cs="仿宋"/>
          <w:b/>
          <w:color w:val="auto"/>
          <w:highlight w:val="none"/>
          <w:u w:val="none" w:color="auto"/>
          <w:lang w:val="en-US" w:eastAsia="zh-CN"/>
        </w:rPr>
        <w:t>十一</w:t>
      </w:r>
      <w:r>
        <w:rPr>
          <w:rFonts w:hint="eastAsia" w:ascii="仿宋" w:hAnsi="仿宋" w:eastAsia="仿宋" w:cs="仿宋"/>
          <w:b/>
          <w:color w:val="auto"/>
          <w:highlight w:val="none"/>
          <w:u w:val="none" w:color="auto"/>
        </w:rPr>
        <w:t>条</w:t>
      </w:r>
      <w:r>
        <w:rPr>
          <w:rFonts w:hint="eastAsia" w:ascii="仿宋" w:hAnsi="仿宋" w:eastAsia="仿宋" w:cs="仿宋"/>
          <w:b/>
          <w:color w:val="auto"/>
          <w:highlight w:val="none"/>
          <w:u w:val="none" w:color="auto"/>
          <w:lang w:val="en-US" w:eastAsia="zh-CN"/>
        </w:rPr>
        <w:t xml:space="preserve">  </w:t>
      </w:r>
      <w:r>
        <w:rPr>
          <w:rFonts w:hint="eastAsia" w:ascii="仿宋" w:hAnsi="仿宋" w:eastAsia="仿宋" w:cs="仿宋"/>
          <w:b/>
          <w:color w:val="auto"/>
          <w:highlight w:val="none"/>
          <w:u w:val="none" w:color="auto"/>
        </w:rPr>
        <w:t>违约责任</w:t>
      </w:r>
      <w:bookmarkEnd w:id="29"/>
      <w:bookmarkEnd w:id="30"/>
      <w:bookmarkEnd w:id="31"/>
      <w:bookmarkEnd w:id="32"/>
    </w:p>
    <w:p w14:paraId="1BFE7B82">
      <w:pPr>
        <w:pStyle w:val="16"/>
        <w:spacing w:line="360" w:lineRule="auto"/>
        <w:ind w:firstLine="480" w:firstLineChars="200"/>
        <w:outlineLvl w:val="9"/>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1.甲方违约责任</w:t>
      </w:r>
    </w:p>
    <w:p w14:paraId="768018D4">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甲方无正当理由拒收货物的，甲方应偿付合同总价</w:t>
      </w:r>
      <w:r>
        <w:rPr>
          <w:rFonts w:hint="eastAsia" w:ascii="仿宋" w:hAnsi="仿宋" w:eastAsia="仿宋" w:cs="仿宋"/>
          <w:color w:val="auto"/>
          <w:highlight w:val="none"/>
          <w:u w:val="none" w:color="auto"/>
          <w:lang w:val="en-US" w:eastAsia="zh-CN"/>
        </w:rPr>
        <w:t>5</w:t>
      </w:r>
      <w:r>
        <w:rPr>
          <w:rFonts w:hint="eastAsia" w:ascii="仿宋" w:hAnsi="仿宋" w:eastAsia="仿宋" w:cs="仿宋"/>
          <w:color w:val="auto"/>
          <w:highlight w:val="none"/>
          <w:u w:val="none" w:color="auto"/>
        </w:rPr>
        <w:t>%的违约金；</w:t>
      </w:r>
    </w:p>
    <w:p w14:paraId="5027682E">
      <w:pPr>
        <w:pStyle w:val="16"/>
        <w:spacing w:line="360" w:lineRule="auto"/>
        <w:ind w:firstLine="480" w:firstLineChars="200"/>
        <w:outlineLvl w:val="9"/>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2.乙方违约责任</w:t>
      </w:r>
    </w:p>
    <w:p w14:paraId="6E870503">
      <w:pPr>
        <w:widowControl/>
        <w:spacing w:line="360" w:lineRule="auto"/>
        <w:ind w:firstLine="480" w:firstLineChars="200"/>
        <w:jc w:val="left"/>
        <w:rPr>
          <w:rFonts w:hint="eastAsia" w:ascii="仿宋" w:hAnsi="仿宋" w:eastAsia="仿宋" w:cs="仿宋"/>
          <w:color w:val="auto"/>
          <w:kern w:val="0"/>
          <w:sz w:val="24"/>
          <w:szCs w:val="24"/>
          <w:highlight w:val="none"/>
          <w:u w:val="none" w:color="auto"/>
        </w:rPr>
      </w:pPr>
      <w:r>
        <w:rPr>
          <w:rFonts w:hint="eastAsia" w:ascii="仿宋" w:hAnsi="仿宋" w:eastAsia="仿宋" w:cs="仿宋"/>
          <w:color w:val="auto"/>
          <w:kern w:val="0"/>
          <w:sz w:val="24"/>
          <w:szCs w:val="24"/>
          <w:highlight w:val="none"/>
          <w:u w:val="none" w:color="auto"/>
        </w:rPr>
        <w:t>（1）如乙方不能交付货物，应向甲方支付合同总价</w:t>
      </w:r>
      <w:r>
        <w:rPr>
          <w:rFonts w:hint="eastAsia" w:ascii="仿宋" w:hAnsi="仿宋" w:eastAsia="仿宋" w:cs="仿宋"/>
          <w:color w:val="auto"/>
          <w:kern w:val="0"/>
          <w:sz w:val="24"/>
          <w:szCs w:val="24"/>
          <w:highlight w:val="none"/>
          <w:u w:val="none" w:color="auto"/>
          <w:lang w:val="en-US" w:eastAsia="zh-CN"/>
        </w:rPr>
        <w:t>5</w:t>
      </w:r>
      <w:r>
        <w:rPr>
          <w:rFonts w:hint="eastAsia" w:ascii="仿宋" w:hAnsi="仿宋" w:eastAsia="仿宋" w:cs="仿宋"/>
          <w:color w:val="auto"/>
          <w:kern w:val="0"/>
          <w:sz w:val="24"/>
          <w:szCs w:val="24"/>
          <w:highlight w:val="none"/>
          <w:u w:val="none" w:color="auto"/>
        </w:rPr>
        <w:t>％的违约金；</w:t>
      </w:r>
    </w:p>
    <w:p w14:paraId="73AEF6B0">
      <w:pPr>
        <w:widowControl/>
        <w:spacing w:line="360" w:lineRule="auto"/>
        <w:ind w:firstLine="480" w:firstLineChars="200"/>
        <w:jc w:val="left"/>
        <w:rPr>
          <w:rFonts w:hint="eastAsia" w:ascii="仿宋" w:hAnsi="仿宋" w:eastAsia="仿宋" w:cs="仿宋"/>
          <w:color w:val="auto"/>
          <w:kern w:val="0"/>
          <w:sz w:val="24"/>
          <w:szCs w:val="24"/>
          <w:highlight w:val="none"/>
          <w:u w:val="none" w:color="auto"/>
        </w:rPr>
      </w:pPr>
      <w:r>
        <w:rPr>
          <w:rFonts w:hint="eastAsia" w:ascii="仿宋" w:hAnsi="仿宋" w:eastAsia="仿宋" w:cs="仿宋"/>
          <w:color w:val="auto"/>
          <w:kern w:val="0"/>
          <w:sz w:val="24"/>
          <w:szCs w:val="24"/>
          <w:highlight w:val="none"/>
          <w:u w:val="none" w:color="auto"/>
        </w:rPr>
        <w:t>（2）乙方逾期交付货物的，每逾期1天，乙方向甲方偿付逾期交付部分货款总额的</w:t>
      </w:r>
      <w:r>
        <w:rPr>
          <w:rFonts w:hint="eastAsia" w:ascii="仿宋" w:hAnsi="仿宋" w:eastAsia="仿宋" w:cs="仿宋"/>
          <w:color w:val="auto"/>
          <w:kern w:val="0"/>
          <w:sz w:val="24"/>
          <w:szCs w:val="24"/>
          <w:highlight w:val="none"/>
          <w:u w:val="none" w:color="auto"/>
          <w:lang w:val="en-US" w:eastAsia="zh-CN"/>
        </w:rPr>
        <w:t>1%</w:t>
      </w:r>
      <w:r>
        <w:rPr>
          <w:rFonts w:hint="eastAsia" w:ascii="仿宋" w:hAnsi="仿宋" w:eastAsia="仿宋" w:cs="仿宋"/>
          <w:color w:val="auto"/>
          <w:kern w:val="0"/>
          <w:sz w:val="24"/>
          <w:szCs w:val="24"/>
          <w:highlight w:val="none"/>
          <w:u w:val="none" w:color="auto"/>
        </w:rPr>
        <w:t>的滞纳金。如乙方逾期交付达</w:t>
      </w:r>
      <w:r>
        <w:rPr>
          <w:rFonts w:hint="eastAsia" w:ascii="仿宋" w:hAnsi="仿宋" w:eastAsia="仿宋" w:cs="仿宋"/>
          <w:color w:val="auto"/>
          <w:kern w:val="0"/>
          <w:sz w:val="24"/>
          <w:szCs w:val="24"/>
          <w:highlight w:val="none"/>
          <w:u w:val="none" w:color="auto"/>
          <w:lang w:val="en-US" w:eastAsia="zh-CN"/>
        </w:rPr>
        <w:t>30</w:t>
      </w:r>
      <w:r>
        <w:rPr>
          <w:rFonts w:hint="eastAsia" w:ascii="仿宋" w:hAnsi="仿宋" w:eastAsia="仿宋" w:cs="仿宋"/>
          <w:color w:val="auto"/>
          <w:kern w:val="0"/>
          <w:sz w:val="24"/>
          <w:szCs w:val="24"/>
          <w:highlight w:val="none"/>
          <w:u w:val="none" w:color="auto"/>
        </w:rPr>
        <w:t>天，甲方有权解除合同，解除合同的通知自到达乙方时生效，乙方应向甲方支付合同总价的</w:t>
      </w:r>
      <w:r>
        <w:rPr>
          <w:rFonts w:hint="eastAsia" w:ascii="仿宋" w:hAnsi="仿宋" w:eastAsia="仿宋" w:cs="仿宋"/>
          <w:color w:val="auto"/>
          <w:kern w:val="0"/>
          <w:sz w:val="24"/>
          <w:szCs w:val="24"/>
          <w:highlight w:val="none"/>
          <w:u w:val="none" w:color="auto"/>
          <w:lang w:val="en-US" w:eastAsia="zh-CN"/>
        </w:rPr>
        <w:t>30</w:t>
      </w:r>
      <w:r>
        <w:rPr>
          <w:rFonts w:hint="eastAsia" w:ascii="仿宋" w:hAnsi="仿宋" w:eastAsia="仿宋" w:cs="仿宋"/>
          <w:color w:val="auto"/>
          <w:kern w:val="0"/>
          <w:sz w:val="24"/>
          <w:szCs w:val="24"/>
          <w:highlight w:val="none"/>
          <w:u w:val="none" w:color="auto"/>
        </w:rPr>
        <w:t>%违约金，违约金不足以弥补甲方损失的，由乙方另行支付；</w:t>
      </w:r>
    </w:p>
    <w:p w14:paraId="218BE88D">
      <w:pPr>
        <w:widowControl/>
        <w:spacing w:line="360" w:lineRule="auto"/>
        <w:ind w:firstLine="480" w:firstLineChars="200"/>
        <w:jc w:val="left"/>
        <w:rPr>
          <w:rFonts w:hint="eastAsia" w:ascii="仿宋" w:hAnsi="仿宋" w:eastAsia="仿宋" w:cs="仿宋"/>
          <w:color w:val="auto"/>
          <w:kern w:val="0"/>
          <w:sz w:val="24"/>
          <w:szCs w:val="24"/>
          <w:highlight w:val="none"/>
          <w:u w:val="none" w:color="auto"/>
        </w:rPr>
      </w:pPr>
      <w:r>
        <w:rPr>
          <w:rFonts w:hint="eastAsia" w:ascii="仿宋" w:hAnsi="仿宋" w:eastAsia="仿宋" w:cs="仿宋"/>
          <w:color w:val="auto"/>
          <w:kern w:val="0"/>
          <w:sz w:val="24"/>
          <w:szCs w:val="24"/>
          <w:highlight w:val="none"/>
          <w:u w:val="none" w:color="auto"/>
        </w:rPr>
        <w:t>（3）乙方所交付的货物品种、型号、规格不符合合同规定的，甲方有权拒收。甲方拒收的，乙方应向甲方支付货款总额</w:t>
      </w:r>
      <w:r>
        <w:rPr>
          <w:rFonts w:hint="eastAsia" w:ascii="仿宋" w:hAnsi="仿宋" w:eastAsia="仿宋" w:cs="仿宋"/>
          <w:color w:val="auto"/>
          <w:kern w:val="0"/>
          <w:sz w:val="24"/>
          <w:szCs w:val="24"/>
          <w:highlight w:val="none"/>
          <w:u w:val="none" w:color="auto"/>
          <w:lang w:val="en-US" w:eastAsia="zh-CN"/>
        </w:rPr>
        <w:t>30</w:t>
      </w:r>
      <w:r>
        <w:rPr>
          <w:rFonts w:hint="eastAsia" w:ascii="仿宋" w:hAnsi="仿宋" w:eastAsia="仿宋" w:cs="仿宋"/>
          <w:color w:val="auto"/>
          <w:kern w:val="0"/>
          <w:sz w:val="24"/>
          <w:szCs w:val="24"/>
          <w:highlight w:val="none"/>
          <w:u w:val="none" w:color="auto"/>
        </w:rPr>
        <w:t>%的违约金，并按甲方要求予以免费更换；</w:t>
      </w:r>
    </w:p>
    <w:p w14:paraId="3363974E">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（4）乙方货物经甲方送交具有法定资格条件的质量技术监督机构检测后，如检测结果认定货物质量不符合本合同规定标准的，则视为乙方没有按时交付而违约，乙方须在</w:t>
      </w:r>
      <w:r>
        <w:rPr>
          <w:rFonts w:hint="eastAsia" w:ascii="仿宋" w:hAnsi="仿宋" w:eastAsia="仿宋" w:cs="仿宋"/>
          <w:color w:val="auto"/>
          <w:highlight w:val="none"/>
          <w:u w:val="none" w:color="auto"/>
          <w:lang w:val="en-US" w:eastAsia="zh-CN"/>
        </w:rPr>
        <w:t>10</w:t>
      </w:r>
      <w:r>
        <w:rPr>
          <w:rFonts w:hint="eastAsia" w:ascii="仿宋" w:hAnsi="仿宋" w:eastAsia="仿宋" w:cs="仿宋"/>
          <w:color w:val="auto"/>
          <w:highlight w:val="none"/>
          <w:u w:val="none" w:color="auto"/>
        </w:rPr>
        <w:t>天内无条件更换合格的货物，如逾期不能更换合格的货物，甲方有权解除本合同，合同自书面解除通知到达乙方之日起解除，乙方应另向甲方支付货款总额的</w:t>
      </w:r>
      <w:r>
        <w:rPr>
          <w:rFonts w:hint="eastAsia" w:ascii="仿宋" w:hAnsi="仿宋" w:eastAsia="仿宋" w:cs="仿宋"/>
          <w:color w:val="auto"/>
          <w:highlight w:val="none"/>
          <w:u w:val="none" w:color="auto"/>
          <w:lang w:val="en-US" w:eastAsia="zh-CN"/>
        </w:rPr>
        <w:t>30</w:t>
      </w:r>
      <w:r>
        <w:rPr>
          <w:rFonts w:hint="eastAsia" w:ascii="仿宋" w:hAnsi="仿宋" w:eastAsia="仿宋" w:cs="仿宋"/>
          <w:color w:val="auto"/>
          <w:highlight w:val="none"/>
          <w:u w:val="none" w:color="auto"/>
        </w:rPr>
        <w:t>%的违约金，违约金不足以弥补甲方损失的，由乙方另行支付；</w:t>
      </w:r>
    </w:p>
    <w:p w14:paraId="57AE3373">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13E4FE21">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rPr>
        <w:t>（6）乙方未按本合同的规定和</w:t>
      </w:r>
      <w:r>
        <w:rPr>
          <w:rFonts w:hint="eastAsia" w:ascii="仿宋" w:hAnsi="仿宋" w:eastAsia="仿宋" w:cs="仿宋"/>
          <w:color w:val="auto"/>
          <w:kern w:val="0"/>
          <w:highlight w:val="none"/>
          <w:u w:val="none" w:color="auto"/>
          <w:lang w:val="en-US" w:eastAsia="zh-CN"/>
        </w:rPr>
        <w:t>售后服务方案</w:t>
      </w:r>
      <w:r>
        <w:rPr>
          <w:rFonts w:hint="eastAsia" w:ascii="仿宋" w:hAnsi="仿宋" w:eastAsia="仿宋" w:cs="仿宋"/>
          <w:color w:val="auto"/>
          <w:kern w:val="0"/>
          <w:highlight w:val="none"/>
          <w:u w:val="none" w:color="auto"/>
        </w:rPr>
        <w:t>提供伴随服务/售后服务的，应按合同总价款的</w:t>
      </w:r>
      <w:r>
        <w:rPr>
          <w:rFonts w:hint="eastAsia" w:ascii="仿宋" w:hAnsi="仿宋" w:eastAsia="仿宋" w:cs="仿宋"/>
          <w:color w:val="auto"/>
          <w:kern w:val="0"/>
          <w:highlight w:val="none"/>
          <w:u w:val="none" w:color="auto"/>
          <w:lang w:val="en-US" w:eastAsia="zh-CN"/>
        </w:rPr>
        <w:t>30</w:t>
      </w:r>
      <w:r>
        <w:rPr>
          <w:rFonts w:hint="eastAsia" w:ascii="仿宋" w:hAnsi="仿宋" w:eastAsia="仿宋" w:cs="仿宋"/>
          <w:color w:val="auto"/>
          <w:kern w:val="0"/>
          <w:highlight w:val="none"/>
          <w:u w:val="none" w:color="auto"/>
        </w:rPr>
        <w:t>%向甲方承担违约责任；</w:t>
      </w:r>
    </w:p>
    <w:p w14:paraId="1D466F4F">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rPr>
        <w:t>（7）乙方在承担上述1-7款一项或多项违约责任后，仍应继续履行合同规定的义务（甲方解除合同的除外）。甲方未能及时追究乙方的任何一项违约责任并不表明甲方放弃追究乙方该项或其他违约责任；</w:t>
      </w:r>
    </w:p>
    <w:p w14:paraId="4A875794">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（8）乙方偿付的违约金不足以弥补甲方损失的，还应按甲方损失尚未弥补的部分，支付赔偿金给甲方。</w:t>
      </w:r>
    </w:p>
    <w:p w14:paraId="40F74E5C">
      <w:pPr>
        <w:pStyle w:val="16"/>
        <w:spacing w:line="360" w:lineRule="auto"/>
        <w:ind w:firstLine="480" w:firstLineChars="200"/>
        <w:rPr>
          <w:rFonts w:hint="eastAsia" w:ascii="仿宋" w:hAnsi="仿宋" w:eastAsia="仿宋" w:cs="仿宋"/>
          <w:color w:val="auto"/>
          <w:highlight w:val="none"/>
          <w:u w:val="none" w:color="auto"/>
          <w:lang w:eastAsia="zh-CN"/>
        </w:rPr>
      </w:pPr>
      <w:r>
        <w:rPr>
          <w:rFonts w:hint="eastAsia" w:ascii="仿宋" w:hAnsi="仿宋" w:eastAsia="仿宋" w:cs="仿宋"/>
          <w:color w:val="auto"/>
          <w:highlight w:val="none"/>
          <w:u w:val="none" w:color="auto"/>
          <w:lang w:eastAsia="zh-CN"/>
        </w:rPr>
        <w:t>（</w:t>
      </w:r>
      <w:r>
        <w:rPr>
          <w:rFonts w:hint="eastAsia" w:ascii="仿宋" w:hAnsi="仿宋" w:eastAsia="仿宋" w:cs="仿宋"/>
          <w:color w:val="auto"/>
          <w:highlight w:val="none"/>
          <w:u w:val="none" w:color="auto"/>
          <w:lang w:val="en-US" w:eastAsia="zh-CN"/>
        </w:rPr>
        <w:t>9</w:t>
      </w:r>
      <w:r>
        <w:rPr>
          <w:rFonts w:hint="eastAsia" w:ascii="仿宋" w:hAnsi="仿宋" w:eastAsia="仿宋" w:cs="仿宋"/>
          <w:color w:val="auto"/>
          <w:highlight w:val="none"/>
          <w:u w:val="none" w:color="auto"/>
          <w:lang w:eastAsia="zh-CN"/>
        </w:rPr>
        <w:t>）乙方保证其提供的产品符合中小企业政府采购政策要求。如乙方在本合同或投标文件中提供的《中小企业声明函》等证明材料存在虚假，导致甲方采购程序合规性受损或面临行政处罚的，乙方应向甲方支付合同总价20%的违约金，并赔偿甲方由此遭受的全部损失。同时，甲方有权立即解除合同。</w:t>
      </w:r>
    </w:p>
    <w:p w14:paraId="0C090679">
      <w:pPr>
        <w:widowControl/>
        <w:spacing w:line="360" w:lineRule="auto"/>
        <w:jc w:val="left"/>
        <w:outlineLvl w:val="1"/>
        <w:rPr>
          <w:rFonts w:hint="eastAsia" w:ascii="仿宋" w:hAnsi="仿宋" w:eastAsia="仿宋" w:cs="仿宋"/>
          <w:color w:val="auto"/>
          <w:kern w:val="0"/>
          <w:sz w:val="24"/>
          <w:szCs w:val="24"/>
          <w:highlight w:val="none"/>
          <w:u w:val="none" w:color="auto"/>
        </w:rPr>
      </w:pPr>
      <w:bookmarkStart w:id="33" w:name="_Toc13805"/>
      <w:bookmarkStart w:id="34" w:name="_Toc27557"/>
      <w:bookmarkStart w:id="35" w:name="_Toc17126"/>
      <w:bookmarkStart w:id="36" w:name="_Toc9493"/>
      <w:r>
        <w:rPr>
          <w:rFonts w:hint="eastAsia" w:ascii="仿宋" w:hAnsi="仿宋" w:eastAsia="仿宋" w:cs="仿宋"/>
          <w:b/>
          <w:color w:val="auto"/>
          <w:sz w:val="24"/>
          <w:szCs w:val="24"/>
          <w:highlight w:val="none"/>
          <w:u w:val="none" w:color="auto"/>
        </w:rPr>
        <w:t>第</w:t>
      </w:r>
      <w:r>
        <w:rPr>
          <w:rFonts w:hint="eastAsia" w:ascii="仿宋" w:hAnsi="仿宋" w:eastAsia="仿宋" w:cs="仿宋"/>
          <w:b/>
          <w:color w:val="auto"/>
          <w:sz w:val="24"/>
          <w:szCs w:val="24"/>
          <w:highlight w:val="none"/>
          <w:u w:val="none" w:color="auto"/>
          <w:lang w:val="en-US" w:eastAsia="zh-CN"/>
        </w:rPr>
        <w:t>十二</w:t>
      </w:r>
      <w:r>
        <w:rPr>
          <w:rFonts w:hint="eastAsia" w:ascii="仿宋" w:hAnsi="仿宋" w:eastAsia="仿宋" w:cs="仿宋"/>
          <w:b/>
          <w:color w:val="auto"/>
          <w:sz w:val="24"/>
          <w:szCs w:val="24"/>
          <w:highlight w:val="none"/>
          <w:u w:val="none" w:color="auto"/>
        </w:rPr>
        <w:t>条</w:t>
      </w:r>
      <w:r>
        <w:rPr>
          <w:rFonts w:hint="eastAsia" w:ascii="仿宋" w:hAnsi="仿宋" w:eastAsia="仿宋" w:cs="仿宋"/>
          <w:b/>
          <w:color w:val="auto"/>
          <w:kern w:val="0"/>
          <w:sz w:val="24"/>
          <w:szCs w:val="24"/>
          <w:highlight w:val="none"/>
          <w:u w:val="none" w:color="auto"/>
        </w:rPr>
        <w:t>合同的变更和终止</w:t>
      </w:r>
      <w:bookmarkEnd w:id="33"/>
      <w:bookmarkEnd w:id="34"/>
      <w:bookmarkEnd w:id="35"/>
      <w:bookmarkEnd w:id="36"/>
    </w:p>
    <w:p w14:paraId="00ACCAC9">
      <w:pPr>
        <w:widowControl/>
        <w:spacing w:line="360" w:lineRule="auto"/>
        <w:ind w:firstLine="480" w:firstLineChars="200"/>
        <w:jc w:val="left"/>
        <w:rPr>
          <w:rFonts w:hint="eastAsia" w:ascii="仿宋" w:hAnsi="仿宋" w:eastAsia="仿宋" w:cs="仿宋"/>
          <w:color w:val="auto"/>
          <w:kern w:val="0"/>
          <w:sz w:val="24"/>
          <w:szCs w:val="24"/>
          <w:highlight w:val="none"/>
          <w:u w:val="none" w:color="auto"/>
        </w:rPr>
      </w:pPr>
      <w:r>
        <w:rPr>
          <w:rFonts w:hint="eastAsia" w:ascii="仿宋" w:hAnsi="仿宋" w:eastAsia="仿宋" w:cs="仿宋"/>
          <w:color w:val="auto"/>
          <w:kern w:val="0"/>
          <w:sz w:val="24"/>
          <w:szCs w:val="24"/>
          <w:highlight w:val="none"/>
          <w:u w:val="none" w:color="auto"/>
        </w:rPr>
        <w:t>除《中华人民共和国政府采购法》</w:t>
      </w:r>
      <w:r>
        <w:rPr>
          <w:rFonts w:hint="eastAsia" w:ascii="仿宋" w:hAnsi="仿宋" w:eastAsia="仿宋" w:cs="仿宋"/>
          <w:color w:val="auto"/>
          <w:kern w:val="0"/>
          <w:sz w:val="24"/>
          <w:szCs w:val="24"/>
          <w:highlight w:val="none"/>
          <w:u w:val="none" w:color="auto"/>
          <w:lang w:eastAsia="zh-CN"/>
        </w:rPr>
        <w:t>第四十九条</w:t>
      </w:r>
      <w:r>
        <w:rPr>
          <w:rFonts w:hint="eastAsia" w:ascii="仿宋" w:hAnsi="仿宋" w:eastAsia="仿宋" w:cs="仿宋"/>
          <w:color w:val="auto"/>
          <w:kern w:val="0"/>
          <w:sz w:val="24"/>
          <w:szCs w:val="24"/>
          <w:highlight w:val="none"/>
          <w:u w:val="none" w:color="auto"/>
        </w:rPr>
        <w:t>、第</w:t>
      </w:r>
      <w:r>
        <w:rPr>
          <w:rFonts w:hint="eastAsia" w:ascii="仿宋" w:hAnsi="仿宋" w:eastAsia="仿宋" w:cs="仿宋"/>
          <w:color w:val="auto"/>
          <w:kern w:val="0"/>
          <w:sz w:val="24"/>
          <w:szCs w:val="24"/>
          <w:highlight w:val="none"/>
          <w:u w:val="none" w:color="auto"/>
          <w:lang w:val="en-US" w:eastAsia="zh-CN"/>
        </w:rPr>
        <w:t>五十</w:t>
      </w:r>
      <w:r>
        <w:rPr>
          <w:rFonts w:hint="eastAsia" w:ascii="仿宋" w:hAnsi="仿宋" w:eastAsia="仿宋" w:cs="仿宋"/>
          <w:color w:val="auto"/>
          <w:kern w:val="0"/>
          <w:sz w:val="24"/>
          <w:szCs w:val="24"/>
          <w:highlight w:val="none"/>
          <w:u w:val="none" w:color="auto"/>
        </w:rPr>
        <w:t>条第二款规定的情形外，本合同一经签订，甲乙双方不得擅自变更、中止或终止合同。</w:t>
      </w:r>
    </w:p>
    <w:p w14:paraId="27152F71">
      <w:pPr>
        <w:widowControl/>
        <w:spacing w:line="360" w:lineRule="auto"/>
        <w:jc w:val="left"/>
        <w:outlineLvl w:val="1"/>
        <w:rPr>
          <w:rFonts w:hint="eastAsia" w:ascii="仿宋" w:hAnsi="仿宋" w:eastAsia="仿宋" w:cs="仿宋"/>
          <w:b/>
          <w:color w:val="auto"/>
          <w:kern w:val="0"/>
          <w:sz w:val="24"/>
          <w:szCs w:val="24"/>
          <w:highlight w:val="none"/>
          <w:u w:val="none" w:color="auto"/>
        </w:rPr>
      </w:pPr>
      <w:bookmarkStart w:id="37" w:name="_Toc16869"/>
      <w:bookmarkStart w:id="38" w:name="_Toc29986"/>
      <w:bookmarkStart w:id="39" w:name="_Toc13338"/>
      <w:bookmarkStart w:id="40" w:name="_Toc29573"/>
      <w:r>
        <w:rPr>
          <w:rFonts w:hint="eastAsia" w:ascii="仿宋" w:hAnsi="仿宋" w:eastAsia="仿宋" w:cs="仿宋"/>
          <w:b/>
          <w:color w:val="auto"/>
          <w:kern w:val="0"/>
          <w:sz w:val="24"/>
          <w:szCs w:val="24"/>
          <w:highlight w:val="none"/>
          <w:u w:val="none" w:color="auto"/>
        </w:rPr>
        <w:t>第十</w:t>
      </w:r>
      <w:r>
        <w:rPr>
          <w:rFonts w:hint="eastAsia" w:ascii="仿宋" w:hAnsi="仿宋" w:eastAsia="仿宋" w:cs="仿宋"/>
          <w:b/>
          <w:color w:val="auto"/>
          <w:kern w:val="0"/>
          <w:sz w:val="24"/>
          <w:szCs w:val="24"/>
          <w:highlight w:val="none"/>
          <w:u w:val="none" w:color="auto"/>
          <w:lang w:val="en-US" w:eastAsia="zh-CN"/>
        </w:rPr>
        <w:t>三</w:t>
      </w:r>
      <w:r>
        <w:rPr>
          <w:rFonts w:hint="eastAsia" w:ascii="仿宋" w:hAnsi="仿宋" w:eastAsia="仿宋" w:cs="仿宋"/>
          <w:b/>
          <w:color w:val="auto"/>
          <w:kern w:val="0"/>
          <w:sz w:val="24"/>
          <w:szCs w:val="24"/>
          <w:highlight w:val="none"/>
          <w:u w:val="none" w:color="auto"/>
        </w:rPr>
        <w:t>条争议的解决</w:t>
      </w:r>
      <w:bookmarkEnd w:id="37"/>
      <w:bookmarkEnd w:id="38"/>
      <w:bookmarkEnd w:id="39"/>
      <w:bookmarkEnd w:id="40"/>
    </w:p>
    <w:p w14:paraId="31D0B4E2">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1.因</w:t>
      </w:r>
      <w:r>
        <w:rPr>
          <w:rFonts w:hint="eastAsia" w:ascii="仿宋" w:hAnsi="仿宋" w:eastAsia="仿宋" w:cs="仿宋"/>
          <w:color w:val="auto"/>
          <w:highlight w:val="none"/>
          <w:u w:val="none" w:color="auto"/>
          <w:lang w:val="en-US" w:eastAsia="zh-CN"/>
        </w:rPr>
        <w:t>药品</w:t>
      </w:r>
      <w:r>
        <w:rPr>
          <w:rFonts w:hint="eastAsia" w:ascii="仿宋" w:hAnsi="仿宋" w:eastAsia="仿宋" w:cs="仿宋"/>
          <w:color w:val="auto"/>
          <w:highlight w:val="none"/>
          <w:u w:val="none" w:color="auto"/>
        </w:rPr>
        <w:t>的质量问题发生争议</w:t>
      </w:r>
      <w:r>
        <w:rPr>
          <w:rFonts w:hint="eastAsia" w:ascii="仿宋" w:hAnsi="仿宋" w:eastAsia="仿宋" w:cs="仿宋"/>
          <w:color w:val="auto"/>
          <w:highlight w:val="none"/>
          <w:u w:val="none" w:color="auto"/>
          <w:lang w:eastAsia="zh-CN"/>
        </w:rPr>
        <w:t>，</w:t>
      </w:r>
      <w:r>
        <w:rPr>
          <w:rFonts w:hint="eastAsia" w:ascii="仿宋" w:hAnsi="仿宋" w:eastAsia="仿宋" w:cs="仿宋"/>
          <w:color w:val="auto"/>
          <w:highlight w:val="none"/>
          <w:u w:val="none" w:color="auto"/>
        </w:rPr>
        <w:t>药品交付地省级或市级药品检验机构；仍有争议的，向中国食品药品检定研究院申请仲裁检验。货物符合标准的，鉴定费由甲方承担；货物不符合质量标准的，鉴定费由乙方承担。</w:t>
      </w:r>
    </w:p>
    <w:p w14:paraId="0336A8C7">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rPr>
        <w:t>2.因履行本合同引起的或与本合同有关的争议，甲、乙双方应首先通过友好协商解决。如果协商不成，任何一方均有权向甲方所在地有管辖权的人民法院提起诉讼。</w:t>
      </w:r>
    </w:p>
    <w:p w14:paraId="13571A17">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rPr>
        <w:t>3.在诉讼期间，本合同应继续履行。</w:t>
      </w:r>
    </w:p>
    <w:p w14:paraId="4C914A2B">
      <w:pPr>
        <w:snapToGrid w:val="0"/>
        <w:spacing w:line="360" w:lineRule="auto"/>
        <w:textAlignment w:val="baseline"/>
        <w:outlineLvl w:val="1"/>
        <w:rPr>
          <w:rFonts w:hint="eastAsia" w:ascii="仿宋" w:hAnsi="仿宋" w:eastAsia="仿宋" w:cs="仿宋"/>
          <w:b/>
          <w:color w:val="auto"/>
          <w:sz w:val="24"/>
          <w:szCs w:val="24"/>
          <w:highlight w:val="none"/>
          <w:u w:val="none" w:color="auto"/>
        </w:rPr>
      </w:pPr>
      <w:bookmarkStart w:id="41" w:name="_Toc26051"/>
      <w:bookmarkStart w:id="42" w:name="_Toc15201"/>
      <w:bookmarkStart w:id="43" w:name="_Toc6911"/>
      <w:bookmarkStart w:id="44" w:name="_Toc24039"/>
      <w:r>
        <w:rPr>
          <w:rFonts w:hint="eastAsia" w:ascii="仿宋" w:hAnsi="仿宋" w:eastAsia="仿宋" w:cs="仿宋"/>
          <w:b/>
          <w:color w:val="auto"/>
          <w:sz w:val="24"/>
          <w:szCs w:val="24"/>
          <w:highlight w:val="none"/>
          <w:u w:val="none" w:color="auto"/>
        </w:rPr>
        <w:t>第十</w:t>
      </w:r>
      <w:r>
        <w:rPr>
          <w:rFonts w:hint="eastAsia" w:ascii="仿宋" w:hAnsi="仿宋" w:eastAsia="仿宋" w:cs="仿宋"/>
          <w:b/>
          <w:color w:val="auto"/>
          <w:sz w:val="24"/>
          <w:szCs w:val="24"/>
          <w:highlight w:val="none"/>
          <w:u w:val="none" w:color="auto"/>
          <w:lang w:val="en-US" w:eastAsia="zh-CN"/>
        </w:rPr>
        <w:t>四条</w:t>
      </w:r>
      <w:r>
        <w:rPr>
          <w:rFonts w:hint="eastAsia" w:ascii="仿宋" w:hAnsi="仿宋" w:eastAsia="仿宋" w:cs="仿宋"/>
          <w:b/>
          <w:color w:val="auto"/>
          <w:sz w:val="24"/>
          <w:szCs w:val="24"/>
          <w:highlight w:val="none"/>
          <w:u w:val="none" w:color="auto"/>
        </w:rPr>
        <w:t>合同文件</w:t>
      </w:r>
      <w:bookmarkEnd w:id="41"/>
      <w:bookmarkEnd w:id="42"/>
      <w:bookmarkEnd w:id="43"/>
      <w:bookmarkEnd w:id="44"/>
    </w:p>
    <w:p w14:paraId="6241AC21">
      <w:pPr>
        <w:snapToGrid w:val="0"/>
        <w:spacing w:line="360" w:lineRule="auto"/>
        <w:ind w:firstLine="480" w:firstLineChars="200"/>
        <w:textAlignment w:val="baseline"/>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详细技术说明及其他有关合同项目的特定信息由合同附件予以说明，下列文件构成本合同的组成部分，应该认为是一个整体，彼此相互解释，相互补充。组成合同的多个文件的优先支配地位的次序如下：</w:t>
      </w:r>
    </w:p>
    <w:p w14:paraId="4B2B7182">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1.本合同书</w:t>
      </w:r>
    </w:p>
    <w:p w14:paraId="0EA6D49C">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2.中标通知书</w:t>
      </w:r>
      <w:r>
        <w:rPr>
          <w:rFonts w:hint="eastAsia" w:ascii="仿宋" w:hAnsi="仿宋" w:eastAsia="仿宋" w:cs="仿宋"/>
          <w:color w:val="auto"/>
          <w:sz w:val="24"/>
          <w:szCs w:val="24"/>
          <w:highlight w:val="none"/>
          <w:u w:val="none" w:color="auto"/>
        </w:rPr>
        <w:tab/>
      </w:r>
    </w:p>
    <w:p w14:paraId="5ED9F12F">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3.</w:t>
      </w:r>
      <w:r>
        <w:rPr>
          <w:rFonts w:hint="eastAsia" w:ascii="仿宋" w:hAnsi="仿宋" w:eastAsia="仿宋" w:cs="仿宋"/>
          <w:color w:val="auto"/>
          <w:sz w:val="24"/>
          <w:szCs w:val="24"/>
          <w:highlight w:val="none"/>
          <w:u w:val="none" w:color="auto"/>
          <w:lang w:val="en-US" w:eastAsia="zh-CN"/>
        </w:rPr>
        <w:t>技术</w:t>
      </w:r>
      <w:r>
        <w:rPr>
          <w:rFonts w:hint="eastAsia" w:ascii="仿宋" w:hAnsi="仿宋" w:eastAsia="仿宋" w:cs="仿宋"/>
          <w:color w:val="auto"/>
          <w:sz w:val="24"/>
          <w:szCs w:val="24"/>
          <w:highlight w:val="none"/>
          <w:u w:val="none" w:color="auto"/>
        </w:rPr>
        <w:t>协议</w:t>
      </w:r>
    </w:p>
    <w:p w14:paraId="500AB5AF">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4.招标文件</w:t>
      </w:r>
      <w:r>
        <w:rPr>
          <w:rFonts w:hint="eastAsia" w:ascii="仿宋" w:hAnsi="仿宋" w:eastAsia="仿宋" w:cs="仿宋"/>
          <w:color w:val="auto"/>
          <w:sz w:val="24"/>
          <w:szCs w:val="24"/>
          <w:highlight w:val="none"/>
          <w:u w:val="none" w:color="auto"/>
          <w:lang w:eastAsia="zh-CN"/>
        </w:rPr>
        <w:t>（</w:t>
      </w:r>
      <w:r>
        <w:rPr>
          <w:rFonts w:hint="eastAsia" w:ascii="仿宋" w:hAnsi="仿宋" w:eastAsia="仿宋" w:cs="仿宋"/>
          <w:color w:val="auto"/>
          <w:sz w:val="24"/>
          <w:szCs w:val="24"/>
          <w:highlight w:val="none"/>
          <w:u w:val="none" w:color="auto"/>
        </w:rPr>
        <w:t>含澄清或者修改文件</w:t>
      </w:r>
      <w:r>
        <w:rPr>
          <w:rFonts w:hint="eastAsia" w:ascii="仿宋" w:hAnsi="仿宋" w:eastAsia="仿宋" w:cs="仿宋"/>
          <w:color w:val="auto"/>
          <w:sz w:val="24"/>
          <w:szCs w:val="24"/>
          <w:highlight w:val="none"/>
          <w:u w:val="none" w:color="auto"/>
          <w:lang w:eastAsia="zh-CN"/>
        </w:rPr>
        <w:t>）</w:t>
      </w:r>
    </w:p>
    <w:p w14:paraId="693CCABF">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5.投标文件</w:t>
      </w:r>
    </w:p>
    <w:p w14:paraId="00696799">
      <w:pPr>
        <w:snapToGrid w:val="0"/>
        <w:spacing w:line="360" w:lineRule="auto"/>
        <w:outlineLvl w:val="1"/>
        <w:rPr>
          <w:rFonts w:hint="eastAsia" w:ascii="仿宋" w:hAnsi="仿宋" w:eastAsia="仿宋" w:cs="仿宋"/>
          <w:b/>
          <w:color w:val="auto"/>
          <w:kern w:val="0"/>
          <w:sz w:val="24"/>
          <w:szCs w:val="24"/>
          <w:highlight w:val="none"/>
          <w:u w:val="none" w:color="auto"/>
        </w:rPr>
      </w:pPr>
      <w:bookmarkStart w:id="45" w:name="_Toc32342"/>
      <w:bookmarkStart w:id="46" w:name="_Toc1382"/>
      <w:bookmarkStart w:id="47" w:name="_Toc30648"/>
      <w:bookmarkStart w:id="48" w:name="_Toc13842"/>
      <w:r>
        <w:rPr>
          <w:rFonts w:hint="eastAsia" w:ascii="仿宋" w:hAnsi="仿宋" w:eastAsia="仿宋" w:cs="仿宋"/>
          <w:b/>
          <w:color w:val="auto"/>
          <w:sz w:val="24"/>
          <w:szCs w:val="24"/>
          <w:highlight w:val="none"/>
          <w:u w:val="none" w:color="auto"/>
        </w:rPr>
        <w:t>第十</w:t>
      </w:r>
      <w:r>
        <w:rPr>
          <w:rFonts w:hint="eastAsia" w:ascii="仿宋" w:hAnsi="仿宋" w:eastAsia="仿宋" w:cs="仿宋"/>
          <w:b/>
          <w:color w:val="auto"/>
          <w:sz w:val="24"/>
          <w:szCs w:val="24"/>
          <w:highlight w:val="none"/>
          <w:u w:val="none" w:color="auto"/>
          <w:lang w:val="en-US" w:eastAsia="zh-CN"/>
        </w:rPr>
        <w:t>五</w:t>
      </w:r>
      <w:r>
        <w:rPr>
          <w:rFonts w:hint="eastAsia" w:ascii="仿宋" w:hAnsi="仿宋" w:eastAsia="仿宋" w:cs="仿宋"/>
          <w:b/>
          <w:color w:val="auto"/>
          <w:sz w:val="24"/>
          <w:szCs w:val="24"/>
          <w:highlight w:val="none"/>
          <w:u w:val="none" w:color="auto"/>
        </w:rPr>
        <w:t>条</w:t>
      </w:r>
      <w:r>
        <w:rPr>
          <w:rFonts w:hint="eastAsia" w:ascii="仿宋" w:hAnsi="仿宋" w:eastAsia="仿宋" w:cs="仿宋"/>
          <w:b/>
          <w:color w:val="auto"/>
          <w:kern w:val="0"/>
          <w:sz w:val="24"/>
          <w:szCs w:val="24"/>
          <w:highlight w:val="none"/>
          <w:u w:val="none" w:color="auto"/>
        </w:rPr>
        <w:t>合同生效及其他</w:t>
      </w:r>
      <w:bookmarkEnd w:id="45"/>
      <w:bookmarkEnd w:id="46"/>
      <w:bookmarkEnd w:id="47"/>
      <w:bookmarkEnd w:id="48"/>
    </w:p>
    <w:p w14:paraId="62BCF996">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kern w:val="0"/>
          <w:sz w:val="24"/>
          <w:szCs w:val="24"/>
          <w:highlight w:val="none"/>
          <w:u w:val="none" w:color="auto"/>
        </w:rPr>
        <w:t>1.</w:t>
      </w:r>
      <w:r>
        <w:rPr>
          <w:rFonts w:hint="eastAsia" w:ascii="仿宋" w:hAnsi="仿宋" w:eastAsia="仿宋" w:cs="仿宋"/>
          <w:color w:val="auto"/>
          <w:sz w:val="24"/>
          <w:szCs w:val="24"/>
          <w:highlight w:val="none"/>
          <w:u w:val="none" w:color="auto"/>
        </w:rPr>
        <w:t>如有未尽事宜，由双方依法订立补充合同，补充合同与本合同效力一致。</w:t>
      </w:r>
    </w:p>
    <w:p w14:paraId="47311D8B">
      <w:pPr>
        <w:snapToGrid w:val="0"/>
        <w:spacing w:line="360" w:lineRule="auto"/>
        <w:ind w:firstLine="480" w:firstLineChars="200"/>
        <w:rPr>
          <w:rFonts w:hint="eastAsia" w:ascii="仿宋" w:hAnsi="仿宋" w:eastAsia="仿宋" w:cs="仿宋"/>
          <w:color w:val="auto"/>
          <w:kern w:val="0"/>
          <w:sz w:val="24"/>
          <w:szCs w:val="24"/>
          <w:highlight w:val="none"/>
          <w:u w:val="none" w:color="auto"/>
        </w:rPr>
      </w:pPr>
      <w:r>
        <w:rPr>
          <w:rFonts w:hint="eastAsia" w:ascii="仿宋" w:hAnsi="仿宋" w:eastAsia="仿宋" w:cs="仿宋"/>
          <w:color w:val="auto"/>
          <w:kern w:val="0"/>
          <w:sz w:val="24"/>
          <w:szCs w:val="24"/>
          <w:highlight w:val="none"/>
          <w:u w:val="none" w:color="auto"/>
        </w:rPr>
        <w:t>2.本合同自双方签字、盖章之日起生效。</w:t>
      </w:r>
    </w:p>
    <w:p w14:paraId="5728961A">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kern w:val="0"/>
          <w:sz w:val="24"/>
          <w:szCs w:val="24"/>
          <w:highlight w:val="none"/>
          <w:u w:val="none" w:color="auto"/>
        </w:rPr>
        <w:t>3.本合同一式</w:t>
      </w:r>
      <w:r>
        <w:rPr>
          <w:rFonts w:hint="eastAsia" w:ascii="仿宋" w:hAnsi="仿宋" w:eastAsia="仿宋" w:cs="仿宋"/>
          <w:color w:val="auto"/>
          <w:kern w:val="0"/>
          <w:sz w:val="24"/>
          <w:szCs w:val="24"/>
          <w:highlight w:val="none"/>
          <w:u w:val="none" w:color="auto"/>
          <w:lang w:val="en-US" w:eastAsia="zh-CN"/>
        </w:rPr>
        <w:t>六</w:t>
      </w:r>
      <w:r>
        <w:rPr>
          <w:rFonts w:hint="eastAsia" w:ascii="仿宋" w:hAnsi="仿宋" w:eastAsia="仿宋" w:cs="仿宋"/>
          <w:color w:val="auto"/>
          <w:kern w:val="0"/>
          <w:sz w:val="24"/>
          <w:szCs w:val="24"/>
          <w:highlight w:val="none"/>
          <w:u w:val="none" w:color="auto"/>
        </w:rPr>
        <w:t>份，具有同等法律效力，甲乙双方各执</w:t>
      </w:r>
      <w:r>
        <w:rPr>
          <w:rFonts w:hint="eastAsia" w:ascii="仿宋" w:hAnsi="仿宋" w:eastAsia="仿宋" w:cs="仿宋"/>
          <w:color w:val="auto"/>
          <w:kern w:val="0"/>
          <w:sz w:val="24"/>
          <w:szCs w:val="24"/>
          <w:highlight w:val="none"/>
          <w:u w:val="none" w:color="auto"/>
          <w:lang w:val="en-US" w:eastAsia="zh-CN"/>
        </w:rPr>
        <w:t>三</w:t>
      </w:r>
      <w:r>
        <w:rPr>
          <w:rFonts w:hint="eastAsia" w:ascii="仿宋" w:hAnsi="仿宋" w:eastAsia="仿宋" w:cs="仿宋"/>
          <w:color w:val="auto"/>
          <w:kern w:val="0"/>
          <w:sz w:val="24"/>
          <w:szCs w:val="24"/>
          <w:highlight w:val="none"/>
          <w:u w:val="none" w:color="auto"/>
        </w:rPr>
        <w:t>份。</w:t>
      </w:r>
    </w:p>
    <w:p w14:paraId="2A97765B">
      <w:pPr>
        <w:spacing w:line="360" w:lineRule="auto"/>
        <w:ind w:firstLine="480" w:firstLineChars="200"/>
        <w:rPr>
          <w:rFonts w:hint="eastAsia" w:ascii="仿宋" w:hAnsi="仿宋" w:eastAsia="仿宋" w:cs="仿宋"/>
          <w:color w:val="auto"/>
          <w:sz w:val="24"/>
          <w:szCs w:val="24"/>
          <w:highlight w:val="none"/>
          <w:u w:val="none" w:color="auto"/>
          <w:lang w:val="en-US" w:eastAsia="zh-CN"/>
        </w:rPr>
      </w:pPr>
      <w:r>
        <w:rPr>
          <w:rFonts w:hint="eastAsia" w:ascii="仿宋" w:hAnsi="仿宋" w:eastAsia="仿宋" w:cs="仿宋"/>
          <w:color w:val="auto"/>
          <w:sz w:val="24"/>
          <w:szCs w:val="24"/>
          <w:highlight w:val="none"/>
          <w:u w:val="none" w:color="auto"/>
          <w:lang w:val="en-US" w:eastAsia="zh-CN"/>
        </w:rPr>
        <w:t>4.合同附件：技术协议、招标文件、投标文件、中标通知书</w:t>
      </w:r>
    </w:p>
    <w:p w14:paraId="6FC13BD4">
      <w:pPr>
        <w:spacing w:line="360" w:lineRule="auto"/>
        <w:ind w:firstLine="480" w:firstLineChars="200"/>
        <w:rPr>
          <w:rFonts w:hint="eastAsia" w:ascii="仿宋" w:hAnsi="仿宋" w:eastAsia="仿宋" w:cs="仿宋"/>
          <w:color w:val="auto"/>
          <w:sz w:val="24"/>
          <w:szCs w:val="24"/>
          <w:highlight w:val="none"/>
          <w:u w:val="none" w:color="auto"/>
        </w:rPr>
      </w:pPr>
    </w:p>
    <w:p w14:paraId="1E19414E">
      <w:pPr>
        <w:spacing w:line="480" w:lineRule="auto"/>
        <w:ind w:right="-92" w:rightChars="-44"/>
        <w:rPr>
          <w:rFonts w:hint="eastAsia" w:ascii="仿宋" w:hAnsi="仿宋" w:eastAsia="仿宋" w:cs="仿宋"/>
          <w:color w:val="auto"/>
          <w:sz w:val="24"/>
          <w:szCs w:val="24"/>
          <w:highlight w:val="none"/>
          <w:u w:val="single" w:color="auto"/>
        </w:rPr>
      </w:pPr>
      <w:r>
        <w:rPr>
          <w:rFonts w:hint="eastAsia" w:ascii="仿宋" w:hAnsi="仿宋" w:eastAsia="仿宋" w:cs="仿宋"/>
          <w:color w:val="auto"/>
          <w:sz w:val="24"/>
          <w:szCs w:val="24"/>
          <w:highlight w:val="none"/>
          <w:u w:val="none" w:color="auto"/>
        </w:rPr>
        <w:t>甲方：陕西省疾病预防控制中心（盖章）  乙方：</w:t>
      </w:r>
      <w:r>
        <w:rPr>
          <w:rFonts w:hint="eastAsia" w:ascii="仿宋" w:hAnsi="仿宋" w:eastAsia="仿宋" w:cs="仿宋"/>
          <w:color w:val="auto"/>
          <w:sz w:val="24"/>
          <w:szCs w:val="24"/>
          <w:highlight w:val="none"/>
          <w:u w:val="single" w:color="auto"/>
          <w:lang w:val="en-US" w:eastAsia="zh-CN"/>
        </w:rPr>
        <w:t xml:space="preserve">                         </w:t>
      </w:r>
    </w:p>
    <w:p w14:paraId="3EE930BC">
      <w:pPr>
        <w:spacing w:line="480" w:lineRule="auto"/>
        <w:rPr>
          <w:rFonts w:hint="default" w:ascii="仿宋" w:hAnsi="仿宋" w:eastAsia="仿宋" w:cs="仿宋"/>
          <w:color w:val="auto"/>
          <w:sz w:val="24"/>
          <w:szCs w:val="24"/>
          <w:highlight w:val="none"/>
          <w:u w:val="single" w:color="auto"/>
          <w:lang w:val="en-US" w:eastAsia="zh-CN"/>
        </w:rPr>
      </w:pPr>
      <w:r>
        <w:rPr>
          <w:rFonts w:hint="eastAsia" w:ascii="仿宋" w:hAnsi="仿宋" w:eastAsia="仿宋" w:cs="仿宋"/>
          <w:color w:val="auto"/>
          <w:sz w:val="24"/>
          <w:szCs w:val="24"/>
          <w:highlight w:val="none"/>
          <w:u w:val="none" w:color="auto"/>
        </w:rPr>
        <w:t xml:space="preserve">法定代表人/委托代理人：            </w:t>
      </w:r>
      <w:r>
        <w:rPr>
          <w:rFonts w:hint="eastAsia" w:ascii="仿宋" w:hAnsi="仿宋" w:eastAsia="仿宋" w:cs="仿宋"/>
          <w:color w:val="auto"/>
          <w:sz w:val="24"/>
          <w:szCs w:val="24"/>
          <w:highlight w:val="none"/>
          <w:u w:val="none" w:color="auto"/>
          <w:lang w:val="en-US" w:eastAsia="zh-CN"/>
        </w:rPr>
        <w:t xml:space="preserve">  </w:t>
      </w:r>
      <w:r>
        <w:rPr>
          <w:rFonts w:hint="eastAsia" w:ascii="仿宋" w:hAnsi="仿宋" w:eastAsia="仿宋" w:cs="仿宋"/>
          <w:color w:val="auto"/>
          <w:sz w:val="24"/>
          <w:szCs w:val="24"/>
          <w:highlight w:val="none"/>
          <w:u w:val="none" w:color="auto"/>
        </w:rPr>
        <w:t>法定代表人/委托代理人：</w:t>
      </w:r>
      <w:r>
        <w:rPr>
          <w:rFonts w:hint="eastAsia" w:ascii="仿宋" w:hAnsi="仿宋" w:eastAsia="仿宋" w:cs="仿宋"/>
          <w:color w:val="auto"/>
          <w:sz w:val="24"/>
          <w:szCs w:val="24"/>
          <w:highlight w:val="none"/>
          <w:u w:val="single" w:color="auto"/>
          <w:lang w:val="en-US" w:eastAsia="zh-CN"/>
        </w:rPr>
        <w:t xml:space="preserve">         </w:t>
      </w:r>
    </w:p>
    <w:p w14:paraId="3D6ECC1B">
      <w:pPr>
        <w:spacing w:line="480" w:lineRule="auto"/>
        <w:ind w:left="5760" w:hanging="5760" w:hangingChars="2400"/>
        <w:jc w:val="both"/>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地址：</w:t>
      </w:r>
      <w:r>
        <w:rPr>
          <w:rFonts w:hint="eastAsia" w:ascii="仿宋" w:hAnsi="仿宋" w:eastAsia="仿宋" w:cs="仿宋"/>
          <w:color w:val="auto"/>
          <w:sz w:val="24"/>
          <w:szCs w:val="24"/>
          <w:highlight w:val="none"/>
          <w:u w:val="none" w:color="auto"/>
          <w:lang w:val="en-US" w:eastAsia="zh-CN"/>
        </w:rPr>
        <w:t>陕西省西安市碑林区建东街3号</w:t>
      </w:r>
      <w:r>
        <w:rPr>
          <w:rFonts w:hint="eastAsia" w:ascii="仿宋" w:hAnsi="仿宋" w:eastAsia="仿宋" w:cs="仿宋"/>
          <w:color w:val="auto"/>
          <w:sz w:val="24"/>
          <w:szCs w:val="24"/>
          <w:highlight w:val="none"/>
          <w:u w:val="none" w:color="auto"/>
        </w:rPr>
        <w:t xml:space="preserve">  </w:t>
      </w:r>
      <w:r>
        <w:rPr>
          <w:rFonts w:hint="eastAsia" w:ascii="仿宋" w:hAnsi="仿宋" w:eastAsia="仿宋" w:cs="仿宋"/>
          <w:color w:val="auto"/>
          <w:sz w:val="24"/>
          <w:szCs w:val="24"/>
          <w:highlight w:val="none"/>
          <w:u w:val="none" w:color="auto"/>
          <w:lang w:val="en-US" w:eastAsia="zh-CN"/>
        </w:rPr>
        <w:t xml:space="preserve"> </w:t>
      </w:r>
      <w:r>
        <w:rPr>
          <w:rFonts w:hint="eastAsia" w:ascii="仿宋" w:hAnsi="仿宋" w:eastAsia="仿宋" w:cs="仿宋"/>
          <w:color w:val="auto"/>
          <w:sz w:val="24"/>
          <w:szCs w:val="24"/>
          <w:highlight w:val="none"/>
          <w:u w:val="none" w:color="auto"/>
        </w:rPr>
        <w:t>地址：</w:t>
      </w:r>
      <w:r>
        <w:rPr>
          <w:rFonts w:hint="eastAsia" w:ascii="仿宋" w:hAnsi="仿宋" w:eastAsia="仿宋" w:cs="仿宋"/>
          <w:color w:val="auto"/>
          <w:sz w:val="24"/>
          <w:szCs w:val="24"/>
          <w:highlight w:val="none"/>
          <w:u w:val="none" w:color="auto"/>
          <w:lang w:val="en-US" w:eastAsia="zh-CN"/>
        </w:rPr>
        <w:t xml:space="preserve"> </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val="en-US" w:eastAsia="zh-CN"/>
        </w:rPr>
        <w:t xml:space="preserve">   </w:t>
      </w:r>
    </w:p>
    <w:p w14:paraId="3EBCAB14">
      <w:pPr>
        <w:spacing w:line="480" w:lineRule="auto"/>
        <w:ind w:left="5760" w:hanging="5760" w:hangingChars="2400"/>
        <w:rPr>
          <w:rFonts w:hint="eastAsia" w:ascii="仿宋" w:hAnsi="仿宋" w:eastAsia="仿宋" w:cs="仿宋"/>
          <w:color w:val="auto"/>
          <w:sz w:val="24"/>
          <w:szCs w:val="24"/>
          <w:highlight w:val="none"/>
          <w:u w:val="none" w:color="auto"/>
          <w:lang w:val="en-US" w:eastAsia="zh-CN"/>
        </w:rPr>
      </w:pPr>
      <w:r>
        <w:rPr>
          <w:rFonts w:hint="eastAsia" w:ascii="仿宋" w:hAnsi="仿宋" w:eastAsia="仿宋" w:cs="仿宋"/>
          <w:color w:val="auto"/>
          <w:sz w:val="24"/>
          <w:szCs w:val="24"/>
          <w:highlight w:val="none"/>
          <w:u w:val="none" w:color="auto"/>
        </w:rPr>
        <w:t xml:space="preserve">开户银行：                        </w:t>
      </w:r>
      <w:r>
        <w:rPr>
          <w:rFonts w:hint="eastAsia" w:ascii="仿宋" w:hAnsi="仿宋" w:eastAsia="仿宋" w:cs="仿宋"/>
          <w:color w:val="auto"/>
          <w:sz w:val="24"/>
          <w:szCs w:val="24"/>
          <w:highlight w:val="none"/>
          <w:u w:val="none" w:color="auto"/>
          <w:lang w:val="en-US" w:eastAsia="zh-CN"/>
        </w:rPr>
        <w:t xml:space="preserve">   </w:t>
      </w:r>
      <w:r>
        <w:rPr>
          <w:rFonts w:hint="eastAsia" w:ascii="仿宋" w:hAnsi="仿宋" w:eastAsia="仿宋" w:cs="仿宋"/>
          <w:color w:val="auto"/>
          <w:sz w:val="24"/>
          <w:szCs w:val="24"/>
          <w:highlight w:val="none"/>
          <w:u w:val="none" w:color="auto"/>
        </w:rPr>
        <w:t>开户银行：</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val="en-US" w:eastAsia="zh-CN"/>
        </w:rPr>
        <w:t xml:space="preserve"> </w:t>
      </w:r>
    </w:p>
    <w:p w14:paraId="1B81BD0E">
      <w:pPr>
        <w:spacing w:line="480" w:lineRule="auto"/>
        <w:rPr>
          <w:rFonts w:hint="eastAsia" w:ascii="仿宋" w:hAnsi="仿宋" w:eastAsia="仿宋" w:cs="仿宋"/>
          <w:color w:val="auto"/>
          <w:sz w:val="24"/>
          <w:szCs w:val="24"/>
          <w:highlight w:val="none"/>
          <w:u w:val="none" w:color="auto"/>
          <w:lang w:val="en-US" w:eastAsia="zh-CN"/>
        </w:rPr>
      </w:pPr>
      <w:r>
        <w:rPr>
          <w:rFonts w:hint="eastAsia" w:ascii="仿宋" w:hAnsi="仿宋" w:eastAsia="仿宋" w:cs="仿宋"/>
          <w:color w:val="auto"/>
          <w:sz w:val="24"/>
          <w:szCs w:val="24"/>
          <w:highlight w:val="none"/>
          <w:u w:val="none" w:color="auto"/>
        </w:rPr>
        <w:t xml:space="preserve">账    号：                         </w:t>
      </w:r>
      <w:r>
        <w:rPr>
          <w:rFonts w:hint="eastAsia" w:ascii="仿宋" w:hAnsi="仿宋" w:eastAsia="仿宋" w:cs="仿宋"/>
          <w:color w:val="auto"/>
          <w:sz w:val="24"/>
          <w:szCs w:val="24"/>
          <w:highlight w:val="none"/>
          <w:u w:val="none" w:color="auto"/>
          <w:lang w:val="en-US" w:eastAsia="zh-CN"/>
        </w:rPr>
        <w:t xml:space="preserve">  </w:t>
      </w:r>
      <w:r>
        <w:rPr>
          <w:rFonts w:hint="eastAsia" w:ascii="仿宋" w:hAnsi="仿宋" w:eastAsia="仿宋" w:cs="仿宋"/>
          <w:color w:val="auto"/>
          <w:sz w:val="24"/>
          <w:szCs w:val="24"/>
          <w:highlight w:val="none"/>
          <w:u w:val="none" w:color="auto"/>
        </w:rPr>
        <w:t>账    号：</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val="en-US" w:eastAsia="zh-CN"/>
        </w:rPr>
        <w:t xml:space="preserve"> </w:t>
      </w:r>
    </w:p>
    <w:p w14:paraId="55D88648">
      <w:pPr>
        <w:spacing w:line="480" w:lineRule="auto"/>
        <w:ind w:left="240" w:hanging="240" w:hangingChars="100"/>
        <w:rPr>
          <w:rFonts w:hint="eastAsia" w:ascii="仿宋" w:hAnsi="仿宋" w:eastAsia="仿宋" w:cs="仿宋"/>
          <w:color w:val="auto"/>
          <w:sz w:val="24"/>
          <w:szCs w:val="24"/>
          <w:highlight w:val="none"/>
          <w:u w:val="single" w:color="auto"/>
        </w:rPr>
      </w:pPr>
      <w:r>
        <w:rPr>
          <w:rFonts w:hint="eastAsia" w:ascii="仿宋" w:hAnsi="仿宋" w:eastAsia="仿宋" w:cs="仿宋"/>
          <w:color w:val="auto"/>
          <w:sz w:val="24"/>
          <w:szCs w:val="24"/>
          <w:highlight w:val="none"/>
          <w:u w:val="none" w:color="auto"/>
        </w:rPr>
        <w:t xml:space="preserve">电    话：                        </w:t>
      </w:r>
      <w:r>
        <w:rPr>
          <w:rFonts w:hint="eastAsia" w:ascii="仿宋" w:hAnsi="仿宋" w:eastAsia="仿宋" w:cs="仿宋"/>
          <w:color w:val="auto"/>
          <w:sz w:val="24"/>
          <w:szCs w:val="24"/>
          <w:highlight w:val="none"/>
          <w:u w:val="none" w:color="auto"/>
          <w:lang w:val="en-US" w:eastAsia="zh-CN"/>
        </w:rPr>
        <w:t xml:space="preserve">  </w:t>
      </w:r>
      <w:r>
        <w:rPr>
          <w:rFonts w:hint="eastAsia" w:ascii="仿宋" w:hAnsi="仿宋" w:eastAsia="仿宋" w:cs="仿宋"/>
          <w:color w:val="auto"/>
          <w:sz w:val="24"/>
          <w:szCs w:val="24"/>
          <w:highlight w:val="none"/>
          <w:u w:val="none" w:color="auto"/>
        </w:rPr>
        <w:t xml:space="preserve"> 电    话：</w:t>
      </w:r>
      <w:r>
        <w:rPr>
          <w:rFonts w:hint="eastAsia" w:ascii="仿宋" w:hAnsi="仿宋" w:eastAsia="仿宋" w:cs="仿宋"/>
          <w:color w:val="auto"/>
          <w:sz w:val="24"/>
          <w:szCs w:val="24"/>
          <w:highlight w:val="none"/>
          <w:u w:val="single" w:color="auto"/>
          <w:lang w:val="en-US" w:eastAsia="zh-CN"/>
        </w:rPr>
        <w:t xml:space="preserve">             </w:t>
      </w:r>
    </w:p>
    <w:p w14:paraId="0D89E77D">
      <w:pPr>
        <w:spacing w:line="480" w:lineRule="auto"/>
        <w:rPr>
          <w:rFonts w:hint="default" w:ascii="仿宋" w:hAnsi="仿宋" w:eastAsia="仿宋" w:cs="仿宋"/>
          <w:color w:val="auto"/>
          <w:sz w:val="24"/>
          <w:szCs w:val="24"/>
          <w:highlight w:val="none"/>
          <w:u w:val="none" w:color="auto"/>
          <w:lang w:val="en-US" w:eastAsia="zh-CN"/>
        </w:rPr>
      </w:pPr>
      <w:r>
        <w:rPr>
          <w:rFonts w:hint="eastAsia" w:ascii="仿宋" w:hAnsi="仿宋" w:eastAsia="仿宋" w:cs="仿宋"/>
          <w:color w:val="auto"/>
          <w:sz w:val="24"/>
          <w:szCs w:val="24"/>
          <w:highlight w:val="none"/>
          <w:u w:val="none" w:color="auto"/>
          <w:lang w:val="en-US" w:eastAsia="zh-CN"/>
        </w:rPr>
        <w:t>时    间：       年   月   日        时    间：       年   月   日</w:t>
      </w:r>
    </w:p>
    <w:p w14:paraId="1C25E5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0010101010101"/>
    <w:charset w:val="86"/>
    <w:family w:val="auto"/>
    <w:pitch w:val="default"/>
    <w:sig w:usb0="00000001" w:usb1="080E0000" w:usb2="00000000" w:usb3="00000000" w:csb0="00040000" w:csb1="00000000"/>
    <w:embedRegular r:id="rId1" w:fontKey="{DFC4094E-B6C8-4D0F-B4D9-A858F985C95A}"/>
  </w:font>
  <w:font w:name="仿宋">
    <w:panose1 w:val="02010609060101010101"/>
    <w:charset w:val="86"/>
    <w:family w:val="modern"/>
    <w:pitch w:val="default"/>
    <w:sig w:usb0="800002BF" w:usb1="38CF7CFA" w:usb2="00000016" w:usb3="00000000" w:csb0="00040001" w:csb1="00000000"/>
    <w:embedRegular r:id="rId2" w:fontKey="{DE43AC2C-D747-4B39-8A88-C3573E064BD3}"/>
  </w:font>
  <w:font w:name="楷体">
    <w:panose1 w:val="02010609060101010101"/>
    <w:charset w:val="86"/>
    <w:family w:val="auto"/>
    <w:pitch w:val="default"/>
    <w:sig w:usb0="800002BF" w:usb1="38CF7CFA" w:usb2="00000016" w:usb3="00000000" w:csb0="00040001" w:csb1="00000000"/>
    <w:embedRegular r:id="rId3" w:fontKey="{560985FE-F183-4B9B-A72B-0DD7C4757781}"/>
  </w:font>
  <w:font w:name="WPSEMBED11">
    <w:panose1 w:val="0201060001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FC741"/>
    <w:multiLevelType w:val="singleLevel"/>
    <w:tmpl w:val="028FC741"/>
    <w:lvl w:ilvl="0" w:tentative="0">
      <w:start w:val="4"/>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s>
  <w:rsids>
    <w:rsidRoot w:val="38E42B80"/>
    <w:rsid w:val="020E02AA"/>
    <w:rsid w:val="03DF3BE5"/>
    <w:rsid w:val="07E51AAD"/>
    <w:rsid w:val="0B1A04DC"/>
    <w:rsid w:val="0B4D3BF1"/>
    <w:rsid w:val="0C0544CC"/>
    <w:rsid w:val="0FE47B20"/>
    <w:rsid w:val="106317C1"/>
    <w:rsid w:val="10904C83"/>
    <w:rsid w:val="123F625E"/>
    <w:rsid w:val="17E72CD8"/>
    <w:rsid w:val="180B4E43"/>
    <w:rsid w:val="19112EC7"/>
    <w:rsid w:val="19597C05"/>
    <w:rsid w:val="1CEE68B6"/>
    <w:rsid w:val="1D3C6D55"/>
    <w:rsid w:val="1EFD1033"/>
    <w:rsid w:val="263C4B36"/>
    <w:rsid w:val="264913D7"/>
    <w:rsid w:val="26751050"/>
    <w:rsid w:val="2A7C59B7"/>
    <w:rsid w:val="2CE80044"/>
    <w:rsid w:val="2D1D56BE"/>
    <w:rsid w:val="2F95544C"/>
    <w:rsid w:val="321150C9"/>
    <w:rsid w:val="328422AA"/>
    <w:rsid w:val="33613CE8"/>
    <w:rsid w:val="33E4755F"/>
    <w:rsid w:val="354F3848"/>
    <w:rsid w:val="38E42B80"/>
    <w:rsid w:val="397078B6"/>
    <w:rsid w:val="3D0A09CF"/>
    <w:rsid w:val="3EB2121E"/>
    <w:rsid w:val="4352109E"/>
    <w:rsid w:val="442247AC"/>
    <w:rsid w:val="466F5577"/>
    <w:rsid w:val="4D1F6494"/>
    <w:rsid w:val="4EDE7C89"/>
    <w:rsid w:val="4FB97F09"/>
    <w:rsid w:val="56881917"/>
    <w:rsid w:val="56B31FEC"/>
    <w:rsid w:val="56CB31E9"/>
    <w:rsid w:val="59F42A57"/>
    <w:rsid w:val="5B416702"/>
    <w:rsid w:val="5CE31541"/>
    <w:rsid w:val="61984CBF"/>
    <w:rsid w:val="643B2AF7"/>
    <w:rsid w:val="672D34DB"/>
    <w:rsid w:val="69992CD3"/>
    <w:rsid w:val="6BEE7E41"/>
    <w:rsid w:val="6BF95CAB"/>
    <w:rsid w:val="6D8433DC"/>
    <w:rsid w:val="6F573414"/>
    <w:rsid w:val="70427DDE"/>
    <w:rsid w:val="70695446"/>
    <w:rsid w:val="73920EBF"/>
    <w:rsid w:val="73D828EE"/>
    <w:rsid w:val="745D327B"/>
    <w:rsid w:val="759058D2"/>
    <w:rsid w:val="759A04FF"/>
    <w:rsid w:val="7A6723E9"/>
    <w:rsid w:val="7A6C1FF8"/>
    <w:rsid w:val="7A792BDA"/>
    <w:rsid w:val="7CFB0605"/>
    <w:rsid w:val="7D2B3BCB"/>
    <w:rsid w:val="7ED3221A"/>
    <w:rsid w:val="7FE02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autoRedefine/>
    <w:qFormat/>
    <w:uiPriority w:val="0"/>
    <w:pPr>
      <w:jc w:val="center"/>
      <w:outlineLvl w:val="0"/>
    </w:pPr>
    <w:rPr>
      <w:rFonts w:ascii="宋体" w:hAnsi="宋体"/>
      <w:b/>
      <w:sz w:val="36"/>
    </w:rPr>
  </w:style>
  <w:style w:type="paragraph" w:styleId="3">
    <w:name w:val="heading 2"/>
    <w:basedOn w:val="1"/>
    <w:next w:val="1"/>
    <w:autoRedefine/>
    <w:qFormat/>
    <w:uiPriority w:val="0"/>
    <w:pPr>
      <w:spacing w:line="360" w:lineRule="auto"/>
      <w:jc w:val="center"/>
      <w:outlineLvl w:val="1"/>
    </w:pPr>
    <w:rPr>
      <w:rFonts w:ascii="Arial" w:hAnsi="Arial" w:eastAsia="黑体"/>
      <w:b/>
      <w:bCs/>
      <w:kern w:val="0"/>
      <w:sz w:val="32"/>
      <w:szCs w:val="32"/>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autoRedefine/>
    <w:qFormat/>
    <w:uiPriority w:val="0"/>
    <w:pPr>
      <w:adjustRightInd w:val="0"/>
      <w:spacing w:line="312" w:lineRule="atLeast"/>
      <w:ind w:firstLine="420"/>
      <w:textAlignment w:val="baseline"/>
    </w:pPr>
    <w:rPr>
      <w:rFonts w:ascii="宋体"/>
      <w:kern w:val="0"/>
    </w:rPr>
  </w:style>
  <w:style w:type="paragraph" w:styleId="5">
    <w:name w:val="annotation text"/>
    <w:basedOn w:val="1"/>
    <w:qFormat/>
    <w:uiPriority w:val="0"/>
    <w:pPr>
      <w:jc w:val="left"/>
    </w:pPr>
  </w:style>
  <w:style w:type="paragraph" w:styleId="6">
    <w:name w:val="Body Text"/>
    <w:basedOn w:val="1"/>
    <w:autoRedefine/>
    <w:qFormat/>
    <w:uiPriority w:val="0"/>
    <w:pPr>
      <w:spacing w:after="120"/>
    </w:pPr>
    <w:rPr>
      <w:rFonts w:ascii="Times New Roman" w:hAnsi="Times New Roman"/>
    </w:rPr>
  </w:style>
  <w:style w:type="paragraph" w:styleId="7">
    <w:name w:val="Body Text Indent"/>
    <w:basedOn w:val="1"/>
    <w:next w:val="8"/>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Block Text"/>
    <w:basedOn w:val="1"/>
    <w:next w:val="10"/>
    <w:qFormat/>
    <w:uiPriority w:val="0"/>
    <w:pPr>
      <w:spacing w:after="120"/>
      <w:ind w:left="1440" w:leftChars="700" w:right="700" w:rightChars="700"/>
    </w:pPr>
  </w:style>
  <w:style w:type="paragraph" w:styleId="10">
    <w:name w:val="Plain Text"/>
    <w:basedOn w:val="1"/>
    <w:next w:val="1"/>
    <w:qFormat/>
    <w:uiPriority w:val="0"/>
    <w:rPr>
      <w:rFonts w:ascii="宋体" w:hAnsi="Courier New"/>
    </w:rPr>
  </w:style>
  <w:style w:type="paragraph" w:styleId="11">
    <w:name w:val="footer"/>
    <w:basedOn w:val="1"/>
    <w:autoRedefine/>
    <w:qFormat/>
    <w:uiPriority w:val="0"/>
    <w:pPr>
      <w:tabs>
        <w:tab w:val="center" w:pos="4140"/>
        <w:tab w:val="right" w:pos="8300"/>
      </w:tabs>
      <w:snapToGrid w:val="0"/>
      <w:jc w:val="left"/>
    </w:pPr>
    <w:rPr>
      <w:rFonts w:ascii="Times New Roman" w:hAnsi="Times New Roman" w:cs="Times New Roman"/>
      <w:sz w:val="18"/>
    </w:rPr>
  </w:style>
  <w:style w:type="paragraph" w:styleId="12">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3">
    <w:name w:val="Body Text First Indent 2"/>
    <w:basedOn w:val="7"/>
    <w:next w:val="1"/>
    <w:autoRedefine/>
    <w:qFormat/>
    <w:uiPriority w:val="0"/>
    <w:pPr>
      <w:ind w:firstLine="420" w:firstLineChars="200"/>
    </w:pPr>
    <w:rPr>
      <w:sz w:val="21"/>
    </w:rPr>
  </w:style>
  <w:style w:type="paragraph" w:customStyle="1" w:styleId="16">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7">
    <w:name w:val="标题 41"/>
    <w:basedOn w:val="1"/>
    <w:autoRedefine/>
    <w:qFormat/>
    <w:uiPriority w:val="1"/>
    <w:pPr>
      <w:ind w:left="1745"/>
      <w:jc w:val="left"/>
      <w:outlineLvl w:val="4"/>
    </w:pPr>
    <w:rPr>
      <w:rFonts w:ascii="宋体" w:hAnsi="宋体"/>
      <w:kern w:val="0"/>
      <w:sz w:val="26"/>
      <w:szCs w:val="26"/>
      <w:lang w:eastAsia="en-US"/>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3687</Words>
  <Characters>3758</Characters>
  <Lines>0</Lines>
  <Paragraphs>0</Paragraphs>
  <TotalTime>0</TotalTime>
  <ScaleCrop>false</ScaleCrop>
  <LinksUpToDate>false</LinksUpToDate>
  <CharactersWithSpaces>4175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XXIA</cp:lastModifiedBy>
  <dcterms:modified xsi:type="dcterms:W3CDTF">2026-08-04T10:40:09Z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1CCEC583AA234E7190960739386B8EF1_11</vt:lpwstr>
  </property>
  <property fmtid="{D5CDD505-2E9C-101B-9397-08002B2CF9AE}" pid="4" name="KSOTemplateDocerSaveRecord">
    <vt:lpwstr>eyJoZGlkIjoiNzRkODU0NWM1NTRlNTZjMDFhNjAyNDM3ZDE1ZjE0YTMiLCJ1c2VySWQiOiIzMTQzODkxMTYifQ==</vt:lpwstr>
  </property>
</Properties>
</file>