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3B8362">
      <w:pPr>
        <w:pStyle w:val="2"/>
        <w:spacing w:line="540" w:lineRule="exact"/>
        <w:jc w:val="both"/>
        <w:rPr>
          <w:rFonts w:ascii="仿宋_GB2312" w:hAnsi="仿宋_GB2312" w:eastAsia="仿宋_GB2312" w:cs="仿宋_GB2312"/>
          <w:lang w:eastAsia="zh-CN"/>
        </w:rPr>
      </w:pPr>
    </w:p>
    <w:p w14:paraId="1B941282">
      <w:pPr>
        <w:pStyle w:val="2"/>
        <w:spacing w:line="540" w:lineRule="exact"/>
        <w:jc w:val="both"/>
        <w:rPr>
          <w:rFonts w:ascii="仿宋_GB2312" w:hAnsi="仿宋_GB2312" w:eastAsia="仿宋_GB2312" w:cs="仿宋_GB2312"/>
        </w:rPr>
      </w:pPr>
    </w:p>
    <w:p w14:paraId="5DFF0289">
      <w:pPr>
        <w:pStyle w:val="2"/>
        <w:spacing w:line="540" w:lineRule="exact"/>
        <w:jc w:val="center"/>
        <w:rPr>
          <w:rFonts w:ascii="仿宋_GB2312" w:hAnsi="仿宋_GB2312" w:eastAsia="仿宋_GB2312" w:cs="仿宋_GB2312"/>
          <w:b/>
          <w:bCs/>
          <w:sz w:val="52"/>
          <w:szCs w:val="52"/>
          <w:lang w:eastAsia="zh-CN"/>
        </w:rPr>
      </w:pPr>
      <w:r>
        <w:rPr>
          <w:rFonts w:hint="eastAsia" w:ascii="仿宋_GB2312" w:hAnsi="仿宋_GB2312" w:eastAsia="仿宋_GB2312" w:cs="仿宋_GB2312"/>
          <w:b/>
          <w:bCs/>
          <w:sz w:val="52"/>
          <w:szCs w:val="52"/>
          <w:lang w:val="en-US" w:eastAsia="zh-CN"/>
        </w:rPr>
        <w:t>西安高新区第五学校 xxx</w:t>
      </w:r>
      <w:r>
        <w:rPr>
          <w:rFonts w:hint="eastAsia" w:ascii="仿宋_GB2312" w:hAnsi="仿宋_GB2312" w:eastAsia="仿宋_GB2312" w:cs="仿宋_GB2312"/>
          <w:b/>
          <w:bCs/>
          <w:sz w:val="52"/>
          <w:szCs w:val="52"/>
          <w:lang w:eastAsia="zh-CN"/>
        </w:rPr>
        <w:t>采购供货合同</w:t>
      </w:r>
    </w:p>
    <w:p w14:paraId="501689CC">
      <w:pPr>
        <w:pStyle w:val="2"/>
        <w:spacing w:line="540" w:lineRule="exact"/>
        <w:jc w:val="center"/>
        <w:rPr>
          <w:rFonts w:ascii="仿宋_GB2312" w:hAnsi="仿宋_GB2312" w:eastAsia="仿宋_GB2312" w:cs="仿宋_GB2312"/>
          <w:b/>
          <w:bCs/>
          <w:sz w:val="72"/>
          <w:szCs w:val="72"/>
          <w:lang w:eastAsia="zh-CN"/>
        </w:rPr>
      </w:pPr>
    </w:p>
    <w:p w14:paraId="36E7B7A4">
      <w:pPr>
        <w:pStyle w:val="2"/>
        <w:spacing w:line="540" w:lineRule="exact"/>
        <w:rPr>
          <w:rFonts w:ascii="仿宋_GB2312" w:hAnsi="仿宋_GB2312" w:eastAsia="仿宋_GB2312" w:cs="仿宋_GB2312"/>
          <w:lang w:eastAsia="zh-CN"/>
        </w:rPr>
      </w:pPr>
    </w:p>
    <w:p w14:paraId="1F04F2C8">
      <w:pPr>
        <w:pStyle w:val="2"/>
        <w:spacing w:line="540" w:lineRule="exact"/>
        <w:rPr>
          <w:rFonts w:ascii="仿宋_GB2312" w:hAnsi="仿宋_GB2312" w:eastAsia="仿宋_GB2312" w:cs="仿宋_GB2312"/>
          <w:lang w:eastAsia="zh-CN"/>
        </w:rPr>
      </w:pPr>
    </w:p>
    <w:p w14:paraId="32342453">
      <w:pPr>
        <w:pStyle w:val="2"/>
        <w:spacing w:line="540" w:lineRule="exact"/>
        <w:rPr>
          <w:rFonts w:ascii="仿宋_GB2312" w:hAnsi="仿宋_GB2312" w:eastAsia="仿宋_GB2312" w:cs="仿宋_GB2312"/>
          <w:lang w:eastAsia="zh-CN"/>
        </w:rPr>
      </w:pPr>
    </w:p>
    <w:p w14:paraId="259C571B">
      <w:pPr>
        <w:pStyle w:val="2"/>
        <w:spacing w:line="540" w:lineRule="exact"/>
        <w:rPr>
          <w:rFonts w:ascii="仿宋_GB2312" w:hAnsi="仿宋_GB2312" w:eastAsia="仿宋_GB2312" w:cs="仿宋_GB2312"/>
          <w:lang w:eastAsia="zh-CN"/>
        </w:rPr>
      </w:pPr>
    </w:p>
    <w:p w14:paraId="27202EDB">
      <w:pPr>
        <w:pStyle w:val="2"/>
        <w:spacing w:line="540" w:lineRule="exact"/>
        <w:rPr>
          <w:rFonts w:ascii="仿宋_GB2312" w:hAnsi="仿宋_GB2312" w:eastAsia="仿宋_GB2312" w:cs="仿宋_GB2312"/>
          <w:lang w:eastAsia="zh-CN"/>
        </w:rPr>
      </w:pPr>
    </w:p>
    <w:p w14:paraId="4CF13438">
      <w:pPr>
        <w:pStyle w:val="2"/>
        <w:spacing w:line="540" w:lineRule="exact"/>
        <w:ind w:left="0" w:leftChars="0" w:firstLine="1440" w:firstLineChars="450"/>
        <w:jc w:val="both"/>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甲方（采购人）：</w:t>
      </w:r>
      <w:r>
        <w:rPr>
          <w:rFonts w:hint="eastAsia" w:ascii="仿宋_GB2312" w:hAnsi="仿宋_GB2312" w:eastAsia="仿宋_GB2312" w:cs="仿宋_GB2312"/>
          <w:sz w:val="32"/>
          <w:szCs w:val="32"/>
          <w:lang w:val="en-US" w:eastAsia="zh-CN"/>
        </w:rPr>
        <w:t>西安高新区第五学校</w:t>
      </w:r>
    </w:p>
    <w:p w14:paraId="1031B3B6">
      <w:pPr>
        <w:pStyle w:val="2"/>
        <w:spacing w:line="540" w:lineRule="exact"/>
        <w:ind w:left="0" w:leftChars="0" w:firstLine="1440" w:firstLineChars="450"/>
        <w:jc w:val="both"/>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乙方（</w:t>
      </w:r>
      <w:r>
        <w:rPr>
          <w:rFonts w:hint="eastAsia" w:ascii="仿宋_GB2312" w:hAnsi="仿宋_GB2312" w:eastAsia="仿宋_GB2312" w:cs="仿宋_GB2312"/>
          <w:sz w:val="32"/>
          <w:szCs w:val="32"/>
          <w:lang w:val="en-US" w:eastAsia="zh-CN"/>
        </w:rPr>
        <w:t>成交单位</w:t>
      </w:r>
      <w:r>
        <w:rPr>
          <w:rFonts w:hint="eastAsia" w:ascii="仿宋_GB2312" w:hAnsi="仿宋_GB2312" w:eastAsia="仿宋_GB2312" w:cs="仿宋_GB2312"/>
          <w:sz w:val="32"/>
          <w:szCs w:val="32"/>
          <w:lang w:eastAsia="zh-CN"/>
        </w:rPr>
        <w:t>）：</w:t>
      </w:r>
    </w:p>
    <w:p w14:paraId="018C6C73">
      <w:pPr>
        <w:pStyle w:val="2"/>
        <w:spacing w:line="540" w:lineRule="exact"/>
        <w:ind w:firstLine="1920" w:firstLineChars="600"/>
        <w:jc w:val="center"/>
        <w:rPr>
          <w:rFonts w:hint="eastAsia" w:ascii="仿宋_GB2312" w:hAnsi="仿宋_GB2312" w:eastAsia="仿宋_GB2312" w:cs="仿宋_GB2312"/>
          <w:sz w:val="32"/>
          <w:szCs w:val="32"/>
          <w:lang w:eastAsia="zh-CN"/>
        </w:rPr>
      </w:pPr>
    </w:p>
    <w:p w14:paraId="365AB24B">
      <w:pPr>
        <w:pStyle w:val="2"/>
        <w:spacing w:line="540" w:lineRule="exact"/>
        <w:ind w:firstLine="1920" w:firstLineChars="600"/>
        <w:jc w:val="center"/>
        <w:rPr>
          <w:rFonts w:hint="eastAsia" w:ascii="仿宋_GB2312" w:hAnsi="仿宋_GB2312" w:eastAsia="仿宋_GB2312" w:cs="仿宋_GB2312"/>
          <w:sz w:val="32"/>
          <w:szCs w:val="32"/>
          <w:lang w:eastAsia="zh-CN"/>
        </w:rPr>
      </w:pPr>
    </w:p>
    <w:p w14:paraId="55A8D6BA">
      <w:pPr>
        <w:pStyle w:val="2"/>
        <w:spacing w:line="540" w:lineRule="exact"/>
        <w:ind w:firstLine="1920" w:firstLineChars="600"/>
        <w:jc w:val="center"/>
        <w:rPr>
          <w:rFonts w:hint="eastAsia" w:ascii="仿宋_GB2312" w:hAnsi="仿宋_GB2312" w:eastAsia="仿宋_GB2312" w:cs="仿宋_GB2312"/>
          <w:sz w:val="32"/>
          <w:szCs w:val="32"/>
          <w:lang w:eastAsia="zh-CN"/>
        </w:rPr>
      </w:pPr>
    </w:p>
    <w:p w14:paraId="7E81E564">
      <w:pPr>
        <w:pStyle w:val="2"/>
        <w:spacing w:line="540" w:lineRule="exact"/>
        <w:jc w:val="center"/>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签订日期： _______ 年 ______ 月 ______ 日</w:t>
      </w:r>
    </w:p>
    <w:p w14:paraId="57721943">
      <w:pPr>
        <w:pStyle w:val="14"/>
        <w:spacing w:line="540" w:lineRule="exact"/>
        <w:ind w:left="0" w:leftChars="0" w:firstLine="0" w:firstLineChars="0"/>
        <w:jc w:val="center"/>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签订地点：</w:t>
      </w:r>
      <w:r>
        <w:rPr>
          <w:rFonts w:hint="eastAsia" w:ascii="仿宋_GB2312" w:hAnsi="仿宋_GB2312" w:eastAsia="仿宋_GB2312" w:cs="仿宋_GB2312"/>
          <w:sz w:val="32"/>
          <w:szCs w:val="32"/>
          <w:lang w:val="en-US" w:eastAsia="zh-CN"/>
        </w:rPr>
        <w:t>西安高新区第五学校</w:t>
      </w:r>
    </w:p>
    <w:p w14:paraId="599837FD">
      <w:pPr>
        <w:spacing w:line="388" w:lineRule="exact"/>
        <w:jc w:val="center"/>
        <w:rPr>
          <w:rFonts w:hint="eastAsia" w:ascii="仿宋" w:hAnsi="仿宋" w:eastAsia="仿宋" w:cs="仿宋"/>
          <w:b/>
          <w:bCs/>
          <w:sz w:val="21"/>
          <w:szCs w:val="21"/>
        </w:rPr>
      </w:pPr>
      <w:r>
        <w:rPr>
          <w:rFonts w:hint="eastAsia" w:ascii="仿宋" w:hAnsi="仿宋" w:eastAsia="仿宋" w:cs="仿宋"/>
          <w:b/>
          <w:bCs/>
          <w:sz w:val="21"/>
          <w:szCs w:val="21"/>
        </w:rPr>
        <w:t>（此合同仅供参考、以最终采购人与</w:t>
      </w:r>
      <w:r>
        <w:rPr>
          <w:rFonts w:hint="eastAsia" w:ascii="仿宋" w:hAnsi="仿宋" w:eastAsia="仿宋" w:cs="仿宋"/>
          <w:b/>
          <w:bCs/>
          <w:sz w:val="21"/>
          <w:szCs w:val="21"/>
          <w:lang w:val="en-US" w:eastAsia="zh-CN"/>
        </w:rPr>
        <w:t>成交单位</w:t>
      </w:r>
      <w:r>
        <w:rPr>
          <w:rFonts w:hint="eastAsia" w:ascii="仿宋" w:hAnsi="仿宋" w:eastAsia="仿宋" w:cs="仿宋"/>
          <w:b/>
          <w:bCs/>
          <w:sz w:val="21"/>
          <w:szCs w:val="21"/>
        </w:rPr>
        <w:t>签订的合同条款为准，最终签订合同的主要条款不能与</w:t>
      </w:r>
      <w:r>
        <w:rPr>
          <w:rFonts w:hint="eastAsia" w:ascii="仿宋" w:hAnsi="仿宋" w:eastAsia="仿宋" w:cs="仿宋"/>
          <w:b/>
          <w:bCs/>
          <w:sz w:val="21"/>
          <w:szCs w:val="21"/>
          <w:lang w:val="en-US" w:eastAsia="zh-CN"/>
        </w:rPr>
        <w:t>磋商</w:t>
      </w:r>
      <w:r>
        <w:rPr>
          <w:rFonts w:hint="eastAsia" w:ascii="仿宋" w:hAnsi="仿宋" w:eastAsia="仿宋" w:cs="仿宋"/>
          <w:b/>
          <w:bCs/>
          <w:sz w:val="21"/>
          <w:szCs w:val="21"/>
        </w:rPr>
        <w:t>文件有实质性背离）</w:t>
      </w:r>
    </w:p>
    <w:p w14:paraId="7501EE79">
      <w:pPr>
        <w:rPr>
          <w:rFonts w:hint="eastAsia" w:ascii="仿宋_GB2312" w:hAnsi="仿宋_GB2312" w:eastAsia="仿宋_GB2312" w:cs="仿宋_GB2312"/>
          <w:sz w:val="32"/>
          <w:szCs w:val="32"/>
          <w:lang w:eastAsia="zh-CN"/>
        </w:rPr>
      </w:pPr>
    </w:p>
    <w:p w14:paraId="1C4CE881">
      <w:pPr>
        <w:pStyle w:val="14"/>
        <w:spacing w:line="540" w:lineRule="exact"/>
        <w:ind w:firstLine="640"/>
        <w:rPr>
          <w:rFonts w:ascii="仿宋_GB2312" w:hAnsi="仿宋_GB2312" w:eastAsia="仿宋_GB2312" w:cs="仿宋_GB2312"/>
          <w:sz w:val="32"/>
          <w:szCs w:val="32"/>
          <w:u w:val="single"/>
          <w:lang w:eastAsia="zh-CN"/>
        </w:rPr>
      </w:pPr>
      <w:r>
        <w:rPr>
          <w:rFonts w:hint="eastAsia" w:ascii="仿宋_GB2312" w:hAnsi="仿宋_GB2312" w:eastAsia="仿宋_GB2312" w:cs="仿宋_GB2312"/>
          <w:sz w:val="32"/>
          <w:szCs w:val="32"/>
          <w:lang w:eastAsia="zh-CN"/>
        </w:rPr>
        <w:t>采购人（甲方）：</w:t>
      </w:r>
      <w:r>
        <w:rPr>
          <w:rFonts w:hint="eastAsia" w:ascii="仿宋_GB2312" w:hAnsi="仿宋_GB2312" w:eastAsia="仿宋_GB2312" w:cs="仿宋_GB2312"/>
          <w:sz w:val="32"/>
          <w:szCs w:val="32"/>
          <w:lang w:val="en-US" w:eastAsia="zh-CN"/>
        </w:rPr>
        <w:t>西安高新区第五学校</w:t>
      </w:r>
    </w:p>
    <w:p w14:paraId="2DFB0D6F">
      <w:pPr>
        <w:pStyle w:val="14"/>
        <w:spacing w:line="540" w:lineRule="exact"/>
        <w:ind w:firstLine="64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中标人（乙方）：</w:t>
      </w:r>
    </w:p>
    <w:p w14:paraId="67B4E234">
      <w:pPr>
        <w:pStyle w:val="14"/>
        <w:spacing w:beforeLines="50" w:line="540" w:lineRule="exact"/>
        <w:ind w:firstLine="64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根据《中华人民共和国</w:t>
      </w:r>
      <w:r>
        <w:rPr>
          <w:rFonts w:hint="eastAsia" w:ascii="仿宋_GB2312" w:hAnsi="仿宋_GB2312" w:eastAsia="仿宋_GB2312" w:cs="仿宋_GB2312"/>
          <w:sz w:val="32"/>
          <w:szCs w:val="32"/>
          <w:lang w:val="en-US" w:eastAsia="zh-CN"/>
        </w:rPr>
        <w:t>民法典</w:t>
      </w:r>
      <w:r>
        <w:rPr>
          <w:rFonts w:hint="eastAsia" w:ascii="仿宋_GB2312" w:hAnsi="仿宋_GB2312" w:eastAsia="仿宋_GB2312" w:cs="仿宋_GB2312"/>
          <w:sz w:val="32"/>
          <w:szCs w:val="32"/>
          <w:lang w:eastAsia="zh-CN"/>
        </w:rPr>
        <w:t>》和甲方</w:t>
      </w:r>
      <w:r>
        <w:rPr>
          <w:rFonts w:hint="eastAsia" w:ascii="仿宋_GB2312" w:hAnsi="仿宋_GB2312" w:eastAsia="仿宋_GB2312" w:cs="仿宋_GB2312"/>
          <w:sz w:val="32"/>
          <w:szCs w:val="32"/>
          <w:lang w:val="en-US" w:eastAsia="zh-CN"/>
        </w:rPr>
        <w:t>xxxxxx</w:t>
      </w:r>
      <w:r>
        <w:rPr>
          <w:rFonts w:hint="eastAsia" w:ascii="仿宋_GB2312" w:hAnsi="仿宋_GB2312" w:eastAsia="仿宋_GB2312" w:cs="仿宋_GB2312"/>
          <w:sz w:val="32"/>
          <w:szCs w:val="32"/>
          <w:lang w:eastAsia="zh-CN"/>
        </w:rPr>
        <w:t>采购项目（项目编号：</w:t>
      </w:r>
      <w:r>
        <w:rPr>
          <w:rFonts w:hint="eastAsia" w:ascii="仿宋_GB2312" w:hAnsi="仿宋_GB2312" w:eastAsia="仿宋_GB2312" w:cs="仿宋_GB2312"/>
          <w:sz w:val="32"/>
          <w:szCs w:val="32"/>
          <w:lang w:val="en-US" w:eastAsia="zh-CN"/>
        </w:rPr>
        <w:t>xxxxxxxxxx</w:t>
      </w:r>
      <w:r>
        <w:rPr>
          <w:rFonts w:hint="eastAsia" w:ascii="仿宋_GB2312" w:hAnsi="仿宋_GB2312" w:eastAsia="仿宋_GB2312" w:cs="仿宋_GB2312"/>
          <w:sz w:val="32"/>
          <w:szCs w:val="32"/>
          <w:lang w:eastAsia="zh-CN"/>
        </w:rPr>
        <w:t>）的招标文件、投标文件等有关规定，为确保甲方采购项目的顺利实施，甲、乙双方在平等自愿原则下签订本合同，并共同遵守如下条款：</w:t>
      </w:r>
    </w:p>
    <w:p w14:paraId="7EABB5DD">
      <w:pPr>
        <w:pStyle w:val="14"/>
        <w:spacing w:beforeLines="50" w:line="540" w:lineRule="exact"/>
        <w:ind w:firstLine="640"/>
        <w:rPr>
          <w:rFonts w:ascii="仿宋_GB2312" w:hAnsi="仿宋_GB2312" w:eastAsia="仿宋_GB2312" w:cs="仿宋_GB2312"/>
          <w:b/>
          <w:sz w:val="32"/>
          <w:szCs w:val="32"/>
          <w:lang w:eastAsia="zh-CN"/>
        </w:rPr>
      </w:pPr>
      <w:r>
        <w:rPr>
          <w:rFonts w:hint="eastAsia" w:ascii="仿宋_GB2312" w:hAnsi="仿宋_GB2312" w:eastAsia="仿宋_GB2312" w:cs="仿宋_GB2312"/>
          <w:b/>
          <w:sz w:val="32"/>
          <w:szCs w:val="32"/>
          <w:lang w:eastAsia="zh-CN"/>
        </w:rPr>
        <w:t>第一条 合同标的及数量</w:t>
      </w:r>
    </w:p>
    <w:p w14:paraId="72BCE41E">
      <w:pPr>
        <w:pStyle w:val="14"/>
        <w:spacing w:beforeLines="50" w:line="540" w:lineRule="exact"/>
        <w:ind w:firstLine="640"/>
        <w:rPr>
          <w:rFonts w:ascii="仿宋_GB2312" w:hAnsi="仿宋_GB2312" w:eastAsia="仿宋_GB2312" w:cs="仿宋_GB2312"/>
          <w:b/>
          <w:sz w:val="32"/>
          <w:szCs w:val="32"/>
          <w:lang w:eastAsia="zh-CN"/>
        </w:rPr>
      </w:pPr>
      <w:r>
        <w:rPr>
          <w:rFonts w:hint="eastAsia" w:ascii="仿宋_GB2312" w:hAnsi="仿宋_GB2312" w:eastAsia="仿宋_GB2312" w:cs="仿宋_GB2312"/>
          <w:sz w:val="32"/>
          <w:szCs w:val="32"/>
          <w:lang w:eastAsia="zh-CN"/>
        </w:rPr>
        <w:t>乙方向甲方提供下列货物（产品）：</w:t>
      </w:r>
    </w:p>
    <w:p w14:paraId="37052E1B">
      <w:pPr>
        <w:pStyle w:val="4"/>
        <w:spacing w:beforeLines="50" w:afterLines="50" w:line="420" w:lineRule="exact"/>
        <w:jc w:val="center"/>
        <w:rPr>
          <w:rFonts w:ascii="仿宋_GB2312" w:hAnsi="仿宋_GB2312" w:eastAsia="仿宋_GB2312" w:cs="仿宋_GB2312"/>
          <w:b/>
          <w:sz w:val="32"/>
          <w:szCs w:val="32"/>
        </w:rPr>
      </w:pPr>
      <w:r>
        <w:rPr>
          <w:rFonts w:hint="eastAsia" w:ascii="仿宋_GB2312" w:hAnsi="仿宋_GB2312" w:eastAsia="仿宋_GB2312" w:cs="仿宋_GB2312"/>
          <w:b/>
          <w:sz w:val="32"/>
          <w:szCs w:val="32"/>
        </w:rPr>
        <w:t>供货一览表</w:t>
      </w:r>
    </w:p>
    <w:tbl>
      <w:tblPr>
        <w:tblStyle w:val="7"/>
        <w:tblpPr w:leftFromText="180" w:rightFromText="180" w:vertAnchor="text" w:horzAnchor="margin" w:tblpY="309"/>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31"/>
        <w:gridCol w:w="1583"/>
        <w:gridCol w:w="1515"/>
        <w:gridCol w:w="570"/>
        <w:gridCol w:w="645"/>
        <w:gridCol w:w="1155"/>
        <w:gridCol w:w="1395"/>
        <w:gridCol w:w="1335"/>
      </w:tblGrid>
      <w:tr w14:paraId="60E8FDF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12" w:space="0"/>
              <w:left w:val="single" w:color="auto" w:sz="12" w:space="0"/>
              <w:bottom w:val="single" w:color="auto" w:sz="4" w:space="0"/>
              <w:right w:val="single" w:color="auto" w:sz="4" w:space="0"/>
            </w:tcBorders>
            <w:noWrap/>
            <w:vAlign w:val="center"/>
          </w:tcPr>
          <w:p w14:paraId="3CF36400">
            <w:pPr>
              <w:pStyle w:val="3"/>
              <w:spacing w:before="0" w:line="420" w:lineRule="exact"/>
              <w:jc w:val="center"/>
              <w:rPr>
                <w:rFonts w:ascii="仿宋_GB2312" w:hAnsi="仿宋_GB2312" w:eastAsia="仿宋_GB2312" w:cs="仿宋_GB2312"/>
                <w:color w:val="000000" w:themeColor="text1"/>
                <w:kern w:val="2"/>
                <w14:textFill>
                  <w14:solidFill>
                    <w14:schemeClr w14:val="tx1"/>
                  </w14:solidFill>
                </w14:textFill>
              </w:rPr>
            </w:pPr>
            <w:r>
              <w:rPr>
                <w:rFonts w:hint="eastAsia" w:ascii="仿宋_GB2312" w:hAnsi="仿宋_GB2312" w:eastAsia="仿宋_GB2312" w:cs="仿宋_GB2312"/>
                <w:color w:val="000000" w:themeColor="text1"/>
                <w:kern w:val="2"/>
                <w14:textFill>
                  <w14:solidFill>
                    <w14:schemeClr w14:val="tx1"/>
                  </w14:solidFill>
                </w14:textFill>
              </w:rPr>
              <w:t>序号</w:t>
            </w:r>
          </w:p>
        </w:tc>
        <w:tc>
          <w:tcPr>
            <w:tcW w:w="1583" w:type="dxa"/>
            <w:tcBorders>
              <w:top w:val="single" w:color="auto" w:sz="12" w:space="0"/>
              <w:left w:val="single" w:color="auto" w:sz="4" w:space="0"/>
              <w:bottom w:val="single" w:color="auto" w:sz="4" w:space="0"/>
              <w:right w:val="single" w:color="auto" w:sz="4" w:space="0"/>
            </w:tcBorders>
            <w:noWrap/>
            <w:vAlign w:val="center"/>
          </w:tcPr>
          <w:p w14:paraId="5E4C8232">
            <w:pPr>
              <w:pStyle w:val="3"/>
              <w:spacing w:before="0" w:line="420" w:lineRule="exact"/>
              <w:jc w:val="center"/>
              <w:rPr>
                <w:rFonts w:ascii="仿宋_GB2312" w:hAnsi="仿宋_GB2312" w:eastAsia="仿宋_GB2312" w:cs="仿宋_GB2312"/>
                <w:color w:val="000000" w:themeColor="text1"/>
                <w:kern w:val="2"/>
                <w14:textFill>
                  <w14:solidFill>
                    <w14:schemeClr w14:val="tx1"/>
                  </w14:solidFill>
                </w14:textFill>
              </w:rPr>
            </w:pPr>
            <w:r>
              <w:rPr>
                <w:rFonts w:hint="eastAsia" w:ascii="仿宋_GB2312" w:hAnsi="仿宋_GB2312" w:eastAsia="仿宋_GB2312" w:cs="仿宋_GB2312"/>
                <w:color w:val="000000" w:themeColor="text1"/>
                <w:kern w:val="2"/>
                <w14:textFill>
                  <w14:solidFill>
                    <w14:schemeClr w14:val="tx1"/>
                  </w14:solidFill>
                </w14:textFill>
              </w:rPr>
              <w:t>货物名称</w:t>
            </w:r>
          </w:p>
        </w:tc>
        <w:tc>
          <w:tcPr>
            <w:tcW w:w="1515" w:type="dxa"/>
            <w:tcBorders>
              <w:top w:val="single" w:color="auto" w:sz="12" w:space="0"/>
              <w:left w:val="single" w:color="auto" w:sz="4" w:space="0"/>
              <w:bottom w:val="single" w:color="auto" w:sz="4" w:space="0"/>
              <w:right w:val="single" w:color="auto" w:sz="4" w:space="0"/>
            </w:tcBorders>
            <w:noWrap/>
            <w:vAlign w:val="center"/>
          </w:tcPr>
          <w:p w14:paraId="65D12EC9">
            <w:pPr>
              <w:pStyle w:val="3"/>
              <w:spacing w:before="0" w:line="420" w:lineRule="exact"/>
              <w:jc w:val="center"/>
              <w:rPr>
                <w:rFonts w:ascii="仿宋_GB2312" w:hAnsi="仿宋_GB2312" w:eastAsia="仿宋_GB2312" w:cs="仿宋_GB2312"/>
                <w:color w:val="000000" w:themeColor="text1"/>
                <w:kern w:val="2"/>
                <w14:textFill>
                  <w14:solidFill>
                    <w14:schemeClr w14:val="tx1"/>
                  </w14:solidFill>
                </w14:textFill>
              </w:rPr>
            </w:pPr>
            <w:r>
              <w:rPr>
                <w:rFonts w:hint="eastAsia" w:ascii="仿宋_GB2312" w:hAnsi="仿宋_GB2312" w:eastAsia="仿宋_GB2312" w:cs="仿宋_GB2312"/>
                <w:color w:val="000000" w:themeColor="text1"/>
                <w:kern w:val="2"/>
                <w14:textFill>
                  <w14:solidFill>
                    <w14:schemeClr w14:val="tx1"/>
                  </w14:solidFill>
                </w14:textFill>
              </w:rPr>
              <w:t>品牌/型号</w:t>
            </w:r>
          </w:p>
        </w:tc>
        <w:tc>
          <w:tcPr>
            <w:tcW w:w="570" w:type="dxa"/>
            <w:tcBorders>
              <w:top w:val="single" w:color="auto" w:sz="12" w:space="0"/>
              <w:left w:val="single" w:color="auto" w:sz="4" w:space="0"/>
              <w:bottom w:val="single" w:color="auto" w:sz="4" w:space="0"/>
              <w:right w:val="single" w:color="auto" w:sz="4" w:space="0"/>
            </w:tcBorders>
            <w:noWrap/>
            <w:vAlign w:val="center"/>
          </w:tcPr>
          <w:p w14:paraId="38CA5A59">
            <w:pPr>
              <w:pStyle w:val="3"/>
              <w:spacing w:before="0" w:line="420" w:lineRule="exact"/>
              <w:jc w:val="center"/>
              <w:rPr>
                <w:rFonts w:ascii="仿宋_GB2312" w:hAnsi="仿宋_GB2312" w:eastAsia="仿宋_GB2312" w:cs="仿宋_GB2312"/>
                <w:color w:val="000000" w:themeColor="text1"/>
                <w:kern w:val="2"/>
                <w14:textFill>
                  <w14:solidFill>
                    <w14:schemeClr w14:val="tx1"/>
                  </w14:solidFill>
                </w14:textFill>
              </w:rPr>
            </w:pPr>
            <w:r>
              <w:rPr>
                <w:rFonts w:hint="eastAsia" w:ascii="仿宋_GB2312" w:hAnsi="仿宋_GB2312" w:eastAsia="仿宋_GB2312" w:cs="仿宋_GB2312"/>
                <w:color w:val="000000" w:themeColor="text1"/>
                <w:kern w:val="2"/>
                <w14:textFill>
                  <w14:solidFill>
                    <w14:schemeClr w14:val="tx1"/>
                  </w14:solidFill>
                </w14:textFill>
              </w:rPr>
              <w:t>规格</w:t>
            </w:r>
          </w:p>
        </w:tc>
        <w:tc>
          <w:tcPr>
            <w:tcW w:w="645" w:type="dxa"/>
            <w:tcBorders>
              <w:top w:val="single" w:color="auto" w:sz="12" w:space="0"/>
              <w:left w:val="single" w:color="auto" w:sz="4" w:space="0"/>
              <w:bottom w:val="single" w:color="auto" w:sz="4" w:space="0"/>
              <w:right w:val="single" w:color="auto" w:sz="4" w:space="0"/>
            </w:tcBorders>
            <w:noWrap/>
            <w:vAlign w:val="center"/>
          </w:tcPr>
          <w:p w14:paraId="07596C51">
            <w:pPr>
              <w:pStyle w:val="3"/>
              <w:spacing w:before="0" w:line="420" w:lineRule="exact"/>
              <w:jc w:val="center"/>
              <w:rPr>
                <w:rFonts w:ascii="仿宋_GB2312" w:hAnsi="仿宋_GB2312" w:eastAsia="仿宋_GB2312" w:cs="仿宋_GB2312"/>
                <w:color w:val="000000" w:themeColor="text1"/>
                <w:kern w:val="2"/>
                <w14:textFill>
                  <w14:solidFill>
                    <w14:schemeClr w14:val="tx1"/>
                  </w14:solidFill>
                </w14:textFill>
              </w:rPr>
            </w:pPr>
            <w:r>
              <w:rPr>
                <w:rFonts w:hint="eastAsia" w:ascii="仿宋_GB2312" w:hAnsi="仿宋_GB2312" w:eastAsia="仿宋_GB2312" w:cs="仿宋_GB2312"/>
                <w:color w:val="000000" w:themeColor="text1"/>
                <w:kern w:val="2"/>
                <w14:textFill>
                  <w14:solidFill>
                    <w14:schemeClr w14:val="tx1"/>
                  </w14:solidFill>
                </w14:textFill>
              </w:rPr>
              <w:t>计量单位</w:t>
            </w:r>
          </w:p>
        </w:tc>
        <w:tc>
          <w:tcPr>
            <w:tcW w:w="1155" w:type="dxa"/>
            <w:tcBorders>
              <w:top w:val="single" w:color="auto" w:sz="12" w:space="0"/>
              <w:left w:val="single" w:color="auto" w:sz="4" w:space="0"/>
              <w:bottom w:val="single" w:color="auto" w:sz="4" w:space="0"/>
              <w:right w:val="single" w:color="auto" w:sz="4" w:space="0"/>
            </w:tcBorders>
            <w:noWrap/>
            <w:vAlign w:val="center"/>
          </w:tcPr>
          <w:p w14:paraId="3114A432">
            <w:pPr>
              <w:pStyle w:val="3"/>
              <w:spacing w:before="0" w:line="420" w:lineRule="exact"/>
              <w:jc w:val="center"/>
              <w:rPr>
                <w:rFonts w:ascii="仿宋_GB2312" w:hAnsi="仿宋_GB2312" w:eastAsia="仿宋_GB2312" w:cs="仿宋_GB2312"/>
                <w:color w:val="000000" w:themeColor="text1"/>
                <w:kern w:val="2"/>
                <w14:textFill>
                  <w14:solidFill>
                    <w14:schemeClr w14:val="tx1"/>
                  </w14:solidFill>
                </w14:textFill>
              </w:rPr>
            </w:pPr>
            <w:r>
              <w:rPr>
                <w:rFonts w:hint="eastAsia" w:ascii="仿宋_GB2312" w:hAnsi="仿宋_GB2312" w:eastAsia="仿宋_GB2312" w:cs="仿宋_GB2312"/>
                <w:color w:val="000000" w:themeColor="text1"/>
                <w:kern w:val="2"/>
                <w14:textFill>
                  <w14:solidFill>
                    <w14:schemeClr w14:val="tx1"/>
                  </w14:solidFill>
                </w14:textFill>
              </w:rPr>
              <w:t>数量</w:t>
            </w:r>
          </w:p>
        </w:tc>
        <w:tc>
          <w:tcPr>
            <w:tcW w:w="1395" w:type="dxa"/>
            <w:tcBorders>
              <w:top w:val="single" w:color="auto" w:sz="12" w:space="0"/>
              <w:left w:val="single" w:color="auto" w:sz="4" w:space="0"/>
              <w:bottom w:val="single" w:color="auto" w:sz="4" w:space="0"/>
              <w:right w:val="single" w:color="auto" w:sz="4" w:space="0"/>
            </w:tcBorders>
            <w:noWrap/>
            <w:vAlign w:val="center"/>
          </w:tcPr>
          <w:p w14:paraId="0ED9B470">
            <w:pPr>
              <w:pStyle w:val="3"/>
              <w:spacing w:before="0" w:line="420" w:lineRule="exact"/>
              <w:jc w:val="center"/>
              <w:rPr>
                <w:rFonts w:ascii="仿宋_GB2312" w:hAnsi="仿宋_GB2312" w:eastAsia="仿宋_GB2312" w:cs="仿宋_GB2312"/>
                <w:color w:val="000000" w:themeColor="text1"/>
                <w:kern w:val="2"/>
                <w14:textFill>
                  <w14:solidFill>
                    <w14:schemeClr w14:val="tx1"/>
                  </w14:solidFill>
                </w14:textFill>
              </w:rPr>
            </w:pPr>
            <w:r>
              <w:rPr>
                <w:rFonts w:hint="eastAsia" w:ascii="仿宋_GB2312" w:hAnsi="仿宋_GB2312" w:eastAsia="仿宋_GB2312" w:cs="仿宋_GB2312"/>
                <w:color w:val="000000" w:themeColor="text1"/>
                <w:kern w:val="2"/>
                <w14:textFill>
                  <w14:solidFill>
                    <w14:schemeClr w14:val="tx1"/>
                  </w14:solidFill>
                </w14:textFill>
              </w:rPr>
              <w:t>单价（元）</w:t>
            </w:r>
          </w:p>
        </w:tc>
        <w:tc>
          <w:tcPr>
            <w:tcW w:w="1335" w:type="dxa"/>
            <w:tcBorders>
              <w:top w:val="single" w:color="auto" w:sz="12" w:space="0"/>
              <w:left w:val="single" w:color="auto" w:sz="4" w:space="0"/>
              <w:bottom w:val="single" w:color="auto" w:sz="4" w:space="0"/>
              <w:right w:val="single" w:color="auto" w:sz="12" w:space="0"/>
            </w:tcBorders>
            <w:noWrap/>
            <w:vAlign w:val="center"/>
          </w:tcPr>
          <w:p w14:paraId="284F3F32">
            <w:pPr>
              <w:pStyle w:val="3"/>
              <w:spacing w:before="0" w:line="420" w:lineRule="exact"/>
              <w:ind w:left="314" w:hanging="315" w:hangingChars="98"/>
              <w:jc w:val="center"/>
              <w:rPr>
                <w:rFonts w:ascii="仿宋_GB2312" w:hAnsi="仿宋_GB2312" w:eastAsia="仿宋_GB2312" w:cs="仿宋_GB2312"/>
                <w:color w:val="000000" w:themeColor="text1"/>
                <w:kern w:val="2"/>
                <w14:textFill>
                  <w14:solidFill>
                    <w14:schemeClr w14:val="tx1"/>
                  </w14:solidFill>
                </w14:textFill>
              </w:rPr>
            </w:pPr>
            <w:r>
              <w:rPr>
                <w:rFonts w:hint="eastAsia" w:ascii="仿宋_GB2312" w:hAnsi="仿宋_GB2312" w:eastAsia="仿宋_GB2312" w:cs="仿宋_GB2312"/>
                <w:color w:val="000000" w:themeColor="text1"/>
                <w:kern w:val="2"/>
                <w14:textFill>
                  <w14:solidFill>
                    <w14:schemeClr w14:val="tx1"/>
                  </w14:solidFill>
                </w14:textFill>
              </w:rPr>
              <w:t>金额 (元)</w:t>
            </w:r>
          </w:p>
        </w:tc>
      </w:tr>
      <w:tr w14:paraId="6FFC3C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12" w:space="0"/>
              <w:bottom w:val="single" w:color="auto" w:sz="4" w:space="0"/>
              <w:right w:val="single" w:color="auto" w:sz="4" w:space="0"/>
            </w:tcBorders>
            <w:noWrap/>
          </w:tcPr>
          <w:p w14:paraId="6C2C626A">
            <w:pPr>
              <w:pStyle w:val="3"/>
              <w:spacing w:before="0" w:line="420" w:lineRule="exact"/>
              <w:rPr>
                <w:rFonts w:ascii="仿宋_GB2312" w:hAnsi="仿宋_GB2312" w:eastAsia="仿宋_GB2312" w:cs="仿宋_GB2312"/>
                <w:color w:val="000000" w:themeColor="text1"/>
                <w:kern w:val="2"/>
                <w14:textFill>
                  <w14:solidFill>
                    <w14:schemeClr w14:val="tx1"/>
                  </w14:solidFill>
                </w14:textFill>
              </w:rPr>
            </w:pPr>
          </w:p>
        </w:tc>
        <w:tc>
          <w:tcPr>
            <w:tcW w:w="1583" w:type="dxa"/>
            <w:tcBorders>
              <w:top w:val="single" w:color="auto" w:sz="4" w:space="0"/>
              <w:left w:val="single" w:color="auto" w:sz="4" w:space="0"/>
              <w:bottom w:val="single" w:color="auto" w:sz="4" w:space="0"/>
              <w:right w:val="single" w:color="auto" w:sz="4" w:space="0"/>
            </w:tcBorders>
            <w:noWrap/>
          </w:tcPr>
          <w:p w14:paraId="2F2FB2F4">
            <w:pPr>
              <w:pStyle w:val="3"/>
              <w:spacing w:before="0" w:line="420" w:lineRule="exact"/>
              <w:rPr>
                <w:rFonts w:ascii="仿宋_GB2312" w:hAnsi="仿宋_GB2312" w:eastAsia="仿宋_GB2312" w:cs="仿宋_GB2312"/>
                <w:color w:val="000000" w:themeColor="text1"/>
                <w:kern w:val="2"/>
                <w14:textFill>
                  <w14:solidFill>
                    <w14:schemeClr w14:val="tx1"/>
                  </w14:solidFill>
                </w14:textFill>
              </w:rPr>
            </w:pPr>
          </w:p>
        </w:tc>
        <w:tc>
          <w:tcPr>
            <w:tcW w:w="1515" w:type="dxa"/>
            <w:tcBorders>
              <w:top w:val="single" w:color="auto" w:sz="4" w:space="0"/>
              <w:left w:val="single" w:color="auto" w:sz="4" w:space="0"/>
              <w:bottom w:val="single" w:color="auto" w:sz="4" w:space="0"/>
              <w:right w:val="single" w:color="auto" w:sz="4" w:space="0"/>
            </w:tcBorders>
            <w:noWrap/>
          </w:tcPr>
          <w:p w14:paraId="0F7EAB44">
            <w:pPr>
              <w:pStyle w:val="3"/>
              <w:spacing w:before="0" w:line="420" w:lineRule="exact"/>
              <w:rPr>
                <w:rFonts w:ascii="仿宋_GB2312" w:hAnsi="仿宋_GB2312" w:eastAsia="仿宋_GB2312" w:cs="仿宋_GB2312"/>
                <w:color w:val="000000" w:themeColor="text1"/>
                <w:kern w:val="2"/>
                <w14:textFill>
                  <w14:solidFill>
                    <w14:schemeClr w14:val="tx1"/>
                  </w14:solidFill>
                </w14:textFill>
              </w:rPr>
            </w:pPr>
          </w:p>
        </w:tc>
        <w:tc>
          <w:tcPr>
            <w:tcW w:w="570" w:type="dxa"/>
            <w:tcBorders>
              <w:top w:val="single" w:color="auto" w:sz="4" w:space="0"/>
              <w:left w:val="single" w:color="auto" w:sz="4" w:space="0"/>
              <w:bottom w:val="single" w:color="auto" w:sz="4" w:space="0"/>
              <w:right w:val="single" w:color="auto" w:sz="4" w:space="0"/>
            </w:tcBorders>
            <w:noWrap/>
          </w:tcPr>
          <w:p w14:paraId="403C1E0E">
            <w:pPr>
              <w:pStyle w:val="3"/>
              <w:spacing w:before="0" w:line="420" w:lineRule="exact"/>
              <w:rPr>
                <w:rFonts w:ascii="仿宋_GB2312" w:hAnsi="仿宋_GB2312" w:eastAsia="仿宋_GB2312" w:cs="仿宋_GB2312"/>
                <w:color w:val="000000" w:themeColor="text1"/>
                <w:kern w:val="2"/>
                <w14:textFill>
                  <w14:solidFill>
                    <w14:schemeClr w14:val="tx1"/>
                  </w14:solidFill>
                </w14:textFill>
              </w:rPr>
            </w:pPr>
          </w:p>
        </w:tc>
        <w:tc>
          <w:tcPr>
            <w:tcW w:w="645" w:type="dxa"/>
            <w:tcBorders>
              <w:top w:val="single" w:color="auto" w:sz="4" w:space="0"/>
              <w:left w:val="single" w:color="auto" w:sz="4" w:space="0"/>
              <w:bottom w:val="single" w:color="auto" w:sz="4" w:space="0"/>
              <w:right w:val="single" w:color="auto" w:sz="4" w:space="0"/>
            </w:tcBorders>
            <w:noWrap/>
          </w:tcPr>
          <w:p w14:paraId="45DBE99F">
            <w:pPr>
              <w:pStyle w:val="3"/>
              <w:spacing w:before="0" w:line="420" w:lineRule="exact"/>
              <w:rPr>
                <w:rFonts w:ascii="仿宋_GB2312" w:hAnsi="仿宋_GB2312" w:eastAsia="仿宋_GB2312" w:cs="仿宋_GB2312"/>
                <w:color w:val="000000" w:themeColor="text1"/>
                <w:kern w:val="2"/>
                <w14:textFill>
                  <w14:solidFill>
                    <w14:schemeClr w14:val="tx1"/>
                  </w14:solidFill>
                </w14:textFill>
              </w:rPr>
            </w:pPr>
          </w:p>
        </w:tc>
        <w:tc>
          <w:tcPr>
            <w:tcW w:w="1155" w:type="dxa"/>
            <w:tcBorders>
              <w:top w:val="single" w:color="auto" w:sz="4" w:space="0"/>
              <w:left w:val="single" w:color="auto" w:sz="4" w:space="0"/>
              <w:bottom w:val="single" w:color="auto" w:sz="4" w:space="0"/>
              <w:right w:val="single" w:color="auto" w:sz="4" w:space="0"/>
            </w:tcBorders>
            <w:noWrap/>
          </w:tcPr>
          <w:p w14:paraId="5E38796F">
            <w:pPr>
              <w:pStyle w:val="3"/>
              <w:spacing w:before="0" w:line="420" w:lineRule="exact"/>
              <w:rPr>
                <w:rFonts w:ascii="仿宋_GB2312" w:hAnsi="仿宋_GB2312" w:eastAsia="仿宋_GB2312" w:cs="仿宋_GB2312"/>
                <w:color w:val="000000" w:themeColor="text1"/>
                <w:kern w:val="2"/>
                <w14:textFill>
                  <w14:solidFill>
                    <w14:schemeClr w14:val="tx1"/>
                  </w14:solidFill>
                </w14:textFill>
              </w:rPr>
            </w:pPr>
          </w:p>
        </w:tc>
        <w:tc>
          <w:tcPr>
            <w:tcW w:w="1395" w:type="dxa"/>
            <w:tcBorders>
              <w:top w:val="single" w:color="auto" w:sz="4" w:space="0"/>
              <w:left w:val="single" w:color="auto" w:sz="4" w:space="0"/>
              <w:bottom w:val="single" w:color="auto" w:sz="4" w:space="0"/>
              <w:right w:val="single" w:color="auto" w:sz="4" w:space="0"/>
            </w:tcBorders>
            <w:noWrap/>
          </w:tcPr>
          <w:p w14:paraId="242304DA">
            <w:pPr>
              <w:pStyle w:val="3"/>
              <w:spacing w:before="0" w:line="420" w:lineRule="exact"/>
              <w:rPr>
                <w:rFonts w:ascii="仿宋_GB2312" w:hAnsi="仿宋_GB2312" w:eastAsia="仿宋_GB2312" w:cs="仿宋_GB2312"/>
                <w:color w:val="000000" w:themeColor="text1"/>
                <w:kern w:val="2"/>
                <w14:textFill>
                  <w14:solidFill>
                    <w14:schemeClr w14:val="tx1"/>
                  </w14:solidFill>
                </w14:textFill>
              </w:rPr>
            </w:pPr>
          </w:p>
        </w:tc>
        <w:tc>
          <w:tcPr>
            <w:tcW w:w="1335" w:type="dxa"/>
            <w:tcBorders>
              <w:top w:val="single" w:color="auto" w:sz="4" w:space="0"/>
              <w:left w:val="single" w:color="auto" w:sz="4" w:space="0"/>
              <w:bottom w:val="single" w:color="auto" w:sz="4" w:space="0"/>
              <w:right w:val="single" w:color="auto" w:sz="12" w:space="0"/>
            </w:tcBorders>
            <w:noWrap/>
          </w:tcPr>
          <w:p w14:paraId="4E7B1588">
            <w:pPr>
              <w:pStyle w:val="3"/>
              <w:spacing w:before="0" w:line="420" w:lineRule="exact"/>
              <w:rPr>
                <w:rFonts w:ascii="仿宋_GB2312" w:hAnsi="仿宋_GB2312" w:eastAsia="仿宋_GB2312" w:cs="仿宋_GB2312"/>
                <w:color w:val="000000" w:themeColor="text1"/>
                <w:kern w:val="2"/>
                <w14:textFill>
                  <w14:solidFill>
                    <w14:schemeClr w14:val="tx1"/>
                  </w14:solidFill>
                </w14:textFill>
              </w:rPr>
            </w:pPr>
          </w:p>
        </w:tc>
      </w:tr>
      <w:tr w14:paraId="27490D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12" w:space="0"/>
              <w:bottom w:val="single" w:color="auto" w:sz="4" w:space="0"/>
              <w:right w:val="single" w:color="auto" w:sz="4" w:space="0"/>
            </w:tcBorders>
            <w:noWrap/>
          </w:tcPr>
          <w:p w14:paraId="3CF5FA0E">
            <w:pPr>
              <w:pStyle w:val="3"/>
              <w:spacing w:before="0" w:line="420" w:lineRule="exact"/>
              <w:rPr>
                <w:rFonts w:ascii="仿宋_GB2312" w:hAnsi="仿宋_GB2312" w:eastAsia="仿宋_GB2312" w:cs="仿宋_GB2312"/>
                <w:color w:val="000000" w:themeColor="text1"/>
                <w:kern w:val="2"/>
                <w14:textFill>
                  <w14:solidFill>
                    <w14:schemeClr w14:val="tx1"/>
                  </w14:solidFill>
                </w14:textFill>
              </w:rPr>
            </w:pPr>
          </w:p>
        </w:tc>
        <w:tc>
          <w:tcPr>
            <w:tcW w:w="1583" w:type="dxa"/>
            <w:tcBorders>
              <w:top w:val="single" w:color="auto" w:sz="4" w:space="0"/>
              <w:left w:val="single" w:color="auto" w:sz="4" w:space="0"/>
              <w:bottom w:val="single" w:color="auto" w:sz="4" w:space="0"/>
              <w:right w:val="single" w:color="auto" w:sz="4" w:space="0"/>
            </w:tcBorders>
            <w:noWrap/>
          </w:tcPr>
          <w:p w14:paraId="3B6E283A">
            <w:pPr>
              <w:pStyle w:val="3"/>
              <w:spacing w:before="0" w:line="420" w:lineRule="exact"/>
              <w:rPr>
                <w:rFonts w:ascii="仿宋_GB2312" w:hAnsi="仿宋_GB2312" w:eastAsia="仿宋_GB2312" w:cs="仿宋_GB2312"/>
                <w:color w:val="000000" w:themeColor="text1"/>
                <w:kern w:val="2"/>
                <w14:textFill>
                  <w14:solidFill>
                    <w14:schemeClr w14:val="tx1"/>
                  </w14:solidFill>
                </w14:textFill>
              </w:rPr>
            </w:pPr>
          </w:p>
        </w:tc>
        <w:tc>
          <w:tcPr>
            <w:tcW w:w="1515" w:type="dxa"/>
            <w:tcBorders>
              <w:top w:val="single" w:color="auto" w:sz="4" w:space="0"/>
              <w:left w:val="single" w:color="auto" w:sz="4" w:space="0"/>
              <w:bottom w:val="single" w:color="auto" w:sz="4" w:space="0"/>
              <w:right w:val="single" w:color="auto" w:sz="4" w:space="0"/>
            </w:tcBorders>
            <w:noWrap/>
          </w:tcPr>
          <w:p w14:paraId="72C9105A">
            <w:pPr>
              <w:pStyle w:val="3"/>
              <w:spacing w:before="0" w:line="420" w:lineRule="exact"/>
              <w:rPr>
                <w:rFonts w:ascii="仿宋_GB2312" w:hAnsi="仿宋_GB2312" w:eastAsia="仿宋_GB2312" w:cs="仿宋_GB2312"/>
                <w:color w:val="000000" w:themeColor="text1"/>
                <w:kern w:val="2"/>
                <w14:textFill>
                  <w14:solidFill>
                    <w14:schemeClr w14:val="tx1"/>
                  </w14:solidFill>
                </w14:textFill>
              </w:rPr>
            </w:pPr>
          </w:p>
        </w:tc>
        <w:tc>
          <w:tcPr>
            <w:tcW w:w="570" w:type="dxa"/>
            <w:tcBorders>
              <w:top w:val="single" w:color="auto" w:sz="4" w:space="0"/>
              <w:left w:val="single" w:color="auto" w:sz="4" w:space="0"/>
              <w:bottom w:val="single" w:color="auto" w:sz="4" w:space="0"/>
              <w:right w:val="single" w:color="auto" w:sz="4" w:space="0"/>
            </w:tcBorders>
            <w:noWrap/>
          </w:tcPr>
          <w:p w14:paraId="2AE40FFB">
            <w:pPr>
              <w:pStyle w:val="3"/>
              <w:spacing w:before="0" w:line="420" w:lineRule="exact"/>
              <w:rPr>
                <w:rFonts w:ascii="仿宋_GB2312" w:hAnsi="仿宋_GB2312" w:eastAsia="仿宋_GB2312" w:cs="仿宋_GB2312"/>
                <w:color w:val="000000" w:themeColor="text1"/>
                <w:kern w:val="2"/>
                <w14:textFill>
                  <w14:solidFill>
                    <w14:schemeClr w14:val="tx1"/>
                  </w14:solidFill>
                </w14:textFill>
              </w:rPr>
            </w:pPr>
          </w:p>
        </w:tc>
        <w:tc>
          <w:tcPr>
            <w:tcW w:w="645" w:type="dxa"/>
            <w:tcBorders>
              <w:top w:val="single" w:color="auto" w:sz="4" w:space="0"/>
              <w:left w:val="single" w:color="auto" w:sz="4" w:space="0"/>
              <w:bottom w:val="single" w:color="auto" w:sz="4" w:space="0"/>
              <w:right w:val="single" w:color="auto" w:sz="4" w:space="0"/>
            </w:tcBorders>
            <w:noWrap/>
          </w:tcPr>
          <w:p w14:paraId="5D3C5E14">
            <w:pPr>
              <w:pStyle w:val="3"/>
              <w:spacing w:before="0" w:line="420" w:lineRule="exact"/>
              <w:rPr>
                <w:rFonts w:ascii="仿宋_GB2312" w:hAnsi="仿宋_GB2312" w:eastAsia="仿宋_GB2312" w:cs="仿宋_GB2312"/>
                <w:color w:val="000000" w:themeColor="text1"/>
                <w:kern w:val="2"/>
                <w14:textFill>
                  <w14:solidFill>
                    <w14:schemeClr w14:val="tx1"/>
                  </w14:solidFill>
                </w14:textFill>
              </w:rPr>
            </w:pPr>
          </w:p>
        </w:tc>
        <w:tc>
          <w:tcPr>
            <w:tcW w:w="1155" w:type="dxa"/>
            <w:tcBorders>
              <w:top w:val="single" w:color="auto" w:sz="4" w:space="0"/>
              <w:left w:val="single" w:color="auto" w:sz="4" w:space="0"/>
              <w:bottom w:val="single" w:color="auto" w:sz="4" w:space="0"/>
              <w:right w:val="single" w:color="auto" w:sz="4" w:space="0"/>
            </w:tcBorders>
            <w:noWrap/>
          </w:tcPr>
          <w:p w14:paraId="32AF17C4">
            <w:pPr>
              <w:pStyle w:val="3"/>
              <w:spacing w:before="0" w:line="420" w:lineRule="exact"/>
              <w:rPr>
                <w:rFonts w:ascii="仿宋_GB2312" w:hAnsi="仿宋_GB2312" w:eastAsia="仿宋_GB2312" w:cs="仿宋_GB2312"/>
                <w:color w:val="000000" w:themeColor="text1"/>
                <w:kern w:val="2"/>
                <w14:textFill>
                  <w14:solidFill>
                    <w14:schemeClr w14:val="tx1"/>
                  </w14:solidFill>
                </w14:textFill>
              </w:rPr>
            </w:pPr>
          </w:p>
        </w:tc>
        <w:tc>
          <w:tcPr>
            <w:tcW w:w="1395" w:type="dxa"/>
            <w:tcBorders>
              <w:top w:val="single" w:color="auto" w:sz="4" w:space="0"/>
              <w:left w:val="single" w:color="auto" w:sz="4" w:space="0"/>
              <w:bottom w:val="single" w:color="auto" w:sz="4" w:space="0"/>
              <w:right w:val="single" w:color="auto" w:sz="4" w:space="0"/>
            </w:tcBorders>
            <w:noWrap/>
          </w:tcPr>
          <w:p w14:paraId="444F16DD">
            <w:pPr>
              <w:pStyle w:val="3"/>
              <w:spacing w:before="0" w:line="420" w:lineRule="exact"/>
              <w:rPr>
                <w:rFonts w:ascii="仿宋_GB2312" w:hAnsi="仿宋_GB2312" w:eastAsia="仿宋_GB2312" w:cs="仿宋_GB2312"/>
                <w:color w:val="000000" w:themeColor="text1"/>
                <w:kern w:val="2"/>
                <w14:textFill>
                  <w14:solidFill>
                    <w14:schemeClr w14:val="tx1"/>
                  </w14:solidFill>
                </w14:textFill>
              </w:rPr>
            </w:pPr>
          </w:p>
        </w:tc>
        <w:tc>
          <w:tcPr>
            <w:tcW w:w="1335" w:type="dxa"/>
            <w:tcBorders>
              <w:top w:val="single" w:color="auto" w:sz="4" w:space="0"/>
              <w:left w:val="single" w:color="auto" w:sz="4" w:space="0"/>
              <w:bottom w:val="single" w:color="auto" w:sz="4" w:space="0"/>
              <w:right w:val="single" w:color="auto" w:sz="12" w:space="0"/>
            </w:tcBorders>
            <w:noWrap/>
          </w:tcPr>
          <w:p w14:paraId="753B8399">
            <w:pPr>
              <w:pStyle w:val="3"/>
              <w:spacing w:before="0" w:line="420" w:lineRule="exact"/>
              <w:rPr>
                <w:rFonts w:ascii="仿宋_GB2312" w:hAnsi="仿宋_GB2312" w:eastAsia="仿宋_GB2312" w:cs="仿宋_GB2312"/>
                <w:color w:val="000000" w:themeColor="text1"/>
                <w:kern w:val="2"/>
                <w14:textFill>
                  <w14:solidFill>
                    <w14:schemeClr w14:val="tx1"/>
                  </w14:solidFill>
                </w14:textFill>
              </w:rPr>
            </w:pPr>
          </w:p>
        </w:tc>
      </w:tr>
      <w:tr w14:paraId="2F7803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12" w:space="0"/>
              <w:bottom w:val="single" w:color="auto" w:sz="4" w:space="0"/>
              <w:right w:val="single" w:color="auto" w:sz="4" w:space="0"/>
            </w:tcBorders>
            <w:noWrap/>
          </w:tcPr>
          <w:p w14:paraId="0BA1BF19">
            <w:pPr>
              <w:pStyle w:val="3"/>
              <w:spacing w:before="0" w:line="420" w:lineRule="exact"/>
              <w:rPr>
                <w:rFonts w:ascii="仿宋_GB2312" w:hAnsi="仿宋_GB2312" w:eastAsia="仿宋_GB2312" w:cs="仿宋_GB2312"/>
                <w:color w:val="000000" w:themeColor="text1"/>
                <w:kern w:val="2"/>
                <w14:textFill>
                  <w14:solidFill>
                    <w14:schemeClr w14:val="tx1"/>
                  </w14:solidFill>
                </w14:textFill>
              </w:rPr>
            </w:pPr>
          </w:p>
        </w:tc>
        <w:tc>
          <w:tcPr>
            <w:tcW w:w="1583" w:type="dxa"/>
            <w:tcBorders>
              <w:top w:val="single" w:color="auto" w:sz="4" w:space="0"/>
              <w:left w:val="single" w:color="auto" w:sz="4" w:space="0"/>
              <w:bottom w:val="single" w:color="auto" w:sz="4" w:space="0"/>
              <w:right w:val="single" w:color="auto" w:sz="4" w:space="0"/>
            </w:tcBorders>
            <w:noWrap/>
          </w:tcPr>
          <w:p w14:paraId="6814EF94">
            <w:pPr>
              <w:pStyle w:val="3"/>
              <w:spacing w:before="0" w:line="420" w:lineRule="exact"/>
              <w:rPr>
                <w:rFonts w:ascii="仿宋_GB2312" w:hAnsi="仿宋_GB2312" w:eastAsia="仿宋_GB2312" w:cs="仿宋_GB2312"/>
                <w:color w:val="000000" w:themeColor="text1"/>
                <w:kern w:val="2"/>
                <w14:textFill>
                  <w14:solidFill>
                    <w14:schemeClr w14:val="tx1"/>
                  </w14:solidFill>
                </w14:textFill>
              </w:rPr>
            </w:pPr>
          </w:p>
        </w:tc>
        <w:tc>
          <w:tcPr>
            <w:tcW w:w="1515" w:type="dxa"/>
            <w:tcBorders>
              <w:top w:val="single" w:color="auto" w:sz="4" w:space="0"/>
              <w:left w:val="single" w:color="auto" w:sz="4" w:space="0"/>
              <w:bottom w:val="single" w:color="auto" w:sz="4" w:space="0"/>
              <w:right w:val="single" w:color="auto" w:sz="4" w:space="0"/>
            </w:tcBorders>
            <w:noWrap/>
          </w:tcPr>
          <w:p w14:paraId="1D21BA3F">
            <w:pPr>
              <w:pStyle w:val="3"/>
              <w:spacing w:before="0" w:line="420" w:lineRule="exact"/>
              <w:rPr>
                <w:rFonts w:ascii="仿宋_GB2312" w:hAnsi="仿宋_GB2312" w:eastAsia="仿宋_GB2312" w:cs="仿宋_GB2312"/>
                <w:color w:val="000000" w:themeColor="text1"/>
                <w:kern w:val="2"/>
                <w14:textFill>
                  <w14:solidFill>
                    <w14:schemeClr w14:val="tx1"/>
                  </w14:solidFill>
                </w14:textFill>
              </w:rPr>
            </w:pPr>
          </w:p>
        </w:tc>
        <w:tc>
          <w:tcPr>
            <w:tcW w:w="570" w:type="dxa"/>
            <w:tcBorders>
              <w:top w:val="single" w:color="auto" w:sz="4" w:space="0"/>
              <w:left w:val="single" w:color="auto" w:sz="4" w:space="0"/>
              <w:bottom w:val="single" w:color="auto" w:sz="4" w:space="0"/>
              <w:right w:val="single" w:color="auto" w:sz="4" w:space="0"/>
            </w:tcBorders>
            <w:noWrap/>
          </w:tcPr>
          <w:p w14:paraId="04944094">
            <w:pPr>
              <w:pStyle w:val="3"/>
              <w:spacing w:before="0" w:line="420" w:lineRule="exact"/>
              <w:rPr>
                <w:rFonts w:ascii="仿宋_GB2312" w:hAnsi="仿宋_GB2312" w:eastAsia="仿宋_GB2312" w:cs="仿宋_GB2312"/>
                <w:color w:val="000000" w:themeColor="text1"/>
                <w:kern w:val="2"/>
                <w14:textFill>
                  <w14:solidFill>
                    <w14:schemeClr w14:val="tx1"/>
                  </w14:solidFill>
                </w14:textFill>
              </w:rPr>
            </w:pPr>
          </w:p>
        </w:tc>
        <w:tc>
          <w:tcPr>
            <w:tcW w:w="645" w:type="dxa"/>
            <w:tcBorders>
              <w:top w:val="single" w:color="auto" w:sz="4" w:space="0"/>
              <w:left w:val="single" w:color="auto" w:sz="4" w:space="0"/>
              <w:bottom w:val="single" w:color="auto" w:sz="4" w:space="0"/>
              <w:right w:val="single" w:color="auto" w:sz="4" w:space="0"/>
            </w:tcBorders>
            <w:noWrap/>
          </w:tcPr>
          <w:p w14:paraId="5697045A">
            <w:pPr>
              <w:pStyle w:val="3"/>
              <w:spacing w:before="0" w:line="420" w:lineRule="exact"/>
              <w:rPr>
                <w:rFonts w:ascii="仿宋_GB2312" w:hAnsi="仿宋_GB2312" w:eastAsia="仿宋_GB2312" w:cs="仿宋_GB2312"/>
                <w:color w:val="000000" w:themeColor="text1"/>
                <w:kern w:val="2"/>
                <w14:textFill>
                  <w14:solidFill>
                    <w14:schemeClr w14:val="tx1"/>
                  </w14:solidFill>
                </w14:textFill>
              </w:rPr>
            </w:pPr>
          </w:p>
        </w:tc>
        <w:tc>
          <w:tcPr>
            <w:tcW w:w="1155" w:type="dxa"/>
            <w:tcBorders>
              <w:top w:val="single" w:color="auto" w:sz="4" w:space="0"/>
              <w:left w:val="single" w:color="auto" w:sz="4" w:space="0"/>
              <w:bottom w:val="single" w:color="auto" w:sz="4" w:space="0"/>
              <w:right w:val="single" w:color="auto" w:sz="4" w:space="0"/>
            </w:tcBorders>
            <w:noWrap/>
          </w:tcPr>
          <w:p w14:paraId="51617C77">
            <w:pPr>
              <w:pStyle w:val="3"/>
              <w:spacing w:before="0" w:line="420" w:lineRule="exact"/>
              <w:rPr>
                <w:rFonts w:ascii="仿宋_GB2312" w:hAnsi="仿宋_GB2312" w:eastAsia="仿宋_GB2312" w:cs="仿宋_GB2312"/>
                <w:color w:val="000000" w:themeColor="text1"/>
                <w:kern w:val="2"/>
                <w14:textFill>
                  <w14:solidFill>
                    <w14:schemeClr w14:val="tx1"/>
                  </w14:solidFill>
                </w14:textFill>
              </w:rPr>
            </w:pPr>
          </w:p>
        </w:tc>
        <w:tc>
          <w:tcPr>
            <w:tcW w:w="1395" w:type="dxa"/>
            <w:tcBorders>
              <w:top w:val="single" w:color="auto" w:sz="4" w:space="0"/>
              <w:left w:val="single" w:color="auto" w:sz="4" w:space="0"/>
              <w:bottom w:val="single" w:color="auto" w:sz="4" w:space="0"/>
              <w:right w:val="single" w:color="auto" w:sz="4" w:space="0"/>
            </w:tcBorders>
            <w:noWrap/>
          </w:tcPr>
          <w:p w14:paraId="5ACF44A0">
            <w:pPr>
              <w:pStyle w:val="3"/>
              <w:spacing w:before="0" w:line="420" w:lineRule="exact"/>
              <w:rPr>
                <w:rFonts w:ascii="仿宋_GB2312" w:hAnsi="仿宋_GB2312" w:eastAsia="仿宋_GB2312" w:cs="仿宋_GB2312"/>
                <w:color w:val="000000" w:themeColor="text1"/>
                <w:kern w:val="2"/>
                <w14:textFill>
                  <w14:solidFill>
                    <w14:schemeClr w14:val="tx1"/>
                  </w14:solidFill>
                </w14:textFill>
              </w:rPr>
            </w:pPr>
          </w:p>
        </w:tc>
        <w:tc>
          <w:tcPr>
            <w:tcW w:w="1335" w:type="dxa"/>
            <w:tcBorders>
              <w:top w:val="single" w:color="auto" w:sz="4" w:space="0"/>
              <w:left w:val="single" w:color="auto" w:sz="4" w:space="0"/>
              <w:bottom w:val="single" w:color="auto" w:sz="4" w:space="0"/>
              <w:right w:val="single" w:color="auto" w:sz="12" w:space="0"/>
            </w:tcBorders>
            <w:noWrap/>
          </w:tcPr>
          <w:p w14:paraId="3AE0CDBF">
            <w:pPr>
              <w:pStyle w:val="3"/>
              <w:spacing w:before="0" w:line="420" w:lineRule="exact"/>
              <w:rPr>
                <w:rFonts w:ascii="仿宋_GB2312" w:hAnsi="仿宋_GB2312" w:eastAsia="仿宋_GB2312" w:cs="仿宋_GB2312"/>
                <w:color w:val="000000" w:themeColor="text1"/>
                <w:kern w:val="2"/>
                <w14:textFill>
                  <w14:solidFill>
                    <w14:schemeClr w14:val="tx1"/>
                  </w14:solidFill>
                </w14:textFill>
              </w:rPr>
            </w:pPr>
          </w:p>
        </w:tc>
      </w:tr>
      <w:tr w14:paraId="194F60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12" w:space="0"/>
              <w:bottom w:val="single" w:color="auto" w:sz="4" w:space="0"/>
              <w:right w:val="single" w:color="auto" w:sz="4" w:space="0"/>
            </w:tcBorders>
            <w:noWrap/>
          </w:tcPr>
          <w:p w14:paraId="078989E8">
            <w:pPr>
              <w:pStyle w:val="3"/>
              <w:spacing w:before="0" w:line="420" w:lineRule="exact"/>
              <w:rPr>
                <w:rFonts w:ascii="仿宋_GB2312" w:hAnsi="仿宋_GB2312" w:eastAsia="仿宋_GB2312" w:cs="仿宋_GB2312"/>
                <w:color w:val="000000" w:themeColor="text1"/>
                <w:kern w:val="2"/>
                <w14:textFill>
                  <w14:solidFill>
                    <w14:schemeClr w14:val="tx1"/>
                  </w14:solidFill>
                </w14:textFill>
              </w:rPr>
            </w:pPr>
          </w:p>
        </w:tc>
        <w:tc>
          <w:tcPr>
            <w:tcW w:w="1583" w:type="dxa"/>
            <w:tcBorders>
              <w:top w:val="single" w:color="auto" w:sz="4" w:space="0"/>
              <w:left w:val="single" w:color="auto" w:sz="4" w:space="0"/>
              <w:bottom w:val="single" w:color="auto" w:sz="4" w:space="0"/>
              <w:right w:val="single" w:color="auto" w:sz="4" w:space="0"/>
            </w:tcBorders>
            <w:noWrap/>
          </w:tcPr>
          <w:p w14:paraId="6144051B">
            <w:pPr>
              <w:pStyle w:val="3"/>
              <w:spacing w:before="0" w:line="420" w:lineRule="exact"/>
              <w:rPr>
                <w:rFonts w:ascii="仿宋_GB2312" w:hAnsi="仿宋_GB2312" w:eastAsia="仿宋_GB2312" w:cs="仿宋_GB2312"/>
                <w:color w:val="000000" w:themeColor="text1"/>
                <w:kern w:val="2"/>
                <w14:textFill>
                  <w14:solidFill>
                    <w14:schemeClr w14:val="tx1"/>
                  </w14:solidFill>
                </w14:textFill>
              </w:rPr>
            </w:pPr>
          </w:p>
        </w:tc>
        <w:tc>
          <w:tcPr>
            <w:tcW w:w="1515" w:type="dxa"/>
            <w:tcBorders>
              <w:top w:val="single" w:color="auto" w:sz="4" w:space="0"/>
              <w:left w:val="single" w:color="auto" w:sz="4" w:space="0"/>
              <w:bottom w:val="single" w:color="auto" w:sz="4" w:space="0"/>
              <w:right w:val="single" w:color="auto" w:sz="4" w:space="0"/>
            </w:tcBorders>
            <w:noWrap/>
          </w:tcPr>
          <w:p w14:paraId="58BCB26C">
            <w:pPr>
              <w:pStyle w:val="3"/>
              <w:spacing w:before="0" w:line="420" w:lineRule="exact"/>
              <w:rPr>
                <w:rFonts w:ascii="仿宋_GB2312" w:hAnsi="仿宋_GB2312" w:eastAsia="仿宋_GB2312" w:cs="仿宋_GB2312"/>
                <w:color w:val="000000" w:themeColor="text1"/>
                <w:kern w:val="2"/>
                <w14:textFill>
                  <w14:solidFill>
                    <w14:schemeClr w14:val="tx1"/>
                  </w14:solidFill>
                </w14:textFill>
              </w:rPr>
            </w:pPr>
          </w:p>
        </w:tc>
        <w:tc>
          <w:tcPr>
            <w:tcW w:w="570" w:type="dxa"/>
            <w:tcBorders>
              <w:top w:val="single" w:color="auto" w:sz="4" w:space="0"/>
              <w:left w:val="single" w:color="auto" w:sz="4" w:space="0"/>
              <w:bottom w:val="single" w:color="auto" w:sz="4" w:space="0"/>
              <w:right w:val="single" w:color="auto" w:sz="4" w:space="0"/>
            </w:tcBorders>
            <w:noWrap/>
          </w:tcPr>
          <w:p w14:paraId="0605ABF9">
            <w:pPr>
              <w:pStyle w:val="3"/>
              <w:spacing w:before="0" w:line="420" w:lineRule="exact"/>
              <w:rPr>
                <w:rFonts w:ascii="仿宋_GB2312" w:hAnsi="仿宋_GB2312" w:eastAsia="仿宋_GB2312" w:cs="仿宋_GB2312"/>
                <w:color w:val="000000" w:themeColor="text1"/>
                <w:kern w:val="2"/>
                <w14:textFill>
                  <w14:solidFill>
                    <w14:schemeClr w14:val="tx1"/>
                  </w14:solidFill>
                </w14:textFill>
              </w:rPr>
            </w:pPr>
          </w:p>
        </w:tc>
        <w:tc>
          <w:tcPr>
            <w:tcW w:w="645" w:type="dxa"/>
            <w:tcBorders>
              <w:top w:val="single" w:color="auto" w:sz="4" w:space="0"/>
              <w:left w:val="single" w:color="auto" w:sz="4" w:space="0"/>
              <w:bottom w:val="single" w:color="auto" w:sz="4" w:space="0"/>
              <w:right w:val="single" w:color="auto" w:sz="4" w:space="0"/>
            </w:tcBorders>
            <w:noWrap/>
          </w:tcPr>
          <w:p w14:paraId="28816287">
            <w:pPr>
              <w:pStyle w:val="3"/>
              <w:spacing w:before="0" w:line="420" w:lineRule="exact"/>
              <w:rPr>
                <w:rFonts w:ascii="仿宋_GB2312" w:hAnsi="仿宋_GB2312" w:eastAsia="仿宋_GB2312" w:cs="仿宋_GB2312"/>
                <w:color w:val="000000" w:themeColor="text1"/>
                <w:kern w:val="2"/>
                <w14:textFill>
                  <w14:solidFill>
                    <w14:schemeClr w14:val="tx1"/>
                  </w14:solidFill>
                </w14:textFill>
              </w:rPr>
            </w:pPr>
          </w:p>
        </w:tc>
        <w:tc>
          <w:tcPr>
            <w:tcW w:w="1155" w:type="dxa"/>
            <w:tcBorders>
              <w:top w:val="single" w:color="auto" w:sz="4" w:space="0"/>
              <w:left w:val="single" w:color="auto" w:sz="4" w:space="0"/>
              <w:bottom w:val="single" w:color="auto" w:sz="4" w:space="0"/>
              <w:right w:val="single" w:color="auto" w:sz="4" w:space="0"/>
            </w:tcBorders>
            <w:noWrap/>
          </w:tcPr>
          <w:p w14:paraId="63B7547A">
            <w:pPr>
              <w:pStyle w:val="3"/>
              <w:spacing w:before="0" w:line="420" w:lineRule="exact"/>
              <w:rPr>
                <w:rFonts w:ascii="仿宋_GB2312" w:hAnsi="仿宋_GB2312" w:eastAsia="仿宋_GB2312" w:cs="仿宋_GB2312"/>
                <w:color w:val="000000" w:themeColor="text1"/>
                <w:kern w:val="2"/>
                <w14:textFill>
                  <w14:solidFill>
                    <w14:schemeClr w14:val="tx1"/>
                  </w14:solidFill>
                </w14:textFill>
              </w:rPr>
            </w:pPr>
          </w:p>
        </w:tc>
        <w:tc>
          <w:tcPr>
            <w:tcW w:w="1395" w:type="dxa"/>
            <w:tcBorders>
              <w:top w:val="single" w:color="auto" w:sz="4" w:space="0"/>
              <w:left w:val="single" w:color="auto" w:sz="4" w:space="0"/>
              <w:bottom w:val="single" w:color="auto" w:sz="4" w:space="0"/>
              <w:right w:val="single" w:color="auto" w:sz="4" w:space="0"/>
            </w:tcBorders>
            <w:noWrap/>
          </w:tcPr>
          <w:p w14:paraId="4336D3E3">
            <w:pPr>
              <w:pStyle w:val="3"/>
              <w:spacing w:before="0" w:line="420" w:lineRule="exact"/>
              <w:rPr>
                <w:rFonts w:ascii="仿宋_GB2312" w:hAnsi="仿宋_GB2312" w:eastAsia="仿宋_GB2312" w:cs="仿宋_GB2312"/>
                <w:color w:val="000000" w:themeColor="text1"/>
                <w:kern w:val="2"/>
                <w14:textFill>
                  <w14:solidFill>
                    <w14:schemeClr w14:val="tx1"/>
                  </w14:solidFill>
                </w14:textFill>
              </w:rPr>
            </w:pPr>
          </w:p>
        </w:tc>
        <w:tc>
          <w:tcPr>
            <w:tcW w:w="1335" w:type="dxa"/>
            <w:tcBorders>
              <w:top w:val="single" w:color="auto" w:sz="4" w:space="0"/>
              <w:left w:val="single" w:color="auto" w:sz="4" w:space="0"/>
              <w:bottom w:val="single" w:color="auto" w:sz="4" w:space="0"/>
              <w:right w:val="single" w:color="auto" w:sz="12" w:space="0"/>
            </w:tcBorders>
            <w:noWrap/>
          </w:tcPr>
          <w:p w14:paraId="6C71B555">
            <w:pPr>
              <w:pStyle w:val="3"/>
              <w:spacing w:before="0" w:line="420" w:lineRule="exact"/>
              <w:rPr>
                <w:rFonts w:ascii="仿宋_GB2312" w:hAnsi="仿宋_GB2312" w:eastAsia="仿宋_GB2312" w:cs="仿宋_GB2312"/>
                <w:color w:val="000000" w:themeColor="text1"/>
                <w:kern w:val="2"/>
                <w14:textFill>
                  <w14:solidFill>
                    <w14:schemeClr w14:val="tx1"/>
                  </w14:solidFill>
                </w14:textFill>
              </w:rPr>
            </w:pPr>
          </w:p>
        </w:tc>
      </w:tr>
      <w:tr w14:paraId="6A5F98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12" w:space="0"/>
              <w:bottom w:val="single" w:color="auto" w:sz="4" w:space="0"/>
              <w:right w:val="single" w:color="auto" w:sz="4" w:space="0"/>
            </w:tcBorders>
            <w:noWrap/>
          </w:tcPr>
          <w:p w14:paraId="7AB86EEC">
            <w:pPr>
              <w:pStyle w:val="3"/>
              <w:spacing w:before="0" w:line="420" w:lineRule="exact"/>
              <w:rPr>
                <w:rFonts w:ascii="仿宋_GB2312" w:hAnsi="仿宋_GB2312" w:eastAsia="仿宋_GB2312" w:cs="仿宋_GB2312"/>
                <w:color w:val="000000" w:themeColor="text1"/>
                <w:kern w:val="2"/>
                <w14:textFill>
                  <w14:solidFill>
                    <w14:schemeClr w14:val="tx1"/>
                  </w14:solidFill>
                </w14:textFill>
              </w:rPr>
            </w:pPr>
          </w:p>
        </w:tc>
        <w:tc>
          <w:tcPr>
            <w:tcW w:w="1583" w:type="dxa"/>
            <w:tcBorders>
              <w:top w:val="single" w:color="auto" w:sz="4" w:space="0"/>
              <w:left w:val="single" w:color="auto" w:sz="4" w:space="0"/>
              <w:bottom w:val="single" w:color="auto" w:sz="4" w:space="0"/>
              <w:right w:val="single" w:color="auto" w:sz="4" w:space="0"/>
            </w:tcBorders>
            <w:noWrap/>
          </w:tcPr>
          <w:p w14:paraId="416E95F9">
            <w:pPr>
              <w:pStyle w:val="3"/>
              <w:spacing w:before="0" w:line="420" w:lineRule="exact"/>
              <w:rPr>
                <w:rFonts w:ascii="仿宋_GB2312" w:hAnsi="仿宋_GB2312" w:eastAsia="仿宋_GB2312" w:cs="仿宋_GB2312"/>
                <w:color w:val="000000" w:themeColor="text1"/>
                <w:kern w:val="2"/>
                <w14:textFill>
                  <w14:solidFill>
                    <w14:schemeClr w14:val="tx1"/>
                  </w14:solidFill>
                </w14:textFill>
              </w:rPr>
            </w:pPr>
          </w:p>
        </w:tc>
        <w:tc>
          <w:tcPr>
            <w:tcW w:w="1515" w:type="dxa"/>
            <w:tcBorders>
              <w:top w:val="single" w:color="auto" w:sz="4" w:space="0"/>
              <w:left w:val="single" w:color="auto" w:sz="4" w:space="0"/>
              <w:bottom w:val="single" w:color="auto" w:sz="4" w:space="0"/>
              <w:right w:val="single" w:color="auto" w:sz="4" w:space="0"/>
            </w:tcBorders>
            <w:noWrap/>
          </w:tcPr>
          <w:p w14:paraId="3DAAEC9A">
            <w:pPr>
              <w:pStyle w:val="3"/>
              <w:spacing w:before="0" w:line="420" w:lineRule="exact"/>
              <w:rPr>
                <w:rFonts w:ascii="仿宋_GB2312" w:hAnsi="仿宋_GB2312" w:eastAsia="仿宋_GB2312" w:cs="仿宋_GB2312"/>
                <w:color w:val="000000" w:themeColor="text1"/>
                <w:kern w:val="2"/>
                <w14:textFill>
                  <w14:solidFill>
                    <w14:schemeClr w14:val="tx1"/>
                  </w14:solidFill>
                </w14:textFill>
              </w:rPr>
            </w:pPr>
          </w:p>
        </w:tc>
        <w:tc>
          <w:tcPr>
            <w:tcW w:w="570" w:type="dxa"/>
            <w:tcBorders>
              <w:top w:val="single" w:color="auto" w:sz="4" w:space="0"/>
              <w:left w:val="single" w:color="auto" w:sz="4" w:space="0"/>
              <w:bottom w:val="single" w:color="auto" w:sz="4" w:space="0"/>
              <w:right w:val="single" w:color="auto" w:sz="4" w:space="0"/>
            </w:tcBorders>
            <w:noWrap/>
          </w:tcPr>
          <w:p w14:paraId="3182A31C">
            <w:pPr>
              <w:pStyle w:val="3"/>
              <w:spacing w:before="0" w:line="420" w:lineRule="exact"/>
              <w:rPr>
                <w:rFonts w:ascii="仿宋_GB2312" w:hAnsi="仿宋_GB2312" w:eastAsia="仿宋_GB2312" w:cs="仿宋_GB2312"/>
                <w:color w:val="000000" w:themeColor="text1"/>
                <w:kern w:val="2"/>
                <w14:textFill>
                  <w14:solidFill>
                    <w14:schemeClr w14:val="tx1"/>
                  </w14:solidFill>
                </w14:textFill>
              </w:rPr>
            </w:pPr>
          </w:p>
        </w:tc>
        <w:tc>
          <w:tcPr>
            <w:tcW w:w="645" w:type="dxa"/>
            <w:tcBorders>
              <w:top w:val="single" w:color="auto" w:sz="4" w:space="0"/>
              <w:left w:val="single" w:color="auto" w:sz="4" w:space="0"/>
              <w:bottom w:val="single" w:color="auto" w:sz="4" w:space="0"/>
              <w:right w:val="single" w:color="auto" w:sz="4" w:space="0"/>
            </w:tcBorders>
            <w:noWrap/>
          </w:tcPr>
          <w:p w14:paraId="35F72A1C">
            <w:pPr>
              <w:pStyle w:val="3"/>
              <w:spacing w:before="0" w:line="420" w:lineRule="exact"/>
              <w:rPr>
                <w:rFonts w:ascii="仿宋_GB2312" w:hAnsi="仿宋_GB2312" w:eastAsia="仿宋_GB2312" w:cs="仿宋_GB2312"/>
                <w:color w:val="000000" w:themeColor="text1"/>
                <w:kern w:val="2"/>
                <w14:textFill>
                  <w14:solidFill>
                    <w14:schemeClr w14:val="tx1"/>
                  </w14:solidFill>
                </w14:textFill>
              </w:rPr>
            </w:pPr>
          </w:p>
        </w:tc>
        <w:tc>
          <w:tcPr>
            <w:tcW w:w="1155" w:type="dxa"/>
            <w:tcBorders>
              <w:top w:val="single" w:color="auto" w:sz="4" w:space="0"/>
              <w:left w:val="single" w:color="auto" w:sz="4" w:space="0"/>
              <w:bottom w:val="single" w:color="auto" w:sz="4" w:space="0"/>
              <w:right w:val="single" w:color="auto" w:sz="4" w:space="0"/>
            </w:tcBorders>
            <w:noWrap/>
          </w:tcPr>
          <w:p w14:paraId="1B446A54">
            <w:pPr>
              <w:pStyle w:val="3"/>
              <w:spacing w:before="0" w:line="420" w:lineRule="exact"/>
              <w:rPr>
                <w:rFonts w:ascii="仿宋_GB2312" w:hAnsi="仿宋_GB2312" w:eastAsia="仿宋_GB2312" w:cs="仿宋_GB2312"/>
                <w:color w:val="000000" w:themeColor="text1"/>
                <w:kern w:val="2"/>
                <w14:textFill>
                  <w14:solidFill>
                    <w14:schemeClr w14:val="tx1"/>
                  </w14:solidFill>
                </w14:textFill>
              </w:rPr>
            </w:pPr>
          </w:p>
        </w:tc>
        <w:tc>
          <w:tcPr>
            <w:tcW w:w="1395" w:type="dxa"/>
            <w:tcBorders>
              <w:top w:val="single" w:color="auto" w:sz="4" w:space="0"/>
              <w:left w:val="single" w:color="auto" w:sz="4" w:space="0"/>
              <w:bottom w:val="single" w:color="auto" w:sz="4" w:space="0"/>
              <w:right w:val="single" w:color="auto" w:sz="4" w:space="0"/>
            </w:tcBorders>
            <w:noWrap/>
          </w:tcPr>
          <w:p w14:paraId="582E23C3">
            <w:pPr>
              <w:pStyle w:val="3"/>
              <w:spacing w:before="0" w:line="420" w:lineRule="exact"/>
              <w:rPr>
                <w:rFonts w:ascii="仿宋_GB2312" w:hAnsi="仿宋_GB2312" w:eastAsia="仿宋_GB2312" w:cs="仿宋_GB2312"/>
                <w:color w:val="000000" w:themeColor="text1"/>
                <w:kern w:val="2"/>
                <w14:textFill>
                  <w14:solidFill>
                    <w14:schemeClr w14:val="tx1"/>
                  </w14:solidFill>
                </w14:textFill>
              </w:rPr>
            </w:pPr>
          </w:p>
        </w:tc>
        <w:tc>
          <w:tcPr>
            <w:tcW w:w="1335" w:type="dxa"/>
            <w:tcBorders>
              <w:top w:val="single" w:color="auto" w:sz="4" w:space="0"/>
              <w:left w:val="single" w:color="auto" w:sz="4" w:space="0"/>
              <w:bottom w:val="single" w:color="auto" w:sz="4" w:space="0"/>
              <w:right w:val="single" w:color="auto" w:sz="12" w:space="0"/>
            </w:tcBorders>
            <w:noWrap/>
          </w:tcPr>
          <w:p w14:paraId="6A5C0A16">
            <w:pPr>
              <w:pStyle w:val="3"/>
              <w:spacing w:before="0" w:line="420" w:lineRule="exact"/>
              <w:rPr>
                <w:rFonts w:ascii="仿宋_GB2312" w:hAnsi="仿宋_GB2312" w:eastAsia="仿宋_GB2312" w:cs="仿宋_GB2312"/>
                <w:color w:val="000000" w:themeColor="text1"/>
                <w:kern w:val="2"/>
                <w14:textFill>
                  <w14:solidFill>
                    <w14:schemeClr w14:val="tx1"/>
                  </w14:solidFill>
                </w14:textFill>
              </w:rPr>
            </w:pPr>
          </w:p>
        </w:tc>
      </w:tr>
      <w:tr w14:paraId="35CDC5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12" w:space="0"/>
              <w:bottom w:val="single" w:color="auto" w:sz="4" w:space="0"/>
              <w:right w:val="single" w:color="auto" w:sz="4" w:space="0"/>
            </w:tcBorders>
            <w:noWrap/>
          </w:tcPr>
          <w:p w14:paraId="60421580">
            <w:pPr>
              <w:pStyle w:val="3"/>
              <w:spacing w:before="0" w:line="420" w:lineRule="exact"/>
              <w:rPr>
                <w:rFonts w:ascii="仿宋_GB2312" w:hAnsi="仿宋_GB2312" w:eastAsia="仿宋_GB2312" w:cs="仿宋_GB2312"/>
                <w:color w:val="000000" w:themeColor="text1"/>
                <w:kern w:val="2"/>
                <w14:textFill>
                  <w14:solidFill>
                    <w14:schemeClr w14:val="tx1"/>
                  </w14:solidFill>
                </w14:textFill>
              </w:rPr>
            </w:pPr>
          </w:p>
        </w:tc>
        <w:tc>
          <w:tcPr>
            <w:tcW w:w="1583" w:type="dxa"/>
            <w:tcBorders>
              <w:top w:val="single" w:color="auto" w:sz="4" w:space="0"/>
              <w:left w:val="single" w:color="auto" w:sz="4" w:space="0"/>
              <w:bottom w:val="single" w:color="auto" w:sz="4" w:space="0"/>
              <w:right w:val="single" w:color="auto" w:sz="4" w:space="0"/>
            </w:tcBorders>
            <w:noWrap/>
          </w:tcPr>
          <w:p w14:paraId="1F9528BA">
            <w:pPr>
              <w:pStyle w:val="3"/>
              <w:spacing w:before="0" w:line="420" w:lineRule="exact"/>
              <w:rPr>
                <w:rFonts w:ascii="仿宋_GB2312" w:hAnsi="仿宋_GB2312" w:eastAsia="仿宋_GB2312" w:cs="仿宋_GB2312"/>
                <w:color w:val="000000" w:themeColor="text1"/>
                <w:kern w:val="2"/>
                <w14:textFill>
                  <w14:solidFill>
                    <w14:schemeClr w14:val="tx1"/>
                  </w14:solidFill>
                </w14:textFill>
              </w:rPr>
            </w:pPr>
          </w:p>
        </w:tc>
        <w:tc>
          <w:tcPr>
            <w:tcW w:w="1515" w:type="dxa"/>
            <w:tcBorders>
              <w:top w:val="single" w:color="auto" w:sz="4" w:space="0"/>
              <w:left w:val="single" w:color="auto" w:sz="4" w:space="0"/>
              <w:bottom w:val="single" w:color="auto" w:sz="4" w:space="0"/>
              <w:right w:val="single" w:color="auto" w:sz="4" w:space="0"/>
            </w:tcBorders>
            <w:noWrap/>
          </w:tcPr>
          <w:p w14:paraId="6025F5DE">
            <w:pPr>
              <w:pStyle w:val="3"/>
              <w:spacing w:before="0" w:line="420" w:lineRule="exact"/>
              <w:rPr>
                <w:rFonts w:ascii="仿宋_GB2312" w:hAnsi="仿宋_GB2312" w:eastAsia="仿宋_GB2312" w:cs="仿宋_GB2312"/>
                <w:color w:val="000000" w:themeColor="text1"/>
                <w:kern w:val="2"/>
                <w14:textFill>
                  <w14:solidFill>
                    <w14:schemeClr w14:val="tx1"/>
                  </w14:solidFill>
                </w14:textFill>
              </w:rPr>
            </w:pPr>
          </w:p>
        </w:tc>
        <w:tc>
          <w:tcPr>
            <w:tcW w:w="570" w:type="dxa"/>
            <w:tcBorders>
              <w:top w:val="single" w:color="auto" w:sz="4" w:space="0"/>
              <w:left w:val="single" w:color="auto" w:sz="4" w:space="0"/>
              <w:bottom w:val="single" w:color="auto" w:sz="4" w:space="0"/>
              <w:right w:val="single" w:color="auto" w:sz="4" w:space="0"/>
            </w:tcBorders>
            <w:noWrap/>
          </w:tcPr>
          <w:p w14:paraId="627C3210">
            <w:pPr>
              <w:pStyle w:val="3"/>
              <w:spacing w:before="0" w:line="420" w:lineRule="exact"/>
              <w:rPr>
                <w:rFonts w:ascii="仿宋_GB2312" w:hAnsi="仿宋_GB2312" w:eastAsia="仿宋_GB2312" w:cs="仿宋_GB2312"/>
                <w:color w:val="000000" w:themeColor="text1"/>
                <w:kern w:val="2"/>
                <w14:textFill>
                  <w14:solidFill>
                    <w14:schemeClr w14:val="tx1"/>
                  </w14:solidFill>
                </w14:textFill>
              </w:rPr>
            </w:pPr>
          </w:p>
        </w:tc>
        <w:tc>
          <w:tcPr>
            <w:tcW w:w="645" w:type="dxa"/>
            <w:tcBorders>
              <w:top w:val="single" w:color="auto" w:sz="4" w:space="0"/>
              <w:left w:val="single" w:color="auto" w:sz="4" w:space="0"/>
              <w:bottom w:val="single" w:color="auto" w:sz="4" w:space="0"/>
              <w:right w:val="single" w:color="auto" w:sz="4" w:space="0"/>
            </w:tcBorders>
            <w:noWrap/>
          </w:tcPr>
          <w:p w14:paraId="47F4295D">
            <w:pPr>
              <w:pStyle w:val="3"/>
              <w:spacing w:before="0" w:line="420" w:lineRule="exact"/>
              <w:rPr>
                <w:rFonts w:ascii="仿宋_GB2312" w:hAnsi="仿宋_GB2312" w:eastAsia="仿宋_GB2312" w:cs="仿宋_GB2312"/>
                <w:color w:val="000000" w:themeColor="text1"/>
                <w:kern w:val="2"/>
                <w14:textFill>
                  <w14:solidFill>
                    <w14:schemeClr w14:val="tx1"/>
                  </w14:solidFill>
                </w14:textFill>
              </w:rPr>
            </w:pPr>
          </w:p>
        </w:tc>
        <w:tc>
          <w:tcPr>
            <w:tcW w:w="1155" w:type="dxa"/>
            <w:tcBorders>
              <w:top w:val="single" w:color="auto" w:sz="4" w:space="0"/>
              <w:left w:val="single" w:color="auto" w:sz="4" w:space="0"/>
              <w:bottom w:val="single" w:color="auto" w:sz="4" w:space="0"/>
              <w:right w:val="single" w:color="auto" w:sz="4" w:space="0"/>
            </w:tcBorders>
            <w:noWrap/>
          </w:tcPr>
          <w:p w14:paraId="587E810D">
            <w:pPr>
              <w:pStyle w:val="3"/>
              <w:spacing w:before="0" w:line="420" w:lineRule="exact"/>
              <w:rPr>
                <w:rFonts w:ascii="仿宋_GB2312" w:hAnsi="仿宋_GB2312" w:eastAsia="仿宋_GB2312" w:cs="仿宋_GB2312"/>
                <w:color w:val="000000" w:themeColor="text1"/>
                <w:kern w:val="2"/>
                <w14:textFill>
                  <w14:solidFill>
                    <w14:schemeClr w14:val="tx1"/>
                  </w14:solidFill>
                </w14:textFill>
              </w:rPr>
            </w:pPr>
          </w:p>
        </w:tc>
        <w:tc>
          <w:tcPr>
            <w:tcW w:w="1395" w:type="dxa"/>
            <w:tcBorders>
              <w:top w:val="single" w:color="auto" w:sz="4" w:space="0"/>
              <w:left w:val="single" w:color="auto" w:sz="4" w:space="0"/>
              <w:bottom w:val="single" w:color="auto" w:sz="4" w:space="0"/>
              <w:right w:val="single" w:color="auto" w:sz="4" w:space="0"/>
            </w:tcBorders>
            <w:noWrap/>
          </w:tcPr>
          <w:p w14:paraId="4BF0A903">
            <w:pPr>
              <w:pStyle w:val="3"/>
              <w:spacing w:before="0" w:line="420" w:lineRule="exact"/>
              <w:rPr>
                <w:rFonts w:ascii="仿宋_GB2312" w:hAnsi="仿宋_GB2312" w:eastAsia="仿宋_GB2312" w:cs="仿宋_GB2312"/>
                <w:color w:val="000000" w:themeColor="text1"/>
                <w:kern w:val="2"/>
                <w14:textFill>
                  <w14:solidFill>
                    <w14:schemeClr w14:val="tx1"/>
                  </w14:solidFill>
                </w14:textFill>
              </w:rPr>
            </w:pPr>
          </w:p>
        </w:tc>
        <w:tc>
          <w:tcPr>
            <w:tcW w:w="1335" w:type="dxa"/>
            <w:tcBorders>
              <w:top w:val="single" w:color="auto" w:sz="4" w:space="0"/>
              <w:left w:val="single" w:color="auto" w:sz="4" w:space="0"/>
              <w:bottom w:val="single" w:color="auto" w:sz="4" w:space="0"/>
              <w:right w:val="single" w:color="auto" w:sz="12" w:space="0"/>
            </w:tcBorders>
            <w:noWrap/>
          </w:tcPr>
          <w:p w14:paraId="3B6B2F9C">
            <w:pPr>
              <w:pStyle w:val="3"/>
              <w:spacing w:before="0" w:line="420" w:lineRule="exact"/>
              <w:rPr>
                <w:rFonts w:ascii="仿宋_GB2312" w:hAnsi="仿宋_GB2312" w:eastAsia="仿宋_GB2312" w:cs="仿宋_GB2312"/>
                <w:color w:val="000000" w:themeColor="text1"/>
                <w:kern w:val="2"/>
                <w14:textFill>
                  <w14:solidFill>
                    <w14:schemeClr w14:val="tx1"/>
                  </w14:solidFill>
                </w14:textFill>
              </w:rPr>
            </w:pPr>
          </w:p>
        </w:tc>
      </w:tr>
      <w:tr w14:paraId="4DFCAC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12" w:space="0"/>
              <w:bottom w:val="single" w:color="auto" w:sz="12" w:space="0"/>
              <w:right w:val="single" w:color="auto" w:sz="4" w:space="0"/>
            </w:tcBorders>
            <w:noWrap/>
          </w:tcPr>
          <w:p w14:paraId="2420B400">
            <w:pPr>
              <w:pStyle w:val="3"/>
              <w:spacing w:before="0" w:line="420" w:lineRule="exact"/>
              <w:rPr>
                <w:rFonts w:ascii="仿宋_GB2312" w:hAnsi="仿宋_GB2312" w:eastAsia="仿宋_GB2312" w:cs="仿宋_GB2312"/>
                <w:color w:val="000000" w:themeColor="text1"/>
                <w:kern w:val="2"/>
                <w14:textFill>
                  <w14:solidFill>
                    <w14:schemeClr w14:val="tx1"/>
                  </w14:solidFill>
                </w14:textFill>
              </w:rPr>
            </w:pPr>
          </w:p>
        </w:tc>
        <w:tc>
          <w:tcPr>
            <w:tcW w:w="1583" w:type="dxa"/>
            <w:tcBorders>
              <w:top w:val="single" w:color="auto" w:sz="4" w:space="0"/>
              <w:left w:val="single" w:color="auto" w:sz="4" w:space="0"/>
              <w:bottom w:val="single" w:color="auto" w:sz="12" w:space="0"/>
              <w:right w:val="single" w:color="auto" w:sz="4" w:space="0"/>
            </w:tcBorders>
            <w:noWrap/>
            <w:vAlign w:val="center"/>
          </w:tcPr>
          <w:p w14:paraId="09D11577">
            <w:pPr>
              <w:pStyle w:val="3"/>
              <w:spacing w:before="0" w:line="420" w:lineRule="exact"/>
              <w:ind w:firstLine="472" w:firstLineChars="147"/>
              <w:rPr>
                <w:rFonts w:ascii="仿宋_GB2312" w:hAnsi="仿宋_GB2312" w:eastAsia="仿宋_GB2312" w:cs="仿宋_GB2312"/>
                <w:color w:val="000000" w:themeColor="text1"/>
                <w:kern w:val="2"/>
                <w14:textFill>
                  <w14:solidFill>
                    <w14:schemeClr w14:val="tx1"/>
                  </w14:solidFill>
                </w14:textFill>
              </w:rPr>
            </w:pPr>
            <w:r>
              <w:rPr>
                <w:rFonts w:hint="eastAsia" w:ascii="仿宋_GB2312" w:hAnsi="仿宋_GB2312" w:eastAsia="仿宋_GB2312" w:cs="仿宋_GB2312"/>
                <w:color w:val="000000" w:themeColor="text1"/>
                <w:kern w:val="2"/>
                <w14:textFill>
                  <w14:solidFill>
                    <w14:schemeClr w14:val="tx1"/>
                  </w14:solidFill>
                </w14:textFill>
              </w:rPr>
              <w:t>合计</w:t>
            </w:r>
          </w:p>
        </w:tc>
        <w:tc>
          <w:tcPr>
            <w:tcW w:w="6615" w:type="dxa"/>
            <w:gridSpan w:val="6"/>
            <w:tcBorders>
              <w:top w:val="single" w:color="auto" w:sz="4" w:space="0"/>
              <w:left w:val="single" w:color="auto" w:sz="4" w:space="0"/>
              <w:bottom w:val="single" w:color="auto" w:sz="12" w:space="0"/>
              <w:right w:val="single" w:color="auto" w:sz="12" w:space="0"/>
            </w:tcBorders>
            <w:noWrap/>
            <w:vAlign w:val="center"/>
          </w:tcPr>
          <w:p w14:paraId="1DA9B3C1">
            <w:pPr>
              <w:pStyle w:val="3"/>
              <w:spacing w:before="0" w:line="420" w:lineRule="exact"/>
              <w:rPr>
                <w:rFonts w:ascii="仿宋_GB2312" w:hAnsi="仿宋_GB2312" w:eastAsia="仿宋_GB2312" w:cs="仿宋_GB2312"/>
                <w:color w:val="000000" w:themeColor="text1"/>
                <w:kern w:val="2"/>
                <w14:textFill>
                  <w14:solidFill>
                    <w14:schemeClr w14:val="tx1"/>
                  </w14:solidFill>
                </w14:textFill>
              </w:rPr>
            </w:pPr>
            <w:r>
              <w:rPr>
                <w:rFonts w:hint="eastAsia" w:ascii="仿宋_GB2312" w:hAnsi="仿宋_GB2312" w:eastAsia="仿宋_GB2312" w:cs="仿宋_GB2312"/>
                <w:color w:val="000000" w:themeColor="text1"/>
                <w:kern w:val="2"/>
                <w14:textFill>
                  <w14:solidFill>
                    <w14:schemeClr w14:val="tx1"/>
                  </w14:solidFill>
                </w14:textFill>
              </w:rPr>
              <w:t>￥</w:t>
            </w:r>
          </w:p>
        </w:tc>
      </w:tr>
    </w:tbl>
    <w:p w14:paraId="56472529">
      <w:pPr>
        <w:pStyle w:val="3"/>
        <w:spacing w:before="0" w:line="540" w:lineRule="exact"/>
        <w:ind w:firstLine="643" w:firstLineChars="200"/>
        <w:rPr>
          <w:rFonts w:ascii="仿宋_GB2312" w:hAnsi="仿宋_GB2312" w:eastAsia="仿宋_GB2312" w:cs="仿宋_GB2312"/>
          <w:color w:val="000000" w:themeColor="text1"/>
          <w14:textFill>
            <w14:solidFill>
              <w14:schemeClr w14:val="tx1"/>
            </w14:solidFill>
          </w14:textFill>
        </w:rPr>
      </w:pPr>
      <w:r>
        <w:rPr>
          <w:rFonts w:hint="eastAsia" w:ascii="仿宋_GB2312" w:hAnsi="仿宋_GB2312" w:eastAsia="仿宋_GB2312" w:cs="仿宋_GB2312"/>
          <w:color w:val="000000" w:themeColor="text1"/>
          <w14:textFill>
            <w14:solidFill>
              <w14:schemeClr w14:val="tx1"/>
            </w14:solidFill>
          </w14:textFill>
        </w:rPr>
        <w:t>第二条 合同价款</w:t>
      </w:r>
    </w:p>
    <w:p w14:paraId="0821C55B">
      <w:pPr>
        <w:pStyle w:val="3"/>
        <w:spacing w:before="0" w:line="540" w:lineRule="exact"/>
        <w:ind w:firstLine="627" w:firstLineChars="196"/>
        <w:rPr>
          <w:rFonts w:ascii="仿宋_GB2312" w:hAnsi="仿宋_GB2312" w:eastAsia="仿宋_GB2312" w:cs="仿宋_GB2312"/>
          <w:b w:val="0"/>
          <w:color w:val="000000" w:themeColor="text1"/>
          <w:lang w:eastAsia="zh-CN"/>
          <w14:textFill>
            <w14:solidFill>
              <w14:schemeClr w14:val="tx1"/>
            </w14:solidFill>
          </w14:textFill>
        </w:rPr>
      </w:pPr>
      <w:r>
        <w:rPr>
          <w:rFonts w:hint="eastAsia" w:ascii="仿宋_GB2312" w:hAnsi="仿宋_GB2312" w:eastAsia="仿宋_GB2312" w:cs="仿宋_GB2312"/>
          <w:b w:val="0"/>
          <w:color w:val="000000" w:themeColor="text1"/>
          <w:lang w:eastAsia="zh-CN"/>
          <w14:textFill>
            <w14:solidFill>
              <w14:schemeClr w14:val="tx1"/>
            </w14:solidFill>
          </w14:textFill>
        </w:rPr>
        <w:t>1、合同总价为人民币大写：  元， RMB￥   元。</w:t>
      </w:r>
    </w:p>
    <w:p w14:paraId="02B91BC8">
      <w:pPr>
        <w:pStyle w:val="3"/>
        <w:spacing w:before="0" w:line="540" w:lineRule="exact"/>
        <w:ind w:firstLine="627" w:firstLineChars="196"/>
        <w:rPr>
          <w:rFonts w:ascii="仿宋_GB2312" w:hAnsi="仿宋_GB2312" w:eastAsia="仿宋_GB2312" w:cs="仿宋_GB2312"/>
          <w:b w:val="0"/>
          <w:color w:val="000000" w:themeColor="text1"/>
          <w:lang w:eastAsia="zh-CN"/>
          <w14:textFill>
            <w14:solidFill>
              <w14:schemeClr w14:val="tx1"/>
            </w14:solidFill>
          </w14:textFill>
        </w:rPr>
      </w:pPr>
      <w:r>
        <w:rPr>
          <w:rFonts w:hint="eastAsia" w:ascii="仿宋_GB2312" w:hAnsi="仿宋_GB2312" w:eastAsia="仿宋_GB2312" w:cs="仿宋_GB2312"/>
          <w:b w:val="0"/>
          <w:color w:val="000000" w:themeColor="text1"/>
          <w:lang w:eastAsia="zh-CN"/>
          <w14:textFill>
            <w14:solidFill>
              <w14:schemeClr w14:val="tx1"/>
            </w14:solidFill>
          </w14:textFill>
        </w:rPr>
        <w:t>2、本合同总价是货物（产品）设计、材料、制造、包装、运输、安装、调试、检测、验收合格交付使用之前及保修期内保修服务与备用物件等其他有关各项的含税费用。</w:t>
      </w:r>
    </w:p>
    <w:p w14:paraId="34C39D05">
      <w:pPr>
        <w:pStyle w:val="3"/>
        <w:spacing w:before="0" w:line="540" w:lineRule="exact"/>
        <w:ind w:firstLine="627" w:firstLineChars="196"/>
        <w:rPr>
          <w:rFonts w:ascii="仿宋_GB2312" w:hAnsi="仿宋_GB2312" w:eastAsia="仿宋_GB2312" w:cs="仿宋_GB2312"/>
          <w:b w:val="0"/>
          <w:color w:val="000000" w:themeColor="text1"/>
          <w:lang w:eastAsia="zh-CN"/>
          <w14:textFill>
            <w14:solidFill>
              <w14:schemeClr w14:val="tx1"/>
            </w14:solidFill>
          </w14:textFill>
        </w:rPr>
      </w:pPr>
      <w:r>
        <w:rPr>
          <w:rFonts w:hint="eastAsia" w:ascii="仿宋_GB2312" w:hAnsi="仿宋_GB2312" w:eastAsia="仿宋_GB2312" w:cs="仿宋_GB2312"/>
          <w:b w:val="0"/>
          <w:color w:val="000000" w:themeColor="text1"/>
          <w:lang w:eastAsia="zh-CN"/>
          <w14:textFill>
            <w14:solidFill>
              <w14:schemeClr w14:val="tx1"/>
            </w14:solidFill>
          </w14:textFill>
        </w:rPr>
        <w:t>3、本合同总价还包含乙方应当提供的伴随服务和售后服务费用。</w:t>
      </w:r>
    </w:p>
    <w:p w14:paraId="3E847E3E">
      <w:pPr>
        <w:pStyle w:val="3"/>
        <w:spacing w:before="0" w:line="540" w:lineRule="exact"/>
        <w:ind w:firstLine="627" w:firstLineChars="196"/>
        <w:rPr>
          <w:rFonts w:ascii="仿宋_GB2312" w:hAnsi="仿宋_GB2312" w:eastAsia="仿宋_GB2312" w:cs="仿宋_GB2312"/>
          <w:b w:val="0"/>
          <w:color w:val="000000" w:themeColor="text1"/>
          <w:lang w:eastAsia="zh-CN"/>
          <w14:textFill>
            <w14:solidFill>
              <w14:schemeClr w14:val="tx1"/>
            </w14:solidFill>
          </w14:textFill>
        </w:rPr>
      </w:pPr>
      <w:r>
        <w:rPr>
          <w:rFonts w:hint="eastAsia" w:ascii="仿宋_GB2312" w:hAnsi="仿宋_GB2312" w:eastAsia="仿宋_GB2312" w:cs="仿宋_GB2312"/>
          <w:b w:val="0"/>
          <w:color w:val="000000" w:themeColor="text1"/>
          <w:lang w:eastAsia="zh-CN"/>
          <w14:textFill>
            <w14:solidFill>
              <w14:schemeClr w14:val="tx1"/>
            </w14:solidFill>
          </w14:textFill>
        </w:rPr>
        <w:t>4、本合同执行期间合同总价不变，甲方无须另向乙方支付本合同规定之外的其他任何费用。</w:t>
      </w:r>
    </w:p>
    <w:p w14:paraId="69008C4E">
      <w:pPr>
        <w:pStyle w:val="2"/>
        <w:spacing w:line="540" w:lineRule="exact"/>
        <w:ind w:firstLine="643" w:firstLineChars="200"/>
        <w:rPr>
          <w:rFonts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第三条款项结算</w:t>
      </w:r>
    </w:p>
    <w:p w14:paraId="72F43720">
      <w:pPr>
        <w:pStyle w:val="3"/>
        <w:spacing w:before="0" w:line="540" w:lineRule="exact"/>
        <w:ind w:firstLine="627" w:firstLineChars="196"/>
        <w:rPr>
          <w:rFonts w:ascii="仿宋_GB2312" w:hAnsi="仿宋_GB2312" w:eastAsia="仿宋_GB2312" w:cs="仿宋_GB2312"/>
          <w:b w:val="0"/>
          <w:color w:val="000000" w:themeColor="text1"/>
          <w:lang w:eastAsia="zh-CN"/>
          <w14:textFill>
            <w14:solidFill>
              <w14:schemeClr w14:val="tx1"/>
            </w14:solidFill>
          </w14:textFill>
        </w:rPr>
      </w:pPr>
      <w:r>
        <w:rPr>
          <w:rFonts w:hint="eastAsia" w:ascii="仿宋_GB2312" w:hAnsi="仿宋_GB2312" w:eastAsia="仿宋_GB2312" w:cs="仿宋_GB2312"/>
          <w:b w:val="0"/>
          <w:color w:val="000000" w:themeColor="text1"/>
          <w:lang w:eastAsia="zh-CN"/>
          <w14:textFill>
            <w14:solidFill>
              <w14:schemeClr w14:val="tx1"/>
            </w14:solidFill>
          </w14:textFill>
        </w:rPr>
        <w:t>1、货物（产品）按下列</w:t>
      </w:r>
      <w:r>
        <w:rPr>
          <w:rFonts w:hint="eastAsia" w:ascii="仿宋_GB2312" w:hAnsi="仿宋_GB2312" w:eastAsia="仿宋_GB2312" w:cs="仿宋_GB2312"/>
          <w:b w:val="0"/>
          <w:color w:val="000000" w:themeColor="text1"/>
          <w:lang w:val="en-US" w:eastAsia="zh-CN"/>
          <w14:textFill>
            <w14:solidFill>
              <w14:schemeClr w14:val="tx1"/>
            </w14:solidFill>
          </w14:textFill>
        </w:rPr>
        <w:t>方式</w:t>
      </w:r>
      <w:r>
        <w:rPr>
          <w:rFonts w:hint="eastAsia" w:ascii="仿宋_GB2312" w:hAnsi="仿宋_GB2312" w:eastAsia="仿宋_GB2312" w:cs="仿宋_GB2312"/>
          <w:b w:val="0"/>
          <w:color w:val="000000" w:themeColor="text1"/>
          <w:lang w:eastAsia="zh-CN"/>
          <w14:textFill>
            <w14:solidFill>
              <w14:schemeClr w14:val="tx1"/>
            </w14:solidFill>
          </w14:textFill>
        </w:rPr>
        <w:t>支付价款：</w:t>
      </w:r>
    </w:p>
    <w:p w14:paraId="78B92281">
      <w:pPr>
        <w:pStyle w:val="3"/>
        <w:spacing w:before="0" w:line="540" w:lineRule="exact"/>
        <w:ind w:firstLine="627" w:firstLineChars="196"/>
        <w:rPr>
          <w:rFonts w:hint="eastAsia" w:ascii="仿宋_GB2312" w:hAnsi="仿宋_GB2312" w:eastAsia="仿宋_GB2312" w:cs="仿宋_GB2312"/>
          <w:b w:val="0"/>
          <w:color w:val="000000" w:themeColor="text1"/>
          <w:lang w:val="en-US" w:eastAsia="zh-CN"/>
          <w14:textFill>
            <w14:solidFill>
              <w14:schemeClr w14:val="tx1"/>
            </w14:solidFill>
          </w14:textFill>
        </w:rPr>
      </w:pPr>
      <w:r>
        <w:rPr>
          <w:rFonts w:hint="eastAsia" w:ascii="仿宋_GB2312" w:hAnsi="仿宋_GB2312" w:eastAsia="仿宋_GB2312" w:cs="仿宋_GB2312"/>
          <w:b w:val="0"/>
          <w:color w:val="000000" w:themeColor="text1"/>
          <w:lang w:val="en-US" w:eastAsia="zh-CN"/>
          <w14:textFill>
            <w14:solidFill>
              <w14:schemeClr w14:val="tx1"/>
            </w14:solidFill>
          </w14:textFill>
        </w:rPr>
        <w:t xml:space="preserve">全部产品交货至指定地点并验收合格交付使用，开具合法有效的发票，达到付款条件起30个工作日内，支付合同总金额的100.0% </w:t>
      </w:r>
    </w:p>
    <w:p w14:paraId="6A9E9D13">
      <w:pPr>
        <w:pStyle w:val="3"/>
        <w:spacing w:before="0" w:line="540" w:lineRule="exact"/>
        <w:ind w:firstLine="627" w:firstLineChars="196"/>
        <w:rPr>
          <w:rFonts w:ascii="仿宋_GB2312" w:hAnsi="仿宋_GB2312" w:eastAsia="仿宋_GB2312" w:cs="仿宋_GB2312"/>
          <w:b w:val="0"/>
          <w:color w:val="000000" w:themeColor="text1"/>
          <w:lang w:eastAsia="zh-CN"/>
          <w14:textFill>
            <w14:solidFill>
              <w14:schemeClr w14:val="tx1"/>
            </w14:solidFill>
          </w14:textFill>
        </w:rPr>
      </w:pPr>
      <w:r>
        <w:rPr>
          <w:rFonts w:hint="eastAsia" w:ascii="仿宋_GB2312" w:hAnsi="仿宋_GB2312" w:eastAsia="仿宋_GB2312" w:cs="仿宋_GB2312"/>
          <w:b w:val="0"/>
          <w:color w:val="000000" w:themeColor="text1"/>
          <w:lang w:val="en-US" w:eastAsia="zh-CN"/>
          <w14:textFill>
            <w14:solidFill>
              <w14:schemeClr w14:val="tx1"/>
            </w14:solidFill>
          </w14:textFill>
        </w:rPr>
        <w:t>2</w:t>
      </w:r>
      <w:r>
        <w:rPr>
          <w:rFonts w:hint="eastAsia" w:ascii="仿宋_GB2312" w:hAnsi="仿宋_GB2312" w:eastAsia="仿宋_GB2312" w:cs="仿宋_GB2312"/>
          <w:b w:val="0"/>
          <w:color w:val="000000" w:themeColor="text1"/>
          <w:lang w:eastAsia="zh-CN"/>
          <w14:textFill>
            <w14:solidFill>
              <w14:schemeClr w14:val="tx1"/>
            </w14:solidFill>
          </w14:textFill>
        </w:rPr>
        <w:t>、结算方式：银行转账。</w:t>
      </w:r>
    </w:p>
    <w:p w14:paraId="016F8D41">
      <w:pPr>
        <w:pStyle w:val="2"/>
        <w:spacing w:line="540" w:lineRule="exact"/>
        <w:ind w:firstLine="643" w:firstLineChars="200"/>
        <w:rPr>
          <w:rFonts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第四条权利保证</w:t>
      </w:r>
    </w:p>
    <w:p w14:paraId="0E066527">
      <w:pPr>
        <w:pStyle w:val="14"/>
        <w:spacing w:line="540" w:lineRule="exact"/>
        <w:ind w:firstLine="640"/>
        <w:rPr>
          <w:rFonts w:ascii="仿宋_GB2312" w:hAnsi="仿宋_GB2312" w:eastAsia="仿宋_GB2312" w:cs="仿宋_GB2312"/>
          <w:bCs/>
          <w:color w:val="000000" w:themeColor="text1"/>
          <w:sz w:val="32"/>
          <w:szCs w:val="32"/>
          <w:lang w:eastAsia="zh-CN"/>
          <w14:textFill>
            <w14:solidFill>
              <w14:schemeClr w14:val="tx1"/>
            </w14:solidFill>
          </w14:textFill>
        </w:rPr>
      </w:pPr>
      <w:r>
        <w:rPr>
          <w:rFonts w:hint="eastAsia" w:ascii="仿宋_GB2312" w:hAnsi="仿宋_GB2312" w:eastAsia="仿宋_GB2312" w:cs="仿宋_GB2312"/>
          <w:bCs/>
          <w:color w:val="000000" w:themeColor="text1"/>
          <w:sz w:val="32"/>
          <w:szCs w:val="32"/>
          <w:lang w:eastAsia="zh-CN"/>
          <w14:textFill>
            <w14:solidFill>
              <w14:schemeClr w14:val="tx1"/>
            </w14:solidFill>
          </w14:textFill>
        </w:rPr>
        <w:t>1、乙方保证对其出售的货物享有合法的权利。</w:t>
      </w:r>
    </w:p>
    <w:p w14:paraId="7C59BC72">
      <w:pPr>
        <w:pStyle w:val="14"/>
        <w:spacing w:line="540" w:lineRule="exact"/>
        <w:ind w:firstLine="640"/>
        <w:rPr>
          <w:rFonts w:ascii="仿宋_GB2312" w:hAnsi="仿宋_GB2312" w:eastAsia="仿宋_GB2312" w:cs="仿宋_GB2312"/>
          <w:bCs/>
          <w:color w:val="000000" w:themeColor="text1"/>
          <w:sz w:val="32"/>
          <w:szCs w:val="32"/>
          <w:lang w:eastAsia="zh-CN"/>
          <w14:textFill>
            <w14:solidFill>
              <w14:schemeClr w14:val="tx1"/>
            </w14:solidFill>
          </w14:textFill>
        </w:rPr>
      </w:pPr>
      <w:r>
        <w:rPr>
          <w:rFonts w:hint="eastAsia" w:ascii="仿宋_GB2312" w:hAnsi="仿宋_GB2312" w:eastAsia="仿宋_GB2312" w:cs="仿宋_GB2312"/>
          <w:bCs/>
          <w:color w:val="000000" w:themeColor="text1"/>
          <w:sz w:val="32"/>
          <w:szCs w:val="32"/>
          <w:lang w:eastAsia="zh-CN"/>
          <w14:textFill>
            <w14:solidFill>
              <w14:schemeClr w14:val="tx1"/>
            </w14:solidFill>
          </w14:textFill>
        </w:rPr>
        <w:t>2、乙方保证对其出售的货物上不存在任何未曾向甲方透露的担保物权，如抵押权、质押权、留置权。</w:t>
      </w:r>
    </w:p>
    <w:p w14:paraId="1C97B1AA">
      <w:pPr>
        <w:pStyle w:val="14"/>
        <w:spacing w:line="540" w:lineRule="exact"/>
        <w:ind w:firstLine="640"/>
        <w:rPr>
          <w:rFonts w:ascii="仿宋_GB2312" w:hAnsi="仿宋_GB2312" w:eastAsia="仿宋_GB2312" w:cs="仿宋_GB2312"/>
          <w:bCs/>
          <w:color w:val="000000" w:themeColor="text1"/>
          <w:sz w:val="32"/>
          <w:szCs w:val="32"/>
          <w:lang w:eastAsia="zh-CN"/>
          <w14:textFill>
            <w14:solidFill>
              <w14:schemeClr w14:val="tx1"/>
            </w14:solidFill>
          </w14:textFill>
        </w:rPr>
      </w:pPr>
      <w:r>
        <w:rPr>
          <w:rFonts w:hint="eastAsia" w:ascii="仿宋_GB2312" w:hAnsi="仿宋_GB2312" w:eastAsia="仿宋_GB2312" w:cs="仿宋_GB2312"/>
          <w:bCs/>
          <w:color w:val="000000" w:themeColor="text1"/>
          <w:sz w:val="32"/>
          <w:szCs w:val="32"/>
          <w:lang w:eastAsia="zh-CN"/>
          <w14:textFill>
            <w14:solidFill>
              <w14:schemeClr w14:val="tx1"/>
            </w14:solidFill>
          </w14:textFill>
        </w:rPr>
        <w:t>3、乙方保证对其出售的货物或其任何一部分没有侵犯第三方的专利权、版权、商标权或其他权利。</w:t>
      </w:r>
    </w:p>
    <w:p w14:paraId="59C41BD2">
      <w:pPr>
        <w:pStyle w:val="14"/>
        <w:spacing w:line="540" w:lineRule="exact"/>
        <w:ind w:left="161" w:leftChars="67" w:firstLine="480" w:firstLineChars="150"/>
        <w:rPr>
          <w:rFonts w:ascii="仿宋_GB2312" w:hAnsi="仿宋_GB2312" w:eastAsia="仿宋_GB2312" w:cs="仿宋_GB2312"/>
          <w:bCs/>
          <w:color w:val="000000" w:themeColor="text1"/>
          <w:sz w:val="32"/>
          <w:szCs w:val="32"/>
          <w:lang w:eastAsia="zh-CN"/>
          <w14:textFill>
            <w14:solidFill>
              <w14:schemeClr w14:val="tx1"/>
            </w14:solidFill>
          </w14:textFill>
        </w:rPr>
      </w:pPr>
      <w:r>
        <w:rPr>
          <w:rFonts w:hint="eastAsia" w:ascii="仿宋_GB2312" w:hAnsi="仿宋_GB2312" w:eastAsia="仿宋_GB2312" w:cs="仿宋_GB2312"/>
          <w:bCs/>
          <w:color w:val="000000" w:themeColor="text1"/>
          <w:sz w:val="32"/>
          <w:szCs w:val="32"/>
          <w:lang w:eastAsia="zh-CN"/>
          <w14:textFill>
            <w14:solidFill>
              <w14:schemeClr w14:val="tx1"/>
            </w14:solidFill>
          </w14:textFill>
        </w:rPr>
        <w:t>4、如甲方在使用该货物构成上述侵权的，则由乙方承担全部责任。</w:t>
      </w:r>
    </w:p>
    <w:p w14:paraId="6E917D45">
      <w:pPr>
        <w:pStyle w:val="2"/>
        <w:spacing w:line="540" w:lineRule="exact"/>
        <w:ind w:firstLine="643" w:firstLineChars="200"/>
        <w:rPr>
          <w:rFonts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第五条交货时间与地点</w:t>
      </w:r>
    </w:p>
    <w:p w14:paraId="20427DD4">
      <w:pPr>
        <w:pStyle w:val="2"/>
        <w:spacing w:line="540" w:lineRule="exact"/>
        <w:ind w:firstLine="640" w:firstLineChars="20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乙方在合同签订生效之日起，按甲方指定时间、地点交货。</w:t>
      </w:r>
    </w:p>
    <w:p w14:paraId="26FA450F">
      <w:pPr>
        <w:pStyle w:val="2"/>
        <w:spacing w:line="54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1、交货时间（期限）：自合同签订生效之日起30个日历日内完成供货、安装及调试。</w:t>
      </w:r>
    </w:p>
    <w:p w14:paraId="1E8AA2EB">
      <w:pPr>
        <w:pStyle w:val="2"/>
        <w:spacing w:line="540" w:lineRule="exact"/>
        <w:ind w:firstLine="640" w:firstLineChars="20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2、交货地点：甲方指定地点</w:t>
      </w:r>
    </w:p>
    <w:p w14:paraId="3D01B993">
      <w:pPr>
        <w:pStyle w:val="14"/>
        <w:spacing w:line="540" w:lineRule="exact"/>
        <w:ind w:left="161" w:leftChars="67" w:firstLine="482" w:firstLineChars="150"/>
        <w:rPr>
          <w:rFonts w:ascii="仿宋_GB2312" w:hAnsi="仿宋_GB2312" w:eastAsia="仿宋_GB2312" w:cs="仿宋_GB2312"/>
          <w:sz w:val="32"/>
          <w:szCs w:val="32"/>
          <w:lang w:eastAsia="zh-CN"/>
        </w:rPr>
      </w:pPr>
      <w:r>
        <w:rPr>
          <w:rFonts w:hint="eastAsia" w:ascii="仿宋_GB2312" w:hAnsi="仿宋_GB2312" w:eastAsia="仿宋_GB2312" w:cs="仿宋_GB2312"/>
          <w:b/>
          <w:sz w:val="32"/>
          <w:szCs w:val="32"/>
          <w:lang w:eastAsia="zh-CN"/>
        </w:rPr>
        <w:t xml:space="preserve">第六条 包装要求与运输方式  </w:t>
      </w:r>
    </w:p>
    <w:p w14:paraId="212945B5">
      <w:pPr>
        <w:pStyle w:val="14"/>
        <w:spacing w:line="540" w:lineRule="exact"/>
        <w:ind w:left="161" w:leftChars="67" w:firstLine="480" w:firstLineChars="15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1、除合同另有规定外，乙方提供的全部货物均应按标准保护措施进行包装，该包装应适应于远距离运输、防潮、防震、防锈和防野蛮装卸，以确保货物安全运抵指定地点。</w:t>
      </w:r>
    </w:p>
    <w:p w14:paraId="590B19E9">
      <w:pPr>
        <w:pStyle w:val="14"/>
        <w:spacing w:line="540" w:lineRule="exact"/>
        <w:ind w:left="161" w:leftChars="67" w:firstLine="480" w:firstLineChars="15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2、每一包装单元应附详细的装箱单和质量合格证。</w:t>
      </w:r>
    </w:p>
    <w:p w14:paraId="204B524F">
      <w:pPr>
        <w:pStyle w:val="14"/>
        <w:spacing w:line="540" w:lineRule="exact"/>
        <w:ind w:left="161" w:leftChars="67" w:firstLine="480" w:firstLineChars="15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3、乙方负责货物（产品）运输，货物运输的合理损耗及计算方法</w:t>
      </w:r>
    </w:p>
    <w:p w14:paraId="6023712E">
      <w:pPr>
        <w:pStyle w:val="14"/>
        <w:spacing w:line="540" w:lineRule="exact"/>
        <w:ind w:left="161" w:leftChars="67" w:firstLine="480" w:firstLineChars="15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4、运输、安装过程所有安全问题由乙方自行承担，包括但不限于可能造成的财产、人身损失。</w:t>
      </w:r>
    </w:p>
    <w:p w14:paraId="66857F96">
      <w:pPr>
        <w:pStyle w:val="14"/>
        <w:spacing w:line="540" w:lineRule="exact"/>
        <w:ind w:left="161" w:leftChars="67" w:firstLine="480" w:firstLineChars="15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5、运输、安装给甲方校园造成损坏或者损失的，乙方需要对损失进行修缮赔偿。</w:t>
      </w:r>
    </w:p>
    <w:p w14:paraId="389131BA">
      <w:pPr>
        <w:pStyle w:val="14"/>
        <w:spacing w:beforeLines="50" w:afterLines="50" w:line="540" w:lineRule="exact"/>
        <w:ind w:firstLine="640"/>
        <w:rPr>
          <w:rFonts w:ascii="仿宋_GB2312" w:hAnsi="仿宋_GB2312" w:eastAsia="仿宋_GB2312" w:cs="仿宋_GB2312"/>
          <w:b/>
          <w:sz w:val="32"/>
          <w:szCs w:val="32"/>
          <w:lang w:eastAsia="zh-CN"/>
        </w:rPr>
      </w:pPr>
      <w:r>
        <w:rPr>
          <w:rFonts w:hint="eastAsia" w:ascii="仿宋_GB2312" w:hAnsi="仿宋_GB2312" w:eastAsia="仿宋_GB2312" w:cs="仿宋_GB2312"/>
          <w:b/>
          <w:sz w:val="32"/>
          <w:szCs w:val="32"/>
          <w:lang w:eastAsia="zh-CN"/>
        </w:rPr>
        <w:t>第七条 质量保证</w:t>
      </w:r>
    </w:p>
    <w:p w14:paraId="1B961200">
      <w:pPr>
        <w:pStyle w:val="14"/>
        <w:spacing w:line="540" w:lineRule="exact"/>
        <w:ind w:firstLine="64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1、乙方须提供全新的、未使用过的合格正品货物（含零部件、配件等），完全符合合同规定的质量、规格和性能的要求。</w:t>
      </w:r>
    </w:p>
    <w:p w14:paraId="3766DA84">
      <w:pPr>
        <w:pStyle w:val="14"/>
        <w:spacing w:line="540" w:lineRule="exact"/>
        <w:ind w:firstLine="64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2、乙方提供的节能和环保产品必须是列入政府采购清单的产品。</w:t>
      </w:r>
    </w:p>
    <w:p w14:paraId="417B98E2">
      <w:pPr>
        <w:pStyle w:val="14"/>
        <w:spacing w:line="540" w:lineRule="exact"/>
        <w:ind w:firstLine="64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3、质量标准按照最新颁布的国家标准、行业标准或制造商企业标准确定，上述标准不一致的，以严格标准为准。</w:t>
      </w:r>
    </w:p>
    <w:p w14:paraId="249C54EF">
      <w:pPr>
        <w:pStyle w:val="14"/>
        <w:spacing w:line="540" w:lineRule="exact"/>
        <w:ind w:firstLine="64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4、乙方所提供货物还应符合国家和陕西省有关安全、环保、节能之规定，“3C”认证的货物（产品）应加贴“3C”认证标志。</w:t>
      </w:r>
    </w:p>
    <w:p w14:paraId="6F9B71AC">
      <w:pPr>
        <w:pStyle w:val="14"/>
        <w:spacing w:line="540" w:lineRule="exact"/>
        <w:ind w:firstLine="64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5、货物制造质量出现问题，乙方应负责三包（包修、包换、包退），费用由乙方负担，甲方有权到乙方生产场地检查货物质量和生产进度。</w:t>
      </w:r>
    </w:p>
    <w:p w14:paraId="10779D7C">
      <w:pPr>
        <w:pStyle w:val="14"/>
        <w:spacing w:beforeLines="50" w:afterLines="50" w:line="540" w:lineRule="exact"/>
        <w:ind w:left="161" w:leftChars="67" w:firstLine="482" w:firstLineChars="150"/>
        <w:rPr>
          <w:rFonts w:ascii="仿宋_GB2312" w:hAnsi="仿宋_GB2312" w:eastAsia="仿宋_GB2312" w:cs="仿宋_GB2312"/>
          <w:sz w:val="32"/>
          <w:szCs w:val="32"/>
          <w:lang w:eastAsia="zh-CN"/>
        </w:rPr>
      </w:pPr>
      <w:r>
        <w:rPr>
          <w:rFonts w:hint="eastAsia" w:ascii="仿宋_GB2312" w:hAnsi="仿宋_GB2312" w:eastAsia="仿宋_GB2312" w:cs="仿宋_GB2312"/>
          <w:b/>
          <w:sz w:val="32"/>
          <w:szCs w:val="32"/>
          <w:lang w:eastAsia="zh-CN"/>
        </w:rPr>
        <w:t>第八条 货物验收</w:t>
      </w:r>
    </w:p>
    <w:p w14:paraId="7E98ACAE">
      <w:pPr>
        <w:pStyle w:val="14"/>
        <w:spacing w:line="540" w:lineRule="exact"/>
        <w:ind w:left="161" w:leftChars="67" w:firstLine="480" w:firstLineChars="15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1、货物验收由甲方组织，乙方配合，并按下列程序进行：</w:t>
      </w:r>
    </w:p>
    <w:p w14:paraId="675A53AF">
      <w:pPr>
        <w:pStyle w:val="14"/>
        <w:spacing w:line="540" w:lineRule="exact"/>
        <w:ind w:firstLine="64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交货验收时，乙方须提供质检部门产品抽样检查合格的检测报告（或制造商自检报告）及所提供货物（产品）的合格证、装箱清单、配件、随机工具、用户使用手册（产品使用说明书）、保修卡等资料交付给甲方（属于“中国强制性产品认证”的产品，简称 3C 认证，验收时提供产品有效的3C证书）；</w:t>
      </w:r>
    </w:p>
    <w:p w14:paraId="6F51E224">
      <w:pPr>
        <w:pStyle w:val="14"/>
        <w:spacing w:line="540" w:lineRule="exact"/>
        <w:ind w:firstLine="547" w:firstLineChars="171"/>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（2）到货验收 ：货物到达后，按合同第一条款的货物清单和装箱单经行逐一核对，同时检查货物外观，是否有划痕或破损的，并做好相应记录；</w:t>
      </w:r>
    </w:p>
    <w:p w14:paraId="232A77BA">
      <w:pPr>
        <w:pStyle w:val="14"/>
        <w:spacing w:line="540" w:lineRule="exact"/>
        <w:ind w:left="161" w:leftChars="67" w:firstLine="480" w:firstLineChars="15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货物初验：乙方安装调试完毕后30日内完成初步验收；初步验收合格后，进入60日试用期；试用期间发生重大质量问题的乙方应按照甲方要求履行退换货责任，对于小的质量瑕疵在乙方修复后试用期相应顺延；</w:t>
      </w:r>
    </w:p>
    <w:p w14:paraId="70AC8027">
      <w:pPr>
        <w:pStyle w:val="14"/>
        <w:spacing w:line="540" w:lineRule="exact"/>
        <w:ind w:left="161" w:leftChars="67" w:firstLine="480" w:firstLineChars="15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（4）货物终验：试用期结束后30日内完成最终验收；</w:t>
      </w:r>
    </w:p>
    <w:p w14:paraId="5D7D034D">
      <w:pPr>
        <w:pStyle w:val="14"/>
        <w:spacing w:line="540" w:lineRule="exact"/>
        <w:ind w:firstLine="64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（5）质量验收合格，双方签署质量验收报告。</w:t>
      </w:r>
    </w:p>
    <w:p w14:paraId="64E8FAE2">
      <w:pPr>
        <w:pStyle w:val="14"/>
        <w:spacing w:line="540" w:lineRule="exact"/>
        <w:ind w:firstLine="800" w:firstLineChars="25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2、货物验收依据：</w:t>
      </w:r>
    </w:p>
    <w:p w14:paraId="18435072">
      <w:pPr>
        <w:pStyle w:val="4"/>
        <w:spacing w:line="540" w:lineRule="exact"/>
        <w:ind w:firstLine="640" w:firstLineChars="20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（1）招标文件；</w:t>
      </w:r>
    </w:p>
    <w:p w14:paraId="7CD3AC3C">
      <w:pPr>
        <w:pStyle w:val="4"/>
        <w:spacing w:line="540" w:lineRule="exact"/>
        <w:ind w:firstLine="640" w:firstLineChars="20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（2）投标文件；</w:t>
      </w:r>
    </w:p>
    <w:p w14:paraId="125D65A2">
      <w:pPr>
        <w:pStyle w:val="4"/>
        <w:spacing w:line="540" w:lineRule="exact"/>
        <w:ind w:firstLine="640" w:firstLineChars="20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（3）采购合同及补充协议；</w:t>
      </w:r>
    </w:p>
    <w:p w14:paraId="06480B75">
      <w:pPr>
        <w:pStyle w:val="14"/>
        <w:spacing w:line="540" w:lineRule="exact"/>
        <w:ind w:firstLine="64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（4）质检部门抽样检查货物（产品）合格的检测报告。</w:t>
      </w:r>
    </w:p>
    <w:p w14:paraId="3AD90C72">
      <w:pPr>
        <w:pStyle w:val="14"/>
        <w:spacing w:line="540" w:lineRule="exact"/>
        <w:ind w:firstLine="800" w:firstLineChars="25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3、货物验收时发现问题的处理办法：</w:t>
      </w:r>
    </w:p>
    <w:p w14:paraId="3FAB1981">
      <w:pPr>
        <w:pStyle w:val="14"/>
        <w:spacing w:line="540" w:lineRule="exact"/>
        <w:ind w:firstLine="64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（1）乙方提供不符合招标文件和本合同规定的货物（产品），甲方有权拒绝接受；</w:t>
      </w:r>
    </w:p>
    <w:p w14:paraId="3DE7CFF0">
      <w:pPr>
        <w:pStyle w:val="14"/>
        <w:spacing w:line="540" w:lineRule="exact"/>
        <w:ind w:firstLine="64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如发现所交付的货物有短装、次品、损坏或其它不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w:t>
      </w:r>
    </w:p>
    <w:p w14:paraId="521BDA5E">
      <w:pPr>
        <w:pStyle w:val="14"/>
        <w:spacing w:line="540" w:lineRule="exact"/>
        <w:ind w:firstLine="64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（3）如货物经乙方次维修3次仍不能达到合同约定的质量标准，甲方有权退货，并视作乙方不能交付货物而须支付违约赔偿金给甲方，甲方还可依法追究乙方的违约责任； </w:t>
      </w:r>
    </w:p>
    <w:p w14:paraId="2B283614">
      <w:pPr>
        <w:pStyle w:val="14"/>
        <w:spacing w:line="540" w:lineRule="exact"/>
        <w:ind w:firstLine="64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（4）货物安装完成后</w:t>
      </w:r>
      <w:r>
        <w:rPr>
          <w:rFonts w:hint="eastAsia" w:ascii="仿宋_GB2312" w:hAnsi="仿宋_GB2312" w:eastAsia="仿宋_GB2312" w:cs="仿宋_GB2312"/>
          <w:sz w:val="32"/>
          <w:szCs w:val="32"/>
          <w:lang w:val="en-US" w:eastAsia="zh-CN"/>
        </w:rPr>
        <w:t>36</w:t>
      </w:r>
      <w:r>
        <w:rPr>
          <w:rFonts w:hint="eastAsia" w:ascii="仿宋_GB2312" w:hAnsi="仿宋_GB2312" w:eastAsia="仿宋_GB2312" w:cs="仿宋_GB2312"/>
          <w:sz w:val="32"/>
          <w:szCs w:val="32"/>
          <w:lang w:eastAsia="zh-CN"/>
        </w:rPr>
        <w:t>0日内，甲方无故不进行验收工作并已使用货物的，视同已安装调试完成并验收合格；</w:t>
      </w:r>
    </w:p>
    <w:p w14:paraId="3F027DBA">
      <w:pPr>
        <w:pStyle w:val="14"/>
        <w:spacing w:line="540" w:lineRule="exact"/>
        <w:ind w:firstLine="64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（5）乙方不能完整交付货物及本条第一款规定的单证和工具的，必须负责补齐，否则视为未按合同约定交货；</w:t>
      </w:r>
    </w:p>
    <w:p w14:paraId="7E37315A">
      <w:pPr>
        <w:pStyle w:val="14"/>
        <w:spacing w:beforeLines="50" w:afterLines="50" w:line="540" w:lineRule="exact"/>
        <w:ind w:firstLine="640"/>
        <w:rPr>
          <w:rFonts w:ascii="仿宋_GB2312" w:hAnsi="仿宋_GB2312" w:eastAsia="仿宋_GB2312" w:cs="仿宋_GB2312"/>
          <w:b/>
          <w:sz w:val="32"/>
          <w:szCs w:val="32"/>
          <w:lang w:eastAsia="zh-CN"/>
        </w:rPr>
      </w:pPr>
      <w:r>
        <w:rPr>
          <w:rFonts w:hint="eastAsia" w:ascii="仿宋_GB2312" w:hAnsi="仿宋_GB2312" w:eastAsia="仿宋_GB2312" w:cs="仿宋_GB2312"/>
          <w:b/>
          <w:sz w:val="32"/>
          <w:szCs w:val="32"/>
          <w:lang w:eastAsia="zh-CN"/>
        </w:rPr>
        <w:t>第九条 售后服务</w:t>
      </w:r>
    </w:p>
    <w:p w14:paraId="42DF1167">
      <w:pPr>
        <w:pStyle w:val="14"/>
        <w:spacing w:afterLines="50" w:line="540" w:lineRule="exact"/>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乙方对其所提供产品负责备品配件的供应，长期提供维修服务，并提供技术咨询等服务。质保期内应无偿负责的维修和替换等工作。超出质保期只收取维修所需原设备、材料成本费用。</w:t>
      </w:r>
    </w:p>
    <w:p w14:paraId="08DC7B63">
      <w:pPr>
        <w:pStyle w:val="14"/>
        <w:spacing w:afterLines="50" w:line="540" w:lineRule="exact"/>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服务响应时限:7X24小时服务，提供售后服务电话(应具有:固定电话、移动电话、传真)。</w:t>
      </w:r>
    </w:p>
    <w:p w14:paraId="0BD9E267">
      <w:pPr>
        <w:pStyle w:val="14"/>
        <w:spacing w:afterLines="50" w:line="540" w:lineRule="exact"/>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派专人对学校提供售后服务，并每月定期对所提供的产品等进行巡检，做好巡检记录。</w:t>
      </w:r>
    </w:p>
    <w:p w14:paraId="6DAFD921">
      <w:pPr>
        <w:pStyle w:val="14"/>
        <w:spacing w:afterLines="50" w:line="540" w:lineRule="exact"/>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 xml:space="preserve">维修工作时间不大于 24小时，更换工作时间不大于 72 小时。 </w:t>
      </w:r>
    </w:p>
    <w:p w14:paraId="550C6CF3">
      <w:pPr>
        <w:pStyle w:val="14"/>
        <w:spacing w:afterLines="50" w:line="540" w:lineRule="exact"/>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eastAsia="zh-CN"/>
        </w:rPr>
        <w:t xml:space="preserve">若乙方未按照合同规定的售后服务要求执行，甲方有权自行选择第三方进行维护和修理，所产生的费用将乙方来承担。 </w:t>
      </w:r>
    </w:p>
    <w:p w14:paraId="6A8E25B4">
      <w:pPr>
        <w:pStyle w:val="14"/>
        <w:spacing w:afterLines="50" w:line="540" w:lineRule="exact"/>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eastAsia="zh-CN"/>
        </w:rPr>
        <w:t>质保期：不少于3年。</w:t>
      </w:r>
    </w:p>
    <w:p w14:paraId="662808CD">
      <w:pPr>
        <w:pStyle w:val="14"/>
        <w:spacing w:afterLines="50" w:line="540" w:lineRule="exact"/>
        <w:ind w:firstLine="640"/>
        <w:rPr>
          <w:rFonts w:ascii="仿宋_GB2312" w:hAnsi="仿宋_GB2312" w:eastAsia="仿宋_GB2312" w:cs="仿宋_GB2312"/>
          <w:sz w:val="32"/>
          <w:szCs w:val="32"/>
          <w:lang w:eastAsia="zh-CN"/>
        </w:rPr>
      </w:pPr>
      <w:r>
        <w:rPr>
          <w:rFonts w:hint="eastAsia" w:ascii="仿宋_GB2312" w:hAnsi="仿宋_GB2312" w:eastAsia="仿宋_GB2312" w:cs="仿宋_GB2312"/>
          <w:b/>
          <w:sz w:val="32"/>
          <w:szCs w:val="32"/>
          <w:lang w:eastAsia="zh-CN"/>
        </w:rPr>
        <w:t>第十条</w:t>
      </w:r>
      <w:r>
        <w:rPr>
          <w:rFonts w:hint="eastAsia" w:ascii="仿宋_GB2312" w:hAnsi="仿宋_GB2312" w:eastAsia="仿宋_GB2312" w:cs="仿宋_GB2312"/>
          <w:b/>
          <w:sz w:val="32"/>
          <w:szCs w:val="32"/>
          <w:lang w:val="en-US" w:eastAsia="zh-CN"/>
        </w:rPr>
        <w:t xml:space="preserve"> </w:t>
      </w:r>
      <w:r>
        <w:rPr>
          <w:rFonts w:hint="eastAsia" w:ascii="仿宋_GB2312" w:hAnsi="仿宋_GB2312" w:eastAsia="仿宋_GB2312" w:cs="仿宋_GB2312"/>
          <w:b/>
          <w:sz w:val="32"/>
          <w:szCs w:val="32"/>
          <w:lang w:eastAsia="zh-CN"/>
        </w:rPr>
        <w:t>违约责任</w:t>
      </w:r>
    </w:p>
    <w:p w14:paraId="68178A67">
      <w:pPr>
        <w:pStyle w:val="14"/>
        <w:spacing w:line="54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（1）违约责任与解决争议的方法按《中华人民共和国民法典》中的相关条款执</w:t>
      </w:r>
      <w:bookmarkStart w:id="1" w:name="_GoBack"/>
      <w:bookmarkEnd w:id="1"/>
      <w:r>
        <w:rPr>
          <w:rFonts w:hint="eastAsia" w:ascii="仿宋_GB2312" w:hAnsi="仿宋_GB2312" w:eastAsia="仿宋_GB2312" w:cs="仿宋_GB2312"/>
          <w:sz w:val="32"/>
          <w:szCs w:val="32"/>
          <w:lang w:val="en-US" w:eastAsia="zh-CN"/>
        </w:rPr>
        <w:t xml:space="preserve">行。 </w:t>
      </w:r>
    </w:p>
    <w:p w14:paraId="7CE63497">
      <w:pPr>
        <w:pStyle w:val="14"/>
        <w:spacing w:line="540" w:lineRule="exact"/>
        <w:ind w:firstLine="64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（2）未按照采购文件、响应文件及合同约定执行，采购人有权终止合同，并对供方违约行为进行追究，同时按《中华人民共和国政府采购法》的有关规定进行处罚。</w:t>
      </w:r>
      <w:r>
        <w:rPr>
          <w:rFonts w:ascii="仿宋_GB2312" w:hAnsi="仿宋_GB2312" w:eastAsia="仿宋_GB2312" w:cs="仿宋_GB2312"/>
          <w:sz w:val="32"/>
          <w:szCs w:val="32"/>
          <w:lang w:val="en-US" w:eastAsia="zh-CN"/>
        </w:rPr>
        <w:t xml:space="preserve"> </w:t>
      </w:r>
    </w:p>
    <w:p w14:paraId="6F2785FC">
      <w:pPr>
        <w:spacing w:beforeLines="50" w:afterLines="50" w:line="540" w:lineRule="exact"/>
        <w:ind w:firstLine="643" w:firstLineChars="200"/>
        <w:rPr>
          <w:rFonts w:ascii="仿宋_GB2312" w:hAnsi="仿宋_GB2312" w:eastAsia="仿宋_GB2312" w:cs="仿宋_GB2312"/>
          <w:sz w:val="32"/>
          <w:szCs w:val="32"/>
          <w:lang w:eastAsia="zh-CN"/>
        </w:rPr>
      </w:pPr>
      <w:r>
        <w:rPr>
          <w:rFonts w:hint="eastAsia" w:ascii="仿宋_GB2312" w:hAnsi="仿宋_GB2312" w:eastAsia="仿宋_GB2312" w:cs="仿宋_GB2312"/>
          <w:b/>
          <w:sz w:val="32"/>
          <w:szCs w:val="32"/>
          <w:lang w:eastAsia="zh-CN"/>
        </w:rPr>
        <w:t>第十一条 合同的变更和终止</w:t>
      </w:r>
    </w:p>
    <w:p w14:paraId="2C68758E">
      <w:pPr>
        <w:spacing w:line="540" w:lineRule="exact"/>
        <w:ind w:firstLine="640" w:firstLineChars="200"/>
        <w:rPr>
          <w:rFonts w:ascii="仿宋_GB2312" w:hAnsi="仿宋_GB2312" w:eastAsia="仿宋_GB2312" w:cs="仿宋_GB2312"/>
          <w:b/>
          <w:sz w:val="32"/>
          <w:szCs w:val="32"/>
          <w:lang w:eastAsia="zh-CN"/>
        </w:rPr>
      </w:pPr>
      <w:r>
        <w:rPr>
          <w:rFonts w:hint="eastAsia" w:ascii="仿宋_GB2312" w:hAnsi="仿宋_GB2312" w:eastAsia="仿宋_GB2312" w:cs="仿宋_GB2312"/>
          <w:sz w:val="32"/>
          <w:szCs w:val="32"/>
          <w:lang w:eastAsia="zh-CN"/>
        </w:rPr>
        <w:t>本合同一经签订，甲乙双方不得擅自变更、中止或终止合同。</w:t>
      </w:r>
    </w:p>
    <w:p w14:paraId="0B20D93B">
      <w:pPr>
        <w:spacing w:beforeLines="50" w:afterLines="50" w:line="540" w:lineRule="exact"/>
        <w:ind w:firstLine="643" w:firstLineChars="200"/>
        <w:rPr>
          <w:rFonts w:ascii="仿宋_GB2312" w:hAnsi="仿宋_GB2312" w:eastAsia="仿宋_GB2312" w:cs="仿宋_GB2312"/>
          <w:b/>
          <w:sz w:val="32"/>
          <w:szCs w:val="32"/>
          <w:lang w:eastAsia="zh-CN"/>
        </w:rPr>
      </w:pPr>
      <w:r>
        <w:rPr>
          <w:rFonts w:hint="eastAsia" w:ascii="仿宋_GB2312" w:hAnsi="仿宋_GB2312" w:eastAsia="仿宋_GB2312" w:cs="仿宋_GB2312"/>
          <w:b/>
          <w:sz w:val="32"/>
          <w:szCs w:val="32"/>
          <w:lang w:eastAsia="zh-CN"/>
        </w:rPr>
        <w:t>第十二条 争议的解决</w:t>
      </w:r>
    </w:p>
    <w:p w14:paraId="350BB31D">
      <w:pPr>
        <w:pStyle w:val="14"/>
        <w:spacing w:line="540" w:lineRule="exact"/>
        <w:ind w:firstLine="64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1、因货物的质量问题发生争议，由质量技术监督部门或其指定的质量鉴定机构进行质量鉴定。货物符合标准的，鉴定费由甲方承担；货物不符合质量标准的，鉴定费由乙方承担。</w:t>
      </w:r>
    </w:p>
    <w:p w14:paraId="252E20E3">
      <w:pPr>
        <w:pStyle w:val="14"/>
        <w:spacing w:line="540" w:lineRule="exact"/>
        <w:ind w:firstLine="64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2、因履行本合同引起的或与本合同有关的争议，甲、乙双方应首先通过友好协商解决，如果协商不成，则采取以下第</w:t>
      </w:r>
      <w:r>
        <w:rPr>
          <w:rFonts w:hint="eastAsia" w:ascii="仿宋_GB2312" w:hAnsi="仿宋_GB2312" w:eastAsia="仿宋_GB2312" w:cs="仿宋_GB2312"/>
          <w:sz w:val="32"/>
          <w:szCs w:val="32"/>
          <w:u w:val="single"/>
          <w:lang w:eastAsia="zh-CN"/>
        </w:rPr>
        <w:t xml:space="preserve">  2</w:t>
      </w:r>
      <w:r>
        <w:rPr>
          <w:rFonts w:hint="eastAsia" w:ascii="仿宋_GB2312" w:hAnsi="仿宋_GB2312" w:eastAsia="仿宋_GB2312" w:cs="仿宋_GB2312"/>
          <w:sz w:val="32"/>
          <w:szCs w:val="32"/>
          <w:lang w:eastAsia="zh-CN"/>
        </w:rPr>
        <w:t>种方式解决争议：</w:t>
      </w:r>
    </w:p>
    <w:p w14:paraId="0D20F0F9">
      <w:pPr>
        <w:pStyle w:val="14"/>
        <w:spacing w:line="540" w:lineRule="exact"/>
        <w:ind w:firstLine="64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（1）向甲方所在地有管辖权的人民法院提起诉讼；</w:t>
      </w:r>
    </w:p>
    <w:p w14:paraId="59DDF67D">
      <w:pPr>
        <w:pStyle w:val="14"/>
        <w:spacing w:line="540" w:lineRule="exact"/>
        <w:ind w:firstLine="64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（2）向</w:t>
      </w:r>
      <w:r>
        <w:rPr>
          <w:rFonts w:hint="eastAsia" w:ascii="仿宋_GB2312" w:hAnsi="仿宋_GB2312" w:eastAsia="仿宋_GB2312" w:cs="仿宋_GB2312"/>
          <w:sz w:val="32"/>
          <w:szCs w:val="32"/>
          <w:u w:val="single"/>
          <w:lang w:eastAsia="zh-CN"/>
        </w:rPr>
        <w:t>西安</w:t>
      </w:r>
      <w:r>
        <w:rPr>
          <w:rFonts w:hint="eastAsia" w:ascii="仿宋_GB2312" w:hAnsi="仿宋_GB2312" w:eastAsia="仿宋_GB2312" w:cs="仿宋_GB2312"/>
          <w:sz w:val="32"/>
          <w:szCs w:val="32"/>
          <w:lang w:eastAsia="zh-CN"/>
        </w:rPr>
        <w:t>仲裁委员会按其仲裁规则申请仲裁。</w:t>
      </w:r>
    </w:p>
    <w:p w14:paraId="32A814E5">
      <w:pPr>
        <w:pStyle w:val="14"/>
        <w:spacing w:line="540" w:lineRule="exact"/>
        <w:ind w:firstLine="64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3．在仲裁期间，本合同应继续履行。</w:t>
      </w:r>
    </w:p>
    <w:p w14:paraId="2E7925B3">
      <w:pPr>
        <w:snapToGrid w:val="0"/>
        <w:spacing w:beforeLines="50" w:afterLines="50" w:line="540" w:lineRule="exact"/>
        <w:ind w:firstLine="643" w:firstLineChars="200"/>
        <w:textAlignment w:val="baseline"/>
        <w:rPr>
          <w:rFonts w:ascii="仿宋_GB2312" w:hAnsi="仿宋_GB2312" w:eastAsia="仿宋_GB2312" w:cs="仿宋_GB2312"/>
          <w:b/>
          <w:sz w:val="32"/>
          <w:szCs w:val="32"/>
          <w:lang w:eastAsia="zh-CN"/>
        </w:rPr>
      </w:pPr>
      <w:r>
        <w:rPr>
          <w:rFonts w:hint="eastAsia" w:ascii="仿宋_GB2312" w:hAnsi="仿宋_GB2312" w:eastAsia="仿宋_GB2312" w:cs="仿宋_GB2312"/>
          <w:b/>
          <w:sz w:val="32"/>
          <w:szCs w:val="32"/>
          <w:lang w:eastAsia="zh-CN"/>
        </w:rPr>
        <w:t>第十三条 合同生效及其他</w:t>
      </w:r>
    </w:p>
    <w:p w14:paraId="6014DBEE">
      <w:pPr>
        <w:snapToGrid w:val="0"/>
        <w:spacing w:line="540" w:lineRule="exact"/>
        <w:ind w:firstLine="539"/>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1、如有未尽事宜，由双方依法订立补充合同。</w:t>
      </w:r>
    </w:p>
    <w:p w14:paraId="128B3480">
      <w:pPr>
        <w:snapToGrid w:val="0"/>
        <w:spacing w:line="540" w:lineRule="exact"/>
        <w:ind w:firstLine="539"/>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2、本合同自签订之日起生效。</w:t>
      </w:r>
    </w:p>
    <w:p w14:paraId="7A1DCBDE">
      <w:pPr>
        <w:snapToGrid w:val="0"/>
        <w:spacing w:line="540" w:lineRule="exact"/>
        <w:ind w:firstLine="539"/>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3、本合同一式</w:t>
      </w:r>
      <w:r>
        <w:rPr>
          <w:rFonts w:hint="eastAsia" w:ascii="仿宋_GB2312" w:hAnsi="仿宋_GB2312" w:eastAsia="仿宋_GB2312" w:cs="仿宋_GB2312"/>
          <w:sz w:val="32"/>
          <w:szCs w:val="32"/>
          <w:lang w:val="en-US" w:eastAsia="zh-CN"/>
        </w:rPr>
        <w:t>捌</w:t>
      </w:r>
      <w:r>
        <w:rPr>
          <w:rFonts w:hint="eastAsia" w:ascii="仿宋_GB2312" w:hAnsi="仿宋_GB2312" w:eastAsia="仿宋_GB2312" w:cs="仿宋_GB2312"/>
          <w:sz w:val="32"/>
          <w:szCs w:val="32"/>
          <w:lang w:eastAsia="zh-CN"/>
        </w:rPr>
        <w:t>份，具有同等法律效力，甲</w:t>
      </w:r>
      <w:r>
        <w:rPr>
          <w:rFonts w:hint="eastAsia" w:ascii="仿宋_GB2312" w:hAnsi="仿宋_GB2312" w:eastAsia="仿宋_GB2312" w:cs="仿宋_GB2312"/>
          <w:sz w:val="32"/>
          <w:szCs w:val="32"/>
          <w:lang w:val="en-US" w:eastAsia="zh-CN"/>
        </w:rPr>
        <w:t>方陆份，</w:t>
      </w:r>
      <w:r>
        <w:rPr>
          <w:rFonts w:hint="eastAsia" w:ascii="仿宋_GB2312" w:hAnsi="仿宋_GB2312" w:eastAsia="仿宋_GB2312" w:cs="仿宋_GB2312"/>
          <w:sz w:val="32"/>
          <w:szCs w:val="32"/>
          <w:lang w:eastAsia="zh-CN"/>
        </w:rPr>
        <w:t>乙</w:t>
      </w:r>
      <w:r>
        <w:rPr>
          <w:rFonts w:hint="eastAsia" w:ascii="仿宋_GB2312" w:hAnsi="仿宋_GB2312" w:eastAsia="仿宋_GB2312" w:cs="仿宋_GB2312"/>
          <w:sz w:val="32"/>
          <w:szCs w:val="32"/>
          <w:lang w:val="en-US" w:eastAsia="zh-CN"/>
        </w:rPr>
        <w:t>方贰份</w:t>
      </w:r>
      <w:r>
        <w:rPr>
          <w:rFonts w:hint="eastAsia" w:ascii="仿宋_GB2312" w:hAnsi="仿宋_GB2312" w:eastAsia="仿宋_GB2312" w:cs="仿宋_GB2312"/>
          <w:sz w:val="32"/>
          <w:szCs w:val="32"/>
          <w:lang w:eastAsia="zh-CN"/>
        </w:rPr>
        <w:t>。</w:t>
      </w:r>
    </w:p>
    <w:p w14:paraId="5C7BC785">
      <w:pPr>
        <w:spacing w:beforeLines="50" w:afterLines="50" w:line="540" w:lineRule="exact"/>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甲方：   （盖章）   </w:t>
      </w:r>
      <w:r>
        <w:rPr>
          <w:rFonts w:hint="eastAsia" w:ascii="仿宋_GB2312" w:hAnsi="仿宋_GB2312" w:eastAsia="仿宋_GB2312" w:cs="仿宋_GB2312"/>
          <w:sz w:val="32"/>
          <w:szCs w:val="32"/>
          <w:lang w:eastAsia="zh-CN"/>
        </w:rPr>
        <w:tab/>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乙方：   （盖章）</w:t>
      </w:r>
    </w:p>
    <w:p w14:paraId="18AE4D5D">
      <w:pPr>
        <w:spacing w:beforeLines="50" w:afterLines="50" w:line="540" w:lineRule="exact"/>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法定代表人/授权代表：              法定代表人/授权代表：</w:t>
      </w:r>
    </w:p>
    <w:p w14:paraId="2A2A182F">
      <w:pPr>
        <w:spacing w:beforeLines="50" w:afterLines="50" w:line="540" w:lineRule="exac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地    址：</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地    址：</w:t>
      </w:r>
    </w:p>
    <w:p w14:paraId="250544EF">
      <w:pPr>
        <w:spacing w:beforeLines="50" w:afterLines="50" w:line="540" w:lineRule="exact"/>
        <w:ind w:firstLine="960" w:firstLineChars="300"/>
        <w:rPr>
          <w:rFonts w:ascii="仿宋_GB2312" w:hAnsi="仿宋_GB2312" w:eastAsia="仿宋_GB2312" w:cs="仿宋_GB2312"/>
          <w:sz w:val="32"/>
          <w:szCs w:val="32"/>
          <w:lang w:eastAsia="zh-CN"/>
        </w:rPr>
      </w:pPr>
    </w:p>
    <w:p w14:paraId="1B7807B8">
      <w:pPr>
        <w:spacing w:beforeLines="50" w:afterLines="50" w:line="540" w:lineRule="exact"/>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开户银行：</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开户银行：</w:t>
      </w:r>
    </w:p>
    <w:p w14:paraId="13500C80">
      <w:pPr>
        <w:spacing w:beforeLines="50" w:afterLines="50" w:line="540" w:lineRule="exact"/>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账    号：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 xml:space="preserve"> 账    号：</w:t>
      </w:r>
    </w:p>
    <w:p w14:paraId="4EBC1E5E">
      <w:pPr>
        <w:spacing w:beforeLines="50" w:afterLines="50" w:line="540" w:lineRule="exact"/>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电    话：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 xml:space="preserve"> 电    话：</w:t>
      </w:r>
    </w:p>
    <w:p w14:paraId="745E94CA">
      <w:pPr>
        <w:spacing w:beforeLines="50" w:afterLines="50" w:line="540" w:lineRule="exact"/>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签约日期：    年  月  日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签约日期：    年  月  日</w:t>
      </w:r>
    </w:p>
    <w:p w14:paraId="4BFC295C">
      <w:pPr>
        <w:spacing w:line="540" w:lineRule="exact"/>
        <w:ind w:firstLine="640" w:firstLineChars="200"/>
        <w:rPr>
          <w:rFonts w:ascii="仿宋_GB2312" w:hAnsi="仿宋_GB2312" w:eastAsia="仿宋_GB2312" w:cs="仿宋_GB2312"/>
          <w:sz w:val="32"/>
          <w:szCs w:val="32"/>
          <w:lang w:eastAsia="zh-CN"/>
        </w:rPr>
      </w:pPr>
    </w:p>
    <w:p w14:paraId="398C255D">
      <w:pPr>
        <w:spacing w:line="540" w:lineRule="exact"/>
        <w:rPr>
          <w:rFonts w:ascii="仿宋_GB2312" w:hAnsi="仿宋_GB2312" w:eastAsia="仿宋_GB2312" w:cs="仿宋_GB2312"/>
          <w:sz w:val="32"/>
          <w:szCs w:val="32"/>
          <w:lang w:eastAsia="zh-CN"/>
        </w:rPr>
      </w:pPr>
      <w:bookmarkStart w:id="0" w:name="na-dialog-root"/>
      <w:bookmarkEnd w:id="0"/>
    </w:p>
    <w:sectPr>
      <w:pgSz w:w="11906" w:h="16838"/>
      <w:pgMar w:top="1440" w:right="1474"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k0NzVkNjI4ZjJjMzJjM2RiY2ZmNjcxMjRlMjYxZjcifQ=="/>
  </w:docVars>
  <w:rsids>
    <w:rsidRoot w:val="0075792D"/>
    <w:rsid w:val="0003603D"/>
    <w:rsid w:val="00111987"/>
    <w:rsid w:val="00190685"/>
    <w:rsid w:val="00276189"/>
    <w:rsid w:val="004323E2"/>
    <w:rsid w:val="004836C3"/>
    <w:rsid w:val="004917A2"/>
    <w:rsid w:val="005004A7"/>
    <w:rsid w:val="00663143"/>
    <w:rsid w:val="0075792D"/>
    <w:rsid w:val="00855768"/>
    <w:rsid w:val="00861990"/>
    <w:rsid w:val="00923214"/>
    <w:rsid w:val="00A172D3"/>
    <w:rsid w:val="00B047F7"/>
    <w:rsid w:val="00B1466C"/>
    <w:rsid w:val="00D022CF"/>
    <w:rsid w:val="00D37C6D"/>
    <w:rsid w:val="00DF3E2C"/>
    <w:rsid w:val="00F65747"/>
    <w:rsid w:val="04ED064B"/>
    <w:rsid w:val="0739796E"/>
    <w:rsid w:val="0CF609D7"/>
    <w:rsid w:val="119D52E8"/>
    <w:rsid w:val="18003D99"/>
    <w:rsid w:val="1C8A6328"/>
    <w:rsid w:val="1F9C49A9"/>
    <w:rsid w:val="22E76282"/>
    <w:rsid w:val="233F7E6C"/>
    <w:rsid w:val="2D4861C8"/>
    <w:rsid w:val="2DF05126"/>
    <w:rsid w:val="309F019C"/>
    <w:rsid w:val="30AF6A65"/>
    <w:rsid w:val="3BA51FAA"/>
    <w:rsid w:val="3C694EED"/>
    <w:rsid w:val="3F224236"/>
    <w:rsid w:val="416848F9"/>
    <w:rsid w:val="496B6DAF"/>
    <w:rsid w:val="4DC20121"/>
    <w:rsid w:val="522B76F6"/>
    <w:rsid w:val="55440C4A"/>
    <w:rsid w:val="5870229A"/>
    <w:rsid w:val="58CE2FE6"/>
    <w:rsid w:val="660306FB"/>
    <w:rsid w:val="69B43A03"/>
    <w:rsid w:val="6AC341F7"/>
    <w:rsid w:val="6B6F6C0F"/>
    <w:rsid w:val="6FE01704"/>
    <w:rsid w:val="79AD4AC8"/>
    <w:rsid w:val="7B1D2E1F"/>
    <w:rsid w:val="7EB11997"/>
    <w:rsid w:val="7FB80C2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200"/>
    </w:pPr>
    <w:rPr>
      <w:rFonts w:asciiTheme="minorHAnsi" w:hAnsiTheme="minorHAnsi" w:eastAsiaTheme="minorHAnsi" w:cstheme="minorBidi"/>
      <w:sz w:val="24"/>
      <w:szCs w:val="24"/>
      <w:lang w:val="en-US" w:eastAsia="en-US" w:bidi="ar-SA"/>
    </w:rPr>
  </w:style>
  <w:style w:type="paragraph" w:styleId="3">
    <w:name w:val="heading 2"/>
    <w:basedOn w:val="1"/>
    <w:next w:val="4"/>
    <w:link w:val="11"/>
    <w:unhideWhenUsed/>
    <w:qFormat/>
    <w:uiPriority w:val="9"/>
    <w:pPr>
      <w:keepNext/>
      <w:keepLines/>
      <w:spacing w:before="200" w:after="0"/>
      <w:outlineLvl w:val="1"/>
    </w:pPr>
    <w:rPr>
      <w:rFonts w:asciiTheme="majorHAnsi" w:hAnsiTheme="majorHAnsi" w:eastAsiaTheme="majorEastAsia" w:cstheme="majorBidi"/>
      <w:b/>
      <w:bCs/>
      <w:color w:val="4F81BD" w:themeColor="accent1"/>
      <w:sz w:val="32"/>
      <w:szCs w:val="32"/>
      <w14:textFill>
        <w14:solidFill>
          <w14:schemeClr w14:val="accent1"/>
        </w14:solidFill>
      </w14:textFill>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1"/>
    <w:link w:val="12"/>
    <w:autoRedefine/>
    <w:semiHidden/>
    <w:unhideWhenUsed/>
    <w:qFormat/>
    <w:uiPriority w:val="0"/>
    <w:pPr>
      <w:spacing w:before="180" w:after="180"/>
    </w:pPr>
  </w:style>
  <w:style w:type="paragraph" w:styleId="4">
    <w:name w:val="Normal Indent"/>
    <w:basedOn w:val="1"/>
    <w:autoRedefine/>
    <w:semiHidden/>
    <w:unhideWhenUsed/>
    <w:qFormat/>
    <w:uiPriority w:val="0"/>
    <w:pPr>
      <w:ind w:firstLine="420"/>
    </w:pPr>
    <w:rPr>
      <w:szCs w:val="20"/>
    </w:rPr>
  </w:style>
  <w:style w:type="paragraph" w:styleId="5">
    <w:name w:val="footer"/>
    <w:basedOn w:val="1"/>
    <w:link w:val="10"/>
    <w:autoRedefine/>
    <w:semiHidden/>
    <w:unhideWhenUsed/>
    <w:qFormat/>
    <w:uiPriority w:val="99"/>
    <w:pPr>
      <w:widowControl w:val="0"/>
      <w:tabs>
        <w:tab w:val="center" w:pos="4153"/>
        <w:tab w:val="right" w:pos="8306"/>
      </w:tabs>
      <w:snapToGrid w:val="0"/>
      <w:spacing w:after="0"/>
    </w:pPr>
    <w:rPr>
      <w:rFonts w:eastAsiaTheme="minorEastAsia"/>
      <w:kern w:val="2"/>
      <w:sz w:val="18"/>
      <w:szCs w:val="18"/>
      <w:lang w:eastAsia="zh-CN"/>
    </w:rPr>
  </w:style>
  <w:style w:type="paragraph" w:styleId="6">
    <w:name w:val="header"/>
    <w:basedOn w:val="1"/>
    <w:link w:val="9"/>
    <w:autoRedefine/>
    <w:semiHidden/>
    <w:unhideWhenUsed/>
    <w:qFormat/>
    <w:uiPriority w:val="99"/>
    <w:pPr>
      <w:widowControl w:val="0"/>
      <w:pBdr>
        <w:bottom w:val="single" w:color="auto" w:sz="6" w:space="1"/>
      </w:pBdr>
      <w:tabs>
        <w:tab w:val="center" w:pos="4153"/>
        <w:tab w:val="right" w:pos="8306"/>
      </w:tabs>
      <w:snapToGrid w:val="0"/>
      <w:spacing w:after="0"/>
      <w:jc w:val="center"/>
    </w:pPr>
    <w:rPr>
      <w:rFonts w:eastAsiaTheme="minorEastAsia"/>
      <w:kern w:val="2"/>
      <w:sz w:val="18"/>
      <w:szCs w:val="18"/>
      <w:lang w:eastAsia="zh-CN"/>
    </w:rPr>
  </w:style>
  <w:style w:type="character" w:customStyle="1" w:styleId="9">
    <w:name w:val="页眉 Char"/>
    <w:basedOn w:val="8"/>
    <w:link w:val="6"/>
    <w:autoRedefine/>
    <w:semiHidden/>
    <w:qFormat/>
    <w:uiPriority w:val="99"/>
    <w:rPr>
      <w:sz w:val="18"/>
      <w:szCs w:val="18"/>
    </w:rPr>
  </w:style>
  <w:style w:type="character" w:customStyle="1" w:styleId="10">
    <w:name w:val="页脚 Char"/>
    <w:basedOn w:val="8"/>
    <w:link w:val="5"/>
    <w:autoRedefine/>
    <w:semiHidden/>
    <w:qFormat/>
    <w:uiPriority w:val="99"/>
    <w:rPr>
      <w:sz w:val="18"/>
      <w:szCs w:val="18"/>
    </w:rPr>
  </w:style>
  <w:style w:type="character" w:customStyle="1" w:styleId="11">
    <w:name w:val="标题 2 Char"/>
    <w:basedOn w:val="8"/>
    <w:link w:val="3"/>
    <w:autoRedefine/>
    <w:qFormat/>
    <w:uiPriority w:val="9"/>
    <w:rPr>
      <w:rFonts w:asciiTheme="majorHAnsi" w:hAnsiTheme="majorHAnsi" w:eastAsiaTheme="majorEastAsia" w:cstheme="majorBidi"/>
      <w:b/>
      <w:bCs/>
      <w:color w:val="4F81BD" w:themeColor="accent1"/>
      <w:kern w:val="0"/>
      <w:sz w:val="32"/>
      <w:szCs w:val="32"/>
      <w:lang w:eastAsia="en-US"/>
      <w14:textFill>
        <w14:solidFill>
          <w14:schemeClr w14:val="accent1"/>
        </w14:solidFill>
      </w14:textFill>
    </w:rPr>
  </w:style>
  <w:style w:type="character" w:customStyle="1" w:styleId="12">
    <w:name w:val="正文文本 Char"/>
    <w:basedOn w:val="8"/>
    <w:link w:val="2"/>
    <w:autoRedefine/>
    <w:semiHidden/>
    <w:qFormat/>
    <w:uiPriority w:val="0"/>
    <w:rPr>
      <w:rFonts w:eastAsiaTheme="minorHAnsi"/>
      <w:kern w:val="0"/>
      <w:sz w:val="24"/>
      <w:szCs w:val="24"/>
      <w:lang w:eastAsia="en-US"/>
    </w:rPr>
  </w:style>
  <w:style w:type="paragraph" w:customStyle="1" w:styleId="13">
    <w:name w:val="Compact"/>
    <w:basedOn w:val="2"/>
    <w:autoRedefine/>
    <w:qFormat/>
    <w:uiPriority w:val="0"/>
    <w:pPr>
      <w:spacing w:before="36" w:after="36"/>
    </w:pPr>
  </w:style>
  <w:style w:type="paragraph" w:customStyle="1" w:styleId="14">
    <w:name w:val="样式 首行缩进:  2 字符"/>
    <w:basedOn w:val="1"/>
    <w:autoRedefine/>
    <w:qFormat/>
    <w:uiPriority w:val="0"/>
    <w:pPr>
      <w:spacing w:line="400" w:lineRule="exact"/>
      <w:ind w:firstLine="200" w:firstLineChars="200"/>
    </w:pPr>
    <w:rPr>
      <w:rFonts w:cs="宋体"/>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9</Pages>
  <Words>3405</Words>
  <Characters>3456</Characters>
  <Lines>27</Lines>
  <Paragraphs>7</Paragraphs>
  <TotalTime>14</TotalTime>
  <ScaleCrop>false</ScaleCrop>
  <LinksUpToDate>false</LinksUpToDate>
  <CharactersWithSpaces>3656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2021-03-19T03:29:00Z</dcterms:created>
  <dc:creator>Windows User</dc:creator>
  <cp:lastModifiedBy>刘书豪的DELL</cp:lastModifiedBy>
  <cp:lastPrinted>2021-09-08T01:05:00Z</cp:lastPrinted>
  <dcterms:modified xsi:type="dcterms:W3CDTF">2026-08-18T09:53:31Z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4D0F1A734AA9433F949DF97F03D84832</vt:lpwstr>
  </property>
  <property fmtid="{D5CDD505-2E9C-101B-9397-08002B2CF9AE}" pid="4" name="KSOTemplateDocerSaveRecord">
    <vt:lpwstr>eyJoZGlkIjoiMzk0NzVkNjI4ZjJjMzJjM2RiY2ZmNjcxMjRlMjYxZjciLCJ1c2VySWQiOiIzOTYxOTYwODAifQ==</vt:lpwstr>
  </property>
</Properties>
</file>