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版本号：ZLGL-2026-ZC02720260716001</w:t>
      </w:r>
      <w:r>
        <w:br/>
      </w:r>
      <w:r>
        <w:br/>
      </w:r>
      <w:r>
        <w:br/>
      </w:r>
      <w:r>
        <w:br/>
      </w:r>
      <w:r>
        <w:br/>
      </w:r>
    </w:p>
    <w:p>
      <w:pPr>
        <w:pStyle w:val="null3"/>
        <w:jc w:val="center"/>
        <w:outlineLvl w:val="0"/>
      </w:pPr>
      <w:r>
        <w:rPr>
          <w:rFonts w:ascii="仿宋_GB2312" w:hAnsi="仿宋_GB2312" w:cs="仿宋_GB2312" w:eastAsia="仿宋_GB2312"/>
          <w:sz w:val="48"/>
          <w:b/>
        </w:rPr>
        <w:t>询价通知书</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马庄华严寺分布式高压喷雾灭火系统设备采购项目（二次）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ZLGL-2026-ZC027</w:t>
      </w:r>
      <w:r>
        <w:br/>
      </w:r>
      <w:r>
        <w:br/>
      </w:r>
      <w:r>
        <w:br/>
      </w:r>
    </w:p>
    <w:p>
      <w:pPr>
        <w:pStyle w:val="null3"/>
        <w:jc w:val="center"/>
        <w:outlineLvl w:val="2"/>
      </w:pPr>
      <w:r>
        <w:rPr>
          <w:rFonts w:ascii="仿宋_GB2312" w:hAnsi="仿宋_GB2312" w:cs="仿宋_GB2312" w:eastAsia="仿宋_GB2312"/>
          <w:sz w:val="28"/>
          <w:b/>
        </w:rPr>
        <w:t>韩城市文化和旅游局</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第一章 询价邀请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韩城市文化和旅游局</w:t>
      </w:r>
      <w:r>
        <w:rPr>
          <w:rFonts w:ascii="仿宋_GB2312" w:hAnsi="仿宋_GB2312" w:cs="仿宋_GB2312" w:eastAsia="仿宋_GB2312"/>
        </w:rPr>
        <w:t>委托，拟对</w:t>
      </w:r>
      <w:r>
        <w:rPr>
          <w:rFonts w:ascii="仿宋_GB2312" w:hAnsi="仿宋_GB2312" w:cs="仿宋_GB2312" w:eastAsia="仿宋_GB2312"/>
        </w:rPr>
        <w:t>马庄华严寺分布式高压喷雾灭火系统设备采购项目（二次）</w:t>
      </w:r>
      <w:r>
        <w:rPr>
          <w:rFonts w:ascii="仿宋_GB2312" w:hAnsi="仿宋_GB2312" w:cs="仿宋_GB2312" w:eastAsia="仿宋_GB2312"/>
        </w:rPr>
        <w:t>进行询价采购，兹邀请供应商参加询价。</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ZLGL-2026-ZC027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马庄华严寺分布式高压喷雾灭火系统设备采购项目（二次）</w:t>
      </w:r>
    </w:p>
    <w:p>
      <w:pPr>
        <w:pStyle w:val="null3"/>
        <w:outlineLvl w:val="2"/>
      </w:pPr>
      <w:r>
        <w:rPr>
          <w:rFonts w:ascii="仿宋_GB2312" w:hAnsi="仿宋_GB2312" w:cs="仿宋_GB2312" w:eastAsia="仿宋_GB2312"/>
          <w:sz w:val="28"/>
          <w:b/>
        </w:rPr>
        <w:t>三、项目简介</w:t>
      </w:r>
    </w:p>
    <w:p>
      <w:pPr>
        <w:pStyle w:val="null3"/>
        <w:ind w:firstLine="480"/>
      </w:pPr>
      <w:r>
        <w:rPr>
          <w:rFonts w:ascii="仿宋_GB2312" w:hAnsi="仿宋_GB2312" w:cs="仿宋_GB2312" w:eastAsia="仿宋_GB2312"/>
        </w:rPr>
        <w:t>分布式高压喷雾灭火系统设备采购</w:t>
      </w:r>
    </w:p>
    <w:p>
      <w:pPr>
        <w:pStyle w:val="null3"/>
        <w:outlineLvl w:val="2"/>
      </w:pPr>
      <w:r>
        <w:rPr>
          <w:rFonts w:ascii="仿宋_GB2312" w:hAnsi="仿宋_GB2312" w:cs="仿宋_GB2312" w:eastAsia="仿宋_GB2312"/>
          <w:sz w:val="28"/>
          <w:b/>
        </w:rPr>
        <w:t>四、邀请供应商方式</w:t>
      </w:r>
    </w:p>
    <w:p>
      <w:pPr>
        <w:pStyle w:val="null3"/>
      </w:pPr>
      <w:r>
        <w:rPr>
          <w:rFonts w:ascii="仿宋_GB2312" w:hAnsi="仿宋_GB2312" w:cs="仿宋_GB2312" w:eastAsia="仿宋_GB2312"/>
        </w:rPr>
        <w:t>本次采购采取公告征集邀请询价的供应商。</w:t>
      </w:r>
    </w:p>
    <w:p>
      <w:pPr>
        <w:pStyle w:val="null3"/>
      </w:pPr>
      <w:r>
        <w:rPr>
          <w:rFonts w:ascii="仿宋_GB2312" w:hAnsi="仿宋_GB2312" w:cs="仿宋_GB2312" w:eastAsia="仿宋_GB2312"/>
        </w:rPr>
        <w:t xml:space="preserve"> 公告征集：本次询价采购在“陕西省政府采购网（www.ccgp-shaanxi.gov.cn）”上以公告形式发布，兹邀请符合本次采购要求的供应商参加本项目询价采购。</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采购包1（分布式高压喷雾灭火系统设备采购）：属于专门面向中小企业采购。</w:t>
      </w:r>
    </w:p>
    <w:p>
      <w:pPr>
        <w:pStyle w:val="null3"/>
        <w:ind w:firstLine="480"/>
        <w:jc w:val="left"/>
      </w:pPr>
      <w:r>
        <w:rPr>
          <w:rFonts w:ascii="仿宋_GB2312" w:hAnsi="仿宋_GB2312" w:cs="仿宋_GB2312" w:eastAsia="仿宋_GB2312"/>
        </w:rPr>
        <w:t xml:space="preserve"> 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供应商提供2025年度的财务审计报告（若成立时间至提交响应文件截止时间不足一年的可提供成立后任意时段的资产负债表），或其开标前三个月内基本存款账户开户银行出具的资信证明及基本存款账户信息；</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6、无重大违法记录：供应商参加政府采购活动前3年内在经营活动中没有重大违法记录；</w:t>
      </w:r>
    </w:p>
    <w:p>
      <w:pPr>
        <w:pStyle w:val="null3"/>
      </w:pPr>
      <w:r>
        <w:rPr>
          <w:rFonts w:ascii="仿宋_GB2312" w:hAnsi="仿宋_GB2312" w:cs="仿宋_GB2312" w:eastAsia="仿宋_GB2312"/>
        </w:rPr>
        <w:t>7、履约能力：提供具有履行合同所必需的设备和专业技术能力的承诺；</w:t>
      </w:r>
    </w:p>
    <w:p>
      <w:pPr>
        <w:pStyle w:val="null3"/>
      </w:pPr>
      <w:r>
        <w:rPr>
          <w:rFonts w:ascii="仿宋_GB2312" w:hAnsi="仿宋_GB2312" w:cs="仿宋_GB2312" w:eastAsia="仿宋_GB2312"/>
        </w:rPr>
        <w:t>8、授权合法的人员参加本项目询价：法定代表人直接参加采购活动的，应出具法定代表人合法有效的身份证原件，且应与营业执照上信息一致；法定代表人授权代表参加采购活动的，应出具法定代表人授权委托书及授权代表合法有效的身份证原件；</w:t>
      </w:r>
    </w:p>
    <w:p>
      <w:pPr>
        <w:pStyle w:val="null3"/>
      </w:pPr>
      <w:r>
        <w:rPr>
          <w:rFonts w:ascii="仿宋_GB2312" w:hAnsi="仿宋_GB2312" w:cs="仿宋_GB2312" w:eastAsia="仿宋_GB2312"/>
        </w:rPr>
        <w:t>9、是否专门面向中小企业采购：本项目专门面向中小企业采购，投标人所提供的货物应由中小企业制造，并提供《中小企业声明函》；</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w:t>
      </w:r>
    </w:p>
    <w:p>
      <w:pPr>
        <w:pStyle w:val="null3"/>
      </w:pPr>
      <w:r>
        <w:rPr>
          <w:rFonts w:ascii="仿宋_GB2312" w:hAnsi="仿宋_GB2312" w:cs="仿宋_GB2312" w:eastAsia="仿宋_GB2312"/>
        </w:rPr>
        <w:t>11、是否接受联合体询价：本项目不接受联合体询价。</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七、询价通知书获取时间、方式及地址</w:t>
      </w:r>
    </w:p>
    <w:p>
      <w:pPr>
        <w:pStyle w:val="null3"/>
        <w:ind w:firstLine="480"/>
      </w:pPr>
      <w:r>
        <w:rPr>
          <w:rFonts w:ascii="仿宋_GB2312" w:hAnsi="仿宋_GB2312" w:cs="仿宋_GB2312" w:eastAsia="仿宋_GB2312"/>
        </w:rPr>
        <w:t>（一）询价通知书获取时间：详见采购公告。</w:t>
      </w:r>
    </w:p>
    <w:p>
      <w:pPr>
        <w:pStyle w:val="null3"/>
        <w:ind w:firstLine="480"/>
      </w:pPr>
      <w:r>
        <w:rPr>
          <w:rFonts w:ascii="仿宋_GB2312" w:hAnsi="仿宋_GB2312" w:cs="仿宋_GB2312" w:eastAsia="仿宋_GB2312"/>
        </w:rPr>
        <w:t xml:space="preserve"> （二）在询价通知书获取开始时间前，采购人或代理机构将本项目询价通知书上传至项目电子化交易系统，向供应商提供。供应商通过项目电子化交易系统获取询价通知书。成功获取询价通知书的，供应商将收到已获取询价通知书的回执函。未成功获取询价通知书的供应商，不得参与本次征集活动，不得对询价通知书提起质疑。</w:t>
      </w:r>
    </w:p>
    <w:p>
      <w:pPr>
        <w:pStyle w:val="null3"/>
        <w:ind w:firstLine="480"/>
      </w:pPr>
      <w:r>
        <w:rPr>
          <w:rFonts w:ascii="仿宋_GB2312" w:hAnsi="仿宋_GB2312" w:cs="仿宋_GB2312" w:eastAsia="仿宋_GB2312"/>
        </w:rPr>
        <w:t xml:space="preserve"> 成功获取询价通知书后，采购人或代理机构进行澄清或者修改，澄清或者修改的内容可能影响响应文件编制的，采购人或代理机构将通过项目电子化交易系统发布澄清或者修改后的询价通知书，供应商应当重新获取询价通知书；澄清或者修改后的询价通知书发布日期距提交响应文件截止日期不足3个工作日的，采购人或代理机构顺延提交响应文件的截止时间。供应商未重新获取询价通知书或者未按照澄清或者修改后的询价通知书编制响应文件进行响应的，自行承担不利后果。</w:t>
      </w:r>
    </w:p>
    <w:p>
      <w:pPr>
        <w:pStyle w:val="null3"/>
        <w:ind w:firstLine="480"/>
      </w:pPr>
      <w:r>
        <w:rPr>
          <w:rFonts w:ascii="仿宋_GB2312" w:hAnsi="仿宋_GB2312" w:cs="仿宋_GB2312" w:eastAsia="仿宋_GB2312"/>
        </w:rPr>
        <w:t>注：获取的询价通知书主体格式包括pdf、word两种格式版本，其中以pdf格式为准。</w:t>
      </w:r>
    </w:p>
    <w:p>
      <w:pPr>
        <w:pStyle w:val="null3"/>
        <w:outlineLvl w:val="2"/>
      </w:pPr>
      <w:r>
        <w:rPr>
          <w:rFonts w:ascii="仿宋_GB2312" w:hAnsi="仿宋_GB2312" w:cs="仿宋_GB2312" w:eastAsia="仿宋_GB2312"/>
          <w:sz w:val="28"/>
          <w:b/>
        </w:rPr>
        <w:t>八、响应文件提交截止时间及开启时间（北京时间）、地点、方式</w:t>
      </w:r>
    </w:p>
    <w:p>
      <w:pPr>
        <w:pStyle w:val="null3"/>
        <w:ind w:firstLine="480"/>
      </w:pPr>
      <w:r>
        <w:rPr>
          <w:rFonts w:ascii="仿宋_GB2312" w:hAnsi="仿宋_GB2312" w:cs="仿宋_GB2312" w:eastAsia="仿宋_GB2312"/>
        </w:rPr>
        <w:t>（一）响应文件提交截止时间及开启时间：详见采购公告。</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（三）本项目采取网上开启，即采购人或代理机构通过项目电子化交易系统“开标/开启大厅”组织在线开启。</w:t>
      </w:r>
    </w:p>
    <w:p>
      <w:pPr>
        <w:pStyle w:val="null3"/>
        <w:outlineLvl w:val="2"/>
      </w:pPr>
      <w:r>
        <w:rPr>
          <w:rFonts w:ascii="仿宋_GB2312" w:hAnsi="仿宋_GB2312" w:cs="仿宋_GB2312" w:eastAsia="仿宋_GB2312"/>
          <w:sz w:val="28"/>
          <w:b/>
        </w:rPr>
        <w:t>九、本询价邀请在陕西省政府采购网以公告形式发布</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陕西省渭南市韩城市黄河大街和五纬路十字孵化基地3楼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13309133771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029-87543079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供应商的采购包响应报价高于采购包采购预算的，其响应文件将按无效处理。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如以联合体响应的，联合体各方均应当具备本询价通知书要求的资格条件和能力。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询价小组按照随机抽取方式确定一个参加询价的供应商，其他响应无效。</w:t>
            </w:r>
          </w:p>
          <w:p>
            <w:pPr>
              <w:pStyle w:val="null3"/>
            </w:pPr>
            <w:r>
              <w:rPr>
                <w:rFonts w:ascii="仿宋_GB2312" w:hAnsi="仿宋_GB2312" w:cs="仿宋_GB2312" w:eastAsia="仿宋_GB2312"/>
              </w:rPr>
              <w:t xml:space="preserve"> 核心产品清单详见第三章。</w:t>
            </w:r>
          </w:p>
          <w:p>
            <w:pPr>
              <w:pStyle w:val="null3"/>
            </w:pPr>
            <w:r>
              <w:rPr>
                <w:rFonts w:ascii="仿宋_GB2312" w:hAnsi="仿宋_GB2312" w:cs="仿宋_GB2312" w:eastAsia="仿宋_GB2312"/>
              </w:rPr>
              <w:t xml:space="preserve"> 在符合性审查环节提供核心产品品牌不足3个的，视为有效响应供应商不足3家。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审过程中，询价小组认为供应商报价明显低于其他通过符合性审查供应商的报价，有可能影响产品质量或者不能诚信履约的，询价小组应当要求其在合理的时间内通过项目电子化交易系统进行书面说明，必要时提交相关证明材料。供应商提交的书面说明，应当加盖供应商公章，在询价小组要求的时间内通过项目电子化交易系统进行提交，否则视为不能证明其响应报价合理性。供应商不能证明其响应报价合理性的，询价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开启方式</w:t>
            </w:r>
          </w:p>
        </w:tc>
        <w:tc>
          <w:tcPr>
            <w:tcW w:type="dxa" w:w="5004"/>
          </w:tcPr>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出现上述的情形，不影响采购公平、公正的，采购人或者采购代理机构可以待上述情形消除后继续组织采购活动；影响或者可能影响采购公平、公正的，采购人或者采购代理机构应当依法终止采购活动。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一、本询价通知书仅适用于本次询价采购项目。</w:t>
      </w:r>
    </w:p>
    <w:p>
      <w:pPr>
        <w:pStyle w:val="null3"/>
        <w:ind w:firstLine="480"/>
      </w:pPr>
      <w:r>
        <w:rPr>
          <w:rFonts w:ascii="仿宋_GB2312" w:hAnsi="仿宋_GB2312" w:cs="仿宋_GB2312" w:eastAsia="仿宋_GB2312"/>
        </w:rPr>
        <w:t xml:space="preserve"> 二、本询价通知书的最终解释权由</w:t>
      </w:r>
      <w:r>
        <w:rPr>
          <w:rFonts w:ascii="仿宋_GB2312" w:hAnsi="仿宋_GB2312" w:cs="仿宋_GB2312" w:eastAsia="仿宋_GB2312"/>
        </w:rPr>
        <w:t>韩城市文化和旅游局</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享有。询价通知书中供应商参加本次政府采购活动应当具备的条件、技术、服务、商务及其他要求由采购人负责解释。除前述询价通知书内容，其他内容</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一、“采购人”是指依法进行政府采购的各级国家机关、事业单位、团体组织。本次询价采购项目的采购人是</w:t>
      </w:r>
      <w:r>
        <w:rPr>
          <w:rFonts w:ascii="仿宋_GB2312" w:hAnsi="仿宋_GB2312" w:cs="仿宋_GB2312" w:eastAsia="仿宋_GB2312"/>
        </w:rPr>
        <w:t>韩城市文化和旅游局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二、“供应商”是指按照本项目询价通知书规定获取询价通知书，拟参加响应和向采购人提供货物、工程或服务的法人、其他组织或自然人。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四、“网上开启”即不见面开启，是指代理机构通过项目电子化交易系统在线完成签到、开启和记录等活动，供应商通过项目电子化交易系统在线完成响应文件解密、参与询价采购活动。</w:t>
      </w:r>
    </w:p>
    <w:p>
      <w:pPr>
        <w:pStyle w:val="null3"/>
        <w:ind w:firstLine="480"/>
      </w:pPr>
      <w:r>
        <w:rPr>
          <w:rFonts w:ascii="仿宋_GB2312" w:hAnsi="仿宋_GB2312" w:cs="仿宋_GB2312" w:eastAsia="仿宋_GB2312"/>
        </w:rPr>
        <w:t xml:space="preserve"> 五、“电子评审”是指通过项目电子化交易系统在线完成资格审查小组和询价小组组建，开展资格和符合性审查、比较与评价、出具评审报告、推荐成交候选供应商等活动。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2.3询价通知书</w:t>
      </w:r>
    </w:p>
    <w:p>
      <w:pPr>
        <w:pStyle w:val="null3"/>
        <w:outlineLvl w:val="3"/>
      </w:pPr>
      <w:r>
        <w:rPr>
          <w:rFonts w:ascii="仿宋_GB2312" w:hAnsi="仿宋_GB2312" w:cs="仿宋_GB2312" w:eastAsia="仿宋_GB2312"/>
          <w:sz w:val="24"/>
          <w:b/>
        </w:rPr>
        <w:t xml:space="preserve"> 2.3.1询价通知书的构成</w:t>
      </w:r>
    </w:p>
    <w:p>
      <w:pPr>
        <w:pStyle w:val="null3"/>
        <w:ind w:firstLine="480"/>
      </w:pPr>
      <w:r>
        <w:rPr>
          <w:rFonts w:ascii="仿宋_GB2312" w:hAnsi="仿宋_GB2312" w:cs="仿宋_GB2312" w:eastAsia="仿宋_GB2312"/>
        </w:rPr>
        <w:t xml:space="preserve"> 一、询价通知书是供应商准备响应文件和参加询价采购活动的依据，同时也是评审的重要依据。询价通知书用以阐明采购项目所需的资质、技术、服务及报价等要求、询价采购活动程序、有关规定和注意事项以及合同草案条款等。本询价通知书包括以下内容：</w:t>
      </w:r>
    </w:p>
    <w:p>
      <w:pPr>
        <w:pStyle w:val="null3"/>
        <w:ind w:firstLine="480"/>
      </w:pPr>
      <w:r>
        <w:rPr>
          <w:rFonts w:ascii="仿宋_GB2312" w:hAnsi="仿宋_GB2312" w:cs="仿宋_GB2312" w:eastAsia="仿宋_GB2312"/>
        </w:rPr>
        <w:t>（一）询价邀请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（五）询价方法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二、供应商应认真阅读和充分理解询价通知书中所有的事项、格式条款和规范要求。供应商没有对询价通知书全面作出实质性响应所产生的风险由供应商承担。</w:t>
      </w:r>
    </w:p>
    <w:p>
      <w:pPr>
        <w:pStyle w:val="null3"/>
        <w:outlineLvl w:val="3"/>
      </w:pPr>
      <w:r>
        <w:rPr>
          <w:rFonts w:ascii="仿宋_GB2312" w:hAnsi="仿宋_GB2312" w:cs="仿宋_GB2312" w:eastAsia="仿宋_GB2312"/>
          <w:sz w:val="24"/>
          <w:b/>
        </w:rPr>
        <w:t xml:space="preserve"> 2.3.2询价通知书的澄清和修改</w:t>
      </w:r>
    </w:p>
    <w:p>
      <w:pPr>
        <w:pStyle w:val="null3"/>
        <w:ind w:firstLine="480"/>
      </w:pPr>
      <w:r>
        <w:rPr>
          <w:rFonts w:ascii="仿宋_GB2312" w:hAnsi="仿宋_GB2312" w:cs="仿宋_GB2312" w:eastAsia="仿宋_GB2312"/>
        </w:rPr>
        <w:t>一、在响应文件提交截止时间前，采购人或者代理机构可以对已发出的询价通知书进行必要的澄清或者修改。</w:t>
      </w:r>
    </w:p>
    <w:p>
      <w:pPr>
        <w:pStyle w:val="null3"/>
        <w:ind w:firstLine="480"/>
      </w:pPr>
      <w:r>
        <w:rPr>
          <w:rFonts w:ascii="仿宋_GB2312" w:hAnsi="仿宋_GB2312" w:cs="仿宋_GB2312" w:eastAsia="仿宋_GB2312"/>
        </w:rPr>
        <w:t xml:space="preserve"> 二、澄清或者修改的内容为询价通知书的组成部分。采购人或代理机构将在陕西省政府采购网发布更正公告，供应商应及时关注本项目更正公告信息，按更正后公告要求进行响应。更正内容可能影响响应文件编制的，采购人或代理机构将通过项目电子化交易系统发布更正后的询价通知书，供应商应依据更正后的询价通知书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询价小组在评审过程中的所有来往书面文件均须使用中文。响应文件中如附有外文资料，主要部分要对应翻译成中文并附在相关外文资料后面。未翻译的外文资料，询价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除询价通知书中另有规定外，本项目均采用国家法定的计量单位。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当保证在本项目使用的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pStyle w:val="null3"/>
        <w:ind w:firstLine="480"/>
      </w:pPr>
      <w:r>
        <w:rPr>
          <w:rFonts w:ascii="仿宋_GB2312" w:hAnsi="仿宋_GB2312" w:cs="仿宋_GB2312" w:eastAsia="仿宋_GB2312"/>
        </w:rPr>
        <w:t>三、如采用供应商所不拥有的知识产权，则在报价中必须包括合法获取使用该知识产权的相关费用。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一、供应商应按照询价通知书的规定和要求编制响应文件。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一、供应商应按照询价通知书第六章中提供的“响应文件格式”填写相关内容。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三、通过资格审查和符合性审查供应商的响应文件中的报价表或分项报价明细表是一次性不可更改的报价。</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一、响应文件应当根据询价通知书进行编制。供应商应通过陕西省政府采购网-办事指南-CA及签章服务下载投标（响应）客户端，使用客户端编制响应文件。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二、供应商应按照客户端操作要求，对应询价通知书的每项实质性要求，逐一如实响应；未如实响应或者响应内容不符合询价通知书对应项的要求的，其响应文件作无效处理。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询价通知书澄清或者修改的内容可能影响响应文件编制的，代理机构将重新发布澄清或者修改后的询价通知书，供应商应重新获取澄清或者修改后的询价通知书，按照澄清或者修改后的询价通知书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2.5开启、资格审查、询价和成交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一、本项目为网上询价项目。网上开启的开始时间为响应文件提交截止时间。成功提交或解密电子响应文件的供应商不足3家的，不予开启，采购人或代理机构将终止采购活动。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响应文件提交截止时间前30分钟，供应商登录项目电子化交易系统“开标-供应商开标大厅”参与开启。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解密时间截止或者所有供应商响应文件均完成解密后（以发生在先的时间为准），由代理机构通过项目电子化交易系统对供应商名称、响应文件解密情况、响应报价进行展示。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详见询价通知书第四章。</w:t>
      </w:r>
    </w:p>
    <w:p>
      <w:pPr>
        <w:pStyle w:val="null3"/>
        <w:outlineLvl w:val="3"/>
      </w:pPr>
      <w:r>
        <w:rPr>
          <w:rFonts w:ascii="仿宋_GB2312" w:hAnsi="仿宋_GB2312" w:cs="仿宋_GB2312" w:eastAsia="仿宋_GB2312"/>
          <w:sz w:val="24"/>
          <w:b/>
        </w:rPr>
        <w:t>2.5.4询价</w:t>
      </w:r>
    </w:p>
    <w:p>
      <w:pPr>
        <w:pStyle w:val="null3"/>
        <w:ind w:firstLine="480"/>
      </w:pPr>
      <w:r>
        <w:rPr>
          <w:rFonts w:ascii="仿宋_GB2312" w:hAnsi="仿宋_GB2312" w:cs="仿宋_GB2312" w:eastAsia="仿宋_GB2312"/>
        </w:rPr>
        <w:t>详见询价通知书第五章。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一、采购人或者询价小组确认成交供应商后，代理机构在陕西省政府采购网发布成交结果公告、通过项目电子化交易系统发出成交通知书，成交供应商通过项目电子化交易系统获取成交通知书。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二、采购人和成交供应商签订的采购合同不得对询价通知书确定的事项以及成交供应商的响应文件作实质性修改。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询价通知书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符合国家及行业有关规范和标准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2.7询价采购工作纪律及要求</w:t>
      </w:r>
    </w:p>
    <w:p>
      <w:pPr>
        <w:pStyle w:val="null3"/>
        <w:outlineLvl w:val="3"/>
      </w:pPr>
      <w:r>
        <w:rPr>
          <w:rFonts w:ascii="仿宋_GB2312" w:hAnsi="仿宋_GB2312" w:cs="仿宋_GB2312" w:eastAsia="仿宋_GB2312"/>
          <w:sz w:val="24"/>
          <w:b/>
        </w:rPr>
        <w:t xml:space="preserve"> 2.7.1供应商不得具有的情形（实质性要求）</w:t>
      </w:r>
    </w:p>
    <w:p>
      <w:pPr>
        <w:pStyle w:val="null3"/>
        <w:ind w:firstLine="480"/>
      </w:pPr>
      <w:r>
        <w:rPr>
          <w:rFonts w:ascii="仿宋_GB2312" w:hAnsi="仿宋_GB2312" w:cs="仿宋_GB2312" w:eastAsia="仿宋_GB2312"/>
        </w:rPr>
        <w:t>供应商参加询价不得有下列情形：</w:t>
      </w:r>
    </w:p>
    <w:p>
      <w:pPr>
        <w:pStyle w:val="null3"/>
        <w:ind w:firstLine="480"/>
      </w:pPr>
      <w:r>
        <w:rPr>
          <w:rFonts w:ascii="仿宋_GB2312" w:hAnsi="仿宋_GB2312" w:cs="仿宋_GB2312" w:eastAsia="仿宋_GB2312"/>
        </w:rPr>
        <w:t>一、有下列情形之一的，视为供应商串通询价：</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（二）不同供应商委托同一单位或者个人办理询价事宜；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五、向采购人或代理机构、询价小组成员行贿或者提供其他不正当利益；</w:t>
      </w:r>
    </w:p>
    <w:p>
      <w:pPr>
        <w:pStyle w:val="null3"/>
        <w:ind w:firstLine="480"/>
      </w:pPr>
      <w:r>
        <w:rPr>
          <w:rFonts w:ascii="仿宋_GB2312" w:hAnsi="仿宋_GB2312" w:cs="仿宋_GB2312" w:eastAsia="仿宋_GB2312"/>
        </w:rPr>
        <w:t>六、在询价过程中与采购人或代理机构进行协商谈判；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八、未按照询价通知书确定的事项签订政府采购合同；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根据委托代理协议约定，供应商对询价通知书的询问、质疑由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（五）针对质疑事项必要的证明材料（针对询价通知书提出的质疑，需提交从项目电子化交易系统获取的询价通知书回执函）。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联系人：雷蕾</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注：根据《中华人民共和国政府采购法》的规定，供应商质疑不得超出询价通知书、询价过程、成交结果的范围。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分布式高压喷雾灭火系统设备采购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分布式高压喷雾灭火系统设备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3.3技术参数及要求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标的名称：分布式高压喷雾灭火系统设备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（一）总体技术要求</w:t>
            </w:r>
          </w:p>
          <w:p>
            <w:pPr>
              <w:pStyle w:val="null3"/>
              <w:ind w:firstLine="480"/>
              <w:jc w:val="both"/>
            </w:pPr>
            <w:r>
              <w:rPr>
                <w:rFonts w:ascii="仿宋_GB2312" w:hAnsi="仿宋_GB2312" w:cs="仿宋_GB2312" w:eastAsia="仿宋_GB2312"/>
                <w:sz w:val="24"/>
              </w:rPr>
              <w:t>1. 适用范围：系统适用于古建木构、壁画、碑刻、舍利塔等文物保护场所，灭火以细水雾 / 气雾为主，水渍损失小，不造成二次水损。</w:t>
            </w:r>
          </w:p>
          <w:p>
            <w:pPr>
              <w:pStyle w:val="null3"/>
              <w:ind w:firstLine="480"/>
              <w:jc w:val="both"/>
            </w:pPr>
            <w:r>
              <w:rPr>
                <w:rFonts w:ascii="仿宋_GB2312" w:hAnsi="仿宋_GB2312" w:cs="仿宋_GB2312" w:eastAsia="仿宋_GB2312"/>
                <w:sz w:val="24"/>
              </w:rPr>
              <w:t>2. 产品标准：多功能喷雾灭火枪符合GB8181-2005《消防水枪》。高压喷雾装置、多功能灭火枪、电缆线提供产品检验报告或鉴定证书。</w:t>
            </w:r>
          </w:p>
          <w:p>
            <w:pPr>
              <w:pStyle w:val="null3"/>
              <w:ind w:firstLine="480"/>
              <w:jc w:val="both"/>
            </w:pPr>
            <w:r>
              <w:rPr>
                <w:rFonts w:ascii="仿宋_GB2312" w:hAnsi="仿宋_GB2312" w:cs="仿宋_GB2312" w:eastAsia="仿宋_GB2312"/>
                <w:sz w:val="24"/>
              </w:rPr>
              <w:t>3. 系统类型：高压喷雾灭火装置为固定式系统，提供管沟开挖、敷设、回填及现场电源安装施工方案，施工需做好文物防护，不得损伤文物建筑本体。</w:t>
            </w:r>
          </w:p>
          <w:p>
            <w:pPr>
              <w:pStyle w:val="null3"/>
              <w:ind w:firstLine="480"/>
              <w:jc w:val="both"/>
            </w:pPr>
            <w:r>
              <w:rPr>
                <w:rFonts w:ascii="仿宋_GB2312" w:hAnsi="仿宋_GB2312" w:cs="仿宋_GB2312" w:eastAsia="仿宋_GB2312"/>
                <w:sz w:val="24"/>
              </w:rPr>
              <w:t>4. 操作要求：系统操作简单，适合寺院值守人员快速上手，具备应急手动/机械或摇控启动。</w:t>
            </w:r>
          </w:p>
          <w:p>
            <w:pPr>
              <w:pStyle w:val="null3"/>
              <w:ind w:firstLine="480"/>
              <w:jc w:val="both"/>
            </w:pPr>
            <w:r>
              <w:rPr>
                <w:rFonts w:ascii="仿宋_GB2312" w:hAnsi="仿宋_GB2312" w:cs="仿宋_GB2312" w:eastAsia="仿宋_GB2312"/>
                <w:sz w:val="24"/>
              </w:rPr>
              <w:t>5. 设备特性：整机噪音低、外观简洁，与寺院环境协调；外壳防锈耐腐蚀，适应户外长期存放。</w:t>
            </w:r>
          </w:p>
          <w:p>
            <w:pPr>
              <w:pStyle w:val="null3"/>
              <w:ind w:firstLine="480"/>
              <w:jc w:val="both"/>
            </w:pPr>
            <w:r>
              <w:rPr>
                <w:rFonts w:ascii="仿宋_GB2312" w:hAnsi="仿宋_GB2312" w:cs="仿宋_GB2312" w:eastAsia="仿宋_GB2312"/>
                <w:sz w:val="24"/>
              </w:rPr>
              <w:t>6. 高压喷雾灭火装置、多功能喷雾灭火枪须提供制造商出具的授权证明或销售合作协议或官方正规供货渠道的有效证明资料。</w:t>
            </w:r>
          </w:p>
          <w:p>
            <w:pPr>
              <w:pStyle w:val="null3"/>
              <w:ind w:firstLine="480"/>
              <w:jc w:val="both"/>
            </w:pPr>
            <w:r>
              <w:rPr>
                <w:rFonts w:ascii="仿宋_GB2312" w:hAnsi="仿宋_GB2312" w:cs="仿宋_GB2312" w:eastAsia="仿宋_GB2312"/>
                <w:sz w:val="24"/>
              </w:rPr>
              <w:t>（二）设备参数</w:t>
            </w:r>
          </w:p>
          <w:tbl>
            <w:tblPr>
              <w:tblBorders>
                <w:top w:val="none" w:color="000000" w:sz="4"/>
                <w:left w:val="none" w:color="000000" w:sz="4"/>
                <w:bottom w:val="none" w:color="000000" w:sz="4"/>
                <w:right w:val="none" w:color="000000" w:sz="4"/>
                <w:insideH w:val="none"/>
                <w:insideV w:val="none"/>
              </w:tblBorders>
            </w:tblPr>
            <w:tblGrid>
              <w:gridCol w:w="249"/>
              <w:gridCol w:w="290"/>
              <w:gridCol w:w="1399"/>
              <w:gridCol w:w="308"/>
              <w:gridCol w:w="308"/>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产品技术参数</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高压喷雾灭火装置</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1、装置系统喷射额定流量区间流量:45-60L/min</w:t>
                  </w:r>
                </w:p>
                <w:p>
                  <w:pPr>
                    <w:pStyle w:val="null3"/>
                    <w:jc w:val="both"/>
                  </w:pPr>
                  <w:r>
                    <w:rPr>
                      <w:rFonts w:ascii="仿宋_GB2312" w:hAnsi="仿宋_GB2312" w:cs="仿宋_GB2312" w:eastAsia="仿宋_GB2312"/>
                      <w:sz w:val="24"/>
                    </w:rPr>
                    <w:t>2、储水箱应用耐磨蚀材料制成，密封结构，设置溢流孔或溢流管。</w:t>
                  </w:r>
                </w:p>
                <w:p>
                  <w:pPr>
                    <w:pStyle w:val="null3"/>
                    <w:jc w:val="both"/>
                  </w:pPr>
                  <w:r>
                    <w:rPr>
                      <w:rFonts w:ascii="仿宋_GB2312" w:hAnsi="仿宋_GB2312" w:cs="仿宋_GB2312" w:eastAsia="仿宋_GB2312"/>
                      <w:sz w:val="24"/>
                    </w:rPr>
                    <w:t>3、储水箱设有自动补水装置，低水位报警装置。</w:t>
                  </w:r>
                </w:p>
                <w:p>
                  <w:pPr>
                    <w:pStyle w:val="null3"/>
                    <w:jc w:val="both"/>
                  </w:pPr>
                  <w:r>
                    <w:rPr>
                      <w:rFonts w:ascii="仿宋_GB2312" w:hAnsi="仿宋_GB2312" w:cs="仿宋_GB2312" w:eastAsia="仿宋_GB2312"/>
                      <w:sz w:val="24"/>
                    </w:rPr>
                    <w:t>4、装置系统应具备手动或摇控启动方式，摇控启动方式驱动装置系统距离为≧40米。</w:t>
                  </w:r>
                </w:p>
                <w:p>
                  <w:pPr>
                    <w:pStyle w:val="null3"/>
                    <w:jc w:val="both"/>
                  </w:pPr>
                  <w:r>
                    <w:rPr>
                      <w:rFonts w:ascii="仿宋_GB2312" w:hAnsi="仿宋_GB2312" w:cs="仿宋_GB2312" w:eastAsia="仿宋_GB2312"/>
                      <w:sz w:val="24"/>
                    </w:rPr>
                    <w:t>5、高压喷雾灭火装置为固定式系统。</w:t>
                  </w:r>
                </w:p>
                <w:p>
                  <w:pPr>
                    <w:pStyle w:val="null3"/>
                    <w:jc w:val="both"/>
                  </w:pPr>
                  <w:r>
                    <w:rPr>
                      <w:rFonts w:ascii="仿宋_GB2312" w:hAnsi="仿宋_GB2312" w:cs="仿宋_GB2312" w:eastAsia="仿宋_GB2312"/>
                      <w:sz w:val="24"/>
                    </w:rPr>
                    <w:t>6、灭火装置的高压软管进出水接口采用通用标准化接口，加压至额定工作压力的 1.1倍-1.2倍时，压力保持时间为2min-5min。</w:t>
                  </w:r>
                </w:p>
                <w:p>
                  <w:pPr>
                    <w:pStyle w:val="null3"/>
                    <w:jc w:val="both"/>
                  </w:pPr>
                  <w:r>
                    <w:rPr>
                      <w:rFonts w:ascii="仿宋_GB2312" w:hAnsi="仿宋_GB2312" w:cs="仿宋_GB2312" w:eastAsia="仿宋_GB2312"/>
                      <w:sz w:val="24"/>
                    </w:rPr>
                    <w:t>7、装置泵组工作压力为10Pa-12Pa。</w:t>
                  </w:r>
                </w:p>
                <w:p>
                  <w:pPr>
                    <w:pStyle w:val="null3"/>
                    <w:jc w:val="both"/>
                  </w:pPr>
                  <w:r>
                    <w:rPr>
                      <w:rFonts w:ascii="仿宋_GB2312" w:hAnsi="仿宋_GB2312" w:cs="仿宋_GB2312" w:eastAsia="仿宋_GB2312"/>
                      <w:sz w:val="24"/>
                    </w:rPr>
                    <w:t>8、铭牌应设置在装置明显部位。</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多功能喷雾灭火枪</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GB8181-2005《消防水枪》相关要求；</w:t>
                  </w:r>
                </w:p>
                <w:p>
                  <w:pPr>
                    <w:pStyle w:val="null3"/>
                    <w:jc w:val="left"/>
                  </w:pPr>
                  <w:r>
                    <w:rPr>
                      <w:rFonts w:ascii="仿宋_GB2312" w:hAnsi="仿宋_GB2312" w:cs="仿宋_GB2312" w:eastAsia="仿宋_GB2312"/>
                      <w:sz w:val="24"/>
                    </w:rPr>
                    <w:t>1、细水雾有效射程（m）≥6米，水雾有效射程（m）≥13米。</w:t>
                  </w:r>
                </w:p>
                <w:p>
                  <w:pPr>
                    <w:pStyle w:val="null3"/>
                    <w:jc w:val="left"/>
                  </w:pPr>
                  <w:r>
                    <w:rPr>
                      <w:rFonts w:ascii="仿宋_GB2312" w:hAnsi="仿宋_GB2312" w:cs="仿宋_GB2312" w:eastAsia="仿宋_GB2312"/>
                      <w:sz w:val="24"/>
                    </w:rPr>
                    <w:t>2、灭火枪枪体自重≤2.5kg。</w:t>
                  </w:r>
                </w:p>
                <w:p>
                  <w:pPr>
                    <w:pStyle w:val="null3"/>
                    <w:jc w:val="left"/>
                  </w:pPr>
                  <w:r>
                    <w:rPr>
                      <w:rFonts w:ascii="仿宋_GB2312" w:hAnsi="仿宋_GB2312" w:cs="仿宋_GB2312" w:eastAsia="仿宋_GB2312"/>
                      <w:sz w:val="24"/>
                    </w:rPr>
                    <w:t>3、灭火枪具备抗跌落性能。</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高压卷盘</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高压软管材质：需满足耐高压、耐灭火剂腐蚀、耐弯折老化；可采用橡胶、橡塑复合、聚氨酯等符合消防耐压标准材质。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材质：阻燃防水无纺布</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线缆规格：</w:t>
                  </w:r>
                  <w:r>
                    <w:rPr>
                      <w:rFonts w:ascii="仿宋_GB2312" w:hAnsi="仿宋_GB2312" w:cs="仿宋_GB2312" w:eastAsia="仿宋_GB2312"/>
                      <w:sz w:val="24"/>
                    </w:rPr>
                    <w:t>3</w:t>
                  </w:r>
                  <w:r>
                    <w:rPr>
                      <w:rFonts w:ascii="仿宋_GB2312" w:hAnsi="仿宋_GB2312" w:cs="仿宋_GB2312" w:eastAsia="仿宋_GB2312"/>
                      <w:sz w:val="24"/>
                    </w:rPr>
                    <w:t>根动力芯线截面积</w:t>
                  </w:r>
                  <w:r>
                    <w:rPr>
                      <w:rFonts w:ascii="仿宋_GB2312" w:hAnsi="仿宋_GB2312" w:cs="仿宋_GB2312" w:eastAsia="仿宋_GB2312"/>
                      <w:sz w:val="24"/>
                    </w:rPr>
                    <w:t>≥10mm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根接地芯线截面积</w:t>
                  </w:r>
                  <w:r>
                    <w:rPr>
                      <w:rFonts w:ascii="仿宋_GB2312" w:hAnsi="仿宋_GB2312" w:cs="仿宋_GB2312" w:eastAsia="仿宋_GB2312"/>
                      <w:sz w:val="24"/>
                    </w:rPr>
                    <w:t>≥6mm</w:t>
                  </w:r>
                  <w:r>
                    <w:rPr>
                      <w:rFonts w:ascii="仿宋_GB2312" w:hAnsi="仿宋_GB2312" w:cs="仿宋_GB2312" w:eastAsia="仿宋_GB2312"/>
                      <w:sz w:val="24"/>
                      <w:vertAlign w:val="superscript"/>
                    </w:rPr>
                    <w:t>2</w:t>
                  </w:r>
                  <w:r>
                    <w:rPr>
                      <w:rFonts w:ascii="仿宋_GB2312" w:hAnsi="仿宋_GB2312" w:cs="仿宋_GB2312" w:eastAsia="仿宋_GB2312"/>
                      <w:sz w:val="24"/>
                    </w:rPr>
                    <w:t>；具备耐油、耐高低温、抗老化特性，满足设备额定载流量</w:t>
                  </w:r>
                  <w:r>
                    <w:rPr>
                      <w:rFonts w:ascii="仿宋_GB2312" w:hAnsi="仿宋_GB2312" w:cs="仿宋_GB2312" w:eastAsia="仿宋_GB2312"/>
                      <w:sz w:val="24"/>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bl>
          <w:p>
            <w:pPr>
              <w:pStyle w:val="null3"/>
              <w:ind w:firstLine="480"/>
              <w:jc w:val="both"/>
            </w:pPr>
            <w:r>
              <w:rPr>
                <w:rFonts w:ascii="仿宋_GB2312" w:hAnsi="仿宋_GB2312" w:cs="仿宋_GB2312" w:eastAsia="仿宋_GB2312"/>
                <w:sz w:val="24"/>
              </w:rPr>
              <w:t>以上产品涉及型号及具体数值的参数项，均为非指定条款。投标人应提供质量、性能不低于这些参数的产品。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进度款，设备交付完成，验收合格后，达到付款条件起30个工作日内，支付合同总金额的60.0%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1.所有货物(设备)安装、调试完毕，由采购人组织验收，合格后签发《验收合格单》。 2.验收不合格的成交单位，必须在接到通知后7个日历日内确保货物通过验收。如接到通知后7个日历日内验收仍不合格，采购人可提出索赔或取消其供货合同。 3.验收依据 3.1合同文本及合同补充文件（条款）。 3.2生产厂家授权书。 3.3采购文件。 3.4成交人的响应文件。 3.5合同货物清单。 3.6生产厂家的企业资质、检验报告、货物的执行标准。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1.质保期为验收合格之日起不少于3年（技术参数中有要求的按参数要求提供质保）。成交人承诺的质保时间超过采购文件要求的，按其承诺时间质保。 2.成交人承诺的质保期起始时间为验收合格之日。 3.所有产品质量必须符合国家有关规范和相关政策。所有设备及辅材必须是未使用过的新产品，质量优良、渠道正当，配置合理。 4.质保期出现的质量问题由成交人负责解决并承担所有费用。质保期后如需更换零部件，成交人应以优惠价提供。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成交人在领取成交通知书时须提供纸质响应文件正本一份、副本二份用于存档。</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响应文件提交截止时间结束后，由资格性审查小组依据法律法规和询价通知书的规定，对响应文件中的资格证明等进行审查，以确定被邀请参加询价采购活动的供应商名单并出具资格审查报告。</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供应商提供2025年度的财务审计报告（若成立时间至提交响应文件截止时间不足一年的可提供成立后任意时段的资产负债表），或其开标前三个月内基本存款账户开户银行出具的资信证明及基本存款账户信息；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授权合法的人员参加本项目询价</w:t>
            </w:r>
          </w:p>
        </w:tc>
        <w:tc>
          <w:tcPr>
            <w:tcW w:type="dxa" w:w="3322"/>
          </w:tcPr>
          <w:p>
            <w:pPr>
              <w:pStyle w:val="null3"/>
            </w:pPr>
            <w:r>
              <w:rPr>
                <w:rFonts w:ascii="仿宋_GB2312" w:hAnsi="仿宋_GB2312" w:cs="仿宋_GB2312" w:eastAsia="仿宋_GB2312"/>
              </w:rPr>
              <w:t>法定代表人直接参加采购活动的，应出具法定代表人合法有效的身份证原件，且应与营业执照上信息一致；法定代表人授权代表参加采购活动的，应出具法定代表人授权委托书及授权代表合法有效的身份证原件；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是否专门面向中小企业采购</w:t>
            </w:r>
          </w:p>
        </w:tc>
        <w:tc>
          <w:tcPr>
            <w:tcW w:type="dxa" w:w="3322"/>
          </w:tcPr>
          <w:p>
            <w:pPr>
              <w:pStyle w:val="null3"/>
            </w:pPr>
            <w:r>
              <w:rPr>
                <w:rFonts w:ascii="仿宋_GB2312" w:hAnsi="仿宋_GB2312" w:cs="仿宋_GB2312" w:eastAsia="仿宋_GB2312"/>
              </w:rPr>
              <w:t>本项目专门面向中小企业采购，投标人所提供的货物应由中小企业制造，并提供《中小企业声明函》；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是否接受联合体询价</w:t>
            </w:r>
          </w:p>
        </w:tc>
        <w:tc>
          <w:tcPr>
            <w:tcW w:type="dxa" w:w="3322"/>
          </w:tcPr>
          <w:p>
            <w:pPr>
              <w:pStyle w:val="null3"/>
            </w:pPr>
            <w:r>
              <w:rPr>
                <w:rFonts w:ascii="仿宋_GB2312" w:hAnsi="仿宋_GB2312" w:cs="仿宋_GB2312" w:eastAsia="仿宋_GB2312"/>
              </w:rPr>
              <w:t>本项目不接受联合体询价。</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询价方法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二、评审工作由代理机构负责组织，具体评审事务由采购人和代理机构依法组建的询价小组负责。询价小组由采购人代表和评审专家组成。</w:t>
      </w:r>
    </w:p>
    <w:p>
      <w:pPr>
        <w:pStyle w:val="null3"/>
        <w:ind w:firstLine="480"/>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四、本项目采取电子评审，通过项目电子化交易系统完成评审工作。询价小组成员和供应商应当按照本采购文件规定和项目电子化交易系统操作要求开展或者参加评审活动。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询价小组成员可以线下签署协商报告，由代理机构对原件扫描后以附件形式上传。</w:t>
      </w:r>
    </w:p>
    <w:p>
      <w:pPr>
        <w:pStyle w:val="null3"/>
        <w:ind w:firstLine="480"/>
      </w:pPr>
      <w:r>
        <w:rPr>
          <w:rFonts w:ascii="仿宋_GB2312" w:hAnsi="仿宋_GB2312" w:cs="仿宋_GB2312" w:eastAsia="仿宋_GB2312"/>
        </w:rPr>
        <w:t>六、询价小组按照询价通知书规定的询价采购活动程序进行评审，并在采购活动中应当履行下列职责：</w:t>
      </w:r>
    </w:p>
    <w:p>
      <w:pPr>
        <w:pStyle w:val="null3"/>
        <w:ind w:firstLine="480"/>
      </w:pPr>
      <w:r>
        <w:rPr>
          <w:rFonts w:ascii="仿宋_GB2312" w:hAnsi="仿宋_GB2312" w:cs="仿宋_GB2312" w:eastAsia="仿宋_GB2312"/>
        </w:rPr>
        <w:t>（一）熟悉和理解询价通知书；</w:t>
      </w:r>
    </w:p>
    <w:p>
      <w:pPr>
        <w:pStyle w:val="null3"/>
        <w:ind w:firstLine="480"/>
      </w:pPr>
      <w:r>
        <w:rPr>
          <w:rFonts w:ascii="仿宋_GB2312" w:hAnsi="仿宋_GB2312" w:cs="仿宋_GB2312" w:eastAsia="仿宋_GB2312"/>
        </w:rPr>
        <w:t>（二）审查供应商响应文件等是否满足询价通知书要求，并作出评价；</w:t>
      </w:r>
    </w:p>
    <w:p>
      <w:pPr>
        <w:pStyle w:val="null3"/>
        <w:ind w:firstLine="480"/>
      </w:pPr>
      <w:r>
        <w:rPr>
          <w:rFonts w:ascii="仿宋_GB2312" w:hAnsi="仿宋_GB2312" w:cs="仿宋_GB2312" w:eastAsia="仿宋_GB2312"/>
        </w:rPr>
        <w:t xml:space="preserve"> （三）根据需要要求采购组织单位对询价通知书作出解释；根据需要要求供应商对响应文件有关事项作出澄清、说明或者更正；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ind w:firstLine="480"/>
      </w:pPr>
      <w:r>
        <w:rPr>
          <w:rFonts w:ascii="仿宋_GB2312" w:hAnsi="仿宋_GB2312" w:cs="仿宋_GB2312" w:eastAsia="仿宋_GB2312"/>
        </w:rPr>
        <w:t>七、评审过程独立、保密。供应商非法干预评审过程的行为将导致其响应文件作为无效处理。</w:t>
      </w:r>
    </w:p>
    <w:p>
      <w:pPr>
        <w:pStyle w:val="null3"/>
        <w:ind w:firstLine="480"/>
      </w:pPr>
      <w:r>
        <w:rPr>
          <w:rFonts w:ascii="仿宋_GB2312" w:hAnsi="仿宋_GB2312" w:cs="仿宋_GB2312" w:eastAsia="仿宋_GB2312"/>
        </w:rPr>
        <w:t xml:space="preserve"> 八、询价小组决定响应文件的响应性依据响应文件本身的内容，而不寻求外部的证据，询价通知书有明确约定的除外。</w:t>
      </w:r>
    </w:p>
    <w:p>
      <w:pPr>
        <w:pStyle w:val="null3"/>
        <w:ind w:firstLine="480"/>
      </w:pPr>
      <w:r>
        <w:rPr>
          <w:rFonts w:ascii="仿宋_GB2312" w:hAnsi="仿宋_GB2312" w:cs="仿宋_GB2312" w:eastAsia="仿宋_GB2312"/>
        </w:rPr>
        <w:t>九、询价小组发现询价通知书表述不明确或需要说明的事项，可提请采购人和代理机构书面解释说明。</w:t>
      </w:r>
    </w:p>
    <w:p>
      <w:pPr>
        <w:pStyle w:val="null3"/>
        <w:outlineLvl w:val="2"/>
      </w:pPr>
      <w:r>
        <w:rPr>
          <w:rFonts w:ascii="仿宋_GB2312" w:hAnsi="仿宋_GB2312" w:cs="仿宋_GB2312" w:eastAsia="仿宋_GB2312"/>
          <w:sz w:val="28"/>
          <w:b/>
        </w:rPr>
        <w:t>5.2询价小组组建</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5.3.1熟悉和理解询价通知书和停止评审</w:t>
      </w:r>
    </w:p>
    <w:p>
      <w:pPr>
        <w:pStyle w:val="null3"/>
        <w:ind w:firstLine="480"/>
      </w:pPr>
      <w:r>
        <w:rPr>
          <w:rFonts w:ascii="仿宋_GB2312" w:hAnsi="仿宋_GB2312" w:cs="仿宋_GB2312" w:eastAsia="仿宋_GB2312"/>
        </w:rPr>
        <w:t xml:space="preserve"> 一、询价小组正式评审前，应当对询价通知书进行熟悉和理解，内容主要包括询价通知书中供应商的采购项目技术、服务和商务要求、评审方法和标准以及可能涉及签订政府采购合同的内容等。</w:t>
      </w:r>
    </w:p>
    <w:p>
      <w:pPr>
        <w:pStyle w:val="null3"/>
        <w:ind w:firstLine="480"/>
      </w:pPr>
      <w:r>
        <w:rPr>
          <w:rFonts w:ascii="仿宋_GB2312" w:hAnsi="仿宋_GB2312" w:cs="仿宋_GB2312" w:eastAsia="仿宋_GB2312"/>
        </w:rPr>
        <w:t xml:space="preserve"> 二、询价小组熟悉和理解询价通知书以及评审过程中，发现本询价通知书有下列情形之一的，询价小组应当停止评审：</w:t>
      </w:r>
    </w:p>
    <w:p>
      <w:pPr>
        <w:pStyle w:val="null3"/>
        <w:ind w:firstLine="480"/>
      </w:pPr>
      <w:r>
        <w:rPr>
          <w:rFonts w:ascii="仿宋_GB2312" w:hAnsi="仿宋_GB2312" w:cs="仿宋_GB2312" w:eastAsia="仿宋_GB2312"/>
        </w:rPr>
        <w:t>（一）询价通知书的规定存在歧义、重大缺陷的；</w:t>
      </w:r>
    </w:p>
    <w:p>
      <w:pPr>
        <w:pStyle w:val="null3"/>
        <w:ind w:firstLine="480"/>
      </w:pPr>
      <w:r>
        <w:rPr>
          <w:rFonts w:ascii="仿宋_GB2312" w:hAnsi="仿宋_GB2312" w:cs="仿宋_GB2312" w:eastAsia="仿宋_GB2312"/>
        </w:rPr>
        <w:t>（二）询价通知书明显以不合理条件对供应商实行差别待遇或者歧视待遇的；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（四）采购项目属于政府采购促进中小企业发展的范围，但是询价通知书未依法体现促进中小企业发展相关规定的；</w:t>
      </w:r>
    </w:p>
    <w:p>
      <w:pPr>
        <w:pStyle w:val="null3"/>
        <w:ind w:firstLine="480"/>
      </w:pPr>
      <w:r>
        <w:rPr>
          <w:rFonts w:ascii="仿宋_GB2312" w:hAnsi="仿宋_GB2312" w:cs="仿宋_GB2312" w:eastAsia="仿宋_GB2312"/>
        </w:rPr>
        <w:t>（五）询价通知书将供应商的资格条件列为评分因素的；</w:t>
      </w:r>
    </w:p>
    <w:p>
      <w:pPr>
        <w:pStyle w:val="null3"/>
        <w:ind w:firstLine="480"/>
      </w:pPr>
      <w:r>
        <w:rPr>
          <w:rFonts w:ascii="仿宋_GB2312" w:hAnsi="仿宋_GB2312" w:cs="仿宋_GB2312" w:eastAsia="仿宋_GB2312"/>
        </w:rPr>
        <w:t>（六）询价通知书载明的成交原则不合法的；</w:t>
      </w:r>
    </w:p>
    <w:p>
      <w:pPr>
        <w:pStyle w:val="null3"/>
        <w:ind w:firstLine="480"/>
      </w:pPr>
      <w:r>
        <w:rPr>
          <w:rFonts w:ascii="仿宋_GB2312" w:hAnsi="仿宋_GB2312" w:cs="仿宋_GB2312" w:eastAsia="仿宋_GB2312"/>
        </w:rPr>
        <w:t>（七）询价通知书有违反国家其他有关强制性规定的情形。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出现上述应当停止评审情形的，询价小组应当通过项目电子化交易系统向采购组织单位提交相关说明材料，说明停止评审的情形和具体理由。除上述情形外，询价小组不得以任何方式和理由停止评审。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询价小组不应当停止评审的，可以通过项目电子化交易系统书面报告采购项目同级财政部门依法处理，并提供相关证明材料。</w:t>
      </w:r>
    </w:p>
    <w:p>
      <w:pPr>
        <w:pStyle w:val="null3"/>
        <w:outlineLvl w:val="3"/>
      </w:pPr>
      <w:r>
        <w:rPr>
          <w:rFonts w:ascii="仿宋_GB2312" w:hAnsi="仿宋_GB2312" w:cs="仿宋_GB2312" w:eastAsia="仿宋_GB2312"/>
          <w:sz w:val="24"/>
          <w:b/>
        </w:rPr>
        <w:t>5.3.2符合性审查</w:t>
      </w:r>
    </w:p>
    <w:p>
      <w:pPr>
        <w:pStyle w:val="null3"/>
        <w:ind w:firstLine="480"/>
      </w:pPr>
      <w:r>
        <w:rPr>
          <w:rFonts w:ascii="仿宋_GB2312" w:hAnsi="仿宋_GB2312" w:cs="仿宋_GB2312" w:eastAsia="仿宋_GB2312"/>
        </w:rPr>
        <w:t xml:space="preserve"> 询价小组依据本询价通知书的实质性要求，对符合资格的询价通知书进行审查，以确定其是否满足本询价通知书的实质性要求。本项目符合性审查事项，必须以本询价通知书的明确规定的实质性要求作为依据。在符合性审查过程中，如果出现询价小组成员意见不一致的情况，按照少数服从多数的原则作出结论，但不得违背政府采购基本原则和询价通知书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中小企业声明函 商务应答表 报价表 响应文件封面 产品技术参数表 分项报价表.docx 供应商应提交的相关资格证明材料.docx 残疾人福利性单位声明函 标的清单 关于符合本国产品标准的声明函 响应函 询价响应方案.docx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响应文件按询价通知书要求进行签署、盖章</w:t>
            </w:r>
          </w:p>
        </w:tc>
        <w:tc>
          <w:tcPr>
            <w:tcW w:type="dxa" w:w="1661"/>
          </w:tcPr>
          <w:p>
            <w:pPr>
              <w:pStyle w:val="null3"/>
            </w:pPr>
            <w:r>
              <w:rPr>
                <w:rFonts w:ascii="仿宋_GB2312" w:hAnsi="仿宋_GB2312" w:cs="仿宋_GB2312" w:eastAsia="仿宋_GB2312"/>
              </w:rPr>
              <w:t>中小企业声明函 商务应答表 报价表 响应文件封面 产品技术参数表 分项报价表.docx 供应商应提交的相关资格证明材料.docx 残疾人福利性单位声明函 标的清单 关于符合本国产品标准的声明函 响应函 询价响应方案.docx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供应商报价为有效报价，没有超出项目预算或最高限价。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询价有效期</w:t>
            </w:r>
          </w:p>
        </w:tc>
        <w:tc>
          <w:tcPr>
            <w:tcW w:type="dxa" w:w="3322"/>
          </w:tcPr>
          <w:p>
            <w:pPr>
              <w:pStyle w:val="null3"/>
            </w:pPr>
            <w:r>
              <w:rPr>
                <w:rFonts w:ascii="仿宋_GB2312" w:hAnsi="仿宋_GB2312" w:cs="仿宋_GB2312" w:eastAsia="仿宋_GB2312"/>
              </w:rPr>
              <w:t>满足询价通知书规定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满足询价通知书要求</w:t>
            </w:r>
          </w:p>
        </w:tc>
        <w:tc>
          <w:tcPr>
            <w:tcW w:type="dxa" w:w="1661"/>
          </w:tcPr>
          <w:p>
            <w:pPr>
              <w:pStyle w:val="null3"/>
            </w:pPr>
            <w:r>
              <w:rPr>
                <w:rFonts w:ascii="仿宋_GB2312" w:hAnsi="仿宋_GB2312" w:cs="仿宋_GB2312" w:eastAsia="仿宋_GB2312"/>
              </w:rPr>
              <w:t>商务应答表 标的清单 报价表 询价响应方案.docx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询价过程中，询价小组认为供应商的报价明显低于其他通过符合性审查供应商的报价，有可能影响产品质量或者不能诚信履约的，询价小组应当要求其在合理的时间内在项目电子化交易系统中上传说明材料，必要时提交相关证明材料。供应商提交的相关证明材料，应当加盖供应商（法定名称）电子印章，在询价小组要求的时间内通过项目电子化交易系统进行提交，否则提交的相关证明材料无效。供应商不能证明其报价合理性的，询价小组应当将其响应文件作为无效处理。</w:t>
            </w:r>
          </w:p>
        </w:tc>
        <w:tc>
          <w:tcPr>
            <w:tcW w:type="dxa" w:w="1661"/>
          </w:tcPr>
          <w:p>
            <w:pPr>
              <w:pStyle w:val="null3"/>
            </w:pPr>
            <w:r>
              <w:rPr>
                <w:rFonts w:ascii="仿宋_GB2312" w:hAnsi="仿宋_GB2312" w:cs="仿宋_GB2312" w:eastAsia="仿宋_GB2312"/>
              </w:rPr>
              <w:t>分项报价表.docx 商务应答表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对询价通知书商务要求作出明确响应；对询价通知书技术要求作出明确响应，对不得偏离的要求作了实质性响应。</w:t>
            </w:r>
          </w:p>
        </w:tc>
        <w:tc>
          <w:tcPr>
            <w:tcW w:type="dxa" w:w="1661"/>
          </w:tcPr>
          <w:p>
            <w:pPr>
              <w:pStyle w:val="null3"/>
            </w:pPr>
            <w:r>
              <w:rPr>
                <w:rFonts w:ascii="仿宋_GB2312" w:hAnsi="仿宋_GB2312" w:cs="仿宋_GB2312" w:eastAsia="仿宋_GB2312"/>
              </w:rPr>
              <w:t>产品技术参数表 商务应答表 响应函 询价响应方案.docx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询价响应方案.docx</w:t>
            </w:r>
          </w:p>
        </w:tc>
      </w:tr>
    </w:tbl>
    <w:p>
      <w:pPr>
        <w:pStyle w:val="null3"/>
        <w:outlineLvl w:val="3"/>
      </w:pPr>
      <w:r>
        <w:rPr>
          <w:rFonts w:ascii="仿宋_GB2312" w:hAnsi="仿宋_GB2312" w:cs="仿宋_GB2312" w:eastAsia="仿宋_GB2312"/>
          <w:sz w:val="24"/>
          <w:b/>
        </w:rPr>
        <w:t>5.3.3价格扣除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六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5.3.4解释、澄清、说明的有关问题</w:t>
      </w:r>
    </w:p>
    <w:p>
      <w:pPr>
        <w:pStyle w:val="null3"/>
        <w:ind w:firstLine="480"/>
      </w:pPr>
      <w:r>
        <w:rPr>
          <w:rFonts w:ascii="仿宋_GB2312" w:hAnsi="仿宋_GB2312" w:cs="仿宋_GB2312" w:eastAsia="仿宋_GB2312"/>
        </w:rPr>
        <w:t xml:space="preserve"> 一、评审过程中，询价小组认为询价通知书有关事项表述不明确或需要说明的，可以提请代理机构书面解释。代理机构的解释不得改变询价通知书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询价小组应当要求供应商作出必要的澄清、说明或更正，并给予供应商必要的反馈时间。供应商应当按询价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询价通知书变为响应询价通知书的条件。下列内容不得澄清：</w:t>
      </w:r>
    </w:p>
    <w:p>
      <w:pPr>
        <w:pStyle w:val="null3"/>
        <w:ind w:firstLine="480"/>
      </w:pPr>
      <w:r>
        <w:rPr>
          <w:rFonts w:ascii="仿宋_GB2312" w:hAnsi="仿宋_GB2312" w:cs="仿宋_GB2312" w:eastAsia="仿宋_GB2312"/>
        </w:rPr>
        <w:t>（一）供应商响应文件中不响应询价通知书规定的技术参数指标和商务应答；</w:t>
      </w:r>
    </w:p>
    <w:p>
      <w:pPr>
        <w:pStyle w:val="null3"/>
        <w:ind w:firstLine="480"/>
      </w:pPr>
      <w:r>
        <w:rPr>
          <w:rFonts w:ascii="仿宋_GB2312" w:hAnsi="仿宋_GB2312" w:cs="仿宋_GB2312" w:eastAsia="仿宋_GB2312"/>
        </w:rPr>
        <w:t>（二）供应商响应文件中未提供的证明其是否符合询价通知书资格、符合性规定要求的相关材料；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四、报价出现下列情况的，按以下原则处理：</w:t>
      </w:r>
    </w:p>
    <w:p>
      <w:pPr>
        <w:pStyle w:val="null3"/>
        <w:ind w:firstLine="480"/>
      </w:pPr>
      <w:r>
        <w:rPr>
          <w:rFonts w:ascii="仿宋_GB2312" w:hAnsi="仿宋_GB2312" w:cs="仿宋_GB2312" w:eastAsia="仿宋_GB2312"/>
        </w:rPr>
        <w:t>（一）大写金额和小写金额不一致的，以大写金额为准，但大写金额出现文字错误，导致金额无法判断的除外；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（二）单价金额小数点或者百分比有明显错位的，以开启一览表总价为准，并修改单价；</w:t>
      </w:r>
    </w:p>
    <w:p>
      <w:pPr>
        <w:pStyle w:val="null3"/>
        <w:ind w:firstLine="480"/>
      </w:pPr>
      <w:r>
        <w:rPr>
          <w:rFonts w:ascii="仿宋_GB2312" w:hAnsi="仿宋_GB2312" w:cs="仿宋_GB2312" w:eastAsia="仿宋_GB2312"/>
        </w:rPr>
        <w:t>（三）总价金额与按单价汇总金额不一致的，以单价金额计算结果为准。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同时出现两种以上不一致的，按照前款规定的顺序修正。修正后的报价经供应商确认后产生约束力，供应商不确认的，其响应无效。</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五、代理机构宣布评审结束前，供应商应通过项目电子化交易系统随时关注评审消息提示，及时响应询价小组发出的澄清、说明或更正要求。供应商未能及时响应的，自行承担不利后果。</w:t>
      </w:r>
    </w:p>
    <w:p>
      <w:pPr>
        <w:pStyle w:val="null3"/>
        <w:ind w:firstLine="480"/>
      </w:pPr>
      <w:r>
        <w:rPr>
          <w:rFonts w:ascii="仿宋_GB2312" w:hAnsi="仿宋_GB2312" w:cs="仿宋_GB2312" w:eastAsia="仿宋_GB2312"/>
        </w:rPr>
        <w:t>六、询价小组应当积极履行澄清、说明或者更正的职责，不得滥用权力。</w:t>
      </w:r>
    </w:p>
    <w:p>
      <w:pPr>
        <w:pStyle w:val="null3"/>
        <w:outlineLvl w:val="3"/>
      </w:pPr>
      <w:r>
        <w:rPr>
          <w:rFonts w:ascii="仿宋_GB2312" w:hAnsi="仿宋_GB2312" w:cs="仿宋_GB2312" w:eastAsia="仿宋_GB2312"/>
          <w:sz w:val="24"/>
          <w:b/>
        </w:rPr>
        <w:t>5.3.5复核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5.3.6推荐成交候选供应商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5.3.7编写询价报告</w:t>
      </w:r>
    </w:p>
    <w:p>
      <w:pPr>
        <w:pStyle w:val="null3"/>
        <w:ind w:firstLine="480"/>
      </w:pPr>
      <w:r>
        <w:rPr>
          <w:rFonts w:ascii="仿宋_GB2312" w:hAnsi="仿宋_GB2312" w:cs="仿宋_GB2312" w:eastAsia="仿宋_GB2312"/>
        </w:rPr>
        <w:t>询价小组项目在电子化交易系统中编制评审情况，生成询价报告。</w:t>
      </w:r>
    </w:p>
    <w:p>
      <w:pPr>
        <w:pStyle w:val="null3"/>
        <w:ind w:firstLine="480"/>
      </w:pPr>
      <w:r>
        <w:rPr>
          <w:rFonts w:ascii="仿宋_GB2312" w:hAnsi="仿宋_GB2312" w:cs="仿宋_GB2312" w:eastAsia="仿宋_GB2312"/>
        </w:rPr>
        <w:t>询价报告是询价小组根据全体成员签字的原始评审记录和评审结果编写的报告，其主要内容包括：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二、响应文件开启日期和地点，询价小组成员名单；</w:t>
      </w:r>
    </w:p>
    <w:p>
      <w:pPr>
        <w:pStyle w:val="null3"/>
        <w:ind w:firstLine="480"/>
      </w:pPr>
      <w:r>
        <w:rPr>
          <w:rFonts w:ascii="仿宋_GB2312" w:hAnsi="仿宋_GB2312" w:cs="仿宋_GB2312" w:eastAsia="仿宋_GB2312"/>
        </w:rPr>
        <w:t>三、提交报价的供应商名单及报价情况，获取询价通知书但未提交报价的供应商名单；</w:t>
      </w:r>
    </w:p>
    <w:p>
      <w:pPr>
        <w:pStyle w:val="null3"/>
        <w:ind w:firstLine="480"/>
      </w:pPr>
      <w:r>
        <w:rPr>
          <w:rFonts w:ascii="仿宋_GB2312" w:hAnsi="仿宋_GB2312" w:cs="仿宋_GB2312" w:eastAsia="仿宋_GB2312"/>
        </w:rPr>
        <w:t xml:space="preserve"> 四、评审情况记录和说明，包括对供应商的资格审查情况、供应商响应文件评审情况、询价采购活动情况、报价情况等；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询价报告应当由询价小组全体人员签字或加盖电子签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评审报告上签字或加盖电子签章又不说明其不同意见和理由的，视为同意评审报告。</w:t>
      </w:r>
    </w:p>
    <w:p>
      <w:pPr>
        <w:pStyle w:val="null3"/>
        <w:outlineLvl w:val="2"/>
      </w:pPr>
      <w:r>
        <w:rPr>
          <w:rFonts w:ascii="仿宋_GB2312" w:hAnsi="仿宋_GB2312" w:cs="仿宋_GB2312" w:eastAsia="仿宋_GB2312"/>
          <w:sz w:val="28"/>
          <w:b/>
        </w:rPr>
        <w:t>5.4争议处理规则</w:t>
      </w:r>
    </w:p>
    <w:p>
      <w:pPr>
        <w:pStyle w:val="null3"/>
        <w:ind w:firstLine="480"/>
      </w:pPr>
      <w:r>
        <w:rPr>
          <w:rFonts w:ascii="仿宋_GB2312" w:hAnsi="仿宋_GB2312" w:cs="仿宋_GB2312" w:eastAsia="仿宋_GB2312"/>
        </w:rPr>
        <w:t xml:space="preserve"> 在评审过程中，询价小组成员对响应文件是否符合询价通知书规定存在争议的，应当以少数服从多数的原则处理，但不得违背询价通知书规定。有不同意见的询价小组成员认为认定过程和结果不符合法律法规或者询价通知书规定的，应当在评审报告中予以反映。</w:t>
      </w:r>
    </w:p>
    <w:p>
      <w:pPr>
        <w:pStyle w:val="null3"/>
        <w:outlineLvl w:val="2"/>
      </w:pPr>
      <w:r>
        <w:rPr>
          <w:rFonts w:ascii="仿宋_GB2312" w:hAnsi="仿宋_GB2312" w:cs="仿宋_GB2312" w:eastAsia="仿宋_GB2312"/>
          <w:sz w:val="28"/>
          <w:b/>
        </w:rPr>
        <w:t>5.5终止采购活动</w:t>
      </w:r>
    </w:p>
    <w:p>
      <w:pPr>
        <w:pStyle w:val="null3"/>
        <w:ind w:firstLine="480"/>
      </w:pPr>
      <w:r>
        <w:rPr>
          <w:rFonts w:ascii="仿宋_GB2312" w:hAnsi="仿宋_GB2312" w:cs="仿宋_GB2312" w:eastAsia="仿宋_GB2312"/>
        </w:rPr>
        <w:t>出现下列情形之一的，终止询价采购活动：</w:t>
      </w:r>
    </w:p>
    <w:p>
      <w:pPr>
        <w:pStyle w:val="null3"/>
        <w:ind w:firstLine="480"/>
      </w:pPr>
      <w:r>
        <w:rPr>
          <w:rFonts w:ascii="仿宋_GB2312" w:hAnsi="仿宋_GB2312" w:cs="仿宋_GB2312" w:eastAsia="仿宋_GB2312"/>
        </w:rPr>
        <w:t>一、因情况变化，不再符合规定的询价采购方式适用情形的；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三、在采购过程中符合竞争要求的供应商或者报价未超过采购预算的供应商不足3家的。</w:t>
      </w:r>
    </w:p>
    <w:p>
      <w:pPr>
        <w:pStyle w:val="null3"/>
        <w:outlineLvl w:val="2"/>
      </w:pPr>
      <w:r>
        <w:rPr>
          <w:rFonts w:ascii="仿宋_GB2312" w:hAnsi="仿宋_GB2312" w:cs="仿宋_GB2312" w:eastAsia="仿宋_GB2312"/>
          <w:sz w:val="28"/>
          <w:b/>
        </w:rPr>
        <w:t>5.6确定成交供应商</w:t>
      </w:r>
    </w:p>
    <w:p>
      <w:pPr>
        <w:pStyle w:val="null3"/>
      </w:pPr>
      <w:r>
        <w:rPr>
          <w:rFonts w:ascii="仿宋_GB2312" w:hAnsi="仿宋_GB2312" w:cs="仿宋_GB2312" w:eastAsia="仿宋_GB2312"/>
        </w:rPr>
        <w:t>一、代理机构在评审结束后2个工作日内将评审报告送采购人确认。</w:t>
      </w:r>
    </w:p>
    <w:p>
      <w:pPr>
        <w:pStyle w:val="null3"/>
      </w:pPr>
      <w:r>
        <w:rPr>
          <w:rFonts w:ascii="仿宋_GB2312" w:hAnsi="仿宋_GB2312" w:cs="仿宋_GB2312" w:eastAsia="仿宋_GB2312"/>
        </w:rPr>
        <w:t>二、采购人在收到评审报告后5个工作日内，从评审报告提出的成交候选人中，根据质量和服务均能满足采购文件实质性响应要求且报价最低的原则确定成交供应商，也可以书面授权询价小组直接确定成交供应商。</w:t>
      </w:r>
    </w:p>
    <w:p>
      <w:pPr>
        <w:pStyle w:val="null3"/>
      </w:pPr>
      <w:r>
        <w:rPr>
          <w:rFonts w:ascii="仿宋_GB2312" w:hAnsi="仿宋_GB2312" w:cs="仿宋_GB2312" w:eastAsia="仿宋_GB2312"/>
        </w:rPr>
        <w:t>三、成交候选供应商并列的，由采购人、询价小组随机抽取确定成交供应商。</w:t>
      </w:r>
    </w:p>
    <w:p>
      <w:pPr>
        <w:pStyle w:val="null3"/>
      </w:pPr>
      <w:r>
        <w:rPr>
          <w:rFonts w:ascii="仿宋_GB2312" w:hAnsi="仿宋_GB2312" w:cs="仿宋_GB2312" w:eastAsia="仿宋_GB2312"/>
        </w:rPr>
        <w:t>四、采购人逾期未确定成交供应商且不提出异议的，视为确定评审报告提出的报价最低的供应商为成交供应商。</w:t>
      </w:r>
    </w:p>
    <w:p>
      <w:pPr>
        <w:pStyle w:val="null3"/>
        <w:outlineLvl w:val="2"/>
      </w:pPr>
      <w:r>
        <w:rPr>
          <w:rFonts w:ascii="仿宋_GB2312" w:hAnsi="仿宋_GB2312" w:cs="仿宋_GB2312" w:eastAsia="仿宋_GB2312"/>
          <w:sz w:val="28"/>
          <w:b/>
        </w:rPr>
        <w:t>5.7询价小组成员义务</w:t>
      </w:r>
    </w:p>
    <w:p>
      <w:pPr>
        <w:pStyle w:val="null3"/>
        <w:ind w:firstLine="480"/>
      </w:pPr>
      <w:r>
        <w:rPr>
          <w:rFonts w:ascii="仿宋_GB2312" w:hAnsi="仿宋_GB2312" w:cs="仿宋_GB2312" w:eastAsia="仿宋_GB2312"/>
        </w:rPr>
        <w:t>询价小组成员在政府采购活动中承担以下义务：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5.8询价采购活动纪律</w:t>
      </w:r>
    </w:p>
    <w:p>
      <w:pPr>
        <w:pStyle w:val="null3"/>
        <w:ind w:firstLine="480"/>
      </w:pPr>
      <w:r>
        <w:rPr>
          <w:rFonts w:ascii="仿宋_GB2312" w:hAnsi="仿宋_GB2312" w:cs="仿宋_GB2312" w:eastAsia="仿宋_GB2312"/>
        </w:rPr>
        <w:t>询价小组成员在政府采购活动中应当遵守以下工作纪律：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详见附件：询价响应方案.docx</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