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FA1F2F">
      <w:pPr>
        <w:pStyle w:val="12"/>
        <w:rPr>
          <w:rFonts w:ascii="宋体" w:hAnsi="宋体"/>
          <w:b/>
          <w:color w:val="auto"/>
          <w:sz w:val="52"/>
          <w:szCs w:val="52"/>
        </w:rPr>
      </w:pPr>
    </w:p>
    <w:p w14:paraId="3AD8EACC">
      <w:pPr>
        <w:pStyle w:val="12"/>
        <w:rPr>
          <w:rFonts w:ascii="宋体" w:hAnsi="宋体"/>
          <w:b/>
          <w:color w:val="auto"/>
          <w:sz w:val="52"/>
          <w:szCs w:val="52"/>
        </w:rPr>
      </w:pPr>
    </w:p>
    <w:p w14:paraId="580EE735">
      <w:pPr>
        <w:spacing w:line="240" w:lineRule="auto"/>
        <w:jc w:val="center"/>
        <w:rPr>
          <w:rFonts w:ascii="宋体" w:hAnsi="宋体"/>
          <w:b/>
          <w:bCs/>
          <w:color w:val="auto"/>
          <w:spacing w:val="100"/>
          <w:kern w:val="0"/>
          <w:sz w:val="96"/>
          <w:szCs w:val="96"/>
        </w:rPr>
      </w:pPr>
      <w:r>
        <w:rPr>
          <w:rFonts w:hint="eastAsia" w:ascii="宋体" w:hAnsi="宋体"/>
          <w:b/>
          <w:bCs/>
          <w:color w:val="auto"/>
          <w:spacing w:val="100"/>
          <w:kern w:val="0"/>
          <w:sz w:val="96"/>
          <w:szCs w:val="96"/>
        </w:rPr>
        <w:t>竞争性磋商文件</w:t>
      </w:r>
    </w:p>
    <w:p w14:paraId="6F766CA1">
      <w:pPr>
        <w:jc w:val="center"/>
        <w:rPr>
          <w:rFonts w:ascii="宋体" w:hAnsi="宋体"/>
          <w:b/>
          <w:color w:val="auto"/>
          <w:sz w:val="20"/>
        </w:rPr>
      </w:pPr>
    </w:p>
    <w:p w14:paraId="1215CB5F">
      <w:pPr>
        <w:jc w:val="center"/>
        <w:rPr>
          <w:rFonts w:ascii="宋体" w:hAnsi="宋体"/>
          <w:b/>
          <w:color w:val="auto"/>
          <w:sz w:val="20"/>
        </w:rPr>
      </w:pPr>
    </w:p>
    <w:p w14:paraId="61CCE55D">
      <w:pPr>
        <w:pStyle w:val="94"/>
        <w:rPr>
          <w:color w:val="auto"/>
        </w:rPr>
      </w:pPr>
    </w:p>
    <w:p w14:paraId="63F9725C">
      <w:pPr>
        <w:jc w:val="center"/>
        <w:rPr>
          <w:rFonts w:ascii="宋体" w:hAnsi="宋体"/>
          <w:b/>
          <w:color w:val="auto"/>
          <w:sz w:val="20"/>
        </w:rPr>
      </w:pPr>
    </w:p>
    <w:p w14:paraId="14AAB0E9">
      <w:pPr>
        <w:pStyle w:val="94"/>
        <w:rPr>
          <w:color w:val="auto"/>
        </w:rPr>
      </w:pPr>
    </w:p>
    <w:p w14:paraId="57D2BDF2">
      <w:pPr>
        <w:pStyle w:val="94"/>
        <w:rPr>
          <w:color w:val="auto"/>
        </w:rPr>
      </w:pPr>
    </w:p>
    <w:p w14:paraId="04D964F0">
      <w:pPr>
        <w:pStyle w:val="94"/>
        <w:rPr>
          <w:color w:val="auto"/>
        </w:rPr>
      </w:pPr>
    </w:p>
    <w:p w14:paraId="1464068C">
      <w:pPr>
        <w:rPr>
          <w:color w:val="auto"/>
        </w:rPr>
      </w:pPr>
    </w:p>
    <w:p w14:paraId="19AD1838">
      <w:pPr>
        <w:rPr>
          <w:rFonts w:ascii="宋体" w:hAnsi="宋体"/>
          <w:b/>
          <w:color w:val="auto"/>
          <w:sz w:val="30"/>
        </w:rPr>
      </w:pPr>
    </w:p>
    <w:p w14:paraId="6661AD53">
      <w:pPr>
        <w:rPr>
          <w:rFonts w:ascii="宋体" w:hAnsi="宋体" w:cs="Arial"/>
          <w:b/>
          <w:color w:val="auto"/>
          <w:kern w:val="0"/>
          <w:sz w:val="36"/>
          <w:szCs w:val="36"/>
          <w:u w:val="single"/>
        </w:rPr>
      </w:pPr>
      <w:r>
        <w:rPr>
          <w:rFonts w:hint="eastAsia" w:ascii="宋体" w:hAnsi="宋体" w:cs="Arial"/>
          <w:b/>
          <w:color w:val="auto"/>
          <w:kern w:val="0"/>
          <w:sz w:val="36"/>
          <w:szCs w:val="36"/>
        </w:rPr>
        <w:t>项目编号</w:t>
      </w:r>
      <w:r>
        <w:rPr>
          <w:rFonts w:ascii="宋体" w:hAnsi="宋体" w:cs="Arial"/>
          <w:b/>
          <w:color w:val="auto"/>
          <w:kern w:val="0"/>
          <w:sz w:val="36"/>
          <w:szCs w:val="36"/>
        </w:rPr>
        <w:t>：</w:t>
      </w:r>
      <w:r>
        <w:rPr>
          <w:rFonts w:hint="eastAsia" w:ascii="宋体" w:hAnsi="宋体" w:cs="Arial"/>
          <w:b/>
          <w:color w:val="auto"/>
          <w:kern w:val="0"/>
          <w:sz w:val="36"/>
          <w:szCs w:val="36"/>
        </w:rPr>
        <w:t>GCZB2026-09-183</w:t>
      </w:r>
    </w:p>
    <w:p w14:paraId="7AEF88C7">
      <w:pPr>
        <w:ind w:left="1807" w:hanging="1807" w:hangingChars="500"/>
        <w:rPr>
          <w:rFonts w:hint="eastAsia" w:ascii="宋体" w:hAnsi="宋体" w:eastAsia="宋体" w:cs="Arial"/>
          <w:b/>
          <w:color w:val="auto"/>
          <w:kern w:val="0"/>
          <w:sz w:val="36"/>
          <w:szCs w:val="36"/>
          <w:lang w:eastAsia="zh-CN"/>
        </w:rPr>
      </w:pPr>
      <w:r>
        <w:rPr>
          <w:rFonts w:hint="eastAsia" w:ascii="宋体" w:hAnsi="宋体" w:cs="Arial"/>
          <w:b/>
          <w:color w:val="auto"/>
          <w:kern w:val="0"/>
          <w:sz w:val="36"/>
          <w:szCs w:val="36"/>
        </w:rPr>
        <w:t>项目名称：</w:t>
      </w:r>
      <w:r>
        <w:rPr>
          <w:rFonts w:hint="eastAsia" w:ascii="宋体" w:hAnsi="宋体" w:cs="Arial"/>
          <w:b/>
          <w:color w:val="auto"/>
          <w:kern w:val="0"/>
          <w:sz w:val="36"/>
          <w:szCs w:val="36"/>
          <w:lang w:eastAsia="zh-CN"/>
        </w:rPr>
        <w:t>陕西警察学院2026年度信息系统等保测评服务项目</w:t>
      </w:r>
    </w:p>
    <w:p w14:paraId="1454C44B">
      <w:pPr>
        <w:rPr>
          <w:color w:val="auto"/>
        </w:rPr>
      </w:pPr>
      <w:r>
        <w:rPr>
          <w:rFonts w:hint="eastAsia" w:ascii="宋体" w:hAnsi="宋体"/>
          <w:b/>
          <w:color w:val="auto"/>
          <w:sz w:val="36"/>
          <w:szCs w:val="36"/>
        </w:rPr>
        <w:t>采 购 人:</w:t>
      </w:r>
      <w:r>
        <w:rPr>
          <w:rFonts w:hint="eastAsia" w:ascii="宋体" w:hAnsi="宋体" w:cs="Arial"/>
          <w:b/>
          <w:color w:val="auto"/>
          <w:kern w:val="0"/>
          <w:sz w:val="36"/>
          <w:szCs w:val="36"/>
        </w:rPr>
        <w:t xml:space="preserve"> 陕西警察学院</w:t>
      </w:r>
    </w:p>
    <w:p w14:paraId="77E561FC">
      <w:pPr>
        <w:rPr>
          <w:color w:val="auto"/>
        </w:rPr>
      </w:pPr>
    </w:p>
    <w:p w14:paraId="3EFFD472">
      <w:pPr>
        <w:pStyle w:val="94"/>
        <w:rPr>
          <w:color w:val="auto"/>
        </w:rPr>
      </w:pPr>
    </w:p>
    <w:p w14:paraId="719A75B1">
      <w:pPr>
        <w:pStyle w:val="94"/>
        <w:rPr>
          <w:color w:val="auto"/>
        </w:rPr>
      </w:pPr>
    </w:p>
    <w:p w14:paraId="51152577">
      <w:pPr>
        <w:pStyle w:val="94"/>
        <w:rPr>
          <w:color w:val="auto"/>
        </w:rPr>
      </w:pPr>
    </w:p>
    <w:p w14:paraId="0190A6E2">
      <w:pPr>
        <w:rPr>
          <w:color w:val="auto"/>
        </w:rPr>
      </w:pPr>
    </w:p>
    <w:p w14:paraId="7D9132CA">
      <w:pPr>
        <w:pStyle w:val="94"/>
        <w:rPr>
          <w:color w:val="auto"/>
        </w:rPr>
      </w:pPr>
    </w:p>
    <w:p w14:paraId="0E45BE73">
      <w:pPr>
        <w:pStyle w:val="94"/>
        <w:rPr>
          <w:color w:val="auto"/>
        </w:rPr>
      </w:pPr>
    </w:p>
    <w:p w14:paraId="4C700F85">
      <w:pPr>
        <w:pStyle w:val="94"/>
        <w:rPr>
          <w:color w:val="auto"/>
        </w:rPr>
      </w:pPr>
    </w:p>
    <w:p w14:paraId="5E488D7F">
      <w:pPr>
        <w:pStyle w:val="94"/>
        <w:rPr>
          <w:color w:val="auto"/>
        </w:rPr>
      </w:pPr>
    </w:p>
    <w:p w14:paraId="64F237F6">
      <w:pPr>
        <w:pStyle w:val="94"/>
        <w:rPr>
          <w:color w:val="auto"/>
        </w:rPr>
      </w:pPr>
    </w:p>
    <w:p w14:paraId="1B447786">
      <w:pPr>
        <w:pStyle w:val="94"/>
        <w:rPr>
          <w:color w:val="auto"/>
        </w:rPr>
      </w:pPr>
    </w:p>
    <w:p w14:paraId="3D2F4DDE">
      <w:pPr>
        <w:ind w:left="239" w:leftChars="114"/>
        <w:jc w:val="center"/>
        <w:rPr>
          <w:rFonts w:ascii="宋体" w:hAnsi="宋体"/>
          <w:b/>
          <w:color w:val="auto"/>
          <w:sz w:val="36"/>
          <w:szCs w:val="36"/>
        </w:rPr>
      </w:pPr>
      <w:r>
        <w:rPr>
          <w:rFonts w:hint="eastAsia" w:ascii="宋体" w:hAnsi="宋体"/>
          <w:b/>
          <w:color w:val="auto"/>
          <w:sz w:val="36"/>
          <w:szCs w:val="36"/>
        </w:rPr>
        <w:t>陕西国创招标有限公司</w:t>
      </w:r>
    </w:p>
    <w:p w14:paraId="03FC9207">
      <w:pPr>
        <w:jc w:val="center"/>
        <w:rPr>
          <w:rFonts w:ascii="宋体" w:hAnsi="宋体"/>
          <w:color w:val="auto"/>
        </w:rPr>
      </w:pPr>
      <w:r>
        <w:rPr>
          <w:rFonts w:hint="eastAsia" w:ascii="宋体" w:hAnsi="宋体"/>
          <w:b/>
          <w:color w:val="auto"/>
          <w:sz w:val="36"/>
          <w:szCs w:val="36"/>
        </w:rPr>
        <w:t>20</w:t>
      </w:r>
      <w:r>
        <w:rPr>
          <w:rFonts w:ascii="宋体" w:hAnsi="宋体"/>
          <w:b/>
          <w:color w:val="auto"/>
          <w:sz w:val="36"/>
          <w:szCs w:val="36"/>
        </w:rPr>
        <w:t>2</w:t>
      </w:r>
      <w:r>
        <w:rPr>
          <w:rFonts w:hint="eastAsia" w:ascii="宋体" w:hAnsi="宋体"/>
          <w:b/>
          <w:color w:val="auto"/>
          <w:sz w:val="36"/>
          <w:szCs w:val="36"/>
        </w:rPr>
        <w:t>6年09月</w:t>
      </w:r>
      <w:r>
        <w:rPr>
          <w:rFonts w:ascii="宋体" w:hAnsi="宋体"/>
          <w:color w:val="auto"/>
        </w:rPr>
        <w:br w:type="page"/>
      </w:r>
    </w:p>
    <w:p w14:paraId="5493289D">
      <w:pPr>
        <w:pStyle w:val="12"/>
        <w:rPr>
          <w:rFonts w:ascii="宋体" w:hAnsi="宋体"/>
          <w:color w:val="auto"/>
        </w:rPr>
      </w:pPr>
    </w:p>
    <w:p w14:paraId="68E7499D">
      <w:pPr>
        <w:pStyle w:val="12"/>
        <w:rPr>
          <w:rFonts w:ascii="宋体" w:hAnsi="宋体"/>
          <w:color w:val="auto"/>
        </w:rPr>
      </w:pPr>
    </w:p>
    <w:p w14:paraId="383CD26C">
      <w:pPr>
        <w:pStyle w:val="12"/>
        <w:rPr>
          <w:rFonts w:ascii="宋体" w:hAnsi="宋体"/>
          <w:color w:val="auto"/>
        </w:rPr>
      </w:pPr>
    </w:p>
    <w:p w14:paraId="65868582">
      <w:pPr>
        <w:jc w:val="center"/>
        <w:rPr>
          <w:rFonts w:ascii="宋体" w:hAnsi="宋体" w:cs="Arial"/>
          <w:b/>
          <w:color w:val="auto"/>
          <w:kern w:val="0"/>
          <w:sz w:val="44"/>
          <w:szCs w:val="44"/>
        </w:rPr>
      </w:pPr>
      <w:bookmarkStart w:id="0" w:name="_Toc328739375"/>
      <w:r>
        <w:rPr>
          <w:rFonts w:hint="eastAsia" w:ascii="宋体" w:hAnsi="宋体" w:cs="Arial"/>
          <w:b/>
          <w:color w:val="auto"/>
          <w:kern w:val="0"/>
          <w:sz w:val="44"/>
          <w:szCs w:val="44"/>
        </w:rPr>
        <w:t>目  录</w:t>
      </w:r>
      <w:bookmarkEnd w:id="0"/>
    </w:p>
    <w:p w14:paraId="3AB7D27A">
      <w:pPr>
        <w:ind w:firstLine="420"/>
        <w:rPr>
          <w:rFonts w:ascii="宋体" w:hAnsi="宋体"/>
          <w:b/>
          <w:color w:val="auto"/>
          <w:sz w:val="32"/>
          <w:szCs w:val="32"/>
        </w:rPr>
      </w:pPr>
    </w:p>
    <w:p w14:paraId="6B52DCD9">
      <w:pPr>
        <w:pStyle w:val="21"/>
        <w:tabs>
          <w:tab w:val="right" w:leader="dot" w:pos="9070"/>
          <w:tab w:val="clear" w:pos="8760"/>
        </w:tabs>
        <w:rPr>
          <w:rFonts w:ascii="宋体" w:hAnsi="宋体" w:cs="宋体"/>
          <w:b/>
          <w:color w:val="auto"/>
          <w:sz w:val="32"/>
          <w:szCs w:val="32"/>
        </w:rPr>
      </w:pPr>
      <w:r>
        <w:rPr>
          <w:rFonts w:hint="eastAsia" w:ascii="宋体" w:hAnsi="宋体" w:cs="宋体"/>
          <w:b/>
          <w:color w:val="auto"/>
          <w:sz w:val="32"/>
          <w:szCs w:val="32"/>
        </w:rPr>
        <w:fldChar w:fldCharType="begin"/>
      </w:r>
      <w:r>
        <w:rPr>
          <w:rFonts w:hint="eastAsia" w:ascii="宋体" w:hAnsi="宋体" w:cs="宋体"/>
          <w:b/>
          <w:color w:val="auto"/>
          <w:sz w:val="32"/>
          <w:szCs w:val="32"/>
        </w:rPr>
        <w:instrText xml:space="preserve"> TOC \o "1-1" \h \z \u </w:instrText>
      </w:r>
      <w:r>
        <w:rPr>
          <w:rFonts w:hint="eastAsia" w:ascii="宋体" w:hAnsi="宋体" w:cs="宋体"/>
          <w:b/>
          <w:color w:val="auto"/>
          <w:sz w:val="32"/>
          <w:szCs w:val="32"/>
        </w:rPr>
        <w:fldChar w:fldCharType="separate"/>
      </w:r>
      <w:r>
        <w:rPr>
          <w:color w:val="auto"/>
        </w:rPr>
        <w:fldChar w:fldCharType="begin"/>
      </w:r>
      <w:r>
        <w:rPr>
          <w:color w:val="auto"/>
        </w:rPr>
        <w:instrText xml:space="preserve"> HYPERLINK \l "_Toc23003" </w:instrText>
      </w:r>
      <w:r>
        <w:rPr>
          <w:color w:val="auto"/>
        </w:rPr>
        <w:fldChar w:fldCharType="separate"/>
      </w:r>
      <w:r>
        <w:rPr>
          <w:rFonts w:hint="eastAsia" w:ascii="宋体" w:hAnsi="宋体" w:cs="宋体"/>
          <w:b/>
          <w:color w:val="auto"/>
          <w:sz w:val="32"/>
          <w:szCs w:val="32"/>
        </w:rPr>
        <w:t>第一章  磋商邀请书</w:t>
      </w:r>
      <w:r>
        <w:rPr>
          <w:rFonts w:hint="eastAsia" w:ascii="宋体" w:hAnsi="宋体" w:cs="宋体"/>
          <w:b/>
          <w:color w:val="auto"/>
          <w:sz w:val="32"/>
          <w:szCs w:val="32"/>
        </w:rPr>
        <w:tab/>
      </w:r>
      <w:r>
        <w:rPr>
          <w:rFonts w:hint="eastAsia" w:ascii="宋体" w:hAnsi="宋体" w:cs="宋体"/>
          <w:b/>
          <w:color w:val="auto"/>
          <w:sz w:val="32"/>
          <w:szCs w:val="32"/>
        </w:rPr>
        <w:fldChar w:fldCharType="begin"/>
      </w:r>
      <w:r>
        <w:rPr>
          <w:rFonts w:hint="eastAsia" w:ascii="宋体" w:hAnsi="宋体" w:cs="宋体"/>
          <w:b/>
          <w:color w:val="auto"/>
          <w:sz w:val="32"/>
          <w:szCs w:val="32"/>
        </w:rPr>
        <w:instrText xml:space="preserve"> PAGEREF _Toc23003 \h </w:instrText>
      </w:r>
      <w:r>
        <w:rPr>
          <w:rFonts w:hint="eastAsia" w:ascii="宋体" w:hAnsi="宋体" w:cs="宋体"/>
          <w:b/>
          <w:color w:val="auto"/>
          <w:sz w:val="32"/>
          <w:szCs w:val="32"/>
        </w:rPr>
        <w:fldChar w:fldCharType="separate"/>
      </w:r>
      <w:r>
        <w:rPr>
          <w:rFonts w:hint="eastAsia" w:ascii="宋体" w:hAnsi="宋体" w:cs="宋体"/>
          <w:b/>
          <w:color w:val="auto"/>
          <w:sz w:val="32"/>
          <w:szCs w:val="32"/>
        </w:rPr>
        <w:t>1</w:t>
      </w:r>
      <w:r>
        <w:rPr>
          <w:rFonts w:hint="eastAsia" w:ascii="宋体" w:hAnsi="宋体" w:cs="宋体"/>
          <w:b/>
          <w:color w:val="auto"/>
          <w:sz w:val="32"/>
          <w:szCs w:val="32"/>
        </w:rPr>
        <w:fldChar w:fldCharType="end"/>
      </w:r>
      <w:r>
        <w:rPr>
          <w:rFonts w:hint="eastAsia" w:ascii="宋体" w:hAnsi="宋体" w:cs="宋体"/>
          <w:b/>
          <w:color w:val="auto"/>
          <w:sz w:val="32"/>
          <w:szCs w:val="32"/>
        </w:rPr>
        <w:fldChar w:fldCharType="end"/>
      </w:r>
    </w:p>
    <w:p w14:paraId="2FB5D3B6">
      <w:pPr>
        <w:pStyle w:val="21"/>
        <w:tabs>
          <w:tab w:val="right" w:leader="dot" w:pos="9070"/>
          <w:tab w:val="clear" w:pos="8760"/>
        </w:tabs>
        <w:rPr>
          <w:rFonts w:ascii="宋体" w:hAnsi="宋体" w:cs="宋体"/>
          <w:b/>
          <w:color w:val="auto"/>
          <w:sz w:val="32"/>
          <w:szCs w:val="32"/>
        </w:rPr>
      </w:pPr>
      <w:r>
        <w:rPr>
          <w:color w:val="auto"/>
        </w:rPr>
        <w:fldChar w:fldCharType="begin"/>
      </w:r>
      <w:r>
        <w:rPr>
          <w:color w:val="auto"/>
        </w:rPr>
        <w:instrText xml:space="preserve"> HYPERLINK \l "_Toc1832" </w:instrText>
      </w:r>
      <w:r>
        <w:rPr>
          <w:color w:val="auto"/>
        </w:rPr>
        <w:fldChar w:fldCharType="separate"/>
      </w:r>
      <w:r>
        <w:rPr>
          <w:rFonts w:hint="eastAsia" w:ascii="宋体" w:hAnsi="宋体" w:cs="宋体"/>
          <w:b/>
          <w:color w:val="auto"/>
          <w:sz w:val="32"/>
          <w:szCs w:val="32"/>
        </w:rPr>
        <w:t>第二章  供应商须知</w:t>
      </w:r>
      <w:r>
        <w:rPr>
          <w:rFonts w:hint="eastAsia" w:ascii="宋体" w:hAnsi="宋体" w:cs="宋体"/>
          <w:b/>
          <w:color w:val="auto"/>
          <w:sz w:val="32"/>
          <w:szCs w:val="32"/>
        </w:rPr>
        <w:tab/>
      </w:r>
      <w:r>
        <w:rPr>
          <w:rFonts w:hint="eastAsia" w:ascii="宋体" w:hAnsi="宋体" w:cs="宋体"/>
          <w:b/>
          <w:color w:val="auto"/>
          <w:sz w:val="32"/>
          <w:szCs w:val="32"/>
          <w:lang w:val="en-US" w:eastAsia="zh-CN"/>
        </w:rPr>
        <w:t>5</w:t>
      </w:r>
      <w:r>
        <w:rPr>
          <w:rFonts w:hint="eastAsia" w:ascii="宋体" w:hAnsi="宋体" w:cs="宋体"/>
          <w:b/>
          <w:color w:val="auto"/>
          <w:sz w:val="32"/>
          <w:szCs w:val="32"/>
        </w:rPr>
        <w:fldChar w:fldCharType="end"/>
      </w:r>
    </w:p>
    <w:p w14:paraId="11410FDE">
      <w:pPr>
        <w:pStyle w:val="21"/>
        <w:tabs>
          <w:tab w:val="right" w:leader="dot" w:pos="9070"/>
          <w:tab w:val="clear" w:pos="8760"/>
        </w:tabs>
        <w:rPr>
          <w:rFonts w:hint="eastAsia" w:ascii="宋体" w:hAnsi="宋体" w:eastAsia="宋体" w:cs="宋体"/>
          <w:b/>
          <w:color w:val="auto"/>
          <w:sz w:val="32"/>
          <w:szCs w:val="32"/>
          <w:lang w:val="en-US" w:eastAsia="zh-CN"/>
        </w:rPr>
      </w:pPr>
      <w:r>
        <w:rPr>
          <w:color w:val="auto"/>
        </w:rPr>
        <w:fldChar w:fldCharType="begin"/>
      </w:r>
      <w:r>
        <w:rPr>
          <w:color w:val="auto"/>
        </w:rPr>
        <w:instrText xml:space="preserve"> HYPERLINK \l "_Toc18374" </w:instrText>
      </w:r>
      <w:r>
        <w:rPr>
          <w:color w:val="auto"/>
        </w:rPr>
        <w:fldChar w:fldCharType="separate"/>
      </w:r>
      <w:r>
        <w:rPr>
          <w:rFonts w:hint="eastAsia" w:ascii="宋体" w:hAnsi="宋体" w:cs="宋体"/>
          <w:b/>
          <w:color w:val="auto"/>
          <w:sz w:val="32"/>
          <w:szCs w:val="32"/>
        </w:rPr>
        <w:t>第三章  服务要求及内容</w:t>
      </w:r>
      <w:r>
        <w:rPr>
          <w:rFonts w:hint="eastAsia" w:ascii="宋体" w:hAnsi="宋体" w:cs="宋体"/>
          <w:b/>
          <w:color w:val="auto"/>
          <w:sz w:val="32"/>
          <w:szCs w:val="32"/>
        </w:rPr>
        <w:tab/>
      </w:r>
      <w:r>
        <w:rPr>
          <w:rFonts w:hint="eastAsia" w:ascii="宋体" w:hAnsi="宋体" w:cs="宋体"/>
          <w:b/>
          <w:color w:val="auto"/>
          <w:sz w:val="32"/>
          <w:szCs w:val="32"/>
          <w:lang w:val="en-US" w:eastAsia="zh-CN"/>
        </w:rPr>
        <w:t>2</w:t>
      </w:r>
      <w:r>
        <w:rPr>
          <w:rFonts w:hint="eastAsia" w:ascii="宋体" w:hAnsi="宋体" w:cs="宋体"/>
          <w:b/>
          <w:color w:val="auto"/>
          <w:sz w:val="32"/>
          <w:szCs w:val="32"/>
        </w:rPr>
        <w:fldChar w:fldCharType="end"/>
      </w:r>
      <w:r>
        <w:rPr>
          <w:rFonts w:hint="eastAsia" w:ascii="宋体" w:hAnsi="宋体" w:cs="宋体"/>
          <w:b/>
          <w:color w:val="auto"/>
          <w:sz w:val="32"/>
          <w:szCs w:val="32"/>
          <w:lang w:val="en-US" w:eastAsia="zh-CN"/>
        </w:rPr>
        <w:t>8</w:t>
      </w:r>
    </w:p>
    <w:p w14:paraId="22EBFF5C">
      <w:pPr>
        <w:pStyle w:val="21"/>
        <w:tabs>
          <w:tab w:val="right" w:leader="dot" w:pos="9070"/>
          <w:tab w:val="clear" w:pos="8760"/>
        </w:tabs>
        <w:rPr>
          <w:rFonts w:hint="eastAsia" w:ascii="宋体" w:hAnsi="宋体" w:eastAsia="宋体" w:cs="宋体"/>
          <w:b/>
          <w:color w:val="auto"/>
          <w:sz w:val="32"/>
          <w:szCs w:val="32"/>
          <w:lang w:eastAsia="zh-CN"/>
        </w:rPr>
      </w:pPr>
      <w:r>
        <w:rPr>
          <w:color w:val="auto"/>
        </w:rPr>
        <w:fldChar w:fldCharType="begin"/>
      </w:r>
      <w:r>
        <w:rPr>
          <w:color w:val="auto"/>
        </w:rPr>
        <w:instrText xml:space="preserve"> HYPERLINK \l "_Toc14295" </w:instrText>
      </w:r>
      <w:r>
        <w:rPr>
          <w:color w:val="auto"/>
        </w:rPr>
        <w:fldChar w:fldCharType="separate"/>
      </w:r>
      <w:r>
        <w:rPr>
          <w:rFonts w:hint="eastAsia" w:ascii="宋体" w:hAnsi="宋体" w:cs="宋体"/>
          <w:b/>
          <w:color w:val="auto"/>
          <w:sz w:val="32"/>
          <w:szCs w:val="32"/>
        </w:rPr>
        <w:t>第四章  商务及合同主要条款</w:t>
      </w:r>
      <w:r>
        <w:rPr>
          <w:rFonts w:hint="eastAsia" w:ascii="宋体" w:hAnsi="宋体" w:cs="宋体"/>
          <w:b/>
          <w:color w:val="auto"/>
          <w:sz w:val="32"/>
          <w:szCs w:val="32"/>
        </w:rPr>
        <w:tab/>
      </w:r>
      <w:r>
        <w:rPr>
          <w:rFonts w:hint="eastAsia" w:ascii="宋体" w:hAnsi="宋体" w:cs="宋体"/>
          <w:b/>
          <w:color w:val="auto"/>
          <w:sz w:val="32"/>
          <w:szCs w:val="32"/>
        </w:rPr>
        <w:fldChar w:fldCharType="end"/>
      </w:r>
      <w:r>
        <w:rPr>
          <w:rFonts w:hint="eastAsia" w:ascii="宋体" w:hAnsi="宋体" w:cs="宋体"/>
          <w:b/>
          <w:color w:val="auto"/>
          <w:sz w:val="32"/>
          <w:szCs w:val="32"/>
          <w:lang w:val="en-US" w:eastAsia="zh-CN"/>
        </w:rPr>
        <w:t>58</w:t>
      </w:r>
    </w:p>
    <w:p w14:paraId="1A5DCBBC">
      <w:pPr>
        <w:pStyle w:val="21"/>
        <w:tabs>
          <w:tab w:val="right" w:leader="dot" w:pos="9070"/>
          <w:tab w:val="clear" w:pos="8760"/>
        </w:tabs>
        <w:rPr>
          <w:rFonts w:hint="eastAsia" w:ascii="宋体" w:hAnsi="宋体" w:eastAsia="宋体" w:cs="宋体"/>
          <w:b/>
          <w:color w:val="auto"/>
          <w:sz w:val="32"/>
          <w:szCs w:val="32"/>
          <w:lang w:val="en-US" w:eastAsia="zh-CN"/>
        </w:rPr>
      </w:pPr>
      <w:r>
        <w:rPr>
          <w:color w:val="auto"/>
        </w:rPr>
        <w:fldChar w:fldCharType="begin"/>
      </w:r>
      <w:r>
        <w:rPr>
          <w:color w:val="auto"/>
        </w:rPr>
        <w:instrText xml:space="preserve"> HYPERLINK \l "_Toc10779" </w:instrText>
      </w:r>
      <w:r>
        <w:rPr>
          <w:color w:val="auto"/>
        </w:rPr>
        <w:fldChar w:fldCharType="separate"/>
      </w:r>
      <w:r>
        <w:rPr>
          <w:rFonts w:hint="eastAsia" w:ascii="宋体" w:hAnsi="宋体" w:cs="宋体"/>
          <w:b/>
          <w:color w:val="auto"/>
          <w:sz w:val="32"/>
          <w:szCs w:val="32"/>
        </w:rPr>
        <w:t>第五章  响应文件格式</w:t>
      </w:r>
      <w:r>
        <w:rPr>
          <w:rFonts w:hint="eastAsia" w:ascii="宋体" w:hAnsi="宋体" w:cs="宋体"/>
          <w:b/>
          <w:color w:val="auto"/>
          <w:sz w:val="32"/>
          <w:szCs w:val="32"/>
        </w:rPr>
        <w:tab/>
      </w:r>
      <w:r>
        <w:rPr>
          <w:rFonts w:hint="eastAsia" w:ascii="宋体" w:hAnsi="宋体" w:cs="宋体"/>
          <w:b/>
          <w:color w:val="auto"/>
          <w:sz w:val="32"/>
          <w:szCs w:val="32"/>
          <w:lang w:val="en-US" w:eastAsia="zh-CN"/>
        </w:rPr>
        <w:t>6</w:t>
      </w:r>
      <w:r>
        <w:rPr>
          <w:rFonts w:hint="eastAsia" w:ascii="宋体" w:hAnsi="宋体" w:cs="宋体"/>
          <w:b/>
          <w:color w:val="auto"/>
          <w:sz w:val="32"/>
          <w:szCs w:val="32"/>
        </w:rPr>
        <w:fldChar w:fldCharType="end"/>
      </w:r>
      <w:r>
        <w:rPr>
          <w:rFonts w:hint="eastAsia" w:ascii="宋体" w:hAnsi="宋体" w:cs="宋体"/>
          <w:b/>
          <w:color w:val="auto"/>
          <w:sz w:val="32"/>
          <w:szCs w:val="32"/>
          <w:lang w:val="en-US" w:eastAsia="zh-CN"/>
        </w:rPr>
        <w:t>0</w:t>
      </w:r>
    </w:p>
    <w:p w14:paraId="5D98D397">
      <w:pPr>
        <w:tabs>
          <w:tab w:val="right" w:leader="middleDot" w:pos="9000"/>
        </w:tabs>
        <w:spacing w:line="700" w:lineRule="exact"/>
        <w:ind w:firstLine="420"/>
        <w:rPr>
          <w:rFonts w:ascii="宋体" w:hAnsi="宋体"/>
          <w:color w:val="auto"/>
          <w:sz w:val="32"/>
          <w:szCs w:val="32"/>
        </w:rPr>
      </w:pPr>
      <w:r>
        <w:rPr>
          <w:rFonts w:hint="eastAsia" w:ascii="宋体" w:hAnsi="宋体" w:cs="宋体"/>
          <w:b/>
          <w:color w:val="auto"/>
          <w:sz w:val="32"/>
          <w:szCs w:val="32"/>
        </w:rPr>
        <w:fldChar w:fldCharType="end"/>
      </w:r>
      <w:bookmarkStart w:id="28" w:name="_GoBack"/>
      <w:bookmarkEnd w:id="28"/>
    </w:p>
    <w:p w14:paraId="47A0429D">
      <w:pPr>
        <w:tabs>
          <w:tab w:val="left" w:pos="8760"/>
          <w:tab w:val="left" w:pos="8880"/>
        </w:tabs>
        <w:ind w:left="359" w:leftChars="171" w:firstLine="60"/>
        <w:rPr>
          <w:rFonts w:ascii="宋体" w:hAnsi="宋体"/>
          <w:color w:val="auto"/>
          <w:sz w:val="32"/>
          <w:szCs w:val="32"/>
        </w:rPr>
      </w:pPr>
    </w:p>
    <w:p w14:paraId="21582E6E">
      <w:pPr>
        <w:spacing w:line="480" w:lineRule="auto"/>
        <w:ind w:firstLine="602" w:firstLineChars="200"/>
        <w:rPr>
          <w:rFonts w:ascii="宋体" w:hAnsi="宋体"/>
          <w:b/>
          <w:color w:val="auto"/>
          <w:sz w:val="32"/>
          <w:szCs w:val="32"/>
        </w:rPr>
        <w:sectPr>
          <w:headerReference r:id="rId6" w:type="first"/>
          <w:footerReference r:id="rId8" w:type="first"/>
          <w:headerReference r:id="rId5" w:type="default"/>
          <w:footerReference r:id="rId7" w:type="default"/>
          <w:pgSz w:w="11906" w:h="16838"/>
          <w:pgMar w:top="1418" w:right="1418" w:bottom="1418" w:left="1418" w:header="851" w:footer="992" w:gutter="0"/>
          <w:pgNumType w:start="0"/>
          <w:cols w:space="720" w:num="1"/>
          <w:titlePg/>
          <w:docGrid w:linePitch="326" w:charSpace="0"/>
        </w:sectPr>
      </w:pPr>
      <w:r>
        <w:rPr>
          <w:rFonts w:hint="eastAsia" w:ascii="宋体" w:hAnsi="宋体"/>
          <w:b/>
          <w:color w:val="auto"/>
          <w:sz w:val="30"/>
          <w:szCs w:val="30"/>
        </w:rPr>
        <w:t xml:space="preserve"> </w:t>
      </w:r>
    </w:p>
    <w:p w14:paraId="650BDECE">
      <w:pPr>
        <w:spacing w:line="480" w:lineRule="auto"/>
        <w:jc w:val="center"/>
        <w:outlineLvl w:val="0"/>
        <w:rPr>
          <w:rFonts w:ascii="宋体" w:hAnsi="宋体"/>
          <w:b/>
          <w:color w:val="auto"/>
          <w:sz w:val="32"/>
          <w:szCs w:val="32"/>
        </w:rPr>
      </w:pPr>
      <w:bookmarkStart w:id="1" w:name="_Toc23003"/>
      <w:r>
        <w:rPr>
          <w:rFonts w:hint="eastAsia" w:ascii="宋体" w:hAnsi="宋体"/>
          <w:b/>
          <w:color w:val="auto"/>
          <w:sz w:val="32"/>
          <w:szCs w:val="32"/>
        </w:rPr>
        <w:t>第一章  磋商邀请书</w:t>
      </w:r>
      <w:bookmarkEnd w:id="1"/>
    </w:p>
    <w:p w14:paraId="6D7898BE">
      <w:pPr>
        <w:pStyle w:val="111"/>
        <w:keepNext w:val="0"/>
        <w:keepLines w:val="0"/>
        <w:pageBreakBefore w:val="0"/>
        <w:kinsoku/>
        <w:wordWrap/>
        <w:overflowPunct/>
        <w:topLinePunct w:val="0"/>
        <w:autoSpaceDE/>
        <w:autoSpaceDN/>
        <w:bidi w:val="0"/>
        <w:adjustRightInd/>
        <w:snapToGrid/>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 xml:space="preserve"> 项目概况</w:t>
      </w:r>
    </w:p>
    <w:p w14:paraId="642457D1">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20</w:t>
      </w:r>
      <w:r>
        <w:rPr>
          <w:rFonts w:hint="eastAsia" w:ascii="宋体" w:hAnsi="宋体" w:eastAsia="宋体" w:cs="Times New Roman"/>
          <w:kern w:val="2"/>
          <w:sz w:val="24"/>
          <w:szCs w:val="24"/>
          <w:lang w:val="en-US" w:eastAsia="zh-CN" w:bidi="ar-SA"/>
        </w:rPr>
        <w:t>26年度信息系统等保测评服务项目采购项目的潜在供应商应在西安市莲湖区高新一路5号正信大厦A座24楼获取采购文件，并于 2026年09月22日 09时30分 （北京时间）前提交响应文件。</w:t>
      </w:r>
    </w:p>
    <w:p w14:paraId="678E9CFD">
      <w:pPr>
        <w:pStyle w:val="111"/>
        <w:keepNext w:val="0"/>
        <w:keepLines w:val="0"/>
        <w:pageBreakBefore w:val="0"/>
        <w:kinsoku/>
        <w:wordWrap/>
        <w:overflowPunct/>
        <w:topLinePunct w:val="0"/>
        <w:autoSpaceDE/>
        <w:autoSpaceDN/>
        <w:bidi w:val="0"/>
        <w:adjustRightInd/>
        <w:snapToGrid/>
        <w:ind w:firstLine="480" w:firstLineChars="200"/>
        <w:textAlignment w:val="auto"/>
        <w:outlineLvl w:val="3"/>
        <w:rPr>
          <w:rFonts w:hint="eastAsia" w:ascii="宋体" w:hAnsi="宋体" w:eastAsia="宋体" w:cs="宋体"/>
          <w:b w:val="0"/>
          <w:bCs/>
          <w:sz w:val="24"/>
          <w:szCs w:val="24"/>
        </w:rPr>
      </w:pPr>
      <w:r>
        <w:rPr>
          <w:rFonts w:hint="eastAsia" w:ascii="宋体" w:hAnsi="宋体" w:eastAsia="宋体" w:cs="宋体"/>
          <w:b w:val="0"/>
          <w:bCs/>
          <w:sz w:val="24"/>
          <w:szCs w:val="24"/>
        </w:rPr>
        <w:t>一、项目基本情况</w:t>
      </w:r>
    </w:p>
    <w:p w14:paraId="70E5B9BF">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项目编号：GCZB2026-09-183</w:t>
      </w:r>
    </w:p>
    <w:p w14:paraId="016A1341">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项目名称：2026年度信息系统等保测评服务项目</w:t>
      </w:r>
    </w:p>
    <w:p w14:paraId="59505179">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76E47C54">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预算金额：120,000.00元</w:t>
      </w:r>
    </w:p>
    <w:p w14:paraId="68ADF05D">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449BA5C1">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合同包1(2026年度信息系统等保测评服务项目):</w:t>
      </w:r>
    </w:p>
    <w:p w14:paraId="0AA4EEC1">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合同包预算金额：120,000.00元</w:t>
      </w:r>
    </w:p>
    <w:p w14:paraId="1E1809B3">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合同包最高限价：120,000.00元</w:t>
      </w:r>
    </w:p>
    <w:tbl>
      <w:tblPr>
        <w:tblStyle w:val="28"/>
        <w:tblW w:w="9613"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384"/>
        <w:gridCol w:w="1384"/>
        <w:gridCol w:w="1977"/>
        <w:gridCol w:w="1268"/>
        <w:gridCol w:w="1704"/>
        <w:gridCol w:w="1896"/>
      </w:tblGrid>
      <w:tr w14:paraId="4E3E85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4" w:type="dxa"/>
            <w:vAlign w:val="center"/>
          </w:tcPr>
          <w:p w14:paraId="0661FA1E">
            <w:pPr>
              <w:pStyle w:val="111"/>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1384" w:type="dxa"/>
            <w:vAlign w:val="center"/>
          </w:tcPr>
          <w:p w14:paraId="3BB775E4">
            <w:pPr>
              <w:pStyle w:val="111"/>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sz w:val="24"/>
                <w:szCs w:val="24"/>
              </w:rPr>
            </w:pPr>
            <w:r>
              <w:rPr>
                <w:rFonts w:hint="eastAsia" w:ascii="宋体" w:hAnsi="宋体" w:eastAsia="宋体" w:cs="宋体"/>
                <w:sz w:val="24"/>
                <w:szCs w:val="24"/>
              </w:rPr>
              <w:t>品目</w:t>
            </w:r>
          </w:p>
          <w:p w14:paraId="7384AA98">
            <w:pPr>
              <w:pStyle w:val="111"/>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1977" w:type="dxa"/>
            <w:vAlign w:val="center"/>
          </w:tcPr>
          <w:p w14:paraId="5165EAF4">
            <w:pPr>
              <w:pStyle w:val="111"/>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1268" w:type="dxa"/>
            <w:vAlign w:val="center"/>
          </w:tcPr>
          <w:p w14:paraId="6EA02D35">
            <w:pPr>
              <w:pStyle w:val="111"/>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p w14:paraId="26378A0D">
            <w:pPr>
              <w:pStyle w:val="111"/>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sz w:val="24"/>
                <w:szCs w:val="24"/>
              </w:rPr>
            </w:pPr>
            <w:r>
              <w:rPr>
                <w:rFonts w:hint="eastAsia" w:ascii="宋体" w:hAnsi="宋体" w:eastAsia="宋体" w:cs="宋体"/>
                <w:sz w:val="24"/>
                <w:szCs w:val="24"/>
              </w:rPr>
              <w:t>（单位）</w:t>
            </w:r>
          </w:p>
        </w:tc>
        <w:tc>
          <w:tcPr>
            <w:tcW w:w="1704" w:type="dxa"/>
            <w:vAlign w:val="center"/>
          </w:tcPr>
          <w:p w14:paraId="51627D6B">
            <w:pPr>
              <w:pStyle w:val="111"/>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sz w:val="24"/>
                <w:szCs w:val="24"/>
              </w:rPr>
            </w:pPr>
            <w:r>
              <w:rPr>
                <w:rFonts w:hint="eastAsia" w:ascii="宋体" w:hAnsi="宋体" w:eastAsia="宋体" w:cs="宋体"/>
                <w:sz w:val="24"/>
                <w:szCs w:val="24"/>
              </w:rPr>
              <w:t>技术规格、</w:t>
            </w:r>
          </w:p>
          <w:p w14:paraId="493EC200">
            <w:pPr>
              <w:pStyle w:val="111"/>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sz w:val="24"/>
                <w:szCs w:val="24"/>
              </w:rPr>
            </w:pPr>
            <w:r>
              <w:rPr>
                <w:rFonts w:hint="eastAsia" w:ascii="宋体" w:hAnsi="宋体" w:eastAsia="宋体" w:cs="宋体"/>
                <w:sz w:val="24"/>
                <w:szCs w:val="24"/>
              </w:rPr>
              <w:t>参数及要求</w:t>
            </w:r>
          </w:p>
        </w:tc>
        <w:tc>
          <w:tcPr>
            <w:tcW w:w="1896" w:type="dxa"/>
            <w:vAlign w:val="center"/>
          </w:tcPr>
          <w:p w14:paraId="171193BC">
            <w:pPr>
              <w:pStyle w:val="111"/>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467A0A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4" w:type="dxa"/>
            <w:vAlign w:val="center"/>
          </w:tcPr>
          <w:p w14:paraId="6E33F50E">
            <w:pPr>
              <w:pStyle w:val="111"/>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1384" w:type="dxa"/>
            <w:vAlign w:val="center"/>
          </w:tcPr>
          <w:p w14:paraId="48E1FE3F">
            <w:pPr>
              <w:pStyle w:val="111"/>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sz w:val="24"/>
                <w:szCs w:val="24"/>
              </w:rPr>
            </w:pPr>
            <w:r>
              <w:rPr>
                <w:rFonts w:hint="eastAsia" w:ascii="宋体" w:hAnsi="宋体" w:eastAsia="宋体" w:cs="宋体"/>
                <w:sz w:val="24"/>
                <w:szCs w:val="24"/>
              </w:rPr>
              <w:t>其他信息技术服务</w:t>
            </w:r>
          </w:p>
        </w:tc>
        <w:tc>
          <w:tcPr>
            <w:tcW w:w="1977" w:type="dxa"/>
            <w:vAlign w:val="center"/>
          </w:tcPr>
          <w:p w14:paraId="29798ACC">
            <w:pPr>
              <w:pStyle w:val="111"/>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sz w:val="24"/>
                <w:szCs w:val="24"/>
              </w:rPr>
            </w:pPr>
            <w:r>
              <w:rPr>
                <w:rFonts w:hint="eastAsia" w:ascii="宋体" w:hAnsi="宋体" w:eastAsia="宋体" w:cs="宋体"/>
                <w:sz w:val="24"/>
                <w:szCs w:val="24"/>
              </w:rPr>
              <w:t>信息系统等保测评服务项目</w:t>
            </w:r>
          </w:p>
        </w:tc>
        <w:tc>
          <w:tcPr>
            <w:tcW w:w="1268" w:type="dxa"/>
            <w:vAlign w:val="center"/>
          </w:tcPr>
          <w:p w14:paraId="6E20E999">
            <w:pPr>
              <w:pStyle w:val="111"/>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sz w:val="24"/>
                <w:szCs w:val="24"/>
              </w:rPr>
            </w:pPr>
            <w:r>
              <w:rPr>
                <w:rFonts w:hint="eastAsia" w:ascii="宋体" w:hAnsi="宋体" w:eastAsia="宋体" w:cs="宋体"/>
                <w:sz w:val="24"/>
                <w:szCs w:val="24"/>
              </w:rPr>
              <w:t>1(项)</w:t>
            </w:r>
          </w:p>
        </w:tc>
        <w:tc>
          <w:tcPr>
            <w:tcW w:w="1704" w:type="dxa"/>
            <w:vAlign w:val="center"/>
          </w:tcPr>
          <w:p w14:paraId="76D3A708">
            <w:pPr>
              <w:pStyle w:val="111"/>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1896" w:type="dxa"/>
            <w:vAlign w:val="center"/>
          </w:tcPr>
          <w:p w14:paraId="55338867">
            <w:pPr>
              <w:pStyle w:val="111"/>
              <w:keepNext w:val="0"/>
              <w:keepLines w:val="0"/>
              <w:pageBreakBefore w:val="0"/>
              <w:kinsoku/>
              <w:wordWrap/>
              <w:overflowPunct/>
              <w:topLinePunct w:val="0"/>
              <w:autoSpaceDE/>
              <w:autoSpaceDN/>
              <w:bidi w:val="0"/>
              <w:adjustRightInd/>
              <w:snapToGrid/>
              <w:ind w:firstLine="480" w:firstLineChars="200"/>
              <w:jc w:val="center"/>
              <w:textAlignment w:val="auto"/>
              <w:rPr>
                <w:rFonts w:hint="eastAsia" w:ascii="宋体" w:hAnsi="宋体" w:eastAsia="宋体" w:cs="宋体"/>
                <w:sz w:val="24"/>
                <w:szCs w:val="24"/>
              </w:rPr>
            </w:pPr>
            <w:r>
              <w:rPr>
                <w:rFonts w:hint="eastAsia" w:ascii="宋体" w:hAnsi="宋体" w:eastAsia="宋体" w:cs="宋体"/>
                <w:sz w:val="24"/>
                <w:szCs w:val="24"/>
              </w:rPr>
              <w:t>120,000.00</w:t>
            </w:r>
          </w:p>
        </w:tc>
      </w:tr>
    </w:tbl>
    <w:p w14:paraId="3472A716">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56CF28E6">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合同履行期限：合同签订后，在采购单位同意进场实施后的60个自然日内交付。</w:t>
      </w:r>
    </w:p>
    <w:p w14:paraId="19F6E0CF">
      <w:pPr>
        <w:pStyle w:val="111"/>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54CABB5C">
      <w:pPr>
        <w:pStyle w:val="111"/>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62ADBF0E">
      <w:pPr>
        <w:pStyle w:val="111"/>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0E40B171">
      <w:pPr>
        <w:pStyle w:val="111"/>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合同包1(2026年度信息系统等保测评服务项目)落实政府采购政策需满足的资格要求如下:</w:t>
      </w:r>
    </w:p>
    <w:p w14:paraId="2DC75068">
      <w:pPr>
        <w:pStyle w:val="111"/>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1、财政部、工业和信息化部关于印发《政府采购促进中小企业发展管理办法》的通知（财库〔2020〕46号）；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2、《财政部 司法部关于政府采购支持监狱企业发展有关问题的通知》（财库[2014]68号）； </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3、《财政部 发展改革委 生态环境部 市场监管总局关于调整优化节能产品 环境标志产品政府采购执行机制的通知》（财库〔2019〕9号）；  </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4、《国务院办公厅关于建立政府强制采购节能产品制度的通知》（国办发〔2007〕51号）；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5、《财政部、民政部、中国残疾人联合会关于促进残疾人就业政府采购政策的通知》（财库[2017]141号）； </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6、《陕西省财政厅关于印发&lt;陕西省中小企业政府采购信用融资办法&gt;的通知》（陕财办采〔2018〕23号）相关政策、业务流程、办理平台（http://www.ccgp-shaanxi.gov.cn/zcdservice/zcd/shanxi/）；</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7、《关于运用政府采购政策支持乡村产业振兴的通知》-（财库〔2021〕19号）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8、《国务院办公厅关于在政府采购中实施本国产品标准及相关政策的通知》(国办发[2025)34号)；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9、《关于推动解决政府采购异常低价问题的通知》 (财库[2026)]2号)；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10、《陕西省财政厅、中国人民银行西安分行关于深入推进政府采购信用融资业务的通知》-（陕财办采〔2023〕5号）；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11、如有最新颁布的政府采购政策，按最新的文件执行。</w:t>
      </w:r>
    </w:p>
    <w:p w14:paraId="4934706D">
      <w:pPr>
        <w:pStyle w:val="111"/>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72E789F5">
      <w:pPr>
        <w:pStyle w:val="111"/>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合同包1(2026年度信息系统等保测评服务项目)特定资格要求如下:</w:t>
      </w:r>
    </w:p>
    <w:p w14:paraId="7EA795F5">
      <w:pPr>
        <w:keepNext w:val="0"/>
        <w:keepLines w:val="0"/>
        <w:pageBreakBefore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财务状况报告：提供注册会计师行业统一监管平台(网址http://acc.mof.gov.cn)赋码可查询的2025年度审计报告，或提交投标文件截止时间前六个月内其基本账户开户银行出具的资信证明（提供银行出具的资信证明的需同时提供开户许可证或基本银行账户信息复印件加盖公章）；其他组织和自然人提供银行出具的资信证明或财务报表；</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3、税收缴纳证明：提供响应文件递交截止日前一年内已缴存的至少一个月的纳税证明或完税证明。依法免税的投标人应提供相关文件证明；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4、社会保障资金缴纳证明：提供响应文件递交截止日前一年内已缴存的至少一个月的社会保障资金缴存单据或社保机构开具的社会保险参保</w:t>
      </w:r>
      <w:r>
        <w:rPr>
          <w:rFonts w:hint="eastAsia" w:ascii="宋体" w:hAnsi="宋体" w:eastAsia="宋体" w:cs="宋体"/>
          <w:sz w:val="24"/>
        </w:rPr>
        <w:t>缴费</w:t>
      </w:r>
      <w:r>
        <w:rPr>
          <w:rFonts w:hint="eastAsia" w:ascii="宋体" w:hAnsi="宋体" w:eastAsia="宋体" w:cs="宋体"/>
          <w:sz w:val="24"/>
          <w:szCs w:val="24"/>
        </w:rPr>
        <w:t>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5、书面声明：参加本次采购活动前三年内在经营活动中没有重大违纪，以及未被列入失信被执行人、重大税收违法案件当事人名单、政府采购严重违法失信行为记录名单的书面声明；本项目拒绝被列入失信被执行人、重大税收违法案件当事人名单、政府采购严重违法失信行为的供应商参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6、具有履行合同所必需的设备和专业技术能力的承诺及说明；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7、供应商应授权合法的人员参加磋商，其中法定代表人直接参加的，须出具身份证；被授权代表参加的，须出具法定代表人授权书及被授权人身份证；（非法人单位的负责人均参照执行）；</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8、提供磋商保证金的银行转账或电汇凭证；</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9、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10、供应商具备投标人须具备公安部第三研究所颁发的《网络安全服务认证证书等级保护测评服务认证》或《网络安全等级测评与检测评估机构服务认证证书》；</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11、单位负责人为同一人或存在直接控股、管理关系的不同单位，不得同时参加本项目投标活动。</w:t>
      </w:r>
    </w:p>
    <w:p w14:paraId="2C864EEC">
      <w:pPr>
        <w:pStyle w:val="19"/>
        <w:spacing w:line="500" w:lineRule="exact"/>
        <w:ind w:firstLine="480" w:firstLineChars="200"/>
        <w:rPr>
          <w:rFonts w:hint="eastAsia"/>
        </w:rPr>
      </w:pPr>
      <w:r>
        <w:rPr>
          <w:rFonts w:hint="eastAsia" w:ascii="宋体" w:hAnsi="宋体" w:cs="宋体"/>
          <w:sz w:val="24"/>
        </w:rPr>
        <w:t>备注：本项目不接受联合体磋商</w:t>
      </w:r>
      <w:r>
        <w:rPr>
          <w:rFonts w:hint="eastAsia" w:ascii="宋体" w:hAnsi="宋体" w:cs="宋体"/>
          <w:bCs/>
          <w:sz w:val="24"/>
          <w:szCs w:val="24"/>
        </w:rPr>
        <w:t>。</w:t>
      </w:r>
      <w:r>
        <w:rPr>
          <w:rFonts w:hint="eastAsia" w:ascii="宋体" w:hAnsi="宋体" w:cs="宋体"/>
          <w:sz w:val="24"/>
        </w:rPr>
        <w:t xml:space="preserve"> </w:t>
      </w:r>
    </w:p>
    <w:p w14:paraId="7B45B9EB">
      <w:pPr>
        <w:pStyle w:val="111"/>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3C3CD9F4">
      <w:pPr>
        <w:pStyle w:val="111"/>
        <w:keepNext w:val="0"/>
        <w:keepLines w:val="0"/>
        <w:pageBreakBefore w:val="0"/>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时间： 2026年09月11日 至 2026年09月18日 ，每天上午 09:00:00 至 12:00:00 ，下午 14:00:00 至 17:00:00 （北京时间）</w:t>
      </w:r>
    </w:p>
    <w:p w14:paraId="078EE101">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途径：西安市莲湖区高新一路5号正信大厦A座24楼</w:t>
      </w:r>
    </w:p>
    <w:p w14:paraId="1A904273">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方式：现场获取</w:t>
      </w:r>
    </w:p>
    <w:p w14:paraId="0EA2524B">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售价： 500元</w:t>
      </w:r>
    </w:p>
    <w:p w14:paraId="3AC9668D">
      <w:pPr>
        <w:pStyle w:val="111"/>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7EB6C307">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截止时间： 2026年09月22日 09时30分00秒 （北京时间）</w:t>
      </w:r>
    </w:p>
    <w:p w14:paraId="0E939C65">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地点：西安市莲湖区高新一路5号正信大厦A座24楼会议室</w:t>
      </w:r>
    </w:p>
    <w:p w14:paraId="380722DB">
      <w:pPr>
        <w:pStyle w:val="111"/>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70D7D06E">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2026年09月22日 09时30分00秒 （北京时间）</w:t>
      </w:r>
    </w:p>
    <w:p w14:paraId="6B72C83A">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地点：西安市莲湖区高新一路5号正信大厦A座24楼会议室</w:t>
      </w:r>
    </w:p>
    <w:p w14:paraId="5A82F214">
      <w:pPr>
        <w:pStyle w:val="111"/>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5EE83B7E">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206DF154">
      <w:pPr>
        <w:pStyle w:val="111"/>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2B99641C">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1.购买磋商文件请携带单位介绍信和身份证原件。</w:t>
      </w:r>
    </w:p>
    <w:p w14:paraId="7DE46184">
      <w:pPr>
        <w:pStyle w:val="111"/>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2.注意事项：供应商需通过陕西省政府采购网（http://www.ccgp-shaanxi.gov.cn/）注册登记加入陕西省政府采购供应商库。</w:t>
      </w:r>
    </w:p>
    <w:p w14:paraId="1AC5E8D9">
      <w:pPr>
        <w:pStyle w:val="111"/>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41CB95AB">
      <w:pPr>
        <w:pStyle w:val="111"/>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759CA357">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名称：陕西警察学院</w:t>
      </w:r>
    </w:p>
    <w:p w14:paraId="2D974FD4">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地址：西安市浐灞生态区启源二路199号</w:t>
      </w:r>
    </w:p>
    <w:p w14:paraId="1B7A753D">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联系方式：郭老师 15529639969</w:t>
      </w:r>
    </w:p>
    <w:p w14:paraId="3CFAA092">
      <w:pPr>
        <w:pStyle w:val="111"/>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4D613319">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名称：陕西国创招标有限公司</w:t>
      </w:r>
    </w:p>
    <w:p w14:paraId="6613159A">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地址：西安市高新区高新一路5号正信大厦A座24楼</w:t>
      </w:r>
    </w:p>
    <w:p w14:paraId="4CD3FA24">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联系方式：029-81873312</w:t>
      </w:r>
    </w:p>
    <w:p w14:paraId="08801A73">
      <w:pPr>
        <w:pStyle w:val="111"/>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283E9061">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项目联系人：王媛 任亚明 魏存刚</w:t>
      </w:r>
    </w:p>
    <w:p w14:paraId="7C08DFC7">
      <w:pPr>
        <w:pStyle w:val="1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电话：029-81873312</w:t>
      </w:r>
    </w:p>
    <w:p w14:paraId="1912ECB6">
      <w:pPr>
        <w:pStyle w:val="4"/>
        <w:keepNext w:val="0"/>
        <w:keepLines w:val="0"/>
        <w:pageBreakBefore w:val="0"/>
        <w:kinsoku/>
        <w:wordWrap/>
        <w:overflowPunct/>
        <w:topLinePunct w:val="0"/>
        <w:autoSpaceDE/>
        <w:autoSpaceDN/>
        <w:bidi w:val="0"/>
        <w:adjustRightInd/>
        <w:snapToGrid/>
        <w:ind w:firstLine="482" w:firstLineChars="200"/>
        <w:textAlignment w:val="auto"/>
        <w:rPr>
          <w:rFonts w:hint="eastAsia" w:ascii="宋体" w:hAnsi="宋体" w:eastAsia="宋体" w:cs="宋体"/>
          <w:b w:val="0"/>
          <w:bCs w:val="0"/>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b w:val="0"/>
          <w:bCs w:val="0"/>
          <w:sz w:val="24"/>
          <w:szCs w:val="24"/>
        </w:rPr>
        <w:t>陕西国创招标有限公司</w:t>
      </w:r>
    </w:p>
    <w:p w14:paraId="4778766C">
      <w:pPr>
        <w:pStyle w:val="4"/>
        <w:keepNext w:val="0"/>
        <w:keepLines w:val="0"/>
        <w:pageBreakBefore w:val="0"/>
        <w:kinsoku/>
        <w:wordWrap/>
        <w:overflowPunct/>
        <w:topLinePunct w:val="0"/>
        <w:autoSpaceDE/>
        <w:autoSpaceDN/>
        <w:bidi w:val="0"/>
        <w:adjustRightInd/>
        <w:snapToGrid/>
        <w:ind w:firstLine="480" w:firstLineChars="200"/>
        <w:textAlignment w:val="auto"/>
        <w:rPr>
          <w:rFonts w:ascii="宋体" w:hAnsi="宋体"/>
          <w:color w:val="auto"/>
          <w:sz w:val="32"/>
          <w:szCs w:val="32"/>
        </w:rPr>
      </w:pPr>
      <w:r>
        <w:rPr>
          <w:rFonts w:hint="eastAsia" w:ascii="宋体" w:hAnsi="宋体" w:cs="宋体"/>
          <w:b w:val="0"/>
          <w:bCs w:val="0"/>
          <w:sz w:val="24"/>
          <w:szCs w:val="24"/>
          <w:lang w:val="en-US" w:eastAsia="zh-CN"/>
        </w:rPr>
        <w:t xml:space="preserve">                                                  </w:t>
      </w:r>
      <w:r>
        <w:rPr>
          <w:rFonts w:hint="eastAsia" w:ascii="宋体" w:hAnsi="宋体" w:eastAsia="宋体" w:cs="宋体"/>
          <w:b w:val="0"/>
          <w:bCs w:val="0"/>
          <w:sz w:val="24"/>
          <w:szCs w:val="24"/>
        </w:rPr>
        <w:t>2026年09月11日</w:t>
      </w:r>
      <w:r>
        <w:rPr>
          <w:rFonts w:ascii="宋体" w:hAnsi="宋体"/>
          <w:color w:val="auto"/>
          <w:sz w:val="32"/>
          <w:szCs w:val="32"/>
        </w:rPr>
        <w:br w:type="page"/>
      </w:r>
      <w:bookmarkStart w:id="2" w:name="_Toc1832"/>
      <w:r>
        <w:rPr>
          <w:rFonts w:hint="eastAsia" w:ascii="宋体" w:hAnsi="宋体"/>
          <w:color w:val="auto"/>
          <w:sz w:val="32"/>
          <w:szCs w:val="32"/>
        </w:rPr>
        <w:t xml:space="preserve"> 供应商须知</w:t>
      </w:r>
      <w:bookmarkEnd w:id="2"/>
    </w:p>
    <w:p w14:paraId="19115091">
      <w:pPr>
        <w:pStyle w:val="15"/>
        <w:ind w:firstLine="482" w:firstLineChars="200"/>
        <w:jc w:val="center"/>
        <w:rPr>
          <w:rFonts w:ascii="仿宋" w:hAnsi="仿宋" w:cs="MingLiU_HKSCS"/>
          <w:b/>
          <w:color w:val="auto"/>
          <w:sz w:val="24"/>
          <w:szCs w:val="24"/>
        </w:rPr>
      </w:pPr>
      <w:r>
        <w:rPr>
          <w:rFonts w:hint="eastAsia" w:ascii="仿宋" w:hAnsi="仿宋"/>
          <w:b/>
          <w:color w:val="auto"/>
          <w:sz w:val="24"/>
          <w:szCs w:val="24"/>
        </w:rPr>
        <w:t>供应商须知前附表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301"/>
        <w:gridCol w:w="6270"/>
      </w:tblGrid>
      <w:tr w14:paraId="1C1F9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14:paraId="2708178E">
            <w:pPr>
              <w:pStyle w:val="15"/>
              <w:jc w:val="center"/>
              <w:rPr>
                <w:rFonts w:hAnsi="宋体"/>
                <w:color w:val="auto"/>
                <w:sz w:val="24"/>
                <w:szCs w:val="24"/>
              </w:rPr>
            </w:pPr>
            <w:r>
              <w:rPr>
                <w:rFonts w:hint="eastAsia" w:hAnsi="宋体"/>
                <w:color w:val="auto"/>
                <w:sz w:val="24"/>
                <w:szCs w:val="24"/>
              </w:rPr>
              <w:t>序号</w:t>
            </w:r>
          </w:p>
        </w:tc>
        <w:tc>
          <w:tcPr>
            <w:tcW w:w="2301" w:type="dxa"/>
            <w:vAlign w:val="center"/>
          </w:tcPr>
          <w:p w14:paraId="0B57AAC2">
            <w:pPr>
              <w:pStyle w:val="15"/>
              <w:jc w:val="center"/>
              <w:rPr>
                <w:rFonts w:hAnsi="宋体"/>
                <w:color w:val="auto"/>
                <w:sz w:val="24"/>
                <w:szCs w:val="24"/>
              </w:rPr>
            </w:pPr>
            <w:r>
              <w:rPr>
                <w:rFonts w:hint="eastAsia" w:hAnsi="宋体"/>
                <w:color w:val="auto"/>
                <w:sz w:val="24"/>
                <w:szCs w:val="24"/>
              </w:rPr>
              <w:t>条款名称</w:t>
            </w:r>
          </w:p>
        </w:tc>
        <w:tc>
          <w:tcPr>
            <w:tcW w:w="6270" w:type="dxa"/>
            <w:vAlign w:val="center"/>
          </w:tcPr>
          <w:p w14:paraId="5B784F9F">
            <w:pPr>
              <w:pStyle w:val="15"/>
              <w:jc w:val="center"/>
              <w:rPr>
                <w:rFonts w:hAnsi="宋体" w:cs="MingLiU_HKSCS"/>
                <w:color w:val="auto"/>
                <w:sz w:val="24"/>
                <w:szCs w:val="24"/>
              </w:rPr>
            </w:pPr>
            <w:r>
              <w:rPr>
                <w:rFonts w:hint="eastAsia" w:hAnsi="宋体"/>
                <w:color w:val="auto"/>
                <w:sz w:val="24"/>
                <w:szCs w:val="24"/>
              </w:rPr>
              <w:t>编列内容</w:t>
            </w:r>
          </w:p>
        </w:tc>
      </w:tr>
      <w:tr w14:paraId="3AA97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restart"/>
            <w:vAlign w:val="center"/>
          </w:tcPr>
          <w:p w14:paraId="13D28B32">
            <w:pPr>
              <w:pStyle w:val="15"/>
              <w:jc w:val="center"/>
              <w:rPr>
                <w:rFonts w:hAnsi="宋体"/>
                <w:color w:val="auto"/>
                <w:sz w:val="24"/>
                <w:szCs w:val="24"/>
              </w:rPr>
            </w:pPr>
            <w:r>
              <w:rPr>
                <w:rFonts w:hAnsi="宋体"/>
                <w:color w:val="auto"/>
                <w:sz w:val="24"/>
                <w:szCs w:val="24"/>
              </w:rPr>
              <w:t>1</w:t>
            </w:r>
          </w:p>
        </w:tc>
        <w:tc>
          <w:tcPr>
            <w:tcW w:w="2301" w:type="dxa"/>
            <w:vAlign w:val="center"/>
          </w:tcPr>
          <w:p w14:paraId="620D53D6">
            <w:pPr>
              <w:pStyle w:val="15"/>
              <w:jc w:val="left"/>
              <w:rPr>
                <w:rFonts w:hAnsi="宋体"/>
                <w:color w:val="auto"/>
                <w:sz w:val="24"/>
                <w:szCs w:val="24"/>
              </w:rPr>
            </w:pPr>
            <w:r>
              <w:rPr>
                <w:rFonts w:hint="eastAsia" w:hAnsi="宋体"/>
                <w:color w:val="auto"/>
                <w:sz w:val="24"/>
                <w:szCs w:val="24"/>
              </w:rPr>
              <w:t>采购项目</w:t>
            </w:r>
          </w:p>
        </w:tc>
        <w:tc>
          <w:tcPr>
            <w:tcW w:w="6270" w:type="dxa"/>
            <w:vAlign w:val="center"/>
          </w:tcPr>
          <w:p w14:paraId="5B3E572F">
            <w:pPr>
              <w:pStyle w:val="15"/>
              <w:jc w:val="left"/>
              <w:rPr>
                <w:rFonts w:hint="eastAsia" w:hAnsi="宋体" w:eastAsia="宋体" w:cs="MingLiU_HKSCS"/>
                <w:color w:val="auto"/>
                <w:sz w:val="24"/>
                <w:szCs w:val="24"/>
                <w:lang w:eastAsia="zh-CN"/>
              </w:rPr>
            </w:pPr>
            <w:r>
              <w:rPr>
                <w:rFonts w:hint="eastAsia"/>
                <w:color w:val="auto"/>
                <w:sz w:val="24"/>
                <w:szCs w:val="24"/>
                <w:lang w:eastAsia="zh-CN"/>
              </w:rPr>
              <w:t>陕西警察学院2026年度信息系统等保测评服务项目</w:t>
            </w:r>
          </w:p>
        </w:tc>
      </w:tr>
      <w:tr w14:paraId="315E7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15" w:type="dxa"/>
            <w:vMerge w:val="continue"/>
            <w:vAlign w:val="center"/>
          </w:tcPr>
          <w:p w14:paraId="1F01CE23">
            <w:pPr>
              <w:pStyle w:val="15"/>
              <w:jc w:val="center"/>
              <w:rPr>
                <w:rFonts w:hAnsi="宋体"/>
                <w:color w:val="auto"/>
                <w:sz w:val="24"/>
                <w:szCs w:val="24"/>
              </w:rPr>
            </w:pPr>
          </w:p>
        </w:tc>
        <w:tc>
          <w:tcPr>
            <w:tcW w:w="2301" w:type="dxa"/>
            <w:vAlign w:val="center"/>
          </w:tcPr>
          <w:p w14:paraId="7739D9F6">
            <w:pPr>
              <w:pStyle w:val="15"/>
              <w:jc w:val="left"/>
              <w:rPr>
                <w:rFonts w:hAnsi="宋体" w:cs="宋体"/>
                <w:color w:val="auto"/>
                <w:sz w:val="24"/>
                <w:szCs w:val="24"/>
              </w:rPr>
            </w:pPr>
            <w:r>
              <w:rPr>
                <w:rFonts w:hint="eastAsia" w:hAnsi="宋体" w:cs="宋体"/>
                <w:color w:val="auto"/>
                <w:sz w:val="24"/>
                <w:szCs w:val="24"/>
              </w:rPr>
              <w:t>采购预算</w:t>
            </w:r>
          </w:p>
        </w:tc>
        <w:tc>
          <w:tcPr>
            <w:tcW w:w="6270" w:type="dxa"/>
            <w:vAlign w:val="center"/>
          </w:tcPr>
          <w:p w14:paraId="6539A94E">
            <w:pPr>
              <w:pStyle w:val="15"/>
              <w:jc w:val="left"/>
              <w:rPr>
                <w:rFonts w:hAnsi="宋体" w:cs="宋体"/>
                <w:color w:val="auto"/>
                <w:sz w:val="24"/>
                <w:szCs w:val="24"/>
              </w:rPr>
            </w:pPr>
            <w:r>
              <w:rPr>
                <w:rFonts w:hint="eastAsia" w:hAnsi="宋体" w:cs="宋体"/>
                <w:color w:val="auto"/>
                <w:sz w:val="24"/>
                <w:szCs w:val="24"/>
                <w:lang w:eastAsia="zh-CN"/>
              </w:rPr>
              <w:t>12</w:t>
            </w:r>
            <w:r>
              <w:rPr>
                <w:rFonts w:hint="eastAsia" w:hAnsi="宋体" w:cs="宋体"/>
                <w:color w:val="auto"/>
                <w:sz w:val="24"/>
                <w:szCs w:val="24"/>
              </w:rPr>
              <w:t>万元</w:t>
            </w:r>
          </w:p>
        </w:tc>
      </w:tr>
      <w:tr w14:paraId="69406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4A032B4E">
            <w:pPr>
              <w:pStyle w:val="15"/>
              <w:jc w:val="center"/>
              <w:rPr>
                <w:rFonts w:hAnsi="宋体"/>
                <w:color w:val="auto"/>
                <w:sz w:val="24"/>
                <w:szCs w:val="24"/>
              </w:rPr>
            </w:pPr>
          </w:p>
        </w:tc>
        <w:tc>
          <w:tcPr>
            <w:tcW w:w="2301" w:type="dxa"/>
            <w:vAlign w:val="center"/>
          </w:tcPr>
          <w:p w14:paraId="5F009DB9">
            <w:pPr>
              <w:pStyle w:val="15"/>
              <w:jc w:val="left"/>
              <w:rPr>
                <w:rFonts w:hAnsi="宋体"/>
                <w:color w:val="auto"/>
                <w:sz w:val="24"/>
                <w:szCs w:val="24"/>
              </w:rPr>
            </w:pPr>
            <w:r>
              <w:rPr>
                <w:rFonts w:hint="eastAsia" w:hAnsi="宋体"/>
                <w:color w:val="auto"/>
                <w:sz w:val="24"/>
                <w:szCs w:val="24"/>
              </w:rPr>
              <w:t>项目性质</w:t>
            </w:r>
          </w:p>
        </w:tc>
        <w:tc>
          <w:tcPr>
            <w:tcW w:w="6270" w:type="dxa"/>
            <w:vAlign w:val="center"/>
          </w:tcPr>
          <w:p w14:paraId="33221AAD">
            <w:pPr>
              <w:pStyle w:val="15"/>
              <w:jc w:val="left"/>
              <w:rPr>
                <w:rFonts w:hAnsi="宋体"/>
                <w:color w:val="auto"/>
                <w:sz w:val="24"/>
                <w:szCs w:val="24"/>
              </w:rPr>
            </w:pPr>
            <w:r>
              <w:rPr>
                <w:rFonts w:hAnsi="宋体"/>
                <w:color w:val="auto"/>
                <w:sz w:val="24"/>
                <w:szCs w:val="24"/>
              </w:rPr>
              <w:t>自筹资金</w:t>
            </w:r>
          </w:p>
        </w:tc>
      </w:tr>
      <w:tr w14:paraId="03713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715" w:type="dxa"/>
            <w:vMerge w:val="continue"/>
            <w:vAlign w:val="center"/>
          </w:tcPr>
          <w:p w14:paraId="62370F58">
            <w:pPr>
              <w:pStyle w:val="15"/>
              <w:jc w:val="center"/>
              <w:rPr>
                <w:rFonts w:hAnsi="宋体"/>
                <w:color w:val="auto"/>
                <w:sz w:val="24"/>
                <w:szCs w:val="24"/>
              </w:rPr>
            </w:pPr>
          </w:p>
        </w:tc>
        <w:tc>
          <w:tcPr>
            <w:tcW w:w="2301" w:type="dxa"/>
            <w:vAlign w:val="center"/>
          </w:tcPr>
          <w:p w14:paraId="37FDF214">
            <w:pPr>
              <w:pStyle w:val="15"/>
              <w:jc w:val="left"/>
              <w:rPr>
                <w:rFonts w:hAnsi="宋体"/>
                <w:color w:val="auto"/>
                <w:sz w:val="24"/>
                <w:szCs w:val="24"/>
              </w:rPr>
            </w:pPr>
            <w:r>
              <w:rPr>
                <w:rFonts w:hint="eastAsia" w:hAnsi="宋体"/>
                <w:color w:val="auto"/>
                <w:sz w:val="24"/>
                <w:szCs w:val="24"/>
              </w:rPr>
              <w:t>最高限价</w:t>
            </w:r>
          </w:p>
        </w:tc>
        <w:tc>
          <w:tcPr>
            <w:tcW w:w="6270" w:type="dxa"/>
            <w:vAlign w:val="center"/>
          </w:tcPr>
          <w:p w14:paraId="511C6C55">
            <w:pPr>
              <w:pStyle w:val="15"/>
              <w:jc w:val="left"/>
              <w:rPr>
                <w:rFonts w:hAnsi="宋体"/>
                <w:color w:val="auto"/>
                <w:sz w:val="24"/>
                <w:szCs w:val="24"/>
              </w:rPr>
            </w:pPr>
            <w:r>
              <w:rPr>
                <w:rFonts w:hint="eastAsia" w:hAnsi="宋体"/>
                <w:color w:val="auto"/>
                <w:sz w:val="24"/>
                <w:szCs w:val="24"/>
              </w:rPr>
              <w:t>详见第三章服务要求及内容</w:t>
            </w:r>
          </w:p>
        </w:tc>
      </w:tr>
      <w:tr w14:paraId="758FC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7E790128">
            <w:pPr>
              <w:pStyle w:val="15"/>
              <w:jc w:val="center"/>
              <w:rPr>
                <w:rFonts w:hAnsi="宋体"/>
                <w:color w:val="auto"/>
                <w:sz w:val="24"/>
                <w:szCs w:val="24"/>
              </w:rPr>
            </w:pPr>
          </w:p>
        </w:tc>
        <w:tc>
          <w:tcPr>
            <w:tcW w:w="2301" w:type="dxa"/>
            <w:vAlign w:val="center"/>
          </w:tcPr>
          <w:p w14:paraId="7794CA4C">
            <w:pPr>
              <w:pStyle w:val="15"/>
              <w:jc w:val="left"/>
              <w:rPr>
                <w:rFonts w:hAnsi="宋体"/>
                <w:color w:val="auto"/>
                <w:sz w:val="24"/>
                <w:szCs w:val="24"/>
              </w:rPr>
            </w:pPr>
            <w:r>
              <w:rPr>
                <w:rFonts w:hint="eastAsia" w:hAnsi="宋体"/>
                <w:color w:val="auto"/>
                <w:sz w:val="24"/>
                <w:szCs w:val="24"/>
              </w:rPr>
              <w:t>公告媒体</w:t>
            </w:r>
          </w:p>
        </w:tc>
        <w:tc>
          <w:tcPr>
            <w:tcW w:w="6270" w:type="dxa"/>
            <w:vAlign w:val="center"/>
          </w:tcPr>
          <w:p w14:paraId="26D4E83C">
            <w:pPr>
              <w:pStyle w:val="15"/>
              <w:jc w:val="left"/>
              <w:rPr>
                <w:rFonts w:hAnsi="宋体" w:cs="MingLiU_HKSCS"/>
                <w:color w:val="auto"/>
                <w:sz w:val="24"/>
                <w:szCs w:val="24"/>
              </w:rPr>
            </w:pPr>
            <w:r>
              <w:rPr>
                <w:rFonts w:hint="eastAsia" w:hAnsi="宋体" w:cs="MingLiU_HKSCS"/>
                <w:color w:val="auto"/>
                <w:sz w:val="24"/>
                <w:szCs w:val="24"/>
              </w:rPr>
              <w:t>陕西招标投标公共服务平台</w:t>
            </w:r>
          </w:p>
        </w:tc>
      </w:tr>
      <w:tr w14:paraId="10DDF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23316BC6">
            <w:pPr>
              <w:pStyle w:val="15"/>
              <w:jc w:val="center"/>
              <w:rPr>
                <w:rFonts w:hAnsi="宋体"/>
                <w:color w:val="auto"/>
                <w:sz w:val="24"/>
                <w:szCs w:val="24"/>
              </w:rPr>
            </w:pPr>
          </w:p>
        </w:tc>
        <w:tc>
          <w:tcPr>
            <w:tcW w:w="2301" w:type="dxa"/>
            <w:vAlign w:val="center"/>
          </w:tcPr>
          <w:p w14:paraId="2421DDA2">
            <w:pPr>
              <w:pStyle w:val="15"/>
              <w:jc w:val="left"/>
              <w:rPr>
                <w:rFonts w:hAnsi="宋体"/>
                <w:color w:val="auto"/>
                <w:sz w:val="24"/>
                <w:szCs w:val="24"/>
              </w:rPr>
            </w:pPr>
            <w:r>
              <w:rPr>
                <w:rFonts w:hint="eastAsia" w:hAnsi="宋体"/>
                <w:color w:val="auto"/>
                <w:sz w:val="24"/>
                <w:szCs w:val="24"/>
              </w:rPr>
              <w:t>项目属性</w:t>
            </w:r>
          </w:p>
        </w:tc>
        <w:tc>
          <w:tcPr>
            <w:tcW w:w="6270" w:type="dxa"/>
            <w:vAlign w:val="center"/>
          </w:tcPr>
          <w:p w14:paraId="67810A03">
            <w:pPr>
              <w:pStyle w:val="15"/>
              <w:jc w:val="left"/>
              <w:rPr>
                <w:rFonts w:hAnsi="宋体"/>
                <w:color w:val="auto"/>
                <w:sz w:val="24"/>
                <w:szCs w:val="24"/>
              </w:rPr>
            </w:pPr>
            <w:r>
              <w:rPr>
                <w:rFonts w:hint="eastAsia" w:hAnsi="宋体"/>
                <w:color w:val="auto"/>
                <w:sz w:val="24"/>
                <w:szCs w:val="24"/>
              </w:rPr>
              <w:t>服务项目</w:t>
            </w:r>
          </w:p>
        </w:tc>
      </w:tr>
      <w:tr w14:paraId="6D7C8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Merge w:val="continue"/>
            <w:vAlign w:val="center"/>
          </w:tcPr>
          <w:p w14:paraId="40B94ACB">
            <w:pPr>
              <w:pStyle w:val="15"/>
              <w:jc w:val="center"/>
              <w:rPr>
                <w:rFonts w:hAnsi="宋体"/>
                <w:color w:val="auto"/>
                <w:sz w:val="24"/>
                <w:szCs w:val="24"/>
              </w:rPr>
            </w:pPr>
          </w:p>
        </w:tc>
        <w:tc>
          <w:tcPr>
            <w:tcW w:w="2301" w:type="dxa"/>
            <w:vAlign w:val="center"/>
          </w:tcPr>
          <w:p w14:paraId="0217BEC5">
            <w:pPr>
              <w:pStyle w:val="15"/>
              <w:jc w:val="left"/>
              <w:rPr>
                <w:rFonts w:hAnsi="宋体"/>
                <w:color w:val="auto"/>
                <w:sz w:val="24"/>
                <w:szCs w:val="24"/>
              </w:rPr>
            </w:pPr>
            <w:r>
              <w:rPr>
                <w:rFonts w:hint="eastAsia" w:hAnsi="宋体"/>
                <w:color w:val="auto"/>
                <w:sz w:val="24"/>
                <w:szCs w:val="24"/>
              </w:rPr>
              <w:t>采购标的所属行业</w:t>
            </w:r>
          </w:p>
        </w:tc>
        <w:tc>
          <w:tcPr>
            <w:tcW w:w="6270" w:type="dxa"/>
            <w:vAlign w:val="center"/>
          </w:tcPr>
          <w:p w14:paraId="0E59A959">
            <w:pPr>
              <w:pStyle w:val="15"/>
              <w:jc w:val="left"/>
              <w:rPr>
                <w:rFonts w:ascii="仿宋" w:hAnsi="仿宋"/>
                <w:color w:val="auto"/>
                <w:sz w:val="24"/>
                <w:szCs w:val="24"/>
              </w:rPr>
            </w:pPr>
            <w:r>
              <w:rPr>
                <w:rFonts w:ascii="仿宋" w:hAnsi="仿宋"/>
                <w:color w:val="auto"/>
                <w:sz w:val="24"/>
                <w:szCs w:val="24"/>
              </w:rPr>
              <w:t>软件和信息技术服务业</w:t>
            </w:r>
          </w:p>
        </w:tc>
      </w:tr>
      <w:tr w14:paraId="504B8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4D8A7DC2">
            <w:pPr>
              <w:pStyle w:val="15"/>
              <w:jc w:val="center"/>
              <w:rPr>
                <w:rFonts w:hAnsi="宋体"/>
                <w:color w:val="auto"/>
                <w:sz w:val="24"/>
                <w:szCs w:val="24"/>
              </w:rPr>
            </w:pPr>
            <w:r>
              <w:rPr>
                <w:rFonts w:hAnsi="宋体"/>
                <w:color w:val="auto"/>
                <w:sz w:val="24"/>
                <w:szCs w:val="24"/>
              </w:rPr>
              <w:t>2</w:t>
            </w:r>
          </w:p>
        </w:tc>
        <w:tc>
          <w:tcPr>
            <w:tcW w:w="2301" w:type="dxa"/>
            <w:vAlign w:val="center"/>
          </w:tcPr>
          <w:p w14:paraId="247DE722">
            <w:pPr>
              <w:pStyle w:val="15"/>
              <w:jc w:val="left"/>
              <w:rPr>
                <w:rFonts w:hAnsi="宋体"/>
                <w:color w:val="auto"/>
                <w:sz w:val="24"/>
                <w:szCs w:val="24"/>
              </w:rPr>
            </w:pPr>
            <w:r>
              <w:rPr>
                <w:rFonts w:hint="eastAsia" w:hAnsi="宋体"/>
                <w:color w:val="auto"/>
                <w:sz w:val="24"/>
                <w:szCs w:val="24"/>
              </w:rPr>
              <w:t>采购人</w:t>
            </w:r>
          </w:p>
        </w:tc>
        <w:tc>
          <w:tcPr>
            <w:tcW w:w="6270" w:type="dxa"/>
            <w:vAlign w:val="center"/>
          </w:tcPr>
          <w:p w14:paraId="148604A3">
            <w:pPr>
              <w:pStyle w:val="15"/>
              <w:jc w:val="left"/>
              <w:rPr>
                <w:rFonts w:hAnsi="宋体"/>
                <w:color w:val="auto"/>
                <w:sz w:val="24"/>
                <w:szCs w:val="24"/>
              </w:rPr>
            </w:pPr>
            <w:r>
              <w:rPr>
                <w:rFonts w:hint="eastAsia" w:hAnsi="宋体"/>
                <w:color w:val="auto"/>
                <w:sz w:val="24"/>
                <w:szCs w:val="24"/>
              </w:rPr>
              <w:t>采购人名称：陕西警察学院</w:t>
            </w:r>
          </w:p>
          <w:p w14:paraId="485596CE">
            <w:pPr>
              <w:pStyle w:val="15"/>
              <w:jc w:val="left"/>
              <w:rPr>
                <w:rFonts w:hAnsi="宋体"/>
                <w:color w:val="auto"/>
                <w:sz w:val="24"/>
                <w:szCs w:val="24"/>
              </w:rPr>
            </w:pPr>
            <w:r>
              <w:rPr>
                <w:rFonts w:hint="eastAsia" w:hAnsi="宋体"/>
                <w:color w:val="auto"/>
                <w:sz w:val="24"/>
                <w:szCs w:val="24"/>
              </w:rPr>
              <w:t>地址：西安市浐灞生态区启源二路199号</w:t>
            </w:r>
          </w:p>
          <w:p w14:paraId="2B01C02E">
            <w:pPr>
              <w:pStyle w:val="15"/>
              <w:jc w:val="left"/>
              <w:rPr>
                <w:rFonts w:hAnsi="宋体"/>
                <w:color w:val="auto"/>
                <w:sz w:val="24"/>
                <w:szCs w:val="24"/>
              </w:rPr>
            </w:pPr>
            <w:r>
              <w:rPr>
                <w:rFonts w:hint="eastAsia" w:hAnsi="宋体"/>
                <w:color w:val="auto"/>
                <w:sz w:val="24"/>
                <w:szCs w:val="24"/>
              </w:rPr>
              <w:t>联系人：郭老师</w:t>
            </w:r>
          </w:p>
          <w:p w14:paraId="2060907B">
            <w:pPr>
              <w:pStyle w:val="15"/>
              <w:jc w:val="left"/>
              <w:rPr>
                <w:rFonts w:hAnsi="宋体"/>
                <w:color w:val="auto"/>
                <w:sz w:val="24"/>
                <w:szCs w:val="24"/>
              </w:rPr>
            </w:pPr>
            <w:r>
              <w:rPr>
                <w:rFonts w:hint="eastAsia" w:hAnsi="宋体"/>
                <w:color w:val="auto"/>
                <w:sz w:val="24"/>
                <w:szCs w:val="24"/>
              </w:rPr>
              <w:t>联系方式：</w:t>
            </w:r>
            <w:r>
              <w:rPr>
                <w:rFonts w:hint="eastAsia" w:hAnsi="宋体" w:cs="宋体"/>
                <w:color w:val="auto"/>
                <w:sz w:val="24"/>
              </w:rPr>
              <w:t>15529639969</w:t>
            </w:r>
          </w:p>
        </w:tc>
      </w:tr>
      <w:tr w14:paraId="09B33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518AE08E">
            <w:pPr>
              <w:pStyle w:val="15"/>
              <w:jc w:val="center"/>
              <w:rPr>
                <w:rFonts w:hAnsi="宋体"/>
                <w:color w:val="auto"/>
                <w:sz w:val="24"/>
                <w:szCs w:val="24"/>
              </w:rPr>
            </w:pPr>
            <w:r>
              <w:rPr>
                <w:rFonts w:hAnsi="宋体"/>
                <w:color w:val="auto"/>
                <w:sz w:val="24"/>
                <w:szCs w:val="24"/>
              </w:rPr>
              <w:t>3</w:t>
            </w:r>
          </w:p>
        </w:tc>
        <w:tc>
          <w:tcPr>
            <w:tcW w:w="2301" w:type="dxa"/>
            <w:vAlign w:val="center"/>
          </w:tcPr>
          <w:p w14:paraId="26FA6A10">
            <w:pPr>
              <w:pStyle w:val="15"/>
              <w:jc w:val="left"/>
              <w:rPr>
                <w:rFonts w:hAnsi="宋体"/>
                <w:color w:val="auto"/>
                <w:sz w:val="24"/>
                <w:szCs w:val="24"/>
              </w:rPr>
            </w:pPr>
            <w:r>
              <w:rPr>
                <w:rFonts w:hint="eastAsia" w:hAnsi="宋体"/>
                <w:color w:val="auto"/>
                <w:sz w:val="24"/>
                <w:szCs w:val="24"/>
              </w:rPr>
              <w:t>采购代理机构</w:t>
            </w:r>
          </w:p>
        </w:tc>
        <w:tc>
          <w:tcPr>
            <w:tcW w:w="6270" w:type="dxa"/>
            <w:vAlign w:val="center"/>
          </w:tcPr>
          <w:p w14:paraId="3D00DBA5">
            <w:pPr>
              <w:pStyle w:val="15"/>
              <w:jc w:val="left"/>
              <w:rPr>
                <w:rFonts w:hAnsi="宋体"/>
                <w:color w:val="auto"/>
                <w:sz w:val="24"/>
                <w:szCs w:val="24"/>
              </w:rPr>
            </w:pPr>
            <w:r>
              <w:rPr>
                <w:rFonts w:hint="eastAsia" w:hAnsi="宋体"/>
                <w:color w:val="auto"/>
                <w:sz w:val="24"/>
                <w:szCs w:val="24"/>
              </w:rPr>
              <w:t xml:space="preserve">名称：陕西国创招标有限公司 </w:t>
            </w:r>
          </w:p>
          <w:p w14:paraId="328C1784">
            <w:pPr>
              <w:pStyle w:val="15"/>
              <w:jc w:val="left"/>
              <w:rPr>
                <w:rFonts w:hAnsi="宋体"/>
                <w:color w:val="auto"/>
                <w:sz w:val="24"/>
                <w:szCs w:val="24"/>
              </w:rPr>
            </w:pPr>
            <w:r>
              <w:rPr>
                <w:rFonts w:hint="eastAsia" w:hAnsi="宋体"/>
                <w:color w:val="auto"/>
                <w:sz w:val="24"/>
                <w:szCs w:val="24"/>
              </w:rPr>
              <w:t xml:space="preserve">地址：西安市莲湖区高新一路5号正信大厦A座24楼 </w:t>
            </w:r>
          </w:p>
          <w:p w14:paraId="222E7413">
            <w:pPr>
              <w:pStyle w:val="15"/>
              <w:jc w:val="left"/>
              <w:rPr>
                <w:rFonts w:hAnsi="宋体"/>
                <w:color w:val="auto"/>
                <w:sz w:val="24"/>
                <w:szCs w:val="24"/>
              </w:rPr>
            </w:pPr>
            <w:r>
              <w:rPr>
                <w:rFonts w:hint="eastAsia" w:hAnsi="宋体"/>
                <w:color w:val="auto"/>
                <w:sz w:val="24"/>
                <w:szCs w:val="24"/>
              </w:rPr>
              <w:t>电话：029-81873312</w:t>
            </w:r>
          </w:p>
          <w:p w14:paraId="59554F91">
            <w:pPr>
              <w:pStyle w:val="15"/>
              <w:jc w:val="left"/>
              <w:rPr>
                <w:rFonts w:hint="eastAsia" w:hAnsi="宋体" w:eastAsia="宋体"/>
                <w:color w:val="auto"/>
                <w:sz w:val="24"/>
                <w:szCs w:val="24"/>
                <w:lang w:val="en-US" w:eastAsia="zh-CN"/>
              </w:rPr>
            </w:pPr>
            <w:r>
              <w:rPr>
                <w:rFonts w:hint="eastAsia" w:hAnsi="宋体"/>
                <w:color w:val="auto"/>
                <w:sz w:val="24"/>
                <w:szCs w:val="24"/>
              </w:rPr>
              <w:t>联系人：</w:t>
            </w:r>
            <w:r>
              <w:rPr>
                <w:rFonts w:hint="eastAsia" w:ascii="宋体" w:hAnsi="宋体" w:cs="宋体"/>
                <w:sz w:val="24"/>
              </w:rPr>
              <w:t>王媛 任亚明 魏存刚</w:t>
            </w:r>
          </w:p>
        </w:tc>
      </w:tr>
      <w:tr w14:paraId="2B1BC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5E4D1820">
            <w:pPr>
              <w:pStyle w:val="15"/>
              <w:jc w:val="center"/>
              <w:rPr>
                <w:rFonts w:hAnsi="宋体"/>
                <w:color w:val="auto"/>
                <w:sz w:val="24"/>
                <w:szCs w:val="24"/>
              </w:rPr>
            </w:pPr>
            <w:r>
              <w:rPr>
                <w:rFonts w:hAnsi="宋体"/>
                <w:color w:val="auto"/>
                <w:sz w:val="24"/>
                <w:szCs w:val="24"/>
              </w:rPr>
              <w:t>4</w:t>
            </w:r>
          </w:p>
        </w:tc>
        <w:tc>
          <w:tcPr>
            <w:tcW w:w="2301" w:type="dxa"/>
            <w:vAlign w:val="center"/>
          </w:tcPr>
          <w:p w14:paraId="0F4B37AE">
            <w:pPr>
              <w:pStyle w:val="15"/>
              <w:jc w:val="left"/>
              <w:rPr>
                <w:rFonts w:hAnsi="宋体"/>
                <w:color w:val="auto"/>
                <w:sz w:val="24"/>
                <w:szCs w:val="24"/>
              </w:rPr>
            </w:pPr>
            <w:r>
              <w:rPr>
                <w:rFonts w:hint="eastAsia" w:hAnsi="宋体"/>
                <w:color w:val="auto"/>
                <w:sz w:val="24"/>
                <w:szCs w:val="24"/>
              </w:rPr>
              <w:t>供应商资格条件</w:t>
            </w:r>
          </w:p>
        </w:tc>
        <w:tc>
          <w:tcPr>
            <w:tcW w:w="6270" w:type="dxa"/>
            <w:vAlign w:val="center"/>
          </w:tcPr>
          <w:p w14:paraId="3377C4F7">
            <w:pPr>
              <w:spacing w:line="440" w:lineRule="exact"/>
              <w:ind w:firstLine="480" w:firstLineChars="200"/>
              <w:rPr>
                <w:rFonts w:ascii="宋体" w:hAnsi="宋体"/>
                <w:color w:val="auto"/>
                <w:sz w:val="24"/>
              </w:rPr>
            </w:pPr>
            <w:r>
              <w:rPr>
                <w:rFonts w:hint="eastAsia" w:ascii="宋体" w:hAnsi="宋体"/>
                <w:color w:val="auto"/>
                <w:sz w:val="24"/>
              </w:rPr>
              <w:t>1、具有独立承担民事责任能力的法人、其他组织或自然人，并出具合法有效的营业执照或事业单位法人证书等国家规定的相关证明，自然人参与的提供其身份证明；</w:t>
            </w:r>
          </w:p>
          <w:p w14:paraId="2537D95E">
            <w:pPr>
              <w:spacing w:line="440" w:lineRule="exact"/>
              <w:ind w:firstLine="480" w:firstLineChars="200"/>
              <w:rPr>
                <w:rFonts w:ascii="宋体" w:hAnsi="宋体"/>
                <w:color w:val="auto"/>
                <w:sz w:val="24"/>
              </w:rPr>
            </w:pPr>
            <w:r>
              <w:rPr>
                <w:rFonts w:hint="eastAsia" w:ascii="宋体" w:hAnsi="宋体"/>
                <w:color w:val="auto"/>
                <w:sz w:val="24"/>
              </w:rPr>
              <w:t>2、财务状况报告：提供注册会计师行业统一监管平台(网址http://acc.mof.gov.cn)赋码可查询的2025年度审计报告，或提交投标文件截止时间前六个月内其基本账户开户银行出具的资信证明（提供银行出具的资信证明的需同时提供开户许可证或基本银行账户信息复印件加盖公章）；其他组织和自然人提供银行出具的资信证明或财务报表；</w:t>
            </w:r>
          </w:p>
          <w:p w14:paraId="4EDAB2A8">
            <w:pPr>
              <w:spacing w:line="520" w:lineRule="exact"/>
              <w:ind w:firstLine="480" w:firstLineChars="200"/>
              <w:rPr>
                <w:rFonts w:ascii="宋体" w:hAnsi="宋体" w:cs="宋体"/>
                <w:color w:val="auto"/>
                <w:sz w:val="24"/>
              </w:rPr>
            </w:pPr>
            <w:r>
              <w:rPr>
                <w:rFonts w:hint="eastAsia" w:ascii="宋体" w:hAnsi="宋体" w:cs="宋体"/>
                <w:color w:val="auto"/>
                <w:sz w:val="24"/>
              </w:rPr>
              <w:t>3、税收缴纳证明：提供响应文件递交截止日前一年内已缴存的至少一个月的纳税证明或完税证明。依法免税的投标人应提供相关文件证明；</w:t>
            </w:r>
          </w:p>
          <w:p w14:paraId="39C5F515">
            <w:pPr>
              <w:spacing w:line="520" w:lineRule="exact"/>
              <w:ind w:firstLine="480" w:firstLineChars="200"/>
              <w:rPr>
                <w:rFonts w:ascii="宋体" w:hAnsi="宋体" w:cs="宋体"/>
                <w:color w:val="auto"/>
                <w:sz w:val="24"/>
              </w:rPr>
            </w:pPr>
            <w:r>
              <w:rPr>
                <w:rFonts w:hint="eastAsia" w:ascii="宋体" w:hAnsi="宋体" w:cs="宋体"/>
                <w:color w:val="auto"/>
                <w:sz w:val="24"/>
              </w:rPr>
              <w:t>4、社会保障资金缴纳证明：提供响应文件递交截止日前一年内已缴存的至少一个月的社会保障资金缴存单据或社保机构开具的社会保险参保缴费情况证明，依法不需要缴纳社会保障资金的单位应提供相关证明材料；</w:t>
            </w:r>
          </w:p>
          <w:p w14:paraId="38006A31">
            <w:pPr>
              <w:spacing w:line="520" w:lineRule="exact"/>
              <w:ind w:firstLine="480" w:firstLineChars="200"/>
              <w:rPr>
                <w:rFonts w:ascii="宋体" w:hAnsi="宋体" w:cs="宋体"/>
                <w:color w:val="auto"/>
                <w:sz w:val="24"/>
              </w:rPr>
            </w:pPr>
            <w:r>
              <w:rPr>
                <w:rFonts w:hint="eastAsia" w:ascii="宋体" w:hAnsi="宋体" w:cs="宋体"/>
                <w:color w:val="auto"/>
                <w:sz w:val="24"/>
              </w:rPr>
              <w:t>5、书面声明：参加本次采购活动前三年内在经营活动中没有重大违纪，以及未被列入失信被执行人、重大税收违法案件当事人名单、政府采购严重违法失信行为记录名单的书面声明；本项目拒绝被列入失信被执行人、重大税收违法案件当事人名单、政府采购严重违法失信行为的供应商参与；</w:t>
            </w:r>
          </w:p>
          <w:p w14:paraId="37971DDB">
            <w:pPr>
              <w:spacing w:line="520" w:lineRule="exact"/>
              <w:ind w:firstLine="480" w:firstLineChars="200"/>
              <w:rPr>
                <w:rFonts w:ascii="宋体" w:hAnsi="宋体" w:cs="宋体"/>
                <w:color w:val="auto"/>
                <w:sz w:val="24"/>
              </w:rPr>
            </w:pPr>
            <w:r>
              <w:rPr>
                <w:rFonts w:hint="eastAsia" w:ascii="宋体" w:hAnsi="宋体" w:cs="宋体"/>
                <w:color w:val="auto"/>
                <w:sz w:val="24"/>
              </w:rPr>
              <w:t>6、具有履行合同所必需的设备和专业技术能力的承诺及说明；</w:t>
            </w:r>
          </w:p>
          <w:p w14:paraId="62658450">
            <w:pPr>
              <w:spacing w:line="520" w:lineRule="exact"/>
              <w:ind w:firstLine="480" w:firstLineChars="200"/>
              <w:rPr>
                <w:rFonts w:ascii="宋体" w:hAnsi="宋体" w:cs="宋体"/>
                <w:color w:val="auto"/>
                <w:sz w:val="24"/>
              </w:rPr>
            </w:pPr>
            <w:r>
              <w:rPr>
                <w:rFonts w:hint="eastAsia" w:ascii="宋体" w:hAnsi="宋体" w:cs="宋体"/>
                <w:color w:val="auto"/>
                <w:sz w:val="24"/>
              </w:rPr>
              <w:t>7、供应商应授权合法的人员参加磋商，其中法定代表人直接参加的，须出具身份证；被授权代表参加的，须出具法定代表人授权书及被授权人身份证；（非法人单位的负责人均参照执行）；</w:t>
            </w:r>
          </w:p>
          <w:p w14:paraId="731A042E">
            <w:pPr>
              <w:spacing w:line="520" w:lineRule="exact"/>
              <w:ind w:firstLine="480" w:firstLineChars="200"/>
              <w:rPr>
                <w:rFonts w:ascii="宋体" w:hAnsi="宋体" w:cs="宋体"/>
                <w:color w:val="auto"/>
                <w:sz w:val="24"/>
              </w:rPr>
            </w:pPr>
            <w:r>
              <w:rPr>
                <w:rFonts w:hint="eastAsia" w:ascii="宋体" w:hAnsi="宋体" w:cs="宋体"/>
                <w:color w:val="auto"/>
                <w:sz w:val="24"/>
              </w:rPr>
              <w:t>8、提供磋商保证金的银行转账或电汇凭证；</w:t>
            </w:r>
          </w:p>
          <w:p w14:paraId="1C28C69C">
            <w:pPr>
              <w:spacing w:line="440" w:lineRule="exact"/>
              <w:ind w:firstLine="480" w:firstLineChars="200"/>
              <w:rPr>
                <w:rFonts w:ascii="宋体" w:hAnsi="宋体"/>
                <w:color w:val="auto"/>
                <w:sz w:val="24"/>
              </w:rPr>
            </w:pPr>
            <w:r>
              <w:rPr>
                <w:rFonts w:hint="eastAsia" w:ascii="宋体" w:hAnsi="宋体"/>
                <w:color w:val="auto"/>
                <w:sz w:val="24"/>
              </w:rPr>
              <w:t>9、</w:t>
            </w:r>
            <w:r>
              <w:rPr>
                <w:rFonts w:hint="eastAsia" w:ascii="宋体" w:hAnsi="宋体" w:cs="宋体"/>
                <w:color w:val="auto"/>
                <w:sz w:val="24"/>
              </w:rPr>
              <w:t>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p w14:paraId="279B5491">
            <w:pPr>
              <w:spacing w:line="440" w:lineRule="exact"/>
              <w:ind w:firstLine="480" w:firstLineChars="200"/>
              <w:rPr>
                <w:rFonts w:ascii="宋体" w:hAnsi="宋体"/>
                <w:color w:val="auto"/>
                <w:sz w:val="24"/>
              </w:rPr>
            </w:pPr>
            <w:r>
              <w:rPr>
                <w:rFonts w:hint="eastAsia" w:ascii="宋体" w:hAnsi="宋体"/>
                <w:color w:val="auto"/>
                <w:sz w:val="24"/>
              </w:rPr>
              <w:t>10、供应商具备投标人须具备公安部第三研究所颁发的《网络安全服务认证证书等级保护测评服务认证》或《网络安全等级测评与检测评估机构服务认证证书》</w:t>
            </w:r>
            <w:r>
              <w:rPr>
                <w:rFonts w:hint="eastAsia" w:ascii="宋体" w:hAnsi="宋体" w:cs="宋体"/>
                <w:color w:val="auto"/>
                <w:sz w:val="24"/>
              </w:rPr>
              <w:t>；</w:t>
            </w:r>
          </w:p>
          <w:p w14:paraId="4B5BC32F">
            <w:pPr>
              <w:spacing w:line="440" w:lineRule="exact"/>
              <w:ind w:firstLine="480" w:firstLineChars="200"/>
              <w:rPr>
                <w:rFonts w:ascii="宋体" w:hAnsi="宋体"/>
                <w:color w:val="auto"/>
                <w:sz w:val="24"/>
              </w:rPr>
            </w:pPr>
            <w:r>
              <w:rPr>
                <w:rFonts w:hint="eastAsia" w:ascii="宋体" w:hAnsi="宋体"/>
                <w:color w:val="auto"/>
                <w:sz w:val="24"/>
              </w:rPr>
              <w:t>11、单位负责人为同一人或存在直接控股、管理关系的不同单位，不得同时参加本项目投标活动。</w:t>
            </w:r>
          </w:p>
          <w:p w14:paraId="0AD661B3">
            <w:pPr>
              <w:spacing w:line="440" w:lineRule="exact"/>
              <w:rPr>
                <w:rFonts w:ascii="宋体" w:hAnsi="宋体"/>
                <w:color w:val="auto"/>
                <w:sz w:val="24"/>
              </w:rPr>
            </w:pPr>
            <w:r>
              <w:rPr>
                <w:rFonts w:hint="eastAsia" w:ascii="宋体" w:hAnsi="宋体"/>
                <w:color w:val="auto"/>
                <w:sz w:val="24"/>
              </w:rPr>
              <w:t>备注：本项目不接受联合体磋商。</w:t>
            </w:r>
          </w:p>
          <w:p w14:paraId="0101110A">
            <w:pPr>
              <w:pStyle w:val="15"/>
              <w:spacing w:line="500" w:lineRule="exact"/>
              <w:jc w:val="left"/>
              <w:rPr>
                <w:rFonts w:hAnsi="宋体" w:cs="仿宋"/>
                <w:b/>
                <w:bCs/>
                <w:color w:val="auto"/>
                <w:sz w:val="24"/>
                <w:szCs w:val="24"/>
              </w:rPr>
            </w:pPr>
            <w:r>
              <w:rPr>
                <w:rFonts w:hint="eastAsia" w:hAnsi="宋体" w:cs="仿宋"/>
                <w:b/>
                <w:bCs/>
                <w:color w:val="auto"/>
                <w:sz w:val="24"/>
                <w:szCs w:val="24"/>
              </w:rPr>
              <w:t>备注：</w:t>
            </w:r>
          </w:p>
          <w:p w14:paraId="42ACE089">
            <w:pPr>
              <w:pStyle w:val="15"/>
              <w:spacing w:line="500" w:lineRule="exact"/>
              <w:jc w:val="left"/>
              <w:rPr>
                <w:rFonts w:hAnsi="宋体"/>
                <w:color w:val="auto"/>
                <w:sz w:val="24"/>
                <w:szCs w:val="24"/>
              </w:rPr>
            </w:pPr>
            <w:r>
              <w:rPr>
                <w:rFonts w:hint="eastAsia" w:hAnsi="宋体"/>
                <w:color w:val="auto"/>
                <w:sz w:val="24"/>
                <w:szCs w:val="24"/>
              </w:rPr>
              <w:t>1、除注明原件外，</w:t>
            </w:r>
            <w:r>
              <w:rPr>
                <w:rFonts w:hint="eastAsia" w:ascii="仿宋" w:hAnsi="仿宋"/>
                <w:color w:val="auto"/>
                <w:sz w:val="24"/>
                <w:szCs w:val="24"/>
              </w:rPr>
              <w:t>响应文件正、副本中附上述资格条件的复印件加盖供应商公章，缺项或未按要求响应的即视为无效投标，</w:t>
            </w:r>
            <w:r>
              <w:rPr>
                <w:rFonts w:hint="eastAsia" w:hAnsi="宋体"/>
                <w:color w:val="auto"/>
                <w:sz w:val="24"/>
                <w:szCs w:val="24"/>
              </w:rPr>
              <w:t>身份证原件须随投标文件一并递交。</w:t>
            </w:r>
            <w:r>
              <w:rPr>
                <w:rFonts w:hint="eastAsia" w:ascii="仿宋" w:hAnsi="仿宋"/>
                <w:color w:val="auto"/>
                <w:sz w:val="24"/>
                <w:szCs w:val="24"/>
              </w:rPr>
              <w:t>采购人、采购代理机构可以通过互联网或相关信息系统查询的信息，可不提供纸质文件；</w:t>
            </w:r>
          </w:p>
          <w:p w14:paraId="792324A0">
            <w:pPr>
              <w:pStyle w:val="15"/>
              <w:spacing w:line="500" w:lineRule="exact"/>
              <w:jc w:val="left"/>
              <w:rPr>
                <w:rFonts w:hAnsi="宋体"/>
                <w:color w:val="auto"/>
                <w:sz w:val="24"/>
                <w:szCs w:val="24"/>
              </w:rPr>
            </w:pPr>
            <w:r>
              <w:rPr>
                <w:rFonts w:hint="eastAsia" w:hAnsi="宋体"/>
                <w:color w:val="auto"/>
                <w:sz w:val="24"/>
                <w:szCs w:val="24"/>
              </w:rPr>
              <w:t>2、分支机构参与投标时，响应文件中应附法人出具的授权书。法人只能授权一家分支机构参与投标，且不能与分支机构同时参与投标。分支机构须提供自己的资格要求证明文件。</w:t>
            </w:r>
          </w:p>
          <w:p w14:paraId="127CBC53">
            <w:pPr>
              <w:pStyle w:val="15"/>
              <w:spacing w:line="500" w:lineRule="exact"/>
              <w:jc w:val="left"/>
              <w:rPr>
                <w:rFonts w:hAnsi="宋体"/>
                <w:color w:val="auto"/>
                <w:sz w:val="24"/>
                <w:szCs w:val="24"/>
              </w:rPr>
            </w:pPr>
            <w:r>
              <w:rPr>
                <w:rFonts w:hint="eastAsia" w:hAnsi="宋体"/>
                <w:color w:val="auto"/>
                <w:sz w:val="24"/>
                <w:szCs w:val="24"/>
              </w:rPr>
              <w:t>3、单位负责人为同一人或存在直接控股、管理关系的不同单位，不得同时参加本项目投标活动。</w:t>
            </w:r>
          </w:p>
        </w:tc>
      </w:tr>
      <w:tr w14:paraId="37E14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60AD3D85">
            <w:pPr>
              <w:pStyle w:val="15"/>
              <w:jc w:val="center"/>
              <w:rPr>
                <w:rFonts w:hAnsi="宋体"/>
                <w:color w:val="auto"/>
                <w:sz w:val="24"/>
                <w:szCs w:val="24"/>
              </w:rPr>
            </w:pPr>
            <w:r>
              <w:rPr>
                <w:rFonts w:hint="eastAsia" w:hAnsi="宋体"/>
                <w:color w:val="auto"/>
                <w:sz w:val="24"/>
                <w:szCs w:val="24"/>
              </w:rPr>
              <w:t>5</w:t>
            </w:r>
          </w:p>
        </w:tc>
        <w:tc>
          <w:tcPr>
            <w:tcW w:w="2301" w:type="dxa"/>
            <w:vAlign w:val="center"/>
          </w:tcPr>
          <w:p w14:paraId="48DEB9FB">
            <w:pPr>
              <w:pStyle w:val="15"/>
              <w:jc w:val="center"/>
              <w:rPr>
                <w:rFonts w:hAnsi="宋体"/>
                <w:color w:val="auto"/>
                <w:sz w:val="24"/>
                <w:szCs w:val="24"/>
              </w:rPr>
            </w:pPr>
            <w:r>
              <w:rPr>
                <w:rFonts w:hint="eastAsia" w:hAnsi="宋体"/>
                <w:color w:val="auto"/>
                <w:sz w:val="24"/>
                <w:szCs w:val="24"/>
              </w:rPr>
              <w:t>本项目</w:t>
            </w:r>
            <w:r>
              <w:rPr>
                <w:rFonts w:hAnsi="宋体"/>
                <w:color w:val="auto"/>
                <w:sz w:val="24"/>
                <w:szCs w:val="24"/>
              </w:rPr>
              <w:t>是否接受联合体</w:t>
            </w:r>
            <w:r>
              <w:rPr>
                <w:rFonts w:hint="eastAsia" w:hAnsi="宋体"/>
                <w:color w:val="auto"/>
                <w:sz w:val="24"/>
                <w:szCs w:val="24"/>
              </w:rPr>
              <w:t>投标</w:t>
            </w:r>
          </w:p>
        </w:tc>
        <w:tc>
          <w:tcPr>
            <w:tcW w:w="6270" w:type="dxa"/>
            <w:vAlign w:val="center"/>
          </w:tcPr>
          <w:p w14:paraId="3EF5641E">
            <w:pPr>
              <w:pStyle w:val="15"/>
              <w:jc w:val="left"/>
              <w:rPr>
                <w:rFonts w:hAnsi="宋体"/>
                <w:color w:val="auto"/>
                <w:sz w:val="24"/>
                <w:szCs w:val="24"/>
              </w:rPr>
            </w:pPr>
            <w:r>
              <w:rPr>
                <w:rFonts w:hAnsi="宋体"/>
                <w:color w:val="auto"/>
                <w:sz w:val="24"/>
                <w:szCs w:val="24"/>
              </w:rPr>
              <w:t>□</w:t>
            </w:r>
            <w:r>
              <w:rPr>
                <w:rFonts w:hint="eastAsia" w:hAnsi="宋体"/>
                <w:color w:val="auto"/>
                <w:sz w:val="24"/>
                <w:szCs w:val="24"/>
              </w:rPr>
              <w:t>是/</w:t>
            </w:r>
            <w:r>
              <w:rPr>
                <w:rFonts w:hAnsi="宋体"/>
                <w:color w:val="auto"/>
                <w:sz w:val="24"/>
                <w:szCs w:val="24"/>
              </w:rPr>
              <w:fldChar w:fldCharType="begin"/>
            </w:r>
            <w:r>
              <w:rPr>
                <w:rFonts w:hAnsi="宋体"/>
                <w:color w:val="auto"/>
                <w:sz w:val="24"/>
                <w:szCs w:val="24"/>
              </w:rPr>
              <w:instrText xml:space="preserve"> </w:instrText>
            </w:r>
            <w:r>
              <w:rPr>
                <w:rFonts w:hint="eastAsia" w:hAnsi="宋体"/>
                <w:color w:val="auto"/>
                <w:sz w:val="24"/>
                <w:szCs w:val="24"/>
              </w:rPr>
              <w:instrText xml:space="preserve">eq \o\ac(□,√)</w:instrText>
            </w:r>
            <w:r>
              <w:rPr>
                <w:rFonts w:hAnsi="宋体"/>
                <w:color w:val="auto"/>
                <w:sz w:val="24"/>
                <w:szCs w:val="24"/>
              </w:rPr>
              <w:fldChar w:fldCharType="end"/>
            </w:r>
            <w:r>
              <w:rPr>
                <w:rFonts w:hint="eastAsia" w:hAnsi="宋体"/>
                <w:color w:val="auto"/>
                <w:sz w:val="24"/>
                <w:szCs w:val="24"/>
              </w:rPr>
              <w:t>否</w:t>
            </w:r>
          </w:p>
        </w:tc>
      </w:tr>
      <w:tr w14:paraId="3FCA0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19DF2782">
            <w:pPr>
              <w:pStyle w:val="15"/>
              <w:jc w:val="center"/>
              <w:rPr>
                <w:rFonts w:hAnsi="宋体"/>
                <w:color w:val="auto"/>
                <w:sz w:val="24"/>
                <w:szCs w:val="24"/>
              </w:rPr>
            </w:pPr>
            <w:r>
              <w:rPr>
                <w:rFonts w:hint="eastAsia" w:hAnsi="宋体"/>
                <w:color w:val="auto"/>
                <w:sz w:val="24"/>
                <w:szCs w:val="24"/>
              </w:rPr>
              <w:t>6</w:t>
            </w:r>
          </w:p>
        </w:tc>
        <w:tc>
          <w:tcPr>
            <w:tcW w:w="2301" w:type="dxa"/>
            <w:vAlign w:val="center"/>
          </w:tcPr>
          <w:p w14:paraId="7022D34F">
            <w:pPr>
              <w:pStyle w:val="15"/>
              <w:jc w:val="center"/>
              <w:rPr>
                <w:rFonts w:hAnsi="宋体"/>
                <w:color w:val="auto"/>
                <w:sz w:val="24"/>
                <w:szCs w:val="24"/>
              </w:rPr>
            </w:pPr>
            <w:r>
              <w:rPr>
                <w:rFonts w:hint="eastAsia" w:hAnsi="宋体"/>
                <w:color w:val="auto"/>
                <w:sz w:val="24"/>
                <w:szCs w:val="24"/>
              </w:rPr>
              <w:t>响应文件</w:t>
            </w:r>
            <w:r>
              <w:rPr>
                <w:rFonts w:hAnsi="宋体"/>
                <w:color w:val="auto"/>
                <w:sz w:val="24"/>
                <w:szCs w:val="24"/>
              </w:rPr>
              <w:t>有效期</w:t>
            </w:r>
          </w:p>
        </w:tc>
        <w:tc>
          <w:tcPr>
            <w:tcW w:w="6270" w:type="dxa"/>
            <w:vAlign w:val="center"/>
          </w:tcPr>
          <w:p w14:paraId="1DCB2C9E">
            <w:pPr>
              <w:pStyle w:val="15"/>
              <w:jc w:val="left"/>
              <w:rPr>
                <w:rFonts w:hAnsi="宋体"/>
                <w:color w:val="auto"/>
                <w:sz w:val="24"/>
                <w:szCs w:val="24"/>
              </w:rPr>
            </w:pPr>
            <w:r>
              <w:rPr>
                <w:rFonts w:hint="eastAsia" w:hAnsi="宋体"/>
                <w:color w:val="auto"/>
                <w:sz w:val="24"/>
                <w:szCs w:val="24"/>
              </w:rPr>
              <w:t>响应文件有效期为自开标之日起算90个日历日</w:t>
            </w:r>
          </w:p>
        </w:tc>
      </w:tr>
      <w:tr w14:paraId="24E84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15" w:type="dxa"/>
            <w:vAlign w:val="center"/>
          </w:tcPr>
          <w:p w14:paraId="4D3FFA3A">
            <w:pPr>
              <w:pStyle w:val="15"/>
              <w:jc w:val="center"/>
              <w:rPr>
                <w:rFonts w:hAnsi="宋体"/>
                <w:color w:val="auto"/>
                <w:sz w:val="24"/>
                <w:szCs w:val="24"/>
              </w:rPr>
            </w:pPr>
            <w:r>
              <w:rPr>
                <w:rFonts w:hAnsi="宋体"/>
                <w:color w:val="auto"/>
                <w:sz w:val="24"/>
                <w:szCs w:val="24"/>
              </w:rPr>
              <w:t>7</w:t>
            </w:r>
          </w:p>
        </w:tc>
        <w:tc>
          <w:tcPr>
            <w:tcW w:w="2301" w:type="dxa"/>
            <w:vAlign w:val="center"/>
          </w:tcPr>
          <w:p w14:paraId="6FF106FE">
            <w:pPr>
              <w:pStyle w:val="15"/>
              <w:ind w:firstLine="600" w:firstLineChars="250"/>
              <w:jc w:val="left"/>
              <w:rPr>
                <w:rFonts w:hAnsi="宋体"/>
                <w:color w:val="auto"/>
                <w:sz w:val="24"/>
                <w:szCs w:val="24"/>
              </w:rPr>
            </w:pPr>
            <w:r>
              <w:rPr>
                <w:rFonts w:hint="eastAsia" w:hAnsi="宋体"/>
                <w:color w:val="auto"/>
                <w:sz w:val="24"/>
                <w:szCs w:val="24"/>
              </w:rPr>
              <w:t>现场踏勘</w:t>
            </w:r>
          </w:p>
        </w:tc>
        <w:tc>
          <w:tcPr>
            <w:tcW w:w="6270" w:type="dxa"/>
            <w:vAlign w:val="center"/>
          </w:tcPr>
          <w:p w14:paraId="67C6CA0E">
            <w:pPr>
              <w:pStyle w:val="15"/>
              <w:jc w:val="left"/>
              <w:rPr>
                <w:rFonts w:hAnsi="宋体"/>
                <w:color w:val="auto"/>
                <w:sz w:val="24"/>
                <w:szCs w:val="24"/>
              </w:rPr>
            </w:pPr>
            <w:r>
              <w:rPr>
                <w:rFonts w:hint="eastAsia" w:hAnsi="宋体"/>
                <w:color w:val="auto"/>
                <w:sz w:val="24"/>
                <w:szCs w:val="24"/>
              </w:rPr>
              <w:t>不组织踏勘</w:t>
            </w:r>
          </w:p>
        </w:tc>
      </w:tr>
      <w:tr w14:paraId="5AF17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715" w:type="dxa"/>
            <w:vAlign w:val="center"/>
          </w:tcPr>
          <w:p w14:paraId="58EAA99E">
            <w:pPr>
              <w:pStyle w:val="15"/>
              <w:jc w:val="center"/>
              <w:rPr>
                <w:rFonts w:hAnsi="宋体"/>
                <w:color w:val="auto"/>
                <w:sz w:val="24"/>
                <w:szCs w:val="24"/>
              </w:rPr>
            </w:pPr>
            <w:r>
              <w:rPr>
                <w:rFonts w:hAnsi="宋体"/>
                <w:color w:val="auto"/>
                <w:sz w:val="24"/>
                <w:szCs w:val="24"/>
              </w:rPr>
              <w:t>8</w:t>
            </w:r>
          </w:p>
        </w:tc>
        <w:tc>
          <w:tcPr>
            <w:tcW w:w="2301" w:type="dxa"/>
            <w:vAlign w:val="center"/>
          </w:tcPr>
          <w:p w14:paraId="49C90814">
            <w:pPr>
              <w:pStyle w:val="15"/>
              <w:ind w:firstLine="960" w:firstLineChars="400"/>
              <w:jc w:val="left"/>
              <w:rPr>
                <w:rFonts w:hAnsi="宋体"/>
                <w:color w:val="auto"/>
                <w:sz w:val="24"/>
                <w:szCs w:val="24"/>
              </w:rPr>
            </w:pPr>
            <w:r>
              <w:rPr>
                <w:rFonts w:hint="eastAsia" w:hAnsi="宋体"/>
                <w:color w:val="auto"/>
                <w:sz w:val="24"/>
                <w:szCs w:val="24"/>
              </w:rPr>
              <w:t>样品</w:t>
            </w:r>
          </w:p>
        </w:tc>
        <w:tc>
          <w:tcPr>
            <w:tcW w:w="6270" w:type="dxa"/>
            <w:vAlign w:val="center"/>
          </w:tcPr>
          <w:p w14:paraId="078A6519">
            <w:pPr>
              <w:pStyle w:val="15"/>
              <w:jc w:val="left"/>
              <w:rPr>
                <w:rFonts w:hAnsi="宋体"/>
                <w:color w:val="auto"/>
                <w:sz w:val="24"/>
                <w:szCs w:val="24"/>
              </w:rPr>
            </w:pPr>
            <w:r>
              <w:rPr>
                <w:rFonts w:hint="eastAsia" w:hAnsi="宋体"/>
                <w:color w:val="auto"/>
                <w:sz w:val="24"/>
                <w:szCs w:val="24"/>
              </w:rPr>
              <w:t>无</w:t>
            </w:r>
          </w:p>
        </w:tc>
      </w:tr>
      <w:tr w14:paraId="70B5D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15" w:type="dxa"/>
            <w:vAlign w:val="center"/>
          </w:tcPr>
          <w:p w14:paraId="0E0FB78B">
            <w:pPr>
              <w:pStyle w:val="15"/>
              <w:jc w:val="center"/>
              <w:rPr>
                <w:rFonts w:hAnsi="宋体"/>
                <w:color w:val="auto"/>
                <w:sz w:val="24"/>
                <w:szCs w:val="24"/>
              </w:rPr>
            </w:pPr>
            <w:r>
              <w:rPr>
                <w:rFonts w:hAnsi="宋体"/>
                <w:color w:val="auto"/>
                <w:sz w:val="24"/>
                <w:szCs w:val="24"/>
              </w:rPr>
              <w:t>9</w:t>
            </w:r>
          </w:p>
        </w:tc>
        <w:tc>
          <w:tcPr>
            <w:tcW w:w="2301" w:type="dxa"/>
            <w:vAlign w:val="center"/>
          </w:tcPr>
          <w:p w14:paraId="77BDB75B">
            <w:pPr>
              <w:pStyle w:val="15"/>
              <w:ind w:firstLine="480" w:firstLineChars="200"/>
              <w:jc w:val="left"/>
              <w:rPr>
                <w:rFonts w:hAnsi="宋体"/>
                <w:color w:val="auto"/>
                <w:sz w:val="24"/>
                <w:szCs w:val="24"/>
              </w:rPr>
            </w:pPr>
            <w:r>
              <w:rPr>
                <w:rFonts w:hint="eastAsia" w:hAnsi="宋体"/>
                <w:color w:val="auto"/>
                <w:sz w:val="24"/>
                <w:szCs w:val="24"/>
              </w:rPr>
              <w:t>采购进口产品</w:t>
            </w:r>
          </w:p>
        </w:tc>
        <w:tc>
          <w:tcPr>
            <w:tcW w:w="6270" w:type="dxa"/>
            <w:vAlign w:val="center"/>
          </w:tcPr>
          <w:p w14:paraId="42C295C8">
            <w:pPr>
              <w:pStyle w:val="15"/>
              <w:jc w:val="left"/>
              <w:rPr>
                <w:rFonts w:hAnsi="宋体"/>
                <w:color w:val="auto"/>
                <w:sz w:val="24"/>
                <w:szCs w:val="24"/>
              </w:rPr>
            </w:pPr>
            <w:r>
              <w:rPr>
                <w:rFonts w:hint="eastAsia" w:hAnsi="宋体"/>
                <w:color w:val="auto"/>
                <w:sz w:val="24"/>
                <w:szCs w:val="24"/>
              </w:rPr>
              <w:t>本项目拒绝进口产品参加投标</w:t>
            </w:r>
          </w:p>
        </w:tc>
      </w:tr>
      <w:tr w14:paraId="3445F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715" w:type="dxa"/>
            <w:vAlign w:val="center"/>
          </w:tcPr>
          <w:p w14:paraId="2C115F83">
            <w:pPr>
              <w:pStyle w:val="15"/>
              <w:jc w:val="center"/>
              <w:rPr>
                <w:rFonts w:hAnsi="宋体"/>
                <w:color w:val="auto"/>
                <w:sz w:val="24"/>
                <w:szCs w:val="24"/>
              </w:rPr>
            </w:pPr>
            <w:r>
              <w:rPr>
                <w:rFonts w:hAnsi="宋体"/>
                <w:color w:val="auto"/>
                <w:sz w:val="24"/>
                <w:szCs w:val="24"/>
              </w:rPr>
              <w:t>10</w:t>
            </w:r>
          </w:p>
        </w:tc>
        <w:tc>
          <w:tcPr>
            <w:tcW w:w="2301" w:type="dxa"/>
            <w:vAlign w:val="center"/>
          </w:tcPr>
          <w:p w14:paraId="43629724">
            <w:pPr>
              <w:pStyle w:val="15"/>
              <w:jc w:val="left"/>
              <w:rPr>
                <w:rFonts w:hAnsi="宋体"/>
                <w:color w:val="auto"/>
                <w:sz w:val="24"/>
                <w:szCs w:val="24"/>
              </w:rPr>
            </w:pPr>
            <w:r>
              <w:rPr>
                <w:rFonts w:hint="eastAsia" w:hAnsi="宋体"/>
                <w:color w:val="auto"/>
                <w:sz w:val="24"/>
                <w:szCs w:val="24"/>
              </w:rPr>
              <w:t>政府采购强制采购：节能产品</w:t>
            </w:r>
          </w:p>
        </w:tc>
        <w:tc>
          <w:tcPr>
            <w:tcW w:w="6270" w:type="dxa"/>
            <w:vAlign w:val="center"/>
          </w:tcPr>
          <w:p w14:paraId="61F7C893">
            <w:pPr>
              <w:pStyle w:val="15"/>
              <w:jc w:val="left"/>
              <w:rPr>
                <w:rFonts w:hAnsi="宋体"/>
                <w:color w:val="auto"/>
                <w:sz w:val="24"/>
                <w:szCs w:val="24"/>
              </w:rPr>
            </w:pPr>
            <w:r>
              <w:rPr>
                <w:rFonts w:hint="eastAsia" w:hAnsi="宋体"/>
                <w:color w:val="auto"/>
                <w:sz w:val="24"/>
                <w:szCs w:val="24"/>
              </w:rPr>
              <w:t>否</w:t>
            </w:r>
          </w:p>
        </w:tc>
      </w:tr>
      <w:tr w14:paraId="3CC2A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15" w:type="dxa"/>
            <w:vAlign w:val="center"/>
          </w:tcPr>
          <w:p w14:paraId="1238608B">
            <w:pPr>
              <w:pStyle w:val="15"/>
              <w:jc w:val="center"/>
              <w:rPr>
                <w:rFonts w:hAnsi="宋体"/>
                <w:color w:val="auto"/>
                <w:sz w:val="24"/>
                <w:szCs w:val="24"/>
              </w:rPr>
            </w:pPr>
            <w:r>
              <w:rPr>
                <w:rFonts w:hAnsi="宋体"/>
                <w:color w:val="auto"/>
                <w:sz w:val="24"/>
                <w:szCs w:val="24"/>
              </w:rPr>
              <w:t>11</w:t>
            </w:r>
          </w:p>
        </w:tc>
        <w:tc>
          <w:tcPr>
            <w:tcW w:w="2301" w:type="dxa"/>
            <w:vAlign w:val="center"/>
          </w:tcPr>
          <w:p w14:paraId="0B80DA47">
            <w:pPr>
              <w:pStyle w:val="15"/>
              <w:jc w:val="left"/>
              <w:rPr>
                <w:rFonts w:hAnsi="宋体"/>
                <w:color w:val="auto"/>
                <w:sz w:val="24"/>
                <w:szCs w:val="24"/>
              </w:rPr>
            </w:pPr>
            <w:r>
              <w:rPr>
                <w:rFonts w:hint="eastAsia" w:hAnsi="宋体"/>
                <w:color w:val="auto"/>
                <w:sz w:val="24"/>
                <w:szCs w:val="24"/>
              </w:rPr>
              <w:t>政府采购强制采购：信息安全认证</w:t>
            </w:r>
          </w:p>
        </w:tc>
        <w:tc>
          <w:tcPr>
            <w:tcW w:w="6270" w:type="dxa"/>
            <w:vAlign w:val="center"/>
          </w:tcPr>
          <w:p w14:paraId="1B5FEB9F">
            <w:pPr>
              <w:pStyle w:val="15"/>
              <w:jc w:val="left"/>
              <w:rPr>
                <w:rFonts w:hAnsi="宋体"/>
                <w:color w:val="auto"/>
                <w:sz w:val="24"/>
                <w:szCs w:val="24"/>
              </w:rPr>
            </w:pPr>
            <w:r>
              <w:rPr>
                <w:rFonts w:hint="eastAsia" w:hAnsi="宋体"/>
                <w:color w:val="auto"/>
                <w:sz w:val="24"/>
                <w:szCs w:val="24"/>
              </w:rPr>
              <w:t>否</w:t>
            </w:r>
          </w:p>
        </w:tc>
      </w:tr>
      <w:tr w14:paraId="3AB56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15" w:type="dxa"/>
            <w:vMerge w:val="restart"/>
            <w:vAlign w:val="center"/>
          </w:tcPr>
          <w:p w14:paraId="11A76DF4">
            <w:pPr>
              <w:pStyle w:val="15"/>
              <w:jc w:val="center"/>
              <w:rPr>
                <w:rFonts w:hAnsi="宋体"/>
                <w:color w:val="auto"/>
                <w:sz w:val="24"/>
                <w:szCs w:val="24"/>
              </w:rPr>
            </w:pPr>
            <w:r>
              <w:rPr>
                <w:rFonts w:hint="eastAsia" w:hAnsi="宋体"/>
                <w:color w:val="auto"/>
                <w:sz w:val="24"/>
                <w:szCs w:val="24"/>
              </w:rPr>
              <w:t>12</w:t>
            </w:r>
          </w:p>
        </w:tc>
        <w:tc>
          <w:tcPr>
            <w:tcW w:w="2301" w:type="dxa"/>
            <w:vAlign w:val="center"/>
          </w:tcPr>
          <w:p w14:paraId="45CE467C">
            <w:pPr>
              <w:pStyle w:val="15"/>
              <w:jc w:val="left"/>
              <w:rPr>
                <w:rFonts w:hAnsi="宋体"/>
                <w:color w:val="auto"/>
                <w:sz w:val="24"/>
                <w:szCs w:val="24"/>
              </w:rPr>
            </w:pPr>
            <w:r>
              <w:rPr>
                <w:rFonts w:hint="eastAsia" w:hAnsi="宋体"/>
                <w:color w:val="auto"/>
                <w:sz w:val="24"/>
                <w:szCs w:val="24"/>
              </w:rPr>
              <w:t>政府采购优先采购：节能产品</w:t>
            </w:r>
            <w:r>
              <w:rPr>
                <w:rFonts w:hAnsi="宋体"/>
                <w:color w:val="auto"/>
                <w:sz w:val="24"/>
                <w:szCs w:val="24"/>
              </w:rPr>
              <w:t>(</w:t>
            </w:r>
            <w:r>
              <w:rPr>
                <w:rFonts w:hint="eastAsia" w:hAnsi="宋体"/>
                <w:color w:val="auto"/>
                <w:sz w:val="24"/>
                <w:szCs w:val="24"/>
              </w:rPr>
              <w:t>非强制类</w:t>
            </w:r>
            <w:r>
              <w:rPr>
                <w:rFonts w:hAnsi="宋体"/>
                <w:color w:val="auto"/>
                <w:sz w:val="24"/>
                <w:szCs w:val="24"/>
              </w:rPr>
              <w:t>)</w:t>
            </w:r>
          </w:p>
        </w:tc>
        <w:tc>
          <w:tcPr>
            <w:tcW w:w="6270" w:type="dxa"/>
            <w:vMerge w:val="restart"/>
            <w:vAlign w:val="center"/>
          </w:tcPr>
          <w:p w14:paraId="0DEED0B3">
            <w:pPr>
              <w:pStyle w:val="15"/>
              <w:jc w:val="left"/>
              <w:rPr>
                <w:rFonts w:hAnsi="宋体"/>
                <w:color w:val="auto"/>
                <w:sz w:val="24"/>
                <w:szCs w:val="24"/>
              </w:rPr>
            </w:pPr>
            <w:r>
              <w:rPr>
                <w:rFonts w:hint="eastAsia" w:ascii="仿宋" w:hAnsi="仿宋"/>
                <w:color w:val="auto"/>
                <w:sz w:val="24"/>
                <w:szCs w:val="24"/>
              </w:rPr>
              <w:t>不涉及</w:t>
            </w:r>
          </w:p>
        </w:tc>
      </w:tr>
      <w:tr w14:paraId="5E91F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15" w:type="dxa"/>
            <w:vMerge w:val="continue"/>
            <w:vAlign w:val="center"/>
          </w:tcPr>
          <w:p w14:paraId="58D02B0B">
            <w:pPr>
              <w:pStyle w:val="15"/>
              <w:jc w:val="center"/>
              <w:rPr>
                <w:rFonts w:hAnsi="宋体"/>
                <w:color w:val="auto"/>
                <w:sz w:val="24"/>
                <w:szCs w:val="24"/>
              </w:rPr>
            </w:pPr>
          </w:p>
        </w:tc>
        <w:tc>
          <w:tcPr>
            <w:tcW w:w="2301" w:type="dxa"/>
            <w:vAlign w:val="center"/>
          </w:tcPr>
          <w:p w14:paraId="470E18B3">
            <w:pPr>
              <w:pStyle w:val="15"/>
              <w:jc w:val="left"/>
              <w:rPr>
                <w:rFonts w:hAnsi="宋体"/>
                <w:color w:val="auto"/>
                <w:sz w:val="24"/>
                <w:szCs w:val="24"/>
              </w:rPr>
            </w:pPr>
            <w:r>
              <w:rPr>
                <w:rFonts w:hint="eastAsia" w:hAnsi="宋体"/>
                <w:color w:val="auto"/>
                <w:sz w:val="24"/>
                <w:szCs w:val="24"/>
              </w:rPr>
              <w:t>政府采购优先采购：环境标志产品</w:t>
            </w:r>
          </w:p>
        </w:tc>
        <w:tc>
          <w:tcPr>
            <w:tcW w:w="6270" w:type="dxa"/>
            <w:vMerge w:val="continue"/>
            <w:vAlign w:val="center"/>
          </w:tcPr>
          <w:p w14:paraId="1D64F510">
            <w:pPr>
              <w:pStyle w:val="15"/>
              <w:jc w:val="left"/>
              <w:rPr>
                <w:rFonts w:hAnsi="宋体"/>
                <w:color w:val="auto"/>
                <w:sz w:val="24"/>
                <w:szCs w:val="24"/>
              </w:rPr>
            </w:pPr>
          </w:p>
        </w:tc>
      </w:tr>
      <w:tr w14:paraId="29EF4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715" w:type="dxa"/>
            <w:vAlign w:val="center"/>
          </w:tcPr>
          <w:p w14:paraId="6A83DAF8">
            <w:pPr>
              <w:pStyle w:val="15"/>
              <w:jc w:val="center"/>
              <w:rPr>
                <w:rFonts w:hAnsi="宋体"/>
                <w:color w:val="auto"/>
                <w:sz w:val="24"/>
                <w:szCs w:val="24"/>
              </w:rPr>
            </w:pPr>
            <w:r>
              <w:rPr>
                <w:rFonts w:hint="eastAsia" w:hAnsi="宋体"/>
                <w:color w:val="auto"/>
                <w:sz w:val="24"/>
                <w:szCs w:val="24"/>
              </w:rPr>
              <w:t>13</w:t>
            </w:r>
          </w:p>
        </w:tc>
        <w:tc>
          <w:tcPr>
            <w:tcW w:w="2301" w:type="dxa"/>
            <w:vAlign w:val="center"/>
          </w:tcPr>
          <w:p w14:paraId="3F3710E9">
            <w:pPr>
              <w:pStyle w:val="15"/>
              <w:jc w:val="left"/>
              <w:rPr>
                <w:rFonts w:hAnsi="宋体"/>
                <w:color w:val="auto"/>
                <w:sz w:val="24"/>
                <w:szCs w:val="24"/>
              </w:rPr>
            </w:pPr>
            <w:r>
              <w:rPr>
                <w:rFonts w:hint="eastAsia" w:hAnsi="宋体" w:cs="宋体"/>
                <w:color w:val="auto"/>
                <w:sz w:val="24"/>
                <w:szCs w:val="24"/>
              </w:rPr>
              <w:t>支持中小企业发展</w:t>
            </w:r>
          </w:p>
        </w:tc>
        <w:tc>
          <w:tcPr>
            <w:tcW w:w="6270" w:type="dxa"/>
            <w:vAlign w:val="center"/>
          </w:tcPr>
          <w:p w14:paraId="24BAD754">
            <w:pPr>
              <w:pStyle w:val="15"/>
              <w:jc w:val="left"/>
              <w:rPr>
                <w:rFonts w:hAnsi="宋体"/>
                <w:color w:val="auto"/>
                <w:sz w:val="24"/>
                <w:szCs w:val="24"/>
              </w:rPr>
            </w:pPr>
            <w:r>
              <w:rPr>
                <w:rFonts w:hint="eastAsia" w:ascii="仿宋" w:hAnsi="仿宋"/>
                <w:color w:val="auto"/>
                <w:sz w:val="24"/>
                <w:szCs w:val="24"/>
              </w:rPr>
              <w:t>本项目为专门面向中小企业采购项目</w:t>
            </w:r>
          </w:p>
        </w:tc>
      </w:tr>
      <w:tr w14:paraId="6D90E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15" w:type="dxa"/>
            <w:vAlign w:val="center"/>
          </w:tcPr>
          <w:p w14:paraId="42BBF0FA">
            <w:pPr>
              <w:pStyle w:val="15"/>
              <w:jc w:val="center"/>
              <w:rPr>
                <w:rFonts w:hAnsi="宋体"/>
                <w:color w:val="auto"/>
                <w:sz w:val="24"/>
                <w:szCs w:val="24"/>
              </w:rPr>
            </w:pPr>
            <w:r>
              <w:rPr>
                <w:rFonts w:hint="eastAsia" w:hAnsi="宋体"/>
                <w:color w:val="auto"/>
                <w:sz w:val="24"/>
                <w:szCs w:val="24"/>
              </w:rPr>
              <w:t>14</w:t>
            </w:r>
          </w:p>
        </w:tc>
        <w:tc>
          <w:tcPr>
            <w:tcW w:w="2301" w:type="dxa"/>
            <w:vAlign w:val="center"/>
          </w:tcPr>
          <w:p w14:paraId="78A7D1CC">
            <w:pPr>
              <w:pStyle w:val="15"/>
              <w:jc w:val="left"/>
              <w:rPr>
                <w:rFonts w:hAnsi="宋体"/>
                <w:color w:val="auto"/>
                <w:sz w:val="24"/>
                <w:szCs w:val="24"/>
              </w:rPr>
            </w:pPr>
            <w:r>
              <w:rPr>
                <w:rFonts w:hint="eastAsia" w:hAnsi="宋体" w:cs="宋体"/>
                <w:color w:val="auto"/>
                <w:sz w:val="24"/>
                <w:szCs w:val="24"/>
              </w:rPr>
              <w:t>支持监狱企业发展</w:t>
            </w:r>
          </w:p>
        </w:tc>
        <w:tc>
          <w:tcPr>
            <w:tcW w:w="6270" w:type="dxa"/>
            <w:vAlign w:val="center"/>
          </w:tcPr>
          <w:p w14:paraId="0BBC3A7A">
            <w:pPr>
              <w:pStyle w:val="15"/>
              <w:jc w:val="left"/>
              <w:rPr>
                <w:rFonts w:hAnsi="宋体"/>
                <w:color w:val="auto"/>
                <w:sz w:val="24"/>
                <w:szCs w:val="24"/>
              </w:rPr>
            </w:pPr>
            <w:r>
              <w:rPr>
                <w:rFonts w:hint="eastAsia" w:hAnsi="宋体"/>
                <w:color w:val="auto"/>
                <w:sz w:val="24"/>
                <w:szCs w:val="24"/>
              </w:rPr>
              <w:t>监狱企业视同小微企业</w:t>
            </w:r>
          </w:p>
        </w:tc>
      </w:tr>
      <w:tr w14:paraId="2AC2F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15" w:type="dxa"/>
            <w:vAlign w:val="center"/>
          </w:tcPr>
          <w:p w14:paraId="60FC84D1">
            <w:pPr>
              <w:pStyle w:val="15"/>
              <w:jc w:val="center"/>
              <w:rPr>
                <w:rFonts w:hAnsi="宋体"/>
                <w:color w:val="auto"/>
                <w:sz w:val="24"/>
                <w:szCs w:val="24"/>
              </w:rPr>
            </w:pPr>
            <w:r>
              <w:rPr>
                <w:rFonts w:hint="eastAsia" w:hAnsi="宋体"/>
                <w:color w:val="auto"/>
                <w:sz w:val="24"/>
                <w:szCs w:val="24"/>
              </w:rPr>
              <w:t>15</w:t>
            </w:r>
          </w:p>
        </w:tc>
        <w:tc>
          <w:tcPr>
            <w:tcW w:w="2301" w:type="dxa"/>
            <w:vAlign w:val="center"/>
          </w:tcPr>
          <w:p w14:paraId="2CC335A8">
            <w:pPr>
              <w:pStyle w:val="15"/>
              <w:jc w:val="left"/>
              <w:rPr>
                <w:rFonts w:hAnsi="宋体"/>
                <w:color w:val="auto"/>
                <w:sz w:val="24"/>
                <w:szCs w:val="24"/>
              </w:rPr>
            </w:pPr>
            <w:r>
              <w:rPr>
                <w:rFonts w:hint="eastAsia" w:hAnsi="宋体"/>
                <w:color w:val="auto"/>
                <w:sz w:val="24"/>
                <w:szCs w:val="24"/>
              </w:rPr>
              <w:t>其他法律法规强制性规定或扶持政策</w:t>
            </w:r>
          </w:p>
        </w:tc>
        <w:tc>
          <w:tcPr>
            <w:tcW w:w="6270" w:type="dxa"/>
            <w:vAlign w:val="center"/>
          </w:tcPr>
          <w:p w14:paraId="5CF3CE7F">
            <w:pPr>
              <w:wordWrap w:val="0"/>
              <w:topLinePunct/>
              <w:adjustRightInd w:val="0"/>
              <w:spacing w:line="360" w:lineRule="auto"/>
              <w:jc w:val="left"/>
              <w:rPr>
                <w:rFonts w:ascii="宋体" w:hAnsi="宋体" w:cs="宋体"/>
                <w:color w:val="auto"/>
                <w:kern w:val="0"/>
                <w:sz w:val="24"/>
                <w:szCs w:val="21"/>
              </w:rPr>
            </w:pPr>
            <w:r>
              <w:rPr>
                <w:rFonts w:hint="eastAsia" w:hAnsi="宋体"/>
                <w:color w:val="auto"/>
                <w:sz w:val="24"/>
              </w:rPr>
              <w:t>残疾人福利性单位视同小微企业，</w:t>
            </w:r>
            <w:r>
              <w:rPr>
                <w:rFonts w:hint="eastAsia" w:ascii="宋体" w:hAnsi="宋体" w:cs="宋体"/>
                <w:color w:val="auto"/>
                <w:kern w:val="0"/>
                <w:sz w:val="24"/>
                <w:szCs w:val="21"/>
              </w:rPr>
              <w:t>但应满足下列条件：</w:t>
            </w:r>
          </w:p>
          <w:p w14:paraId="59623AB0">
            <w:pPr>
              <w:pStyle w:val="15"/>
              <w:jc w:val="left"/>
              <w:rPr>
                <w:rFonts w:hAnsi="宋体"/>
                <w:color w:val="auto"/>
                <w:sz w:val="24"/>
                <w:szCs w:val="24"/>
              </w:rPr>
            </w:pPr>
            <w:r>
              <w:rPr>
                <w:rFonts w:hint="eastAsia" w:hAnsi="宋体" w:cs="宋体"/>
                <w:color w:val="auto"/>
                <w:kern w:val="0"/>
                <w:sz w:val="24"/>
              </w:rPr>
              <w:t>残疾人福利性单位应符合《财政部、民政部、中国残疾人联合会关于促进残疾人就业政府采购政策的通知》（财库[2017]141号）文件规定，并提供《残疾人福利性单位声明函》。</w:t>
            </w:r>
          </w:p>
        </w:tc>
      </w:tr>
      <w:tr w14:paraId="4A906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15" w:type="dxa"/>
            <w:vAlign w:val="center"/>
          </w:tcPr>
          <w:p w14:paraId="56709592">
            <w:pPr>
              <w:pStyle w:val="15"/>
              <w:jc w:val="center"/>
              <w:rPr>
                <w:rFonts w:hAnsi="宋体"/>
                <w:color w:val="auto"/>
                <w:sz w:val="24"/>
                <w:szCs w:val="24"/>
              </w:rPr>
            </w:pPr>
            <w:r>
              <w:rPr>
                <w:rFonts w:hint="eastAsia" w:hAnsi="宋体"/>
                <w:color w:val="auto"/>
                <w:sz w:val="24"/>
                <w:szCs w:val="24"/>
              </w:rPr>
              <w:t>16</w:t>
            </w:r>
          </w:p>
        </w:tc>
        <w:tc>
          <w:tcPr>
            <w:tcW w:w="2301" w:type="dxa"/>
            <w:vAlign w:val="center"/>
          </w:tcPr>
          <w:p w14:paraId="01CB53F2">
            <w:pPr>
              <w:pStyle w:val="15"/>
              <w:jc w:val="left"/>
              <w:rPr>
                <w:rFonts w:hAnsi="宋体" w:cs="宋体"/>
                <w:color w:val="auto"/>
                <w:sz w:val="24"/>
                <w:szCs w:val="24"/>
              </w:rPr>
            </w:pPr>
            <w:r>
              <w:rPr>
                <w:rFonts w:hint="eastAsia" w:hAnsi="宋体" w:cs="宋体"/>
                <w:color w:val="auto"/>
                <w:sz w:val="24"/>
                <w:szCs w:val="24"/>
              </w:rPr>
              <w:t>澄清或者修改时间</w:t>
            </w:r>
          </w:p>
        </w:tc>
        <w:tc>
          <w:tcPr>
            <w:tcW w:w="6270" w:type="dxa"/>
            <w:vAlign w:val="center"/>
          </w:tcPr>
          <w:p w14:paraId="418B0D51">
            <w:pPr>
              <w:pStyle w:val="15"/>
              <w:jc w:val="left"/>
              <w:rPr>
                <w:rFonts w:hAnsi="宋体" w:cs="宋体"/>
                <w:color w:val="auto"/>
                <w:sz w:val="24"/>
                <w:szCs w:val="24"/>
              </w:rPr>
            </w:pPr>
            <w:r>
              <w:rPr>
                <w:rFonts w:hint="eastAsia" w:hAnsi="宋体" w:cs="宋体"/>
                <w:color w:val="auto"/>
                <w:sz w:val="24"/>
                <w:szCs w:val="24"/>
              </w:rPr>
              <w:t>1、对已发出的磋商文件进行必要澄清或者修改的，在原刊登磋商公告的媒体上发布更正公告，并以书面形式通知所有磋商文件收受人。</w:t>
            </w:r>
          </w:p>
          <w:p w14:paraId="4B160486">
            <w:pPr>
              <w:pStyle w:val="15"/>
              <w:jc w:val="left"/>
              <w:rPr>
                <w:rFonts w:hAnsi="宋体" w:cs="宋体"/>
                <w:color w:val="auto"/>
                <w:sz w:val="24"/>
                <w:szCs w:val="24"/>
              </w:rPr>
            </w:pPr>
            <w:r>
              <w:rPr>
                <w:rFonts w:hint="eastAsia" w:hAnsi="宋体" w:cs="宋体"/>
                <w:color w:val="auto"/>
                <w:sz w:val="24"/>
                <w:szCs w:val="24"/>
              </w:rPr>
              <w:t>2、澄清或修改的内容有可能影响响应文件编制的，采购人或采购代理机构应当在投标截止时间至少5日前，以书面形式通知所有获取磋商文件的潜在供应商，如果澄清或者修改时间距本章供应商须知前附表规定的投标截止时间不足5日，将相应顺延提交响应文件的截止时间。</w:t>
            </w:r>
          </w:p>
          <w:p w14:paraId="6F724D15">
            <w:pPr>
              <w:pStyle w:val="15"/>
              <w:jc w:val="left"/>
              <w:rPr>
                <w:rFonts w:hAnsi="宋体" w:cs="宋体"/>
                <w:color w:val="auto"/>
                <w:sz w:val="24"/>
                <w:szCs w:val="24"/>
              </w:rPr>
            </w:pPr>
            <w:r>
              <w:rPr>
                <w:rFonts w:hint="eastAsia" w:hAnsi="宋体" w:cs="宋体"/>
                <w:color w:val="auto"/>
                <w:sz w:val="24"/>
                <w:szCs w:val="24"/>
              </w:rPr>
              <w:t>3、澄清或者修改内容为磋商文件的组成部分，对所有领取了磋商文件的潜在供应商均具有约束力。</w:t>
            </w:r>
          </w:p>
        </w:tc>
      </w:tr>
      <w:tr w14:paraId="2416F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715" w:type="dxa"/>
            <w:vAlign w:val="center"/>
          </w:tcPr>
          <w:p w14:paraId="45CC865A">
            <w:pPr>
              <w:pStyle w:val="15"/>
              <w:jc w:val="center"/>
              <w:rPr>
                <w:rFonts w:hAnsi="宋体"/>
                <w:color w:val="auto"/>
                <w:sz w:val="24"/>
                <w:szCs w:val="24"/>
              </w:rPr>
            </w:pPr>
            <w:r>
              <w:rPr>
                <w:rFonts w:hint="eastAsia" w:hAnsi="宋体"/>
                <w:color w:val="auto"/>
                <w:sz w:val="24"/>
                <w:szCs w:val="24"/>
              </w:rPr>
              <w:t>17</w:t>
            </w:r>
          </w:p>
        </w:tc>
        <w:tc>
          <w:tcPr>
            <w:tcW w:w="2301" w:type="dxa"/>
            <w:vAlign w:val="center"/>
          </w:tcPr>
          <w:p w14:paraId="4B85ADE5">
            <w:pPr>
              <w:pStyle w:val="15"/>
              <w:jc w:val="left"/>
              <w:rPr>
                <w:rFonts w:hAnsi="宋体"/>
                <w:color w:val="auto"/>
                <w:sz w:val="24"/>
                <w:szCs w:val="24"/>
              </w:rPr>
            </w:pPr>
            <w:r>
              <w:rPr>
                <w:rFonts w:hint="eastAsia" w:ascii="仿宋" w:hAnsi="仿宋"/>
                <w:color w:val="auto"/>
                <w:sz w:val="24"/>
                <w:szCs w:val="24"/>
              </w:rPr>
              <w:t>提交响应文件的截止时间、地点和要求</w:t>
            </w:r>
          </w:p>
        </w:tc>
        <w:tc>
          <w:tcPr>
            <w:tcW w:w="6270" w:type="dxa"/>
            <w:vAlign w:val="center"/>
          </w:tcPr>
          <w:p w14:paraId="5012F173">
            <w:pPr>
              <w:widowControl/>
              <w:spacing w:line="510" w:lineRule="atLeast"/>
              <w:jc w:val="left"/>
              <w:rPr>
                <w:rFonts w:ascii="宋体" w:hAnsi="宋体" w:cs="宋体"/>
                <w:color w:val="auto"/>
                <w:kern w:val="0"/>
                <w:sz w:val="24"/>
                <w:szCs w:val="21"/>
              </w:rPr>
            </w:pPr>
            <w:r>
              <w:rPr>
                <w:rFonts w:hint="eastAsia" w:ascii="宋体" w:hAnsi="宋体" w:cs="宋体"/>
                <w:color w:val="auto"/>
                <w:kern w:val="0"/>
                <w:sz w:val="24"/>
                <w:szCs w:val="21"/>
              </w:rPr>
              <w:t>1、时间：</w:t>
            </w:r>
            <w:r>
              <w:rPr>
                <w:rFonts w:hint="eastAsia" w:ascii="宋体" w:hAnsi="宋体" w:eastAsia="宋体" w:cs="宋体"/>
                <w:sz w:val="24"/>
                <w:szCs w:val="24"/>
              </w:rPr>
              <w:t>2026年09月22日</w:t>
            </w:r>
            <w:r>
              <w:rPr>
                <w:rFonts w:hint="eastAsia" w:ascii="宋体" w:hAnsi="宋体"/>
                <w:color w:val="auto"/>
                <w:sz w:val="24"/>
              </w:rPr>
              <w:t>09:30整</w:t>
            </w:r>
          </w:p>
          <w:p w14:paraId="18A3E8FD">
            <w:pPr>
              <w:spacing w:line="440" w:lineRule="exact"/>
              <w:rPr>
                <w:rFonts w:ascii="宋体" w:hAnsi="宋体" w:cs="宋体"/>
                <w:color w:val="auto"/>
                <w:sz w:val="24"/>
              </w:rPr>
            </w:pPr>
            <w:r>
              <w:rPr>
                <w:rFonts w:hint="eastAsia" w:ascii="宋体" w:hAnsi="宋体" w:cs="宋体"/>
                <w:color w:val="auto"/>
                <w:kern w:val="0"/>
                <w:sz w:val="24"/>
              </w:rPr>
              <w:t>2、地点：</w:t>
            </w:r>
            <w:r>
              <w:rPr>
                <w:rFonts w:hint="eastAsia" w:ascii="宋体" w:hAnsi="宋体" w:cs="宋体"/>
                <w:color w:val="auto"/>
                <w:sz w:val="24"/>
              </w:rPr>
              <w:t xml:space="preserve">西安市莲湖区高新一路5号正信大厦A座24楼会议室 </w:t>
            </w:r>
          </w:p>
        </w:tc>
      </w:tr>
      <w:tr w14:paraId="5AF1D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715" w:type="dxa"/>
            <w:vAlign w:val="center"/>
          </w:tcPr>
          <w:p w14:paraId="0EC1C80F">
            <w:pPr>
              <w:pStyle w:val="15"/>
              <w:jc w:val="center"/>
              <w:rPr>
                <w:rFonts w:hAnsi="宋体"/>
                <w:color w:val="auto"/>
                <w:sz w:val="24"/>
                <w:szCs w:val="24"/>
              </w:rPr>
            </w:pPr>
            <w:r>
              <w:rPr>
                <w:rFonts w:hint="eastAsia" w:hAnsi="宋体"/>
                <w:color w:val="auto"/>
                <w:sz w:val="24"/>
                <w:szCs w:val="24"/>
              </w:rPr>
              <w:t>18</w:t>
            </w:r>
          </w:p>
        </w:tc>
        <w:tc>
          <w:tcPr>
            <w:tcW w:w="2301" w:type="dxa"/>
            <w:vAlign w:val="center"/>
          </w:tcPr>
          <w:p w14:paraId="4B632AB6">
            <w:pPr>
              <w:pStyle w:val="15"/>
              <w:jc w:val="left"/>
              <w:rPr>
                <w:rFonts w:ascii="仿宋" w:hAnsi="仿宋"/>
                <w:color w:val="auto"/>
                <w:sz w:val="24"/>
                <w:szCs w:val="24"/>
              </w:rPr>
            </w:pPr>
            <w:r>
              <w:rPr>
                <w:rFonts w:hint="eastAsia" w:ascii="仿宋" w:hAnsi="仿宋"/>
                <w:color w:val="auto"/>
                <w:sz w:val="24"/>
                <w:szCs w:val="24"/>
              </w:rPr>
              <w:t>开标时间、地点</w:t>
            </w:r>
          </w:p>
        </w:tc>
        <w:tc>
          <w:tcPr>
            <w:tcW w:w="6270" w:type="dxa"/>
            <w:vAlign w:val="center"/>
          </w:tcPr>
          <w:p w14:paraId="2BB742D2">
            <w:pPr>
              <w:widowControl/>
              <w:spacing w:line="510" w:lineRule="atLeast"/>
              <w:jc w:val="left"/>
              <w:rPr>
                <w:rFonts w:ascii="宋体" w:hAnsi="宋体" w:cs="宋体"/>
                <w:color w:val="auto"/>
                <w:kern w:val="0"/>
                <w:sz w:val="24"/>
                <w:szCs w:val="21"/>
              </w:rPr>
            </w:pPr>
            <w:r>
              <w:rPr>
                <w:rFonts w:hint="eastAsia" w:ascii="宋体" w:hAnsi="宋体" w:cs="宋体"/>
                <w:color w:val="auto"/>
                <w:kern w:val="0"/>
                <w:sz w:val="24"/>
                <w:szCs w:val="21"/>
              </w:rPr>
              <w:t>1、时间：</w:t>
            </w:r>
            <w:r>
              <w:rPr>
                <w:rFonts w:hint="eastAsia" w:ascii="宋体" w:hAnsi="宋体" w:eastAsia="宋体" w:cs="宋体"/>
                <w:sz w:val="24"/>
                <w:szCs w:val="24"/>
              </w:rPr>
              <w:t xml:space="preserve"> 2026年09月22日 09时30</w:t>
            </w:r>
            <w:r>
              <w:rPr>
                <w:rFonts w:hint="eastAsia" w:ascii="宋体" w:hAnsi="宋体"/>
                <w:color w:val="auto"/>
                <w:sz w:val="24"/>
              </w:rPr>
              <w:t>整</w:t>
            </w:r>
          </w:p>
          <w:p w14:paraId="066BFCCC">
            <w:pPr>
              <w:spacing w:line="440" w:lineRule="exact"/>
              <w:rPr>
                <w:rFonts w:ascii="宋体" w:hAnsi="宋体" w:cs="宋体"/>
                <w:color w:val="auto"/>
                <w:sz w:val="24"/>
              </w:rPr>
            </w:pPr>
            <w:r>
              <w:rPr>
                <w:rFonts w:hint="eastAsia" w:ascii="宋体" w:hAnsi="宋体" w:cs="宋体"/>
                <w:color w:val="auto"/>
                <w:kern w:val="0"/>
                <w:sz w:val="24"/>
              </w:rPr>
              <w:t>2、地点：</w:t>
            </w:r>
            <w:r>
              <w:rPr>
                <w:rFonts w:hint="eastAsia" w:ascii="宋体" w:hAnsi="宋体" w:cs="宋体"/>
                <w:color w:val="auto"/>
                <w:sz w:val="24"/>
              </w:rPr>
              <w:t xml:space="preserve">西安市莲湖区高新一路5号正信大厦A座24楼会议室 </w:t>
            </w:r>
          </w:p>
        </w:tc>
      </w:tr>
      <w:tr w14:paraId="04008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715" w:type="dxa"/>
            <w:vAlign w:val="center"/>
          </w:tcPr>
          <w:p w14:paraId="340A01B8">
            <w:pPr>
              <w:pStyle w:val="15"/>
              <w:jc w:val="center"/>
              <w:rPr>
                <w:rFonts w:hAnsi="宋体"/>
                <w:color w:val="auto"/>
                <w:sz w:val="24"/>
                <w:szCs w:val="24"/>
              </w:rPr>
            </w:pPr>
            <w:r>
              <w:rPr>
                <w:rFonts w:hAnsi="宋体"/>
                <w:color w:val="auto"/>
                <w:sz w:val="24"/>
                <w:szCs w:val="24"/>
              </w:rPr>
              <w:t>1</w:t>
            </w:r>
            <w:r>
              <w:rPr>
                <w:rFonts w:hint="eastAsia" w:hAnsi="宋体"/>
                <w:color w:val="auto"/>
                <w:sz w:val="24"/>
                <w:szCs w:val="24"/>
              </w:rPr>
              <w:t>9</w:t>
            </w:r>
          </w:p>
        </w:tc>
        <w:tc>
          <w:tcPr>
            <w:tcW w:w="2301" w:type="dxa"/>
            <w:vAlign w:val="center"/>
          </w:tcPr>
          <w:p w14:paraId="582C7F35">
            <w:pPr>
              <w:pStyle w:val="15"/>
              <w:jc w:val="left"/>
              <w:rPr>
                <w:rFonts w:hAnsi="宋体"/>
                <w:color w:val="auto"/>
                <w:sz w:val="24"/>
                <w:szCs w:val="24"/>
              </w:rPr>
            </w:pPr>
            <w:r>
              <w:rPr>
                <w:rFonts w:hint="eastAsia" w:hAnsi="宋体"/>
                <w:color w:val="auto"/>
                <w:sz w:val="24"/>
                <w:szCs w:val="24"/>
              </w:rPr>
              <w:t>磋商保证金</w:t>
            </w:r>
          </w:p>
        </w:tc>
        <w:tc>
          <w:tcPr>
            <w:tcW w:w="6270" w:type="dxa"/>
            <w:vAlign w:val="center"/>
          </w:tcPr>
          <w:p w14:paraId="1E453E41">
            <w:pPr>
              <w:numPr>
                <w:ilvl w:val="0"/>
                <w:numId w:val="2"/>
              </w:numPr>
              <w:kinsoku w:val="0"/>
              <w:spacing w:line="500" w:lineRule="exact"/>
              <w:rPr>
                <w:rFonts w:ascii="宋体" w:hAnsi="宋体"/>
                <w:color w:val="auto"/>
                <w:sz w:val="24"/>
              </w:rPr>
            </w:pPr>
            <w:r>
              <w:rPr>
                <w:rFonts w:hint="eastAsia" w:ascii="宋体" w:hAnsi="宋体"/>
                <w:color w:val="auto"/>
                <w:sz w:val="24"/>
              </w:rPr>
              <w:t>本次磋商活动须交纳保证金为：</w:t>
            </w:r>
          </w:p>
          <w:p w14:paraId="792B77A5">
            <w:pPr>
              <w:kinsoku w:val="0"/>
              <w:spacing w:line="500" w:lineRule="exact"/>
              <w:rPr>
                <w:rFonts w:ascii="宋体" w:hAnsi="宋体"/>
                <w:b/>
                <w:bCs/>
                <w:color w:val="auto"/>
                <w:sz w:val="24"/>
              </w:rPr>
            </w:pPr>
            <w:r>
              <w:rPr>
                <w:rFonts w:hint="eastAsia" w:ascii="宋体" w:hAnsi="宋体"/>
                <w:b/>
                <w:color w:val="auto"/>
                <w:sz w:val="24"/>
              </w:rPr>
              <w:t>大写：</w:t>
            </w:r>
            <w:r>
              <w:rPr>
                <w:rFonts w:hint="eastAsia" w:ascii="宋体" w:hAnsi="宋体"/>
                <w:b/>
                <w:color w:val="auto"/>
                <w:sz w:val="24"/>
                <w:lang w:val="en-US" w:eastAsia="zh-CN"/>
              </w:rPr>
              <w:t>贰仟肆佰元整</w:t>
            </w:r>
            <w:r>
              <w:rPr>
                <w:rFonts w:hint="eastAsia" w:ascii="宋体" w:hAnsi="宋体"/>
                <w:b/>
                <w:color w:val="auto"/>
                <w:sz w:val="24"/>
              </w:rPr>
              <w:t>（¥2</w:t>
            </w:r>
            <w:r>
              <w:rPr>
                <w:rFonts w:hint="eastAsia" w:ascii="宋体" w:hAnsi="宋体"/>
                <w:b/>
                <w:color w:val="auto"/>
                <w:sz w:val="24"/>
                <w:lang w:val="en-US" w:eastAsia="zh-CN"/>
              </w:rPr>
              <w:t>4</w:t>
            </w:r>
            <w:r>
              <w:rPr>
                <w:rFonts w:hint="eastAsia" w:ascii="宋体" w:hAnsi="宋体"/>
                <w:b/>
                <w:color w:val="auto"/>
                <w:sz w:val="24"/>
              </w:rPr>
              <w:t>00.00元）</w:t>
            </w:r>
          </w:p>
          <w:p w14:paraId="1AA4423A">
            <w:pPr>
              <w:kinsoku w:val="0"/>
              <w:spacing w:line="500" w:lineRule="exact"/>
              <w:rPr>
                <w:rFonts w:ascii="宋体" w:hAnsi="宋体"/>
                <w:color w:val="auto"/>
                <w:sz w:val="24"/>
              </w:rPr>
            </w:pPr>
            <w:r>
              <w:rPr>
                <w:rFonts w:ascii="宋体" w:hAnsi="宋体"/>
                <w:color w:val="auto"/>
                <w:sz w:val="24"/>
              </w:rPr>
              <w:t>2</w:t>
            </w:r>
            <w:r>
              <w:rPr>
                <w:rFonts w:hint="eastAsia" w:ascii="宋体" w:hAnsi="宋体"/>
                <w:color w:val="auto"/>
                <w:sz w:val="24"/>
              </w:rPr>
              <w:t>、磋商</w:t>
            </w:r>
            <w:r>
              <w:rPr>
                <w:rFonts w:ascii="宋体" w:hAnsi="宋体"/>
                <w:color w:val="auto"/>
                <w:sz w:val="24"/>
              </w:rPr>
              <w:t>保证金应</w:t>
            </w:r>
            <w:r>
              <w:rPr>
                <w:rFonts w:hint="eastAsia" w:ascii="宋体" w:hAnsi="宋体"/>
                <w:color w:val="auto"/>
                <w:sz w:val="24"/>
              </w:rPr>
              <w:t>为</w:t>
            </w:r>
            <w:r>
              <w:rPr>
                <w:rFonts w:ascii="宋体" w:hAnsi="宋体"/>
                <w:color w:val="auto"/>
                <w:sz w:val="24"/>
              </w:rPr>
              <w:t>人民币，可采用下列任何一种形式支付</w:t>
            </w:r>
            <w:r>
              <w:rPr>
                <w:rFonts w:hint="eastAsia" w:ascii="宋体" w:hAnsi="宋体"/>
                <w:color w:val="auto"/>
                <w:sz w:val="24"/>
              </w:rPr>
              <w:t>：支票、汇票、本票、保函等非现金形式交纳或提交保证金。</w:t>
            </w:r>
          </w:p>
          <w:p w14:paraId="56D35D0D">
            <w:pPr>
              <w:spacing w:line="460" w:lineRule="exact"/>
              <w:rPr>
                <w:rFonts w:ascii="宋体" w:hAnsi="宋体"/>
                <w:color w:val="auto"/>
                <w:sz w:val="24"/>
              </w:rPr>
            </w:pPr>
            <w:r>
              <w:rPr>
                <w:rFonts w:hint="eastAsia" w:ascii="宋体" w:hAnsi="宋体"/>
                <w:color w:val="auto"/>
                <w:sz w:val="24"/>
              </w:rPr>
              <w:t>3、保证金汇款账号：</w:t>
            </w:r>
          </w:p>
          <w:p w14:paraId="5B75973E">
            <w:pPr>
              <w:spacing w:line="440" w:lineRule="exact"/>
              <w:rPr>
                <w:rFonts w:ascii="宋体" w:hAnsi="宋体"/>
                <w:color w:val="auto"/>
                <w:sz w:val="24"/>
              </w:rPr>
            </w:pPr>
            <w:r>
              <w:rPr>
                <w:rFonts w:hint="eastAsia" w:ascii="宋体" w:hAnsi="宋体"/>
                <w:color w:val="auto"/>
                <w:sz w:val="24"/>
              </w:rPr>
              <w:t>户   名：陕西国创招标有限公司</w:t>
            </w:r>
          </w:p>
          <w:p w14:paraId="6F80DC7E">
            <w:pPr>
              <w:spacing w:line="440" w:lineRule="exact"/>
              <w:rPr>
                <w:rFonts w:ascii="宋体" w:hAnsi="宋体"/>
                <w:color w:val="auto"/>
                <w:sz w:val="24"/>
              </w:rPr>
            </w:pPr>
            <w:r>
              <w:rPr>
                <w:rFonts w:hint="eastAsia" w:ascii="宋体" w:hAnsi="宋体"/>
                <w:color w:val="auto"/>
                <w:sz w:val="24"/>
              </w:rPr>
              <w:t xml:space="preserve">开户银行：招商银行股份有限公司西安高新技术开发区支行 </w:t>
            </w:r>
          </w:p>
          <w:p w14:paraId="24CDEDB9">
            <w:pPr>
              <w:spacing w:line="440" w:lineRule="exact"/>
              <w:rPr>
                <w:rFonts w:ascii="宋体" w:hAnsi="宋体"/>
                <w:color w:val="auto"/>
                <w:sz w:val="24"/>
              </w:rPr>
            </w:pPr>
            <w:r>
              <w:rPr>
                <w:rFonts w:hint="eastAsia" w:ascii="宋体" w:hAnsi="宋体"/>
                <w:color w:val="auto"/>
                <w:sz w:val="24"/>
              </w:rPr>
              <w:t>账   号：129905629810401</w:t>
            </w:r>
          </w:p>
          <w:p w14:paraId="5AEEB24B">
            <w:pPr>
              <w:pStyle w:val="15"/>
              <w:numPr>
                <w:ilvl w:val="0"/>
                <w:numId w:val="3"/>
              </w:numPr>
              <w:jc w:val="left"/>
              <w:rPr>
                <w:rFonts w:hAnsi="宋体"/>
                <w:color w:val="auto"/>
                <w:sz w:val="24"/>
                <w:szCs w:val="24"/>
              </w:rPr>
            </w:pPr>
            <w:r>
              <w:rPr>
                <w:rFonts w:hint="eastAsia" w:hAnsi="宋体"/>
                <w:color w:val="auto"/>
                <w:sz w:val="24"/>
                <w:szCs w:val="24"/>
              </w:rPr>
              <w:t>磋商保证金到账（保函提交）截止时间与响应截止时间一致</w:t>
            </w:r>
            <w:r>
              <w:rPr>
                <w:rFonts w:hAnsi="宋体"/>
                <w:color w:val="auto"/>
                <w:sz w:val="24"/>
                <w:szCs w:val="24"/>
              </w:rPr>
              <w:t>。</w:t>
            </w:r>
          </w:p>
          <w:p w14:paraId="7BB14A69">
            <w:pPr>
              <w:pStyle w:val="15"/>
              <w:jc w:val="left"/>
              <w:rPr>
                <w:rFonts w:ascii="仿宋" w:hAnsi="仿宋"/>
                <w:color w:val="auto"/>
                <w:sz w:val="24"/>
                <w:szCs w:val="24"/>
              </w:rPr>
            </w:pPr>
            <w:r>
              <w:rPr>
                <w:rFonts w:hint="eastAsia" w:ascii="仿宋" w:hAnsi="仿宋"/>
                <w:color w:val="auto"/>
                <w:sz w:val="24"/>
                <w:szCs w:val="24"/>
              </w:rPr>
              <w:t>备注：</w:t>
            </w:r>
          </w:p>
          <w:p w14:paraId="1D006376">
            <w:pPr>
              <w:pStyle w:val="15"/>
              <w:jc w:val="left"/>
              <w:rPr>
                <w:rFonts w:hAnsi="宋体"/>
                <w:b/>
                <w:color w:val="auto"/>
                <w:sz w:val="24"/>
                <w:szCs w:val="24"/>
              </w:rPr>
            </w:pPr>
            <w:r>
              <w:rPr>
                <w:rFonts w:hint="eastAsia" w:ascii="仿宋" w:hAnsi="仿宋"/>
                <w:b/>
                <w:color w:val="auto"/>
                <w:sz w:val="24"/>
                <w:szCs w:val="24"/>
              </w:rPr>
              <w:t>1、</w:t>
            </w:r>
            <w:r>
              <w:rPr>
                <w:rFonts w:hint="eastAsia" w:hAnsi="宋体"/>
                <w:b/>
                <w:color w:val="auto"/>
                <w:sz w:val="24"/>
                <w:szCs w:val="24"/>
              </w:rPr>
              <w:t>以转账方式交纳磋商保证金须注明项目编号及用途</w:t>
            </w:r>
            <w:r>
              <w:rPr>
                <w:rFonts w:hAnsi="宋体"/>
                <w:b/>
                <w:color w:val="auto"/>
                <w:sz w:val="24"/>
                <w:szCs w:val="24"/>
              </w:rPr>
              <w:t>(</w:t>
            </w:r>
            <w:r>
              <w:rPr>
                <w:rFonts w:hint="eastAsia" w:hAnsi="宋体"/>
                <w:b/>
                <w:color w:val="auto"/>
                <w:sz w:val="24"/>
                <w:szCs w:val="24"/>
              </w:rPr>
              <w:t>磋商保证金</w:t>
            </w:r>
            <w:r>
              <w:rPr>
                <w:rFonts w:hAnsi="宋体"/>
                <w:b/>
                <w:color w:val="auto"/>
                <w:sz w:val="24"/>
                <w:szCs w:val="24"/>
              </w:rPr>
              <w:t>)</w:t>
            </w:r>
            <w:r>
              <w:rPr>
                <w:rFonts w:hint="eastAsia" w:hAnsi="宋体"/>
                <w:b/>
                <w:color w:val="auto"/>
                <w:sz w:val="24"/>
                <w:szCs w:val="24"/>
              </w:rPr>
              <w:t>，查询电话：029-81875221</w:t>
            </w:r>
          </w:p>
          <w:p w14:paraId="60C2539F">
            <w:pPr>
              <w:pStyle w:val="15"/>
              <w:jc w:val="left"/>
              <w:rPr>
                <w:rFonts w:hAnsi="宋体"/>
                <w:b/>
                <w:color w:val="auto"/>
                <w:sz w:val="24"/>
                <w:szCs w:val="24"/>
              </w:rPr>
            </w:pPr>
            <w:r>
              <w:rPr>
                <w:rFonts w:hint="eastAsia" w:hAnsi="宋体"/>
                <w:bCs/>
                <w:color w:val="auto"/>
                <w:sz w:val="24"/>
                <w:szCs w:val="24"/>
              </w:rPr>
              <w:t>2、</w:t>
            </w:r>
            <w:r>
              <w:rPr>
                <w:rFonts w:hint="eastAsia" w:ascii="仿宋" w:hAnsi="仿宋"/>
                <w:color w:val="auto"/>
                <w:sz w:val="24"/>
                <w:szCs w:val="24"/>
              </w:rPr>
              <w:t>磋商保证金如以个人名义支付，将被拒绝，视为自动放弃投标权利（该个人是投标人的情形除外）；</w:t>
            </w:r>
          </w:p>
          <w:p w14:paraId="72BB05FD">
            <w:pPr>
              <w:pStyle w:val="15"/>
              <w:jc w:val="left"/>
              <w:rPr>
                <w:rFonts w:hAnsi="宋体"/>
                <w:b/>
                <w:color w:val="auto"/>
                <w:sz w:val="24"/>
                <w:szCs w:val="24"/>
              </w:rPr>
            </w:pPr>
            <w:r>
              <w:rPr>
                <w:rFonts w:hint="eastAsia" w:ascii="仿宋" w:hAnsi="仿宋"/>
                <w:color w:val="auto"/>
                <w:sz w:val="24"/>
                <w:szCs w:val="24"/>
              </w:rPr>
              <w:t>3、磋商保证金的提交金额、时间不满足磋商文件要求的，投标无效</w:t>
            </w:r>
            <w:r>
              <w:rPr>
                <w:rFonts w:hint="eastAsia" w:hAnsi="宋体"/>
                <w:b/>
                <w:color w:val="auto"/>
                <w:sz w:val="24"/>
                <w:szCs w:val="24"/>
              </w:rPr>
              <w:t>将被视为自动放弃投标权利。</w:t>
            </w:r>
          </w:p>
          <w:p w14:paraId="0CA04D4C">
            <w:pPr>
              <w:pStyle w:val="15"/>
              <w:jc w:val="left"/>
              <w:rPr>
                <w:rFonts w:hAnsi="宋体"/>
                <w:b/>
                <w:color w:val="auto"/>
                <w:sz w:val="24"/>
                <w:szCs w:val="24"/>
              </w:rPr>
            </w:pPr>
            <w:r>
              <w:rPr>
                <w:rFonts w:hint="eastAsia" w:hAnsi="宋体"/>
                <w:b/>
                <w:color w:val="auto"/>
                <w:sz w:val="24"/>
                <w:szCs w:val="24"/>
              </w:rPr>
              <w:t>4、投标保证金的交付单位和供应商的名称必须一致，否则将视为投标无效。</w:t>
            </w:r>
          </w:p>
          <w:p w14:paraId="311AA2E9">
            <w:pPr>
              <w:pStyle w:val="15"/>
              <w:jc w:val="left"/>
              <w:rPr>
                <w:rFonts w:hAnsi="宋体"/>
                <w:b/>
                <w:color w:val="auto"/>
                <w:sz w:val="24"/>
                <w:szCs w:val="24"/>
              </w:rPr>
            </w:pPr>
            <w:r>
              <w:rPr>
                <w:rFonts w:hint="eastAsia" w:ascii="仿宋" w:hAnsi="仿宋"/>
                <w:color w:val="auto"/>
                <w:sz w:val="24"/>
                <w:szCs w:val="24"/>
              </w:rPr>
              <w:t>5、磋商保证金以采购代理机构到账凭证为准，供应商无需更换交纳凭证，由采购代理机构统一提供。</w:t>
            </w:r>
          </w:p>
        </w:tc>
      </w:tr>
      <w:tr w14:paraId="5A516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2" w:hRule="atLeast"/>
          <w:jc w:val="center"/>
        </w:trPr>
        <w:tc>
          <w:tcPr>
            <w:tcW w:w="715" w:type="dxa"/>
            <w:vAlign w:val="center"/>
          </w:tcPr>
          <w:p w14:paraId="09339D19">
            <w:pPr>
              <w:pStyle w:val="15"/>
              <w:jc w:val="center"/>
              <w:rPr>
                <w:rFonts w:hAnsi="宋体"/>
                <w:color w:val="auto"/>
                <w:sz w:val="24"/>
                <w:szCs w:val="24"/>
              </w:rPr>
            </w:pPr>
            <w:r>
              <w:rPr>
                <w:rFonts w:hint="eastAsia" w:hAnsi="宋体"/>
                <w:color w:val="auto"/>
                <w:sz w:val="24"/>
                <w:szCs w:val="24"/>
              </w:rPr>
              <w:t>20</w:t>
            </w:r>
          </w:p>
        </w:tc>
        <w:tc>
          <w:tcPr>
            <w:tcW w:w="2301" w:type="dxa"/>
            <w:vAlign w:val="center"/>
          </w:tcPr>
          <w:p w14:paraId="7D0C3DBB">
            <w:pPr>
              <w:pStyle w:val="15"/>
              <w:jc w:val="left"/>
              <w:rPr>
                <w:rFonts w:hAnsi="宋体"/>
                <w:color w:val="auto"/>
                <w:sz w:val="24"/>
                <w:szCs w:val="24"/>
              </w:rPr>
            </w:pPr>
            <w:r>
              <w:rPr>
                <w:rFonts w:hint="eastAsia" w:hAnsi="宋体"/>
                <w:color w:val="auto"/>
                <w:sz w:val="24"/>
                <w:szCs w:val="24"/>
              </w:rPr>
              <w:t>响应文件份数</w:t>
            </w:r>
          </w:p>
        </w:tc>
        <w:tc>
          <w:tcPr>
            <w:tcW w:w="6270" w:type="dxa"/>
            <w:vAlign w:val="center"/>
          </w:tcPr>
          <w:p w14:paraId="09E728F2">
            <w:pPr>
              <w:spacing w:line="360" w:lineRule="auto"/>
              <w:ind w:firstLine="360" w:firstLineChars="150"/>
              <w:rPr>
                <w:rFonts w:ascii="宋体" w:hAnsi="宋体"/>
                <w:color w:val="auto"/>
                <w:sz w:val="24"/>
              </w:rPr>
            </w:pPr>
            <w:r>
              <w:rPr>
                <w:rFonts w:hint="eastAsia" w:ascii="宋体" w:hAnsi="宋体"/>
                <w:color w:val="auto"/>
                <w:sz w:val="24"/>
              </w:rPr>
              <w:t>本次招标需提交响应文件共</w:t>
            </w:r>
            <w:r>
              <w:rPr>
                <w:rFonts w:hint="eastAsia" w:ascii="宋体" w:hAnsi="宋体"/>
                <w:b/>
                <w:color w:val="auto"/>
                <w:sz w:val="24"/>
                <w:u w:val="single"/>
              </w:rPr>
              <w:t xml:space="preserve"> 叁 </w:t>
            </w:r>
            <w:r>
              <w:rPr>
                <w:rFonts w:hint="eastAsia" w:ascii="宋体" w:hAnsi="宋体"/>
                <w:color w:val="auto"/>
                <w:sz w:val="24"/>
              </w:rPr>
              <w:t>份，</w:t>
            </w:r>
            <w:r>
              <w:rPr>
                <w:rFonts w:ascii="宋体" w:hAnsi="宋体"/>
                <w:color w:val="auto"/>
                <w:sz w:val="24"/>
              </w:rPr>
              <w:t>其中正本</w:t>
            </w:r>
            <w:r>
              <w:rPr>
                <w:rFonts w:hint="eastAsia" w:ascii="宋体" w:hAnsi="宋体"/>
                <w:b/>
                <w:color w:val="auto"/>
                <w:sz w:val="24"/>
                <w:u w:val="single"/>
              </w:rPr>
              <w:t xml:space="preserve"> </w:t>
            </w:r>
            <w:r>
              <w:rPr>
                <w:rFonts w:ascii="宋体" w:hAnsi="宋体"/>
                <w:b/>
                <w:color w:val="auto"/>
                <w:sz w:val="24"/>
                <w:u w:val="single"/>
              </w:rPr>
              <w:t>壹</w:t>
            </w:r>
            <w:r>
              <w:rPr>
                <w:rFonts w:hint="eastAsia" w:ascii="宋体" w:hAnsi="宋体"/>
                <w:b/>
                <w:color w:val="auto"/>
                <w:sz w:val="24"/>
                <w:u w:val="single"/>
              </w:rPr>
              <w:t xml:space="preserve"> </w:t>
            </w:r>
            <w:r>
              <w:rPr>
                <w:rFonts w:ascii="宋体" w:hAnsi="宋体"/>
                <w:color w:val="auto"/>
                <w:sz w:val="24"/>
              </w:rPr>
              <w:t>份，副本</w:t>
            </w:r>
            <w:r>
              <w:rPr>
                <w:rFonts w:hint="eastAsia" w:ascii="宋体" w:hAnsi="宋体"/>
                <w:color w:val="auto"/>
                <w:sz w:val="24"/>
                <w:u w:val="single"/>
              </w:rPr>
              <w:t xml:space="preserve"> </w:t>
            </w:r>
            <w:r>
              <w:rPr>
                <w:rFonts w:hint="eastAsia" w:ascii="宋体" w:hAnsi="宋体"/>
                <w:b/>
                <w:color w:val="auto"/>
                <w:sz w:val="24"/>
                <w:u w:val="single"/>
              </w:rPr>
              <w:t>贰</w:t>
            </w:r>
            <w:r>
              <w:rPr>
                <w:rFonts w:hint="eastAsia" w:ascii="宋体" w:hAnsi="宋体"/>
                <w:color w:val="auto"/>
                <w:sz w:val="24"/>
                <w:u w:val="single"/>
              </w:rPr>
              <w:t xml:space="preserve"> </w:t>
            </w:r>
            <w:r>
              <w:rPr>
                <w:rFonts w:ascii="宋体" w:hAnsi="宋体"/>
                <w:color w:val="auto"/>
                <w:sz w:val="24"/>
              </w:rPr>
              <w:t>份，电子版</w:t>
            </w:r>
            <w:r>
              <w:rPr>
                <w:rFonts w:hint="eastAsia" w:ascii="宋体" w:hAnsi="宋体"/>
                <w:color w:val="auto"/>
                <w:sz w:val="24"/>
              </w:rPr>
              <w:t>响应文件</w:t>
            </w:r>
            <w:r>
              <w:rPr>
                <w:rFonts w:ascii="宋体" w:hAnsi="宋体"/>
                <w:color w:val="auto"/>
                <w:sz w:val="24"/>
              </w:rPr>
              <w:t>（U盘）</w:t>
            </w:r>
            <w:r>
              <w:rPr>
                <w:rFonts w:hint="eastAsia" w:ascii="宋体" w:hAnsi="宋体"/>
                <w:b/>
                <w:color w:val="auto"/>
                <w:sz w:val="24"/>
                <w:u w:val="single"/>
              </w:rPr>
              <w:t xml:space="preserve"> </w:t>
            </w:r>
            <w:r>
              <w:rPr>
                <w:rFonts w:ascii="宋体" w:hAnsi="宋体"/>
                <w:b/>
                <w:color w:val="auto"/>
                <w:sz w:val="24"/>
                <w:u w:val="single"/>
              </w:rPr>
              <w:t>壹</w:t>
            </w:r>
            <w:r>
              <w:rPr>
                <w:rFonts w:hint="eastAsia" w:ascii="宋体" w:hAnsi="宋体"/>
                <w:b/>
                <w:color w:val="auto"/>
                <w:sz w:val="24"/>
                <w:u w:val="single"/>
              </w:rPr>
              <w:t xml:space="preserve"> </w:t>
            </w:r>
            <w:r>
              <w:rPr>
                <w:rFonts w:ascii="宋体" w:hAnsi="宋体"/>
                <w:color w:val="auto"/>
                <w:sz w:val="24"/>
              </w:rPr>
              <w:t>份</w:t>
            </w:r>
            <w:r>
              <w:rPr>
                <w:rFonts w:hint="eastAsia" w:ascii="宋体" w:hAnsi="宋体"/>
                <w:color w:val="auto"/>
                <w:sz w:val="24"/>
              </w:rPr>
              <w:t>，电子版响应文件提供响应文件正本的word版本及PDF版本（PDF文件为完整签字、盖章的正本扫描件）</w:t>
            </w:r>
            <w:r>
              <w:rPr>
                <w:rFonts w:ascii="宋体" w:hAnsi="宋体"/>
                <w:color w:val="auto"/>
                <w:sz w:val="24"/>
              </w:rPr>
              <w:t>；在封面标明“正本”、“副本”及“电子版</w:t>
            </w:r>
            <w:r>
              <w:rPr>
                <w:rFonts w:hint="eastAsia" w:ascii="宋体" w:hAnsi="宋体"/>
                <w:color w:val="auto"/>
                <w:sz w:val="24"/>
              </w:rPr>
              <w:t>响应文件</w:t>
            </w:r>
            <w:r>
              <w:rPr>
                <w:rFonts w:ascii="宋体" w:hAnsi="宋体"/>
                <w:color w:val="auto"/>
                <w:sz w:val="24"/>
              </w:rPr>
              <w:t>”字样；</w:t>
            </w:r>
          </w:p>
        </w:tc>
      </w:tr>
      <w:tr w14:paraId="4D404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099AE148">
            <w:pPr>
              <w:pStyle w:val="15"/>
              <w:jc w:val="center"/>
              <w:rPr>
                <w:rFonts w:hAnsi="宋体"/>
                <w:color w:val="auto"/>
                <w:sz w:val="24"/>
                <w:szCs w:val="24"/>
              </w:rPr>
            </w:pPr>
            <w:r>
              <w:rPr>
                <w:rFonts w:hint="eastAsia" w:hAnsi="宋体"/>
                <w:color w:val="auto"/>
                <w:sz w:val="24"/>
                <w:szCs w:val="24"/>
              </w:rPr>
              <w:t>21</w:t>
            </w:r>
          </w:p>
        </w:tc>
        <w:tc>
          <w:tcPr>
            <w:tcW w:w="2301" w:type="dxa"/>
            <w:vAlign w:val="center"/>
          </w:tcPr>
          <w:p w14:paraId="0C594E40">
            <w:pPr>
              <w:pStyle w:val="15"/>
              <w:jc w:val="left"/>
              <w:rPr>
                <w:rFonts w:hAnsi="宋体" w:cs="Times New Roman"/>
                <w:color w:val="auto"/>
                <w:sz w:val="24"/>
                <w:szCs w:val="24"/>
              </w:rPr>
            </w:pPr>
            <w:r>
              <w:rPr>
                <w:rFonts w:hint="eastAsia" w:hAnsi="宋体" w:cs="Times New Roman"/>
                <w:color w:val="auto"/>
                <w:sz w:val="24"/>
                <w:szCs w:val="24"/>
              </w:rPr>
              <w:t>交货和提供服务的时间、地点等</w:t>
            </w:r>
          </w:p>
        </w:tc>
        <w:tc>
          <w:tcPr>
            <w:tcW w:w="6270" w:type="dxa"/>
            <w:vAlign w:val="center"/>
          </w:tcPr>
          <w:p w14:paraId="33926E26">
            <w:pPr>
              <w:numPr>
                <w:ilvl w:val="0"/>
                <w:numId w:val="4"/>
              </w:numPr>
              <w:spacing w:line="360" w:lineRule="auto"/>
              <w:rPr>
                <w:rFonts w:ascii="宋体" w:hAnsi="宋体"/>
                <w:color w:val="auto"/>
                <w:sz w:val="24"/>
              </w:rPr>
            </w:pPr>
            <w:r>
              <w:rPr>
                <w:rFonts w:hint="eastAsia" w:ascii="宋体" w:hAnsi="宋体"/>
                <w:color w:val="auto"/>
                <w:sz w:val="24"/>
              </w:rPr>
              <w:t>服务期：合同签订后，在采购单位同意进场实施后的60个自然日内交付。</w:t>
            </w:r>
          </w:p>
          <w:p w14:paraId="16CC099E">
            <w:pPr>
              <w:pStyle w:val="13"/>
              <w:numPr>
                <w:ilvl w:val="0"/>
                <w:numId w:val="4"/>
              </w:numPr>
              <w:rPr>
                <w:rFonts w:ascii="宋体" w:hAnsi="宋体"/>
                <w:color w:val="auto"/>
              </w:rPr>
            </w:pPr>
            <w:r>
              <w:rPr>
                <w:rFonts w:hint="eastAsia" w:ascii="宋体" w:hAnsi="宋体"/>
                <w:color w:val="auto"/>
              </w:rPr>
              <w:t>质保期：自验收合格之日起12个月。</w:t>
            </w:r>
          </w:p>
          <w:p w14:paraId="2BD39139">
            <w:pPr>
              <w:pStyle w:val="13"/>
              <w:numPr>
                <w:ilvl w:val="0"/>
                <w:numId w:val="4"/>
              </w:numPr>
              <w:rPr>
                <w:color w:val="auto"/>
              </w:rPr>
            </w:pPr>
            <w:r>
              <w:rPr>
                <w:rFonts w:hint="eastAsia" w:ascii="宋体" w:hAnsi="宋体" w:cs="宋体"/>
                <w:color w:val="auto"/>
              </w:rPr>
              <w:t>服务地点</w:t>
            </w:r>
            <w:r>
              <w:rPr>
                <w:rFonts w:hint="eastAsia" w:ascii="宋体" w:hAnsi="宋体"/>
                <w:color w:val="auto"/>
              </w:rPr>
              <w:t>：陕西警察学院指定地点</w:t>
            </w:r>
          </w:p>
        </w:tc>
      </w:tr>
      <w:tr w14:paraId="4A0E0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715" w:type="dxa"/>
            <w:vAlign w:val="center"/>
          </w:tcPr>
          <w:p w14:paraId="21363466">
            <w:pPr>
              <w:pStyle w:val="15"/>
              <w:jc w:val="center"/>
              <w:rPr>
                <w:rFonts w:hAnsi="宋体"/>
                <w:color w:val="auto"/>
                <w:sz w:val="24"/>
                <w:szCs w:val="24"/>
              </w:rPr>
            </w:pPr>
            <w:r>
              <w:rPr>
                <w:rFonts w:hint="eastAsia" w:hAnsi="宋体"/>
                <w:color w:val="auto"/>
                <w:sz w:val="24"/>
                <w:szCs w:val="24"/>
              </w:rPr>
              <w:t>22</w:t>
            </w:r>
          </w:p>
        </w:tc>
        <w:tc>
          <w:tcPr>
            <w:tcW w:w="2301" w:type="dxa"/>
            <w:vAlign w:val="center"/>
          </w:tcPr>
          <w:p w14:paraId="2B69B955">
            <w:pPr>
              <w:pStyle w:val="15"/>
              <w:jc w:val="left"/>
              <w:rPr>
                <w:rFonts w:hAnsi="宋体"/>
                <w:color w:val="auto"/>
                <w:sz w:val="24"/>
                <w:szCs w:val="24"/>
              </w:rPr>
            </w:pPr>
            <w:r>
              <w:rPr>
                <w:rFonts w:hint="eastAsia" w:hAnsi="宋体"/>
                <w:color w:val="auto"/>
                <w:sz w:val="24"/>
                <w:szCs w:val="24"/>
              </w:rPr>
              <w:t>结算方式</w:t>
            </w:r>
          </w:p>
        </w:tc>
        <w:tc>
          <w:tcPr>
            <w:tcW w:w="6270" w:type="dxa"/>
            <w:vAlign w:val="center"/>
          </w:tcPr>
          <w:p w14:paraId="3D32300E">
            <w:pPr>
              <w:tabs>
                <w:tab w:val="left" w:pos="840"/>
              </w:tabs>
              <w:kinsoku w:val="0"/>
              <w:spacing w:line="360" w:lineRule="auto"/>
              <w:rPr>
                <w:rFonts w:ascii="宋体" w:hAnsi="宋体"/>
                <w:color w:val="auto"/>
                <w:sz w:val="24"/>
              </w:rPr>
            </w:pPr>
            <w:r>
              <w:rPr>
                <w:rFonts w:hint="eastAsia" w:ascii="宋体" w:hAnsi="宋体"/>
                <w:color w:val="auto"/>
                <w:sz w:val="24"/>
              </w:rPr>
              <w:t>1.结算单位：采购人结算</w:t>
            </w:r>
          </w:p>
          <w:p w14:paraId="2028B27A">
            <w:pPr>
              <w:tabs>
                <w:tab w:val="left" w:pos="840"/>
              </w:tabs>
              <w:kinsoku w:val="0"/>
              <w:spacing w:line="360" w:lineRule="auto"/>
              <w:rPr>
                <w:rFonts w:ascii="宋体" w:hAnsi="宋体"/>
                <w:color w:val="auto"/>
                <w:sz w:val="24"/>
              </w:rPr>
            </w:pPr>
            <w:r>
              <w:rPr>
                <w:rFonts w:hint="eastAsia" w:ascii="宋体" w:hAnsi="宋体"/>
                <w:color w:val="auto"/>
                <w:sz w:val="24"/>
              </w:rPr>
              <w:t>2.付款方式：项目实施结束后，甲方向乙方一次性支付合同金额的100%。</w:t>
            </w:r>
          </w:p>
        </w:tc>
      </w:tr>
      <w:tr w14:paraId="1D150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15" w:type="dxa"/>
            <w:vAlign w:val="center"/>
          </w:tcPr>
          <w:p w14:paraId="5701899B">
            <w:pPr>
              <w:pStyle w:val="15"/>
              <w:jc w:val="center"/>
              <w:rPr>
                <w:rFonts w:hAnsi="宋体"/>
                <w:color w:val="auto"/>
                <w:sz w:val="24"/>
                <w:szCs w:val="24"/>
              </w:rPr>
            </w:pPr>
            <w:r>
              <w:rPr>
                <w:rFonts w:hint="eastAsia" w:hAnsi="宋体"/>
                <w:color w:val="auto"/>
                <w:sz w:val="24"/>
                <w:szCs w:val="24"/>
              </w:rPr>
              <w:t>23</w:t>
            </w:r>
          </w:p>
        </w:tc>
        <w:tc>
          <w:tcPr>
            <w:tcW w:w="2301" w:type="dxa"/>
            <w:vAlign w:val="center"/>
          </w:tcPr>
          <w:p w14:paraId="666EAE60">
            <w:pPr>
              <w:pStyle w:val="15"/>
              <w:jc w:val="left"/>
              <w:rPr>
                <w:rFonts w:hAnsi="宋体"/>
                <w:color w:val="auto"/>
                <w:sz w:val="24"/>
                <w:szCs w:val="24"/>
              </w:rPr>
            </w:pPr>
            <w:r>
              <w:rPr>
                <w:rFonts w:hint="eastAsia" w:hAnsi="宋体"/>
                <w:color w:val="auto"/>
                <w:sz w:val="24"/>
                <w:szCs w:val="24"/>
              </w:rPr>
              <w:t>履约保证金</w:t>
            </w:r>
          </w:p>
        </w:tc>
        <w:tc>
          <w:tcPr>
            <w:tcW w:w="6270" w:type="dxa"/>
            <w:vAlign w:val="center"/>
          </w:tcPr>
          <w:p w14:paraId="2C4C97C2">
            <w:pPr>
              <w:pStyle w:val="15"/>
              <w:spacing w:line="336" w:lineRule="auto"/>
              <w:jc w:val="left"/>
              <w:rPr>
                <w:rFonts w:hAnsi="宋体"/>
                <w:color w:val="auto"/>
                <w:sz w:val="24"/>
                <w:szCs w:val="24"/>
              </w:rPr>
            </w:pPr>
            <w:r>
              <w:rPr>
                <w:rFonts w:hint="eastAsia" w:hAnsi="宋体"/>
                <w:color w:val="auto"/>
                <w:sz w:val="24"/>
                <w:szCs w:val="24"/>
              </w:rPr>
              <w:t>是否要求提供履约保证金：□是/☑否</w:t>
            </w:r>
          </w:p>
        </w:tc>
      </w:tr>
      <w:tr w14:paraId="4AB7C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704CAA52">
            <w:pPr>
              <w:pStyle w:val="15"/>
              <w:jc w:val="center"/>
              <w:rPr>
                <w:rFonts w:hAnsi="宋体"/>
                <w:color w:val="auto"/>
                <w:sz w:val="24"/>
                <w:szCs w:val="24"/>
              </w:rPr>
            </w:pPr>
            <w:r>
              <w:rPr>
                <w:rFonts w:hint="eastAsia" w:hAnsi="宋体"/>
                <w:color w:val="auto"/>
                <w:sz w:val="24"/>
                <w:szCs w:val="24"/>
              </w:rPr>
              <w:t>24</w:t>
            </w:r>
          </w:p>
        </w:tc>
        <w:tc>
          <w:tcPr>
            <w:tcW w:w="2301" w:type="dxa"/>
            <w:vAlign w:val="center"/>
          </w:tcPr>
          <w:p w14:paraId="18BF5414">
            <w:pPr>
              <w:pStyle w:val="15"/>
              <w:jc w:val="left"/>
              <w:rPr>
                <w:rFonts w:hAnsi="宋体"/>
                <w:color w:val="auto"/>
                <w:sz w:val="24"/>
                <w:szCs w:val="24"/>
              </w:rPr>
            </w:pPr>
            <w:r>
              <w:rPr>
                <w:rFonts w:hint="eastAsia" w:hAnsi="宋体"/>
                <w:color w:val="auto"/>
                <w:sz w:val="24"/>
                <w:szCs w:val="24"/>
              </w:rPr>
              <w:t>中标服务费</w:t>
            </w:r>
          </w:p>
        </w:tc>
        <w:tc>
          <w:tcPr>
            <w:tcW w:w="6270" w:type="dxa"/>
            <w:vAlign w:val="center"/>
          </w:tcPr>
          <w:p w14:paraId="12047E80">
            <w:pPr>
              <w:spacing w:line="360" w:lineRule="auto"/>
              <w:rPr>
                <w:rFonts w:ascii="宋体" w:hAnsi="宋体"/>
                <w:color w:val="auto"/>
                <w:sz w:val="24"/>
              </w:rPr>
            </w:pPr>
            <w:r>
              <w:rPr>
                <w:rFonts w:hint="eastAsia" w:ascii="宋体" w:hAnsi="宋体"/>
                <w:color w:val="auto"/>
                <w:sz w:val="24"/>
              </w:rPr>
              <w:t>成交服务费按约定由成交人支付。</w:t>
            </w:r>
          </w:p>
        </w:tc>
      </w:tr>
      <w:tr w14:paraId="08721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715" w:type="dxa"/>
            <w:vAlign w:val="center"/>
          </w:tcPr>
          <w:p w14:paraId="2146D560">
            <w:pPr>
              <w:pStyle w:val="15"/>
              <w:jc w:val="center"/>
              <w:rPr>
                <w:rFonts w:hAnsi="宋体"/>
                <w:color w:val="auto"/>
                <w:sz w:val="24"/>
                <w:szCs w:val="24"/>
              </w:rPr>
            </w:pPr>
            <w:r>
              <w:rPr>
                <w:rFonts w:hint="eastAsia" w:hAnsi="宋体"/>
                <w:color w:val="auto"/>
                <w:sz w:val="24"/>
                <w:szCs w:val="24"/>
              </w:rPr>
              <w:t>25</w:t>
            </w:r>
          </w:p>
        </w:tc>
        <w:tc>
          <w:tcPr>
            <w:tcW w:w="2301" w:type="dxa"/>
            <w:vAlign w:val="center"/>
          </w:tcPr>
          <w:p w14:paraId="4F34BA7F">
            <w:pPr>
              <w:pStyle w:val="15"/>
              <w:spacing w:line="336" w:lineRule="auto"/>
              <w:jc w:val="left"/>
              <w:rPr>
                <w:rFonts w:ascii="仿宋" w:hAnsi="仿宋"/>
                <w:color w:val="auto"/>
                <w:sz w:val="24"/>
                <w:szCs w:val="24"/>
              </w:rPr>
            </w:pPr>
            <w:r>
              <w:rPr>
                <w:rFonts w:hint="eastAsia" w:ascii="仿宋" w:hAnsi="仿宋"/>
                <w:color w:val="auto"/>
                <w:sz w:val="24"/>
                <w:szCs w:val="24"/>
              </w:rPr>
              <w:t>其他</w:t>
            </w:r>
          </w:p>
        </w:tc>
        <w:tc>
          <w:tcPr>
            <w:tcW w:w="6270" w:type="dxa"/>
            <w:vAlign w:val="center"/>
          </w:tcPr>
          <w:p w14:paraId="1DC83CD5">
            <w:pPr>
              <w:pStyle w:val="15"/>
              <w:spacing w:line="336" w:lineRule="auto"/>
              <w:jc w:val="left"/>
              <w:rPr>
                <w:rFonts w:ascii="仿宋" w:hAnsi="仿宋"/>
                <w:color w:val="auto"/>
                <w:sz w:val="24"/>
                <w:szCs w:val="24"/>
              </w:rPr>
            </w:pPr>
            <w:r>
              <w:rPr>
                <w:rFonts w:hint="eastAsia" w:ascii="仿宋" w:hAnsi="仿宋"/>
                <w:color w:val="auto"/>
                <w:sz w:val="24"/>
                <w:szCs w:val="24"/>
              </w:rPr>
              <w:t>正文与前附表表述不一致时，以供应商须知前附表为准。</w:t>
            </w:r>
          </w:p>
        </w:tc>
      </w:tr>
    </w:tbl>
    <w:p w14:paraId="646B6C90">
      <w:pPr>
        <w:jc w:val="center"/>
        <w:rPr>
          <w:rFonts w:ascii="仿宋" w:hAnsi="仿宋" w:cs="Courier New"/>
          <w:b/>
          <w:color w:val="auto"/>
          <w:sz w:val="30"/>
          <w:szCs w:val="30"/>
        </w:rPr>
      </w:pPr>
      <w:r>
        <w:rPr>
          <w:rFonts w:hint="eastAsia" w:ascii="仿宋" w:hAnsi="仿宋" w:cs="Courier New"/>
          <w:b/>
          <w:color w:val="auto"/>
          <w:sz w:val="24"/>
        </w:rPr>
        <w:br w:type="page"/>
      </w:r>
      <w:r>
        <w:rPr>
          <w:rFonts w:hint="eastAsia" w:ascii="仿宋" w:hAnsi="仿宋" w:cs="Courier New"/>
          <w:b/>
          <w:color w:val="auto"/>
          <w:sz w:val="30"/>
          <w:szCs w:val="30"/>
        </w:rPr>
        <w:t>供应商须知正文</w:t>
      </w:r>
    </w:p>
    <w:p w14:paraId="66261F8D">
      <w:pPr>
        <w:jc w:val="center"/>
        <w:rPr>
          <w:rFonts w:ascii="宋体" w:hAnsi="宋体"/>
          <w:b/>
          <w:color w:val="auto"/>
          <w:sz w:val="30"/>
          <w:szCs w:val="30"/>
        </w:rPr>
      </w:pPr>
      <w:r>
        <w:rPr>
          <w:rFonts w:hint="eastAsia" w:ascii="宋体" w:hAnsi="宋体"/>
          <w:b/>
          <w:color w:val="auto"/>
          <w:sz w:val="30"/>
          <w:szCs w:val="30"/>
        </w:rPr>
        <w:t>一．定义</w:t>
      </w:r>
    </w:p>
    <w:p w14:paraId="2CF9F5B8">
      <w:pPr>
        <w:tabs>
          <w:tab w:val="left" w:pos="240"/>
        </w:tabs>
        <w:spacing w:line="360" w:lineRule="auto"/>
        <w:ind w:left="-120" w:leftChars="-57" w:firstLine="120" w:firstLineChars="50"/>
        <w:rPr>
          <w:rFonts w:ascii="宋体" w:hAnsi="宋体"/>
          <w:color w:val="auto"/>
          <w:sz w:val="24"/>
        </w:rPr>
      </w:pPr>
      <w:r>
        <w:rPr>
          <w:rFonts w:hint="eastAsia" w:ascii="宋体" w:hAnsi="宋体"/>
          <w:color w:val="auto"/>
          <w:sz w:val="24"/>
        </w:rPr>
        <w:t>1、采购人：陕西警察学院</w:t>
      </w:r>
    </w:p>
    <w:p w14:paraId="7679FB06">
      <w:pPr>
        <w:tabs>
          <w:tab w:val="left" w:pos="240"/>
        </w:tabs>
        <w:spacing w:line="360" w:lineRule="auto"/>
        <w:ind w:left="-120" w:leftChars="-57" w:firstLine="120" w:firstLineChars="50"/>
        <w:rPr>
          <w:rFonts w:ascii="宋体" w:hAnsi="宋体"/>
          <w:color w:val="auto"/>
          <w:sz w:val="24"/>
        </w:rPr>
      </w:pPr>
      <w:r>
        <w:rPr>
          <w:rFonts w:hint="eastAsia" w:ascii="宋体" w:hAnsi="宋体"/>
          <w:color w:val="auto"/>
          <w:sz w:val="24"/>
        </w:rPr>
        <w:t>2、监督机构：陕西警察学院审计</w:t>
      </w:r>
      <w:r>
        <w:rPr>
          <w:rFonts w:hint="eastAsia" w:ascii="宋体" w:hAnsi="宋体"/>
          <w:color w:val="auto"/>
          <w:sz w:val="24"/>
          <w:lang w:val="en-US" w:eastAsia="zh-CN"/>
        </w:rPr>
        <w:t>科</w:t>
      </w:r>
    </w:p>
    <w:p w14:paraId="61EC40C0">
      <w:pPr>
        <w:tabs>
          <w:tab w:val="left" w:pos="240"/>
        </w:tabs>
        <w:spacing w:line="360" w:lineRule="auto"/>
        <w:ind w:left="-120" w:leftChars="-57" w:firstLine="120" w:firstLineChars="50"/>
        <w:rPr>
          <w:rFonts w:ascii="宋体" w:hAnsi="宋体"/>
          <w:color w:val="auto"/>
          <w:sz w:val="24"/>
        </w:rPr>
      </w:pPr>
      <w:r>
        <w:rPr>
          <w:rFonts w:hint="eastAsia" w:ascii="宋体" w:hAnsi="宋体"/>
          <w:color w:val="auto"/>
          <w:sz w:val="24"/>
        </w:rPr>
        <w:t>3、采购代理机构：陕西国创招标有限公司</w:t>
      </w:r>
    </w:p>
    <w:p w14:paraId="6385297D">
      <w:pPr>
        <w:tabs>
          <w:tab w:val="left" w:pos="240"/>
        </w:tabs>
        <w:spacing w:line="360" w:lineRule="auto"/>
        <w:ind w:left="-120" w:leftChars="-57" w:firstLine="120" w:firstLineChars="50"/>
        <w:rPr>
          <w:rFonts w:ascii="宋体" w:hAnsi="宋体"/>
          <w:color w:val="auto"/>
          <w:sz w:val="24"/>
        </w:rPr>
      </w:pPr>
      <w:r>
        <w:rPr>
          <w:rFonts w:hint="eastAsia" w:ascii="宋体" w:hAnsi="宋体"/>
          <w:color w:val="auto"/>
          <w:sz w:val="24"/>
        </w:rPr>
        <w:t>4、供应商：响应磋商文件并且符合磋商文件规定资格条件和参加磋商竞争的法人、其他组织或者自然人</w:t>
      </w:r>
    </w:p>
    <w:p w14:paraId="41510E66">
      <w:pPr>
        <w:tabs>
          <w:tab w:val="left" w:pos="240"/>
        </w:tabs>
        <w:spacing w:line="360" w:lineRule="auto"/>
        <w:ind w:left="-120" w:leftChars="-57" w:firstLine="120" w:firstLineChars="50"/>
        <w:rPr>
          <w:rFonts w:ascii="宋体" w:hAnsi="宋体"/>
          <w:color w:val="auto"/>
          <w:sz w:val="24"/>
        </w:rPr>
      </w:pPr>
      <w:r>
        <w:rPr>
          <w:rFonts w:hint="eastAsia" w:ascii="宋体" w:hAnsi="宋体"/>
          <w:color w:val="auto"/>
          <w:sz w:val="24"/>
        </w:rPr>
        <w:t>5、磋商小组：</w:t>
      </w:r>
      <w:r>
        <w:rPr>
          <w:rFonts w:hint="eastAsia" w:ascii="宋体" w:hAnsi="宋体"/>
          <w:color w:val="auto"/>
          <w:sz w:val="24"/>
          <w:lang w:eastAsia="zh-CN"/>
        </w:rPr>
        <w:t>按照</w:t>
      </w:r>
      <w:r>
        <w:rPr>
          <w:rFonts w:hint="eastAsia" w:ascii="宋体" w:hAnsi="宋体"/>
          <w:color w:val="auto"/>
          <w:sz w:val="24"/>
        </w:rPr>
        <w:t>《政府采购法》等有关规定组建，依法履行评审采购活动职责的评审成员</w:t>
      </w:r>
    </w:p>
    <w:p w14:paraId="2A4F6242">
      <w:pPr>
        <w:tabs>
          <w:tab w:val="left" w:pos="240"/>
        </w:tabs>
        <w:spacing w:line="360" w:lineRule="auto"/>
        <w:ind w:left="-120" w:leftChars="-57" w:firstLine="120" w:firstLineChars="50"/>
        <w:rPr>
          <w:rFonts w:ascii="宋体" w:hAnsi="宋体"/>
          <w:color w:val="auto"/>
          <w:sz w:val="24"/>
        </w:rPr>
      </w:pPr>
      <w:r>
        <w:rPr>
          <w:rFonts w:hint="eastAsia" w:ascii="宋体" w:hAnsi="宋体"/>
          <w:color w:val="auto"/>
          <w:sz w:val="24"/>
        </w:rPr>
        <w:t>6、成交供应商：由磋商小组推荐经采购人确认的供应商</w:t>
      </w:r>
    </w:p>
    <w:p w14:paraId="0403C3EC">
      <w:pPr>
        <w:jc w:val="center"/>
        <w:rPr>
          <w:rFonts w:ascii="宋体" w:hAnsi="宋体"/>
          <w:color w:val="auto"/>
          <w:sz w:val="30"/>
          <w:szCs w:val="30"/>
        </w:rPr>
      </w:pPr>
      <w:r>
        <w:rPr>
          <w:rFonts w:hint="eastAsia" w:ascii="宋体" w:hAnsi="宋体"/>
          <w:b/>
          <w:color w:val="auto"/>
          <w:sz w:val="30"/>
          <w:szCs w:val="30"/>
        </w:rPr>
        <w:t>二、合格的供应商</w:t>
      </w:r>
    </w:p>
    <w:p w14:paraId="561F80DC">
      <w:pPr>
        <w:spacing w:line="360" w:lineRule="auto"/>
        <w:rPr>
          <w:rFonts w:ascii="宋体" w:hAnsi="宋体"/>
          <w:b/>
          <w:color w:val="auto"/>
          <w:sz w:val="24"/>
        </w:rPr>
      </w:pPr>
      <w:r>
        <w:rPr>
          <w:rFonts w:hint="eastAsia" w:ascii="宋体" w:hAnsi="宋体"/>
          <w:b/>
          <w:color w:val="auto"/>
          <w:sz w:val="24"/>
        </w:rPr>
        <w:t>1、合格的供应商</w:t>
      </w:r>
    </w:p>
    <w:p w14:paraId="201440A2">
      <w:pPr>
        <w:tabs>
          <w:tab w:val="left" w:pos="3235"/>
        </w:tabs>
        <w:spacing w:line="360" w:lineRule="auto"/>
        <w:ind w:firstLine="480" w:firstLineChars="200"/>
        <w:rPr>
          <w:rFonts w:ascii="宋体" w:hAnsi="宋体"/>
          <w:color w:val="auto"/>
          <w:sz w:val="24"/>
        </w:rPr>
      </w:pPr>
      <w:r>
        <w:rPr>
          <w:rFonts w:hint="eastAsia" w:ascii="宋体" w:hAnsi="宋体"/>
          <w:color w:val="auto"/>
          <w:sz w:val="24"/>
        </w:rPr>
        <w:t>1</w:t>
      </w:r>
      <w:r>
        <w:rPr>
          <w:rFonts w:ascii="宋体" w:hAnsi="宋体"/>
          <w:color w:val="auto"/>
          <w:sz w:val="24"/>
        </w:rPr>
        <w:t>.</w:t>
      </w:r>
      <w:r>
        <w:rPr>
          <w:rFonts w:hint="eastAsia" w:ascii="宋体" w:hAnsi="宋体"/>
          <w:color w:val="auto"/>
          <w:sz w:val="24"/>
        </w:rPr>
        <w:t>1</w:t>
      </w:r>
      <w:r>
        <w:rPr>
          <w:rFonts w:ascii="宋体" w:hAnsi="宋体"/>
          <w:color w:val="auto"/>
          <w:sz w:val="24"/>
        </w:rPr>
        <w:t>合格</w:t>
      </w:r>
      <w:r>
        <w:rPr>
          <w:rFonts w:hint="eastAsia" w:ascii="宋体" w:hAnsi="宋体"/>
          <w:color w:val="auto"/>
          <w:sz w:val="24"/>
        </w:rPr>
        <w:t>供应商</w:t>
      </w:r>
      <w:r>
        <w:rPr>
          <w:rFonts w:ascii="宋体" w:hAnsi="宋体"/>
          <w:color w:val="auto"/>
          <w:sz w:val="24"/>
        </w:rPr>
        <w:t>条件：</w:t>
      </w:r>
      <w:r>
        <w:rPr>
          <w:rFonts w:ascii="宋体" w:hAnsi="宋体"/>
          <w:color w:val="auto"/>
          <w:sz w:val="24"/>
        </w:rPr>
        <w:tab/>
      </w:r>
    </w:p>
    <w:p w14:paraId="6CE8E3F0">
      <w:pPr>
        <w:spacing w:line="360" w:lineRule="auto"/>
        <w:ind w:firstLine="480" w:firstLineChars="200"/>
        <w:rPr>
          <w:rFonts w:ascii="宋体" w:hAnsi="宋体"/>
          <w:color w:val="auto"/>
          <w:sz w:val="24"/>
        </w:rPr>
      </w:pPr>
      <w:r>
        <w:rPr>
          <w:rFonts w:hint="eastAsia" w:ascii="宋体" w:hAnsi="宋体"/>
          <w:color w:val="auto"/>
          <w:sz w:val="24"/>
        </w:rPr>
        <w:t>1</w:t>
      </w:r>
      <w:r>
        <w:rPr>
          <w:rFonts w:ascii="宋体" w:hAnsi="宋体"/>
          <w:color w:val="auto"/>
          <w:sz w:val="24"/>
        </w:rPr>
        <w:t>.</w:t>
      </w:r>
      <w:r>
        <w:rPr>
          <w:rFonts w:hint="eastAsia" w:ascii="宋体" w:hAnsi="宋体"/>
          <w:color w:val="auto"/>
          <w:sz w:val="24"/>
        </w:rPr>
        <w:t>1.1具有独立承担民事责任的能力</w:t>
      </w:r>
    </w:p>
    <w:p w14:paraId="49E2637F">
      <w:pPr>
        <w:spacing w:line="360" w:lineRule="auto"/>
        <w:ind w:firstLine="480" w:firstLineChars="200"/>
        <w:rPr>
          <w:rFonts w:ascii="宋体" w:hAnsi="宋体"/>
          <w:color w:val="auto"/>
          <w:sz w:val="24"/>
        </w:rPr>
      </w:pPr>
      <w:r>
        <w:rPr>
          <w:rFonts w:hint="eastAsia" w:ascii="宋体" w:hAnsi="宋体"/>
          <w:color w:val="auto"/>
          <w:sz w:val="24"/>
        </w:rPr>
        <w:t>1</w:t>
      </w:r>
      <w:r>
        <w:rPr>
          <w:rFonts w:ascii="宋体" w:hAnsi="宋体"/>
          <w:color w:val="auto"/>
          <w:sz w:val="24"/>
        </w:rPr>
        <w:t>.</w:t>
      </w:r>
      <w:r>
        <w:rPr>
          <w:rFonts w:hint="eastAsia" w:ascii="宋体" w:hAnsi="宋体"/>
          <w:color w:val="auto"/>
          <w:sz w:val="24"/>
        </w:rPr>
        <w:t>1.2具有良好的商业信誉和健全的财务会计制度</w:t>
      </w:r>
    </w:p>
    <w:p w14:paraId="2404E7A0">
      <w:pPr>
        <w:spacing w:line="360" w:lineRule="auto"/>
        <w:ind w:firstLine="480" w:firstLineChars="200"/>
        <w:rPr>
          <w:rFonts w:ascii="宋体" w:hAnsi="宋体"/>
          <w:color w:val="auto"/>
          <w:sz w:val="24"/>
        </w:rPr>
      </w:pPr>
      <w:r>
        <w:rPr>
          <w:rFonts w:hint="eastAsia" w:ascii="宋体" w:hAnsi="宋体"/>
          <w:color w:val="auto"/>
          <w:sz w:val="24"/>
        </w:rPr>
        <w:t>1</w:t>
      </w:r>
      <w:r>
        <w:rPr>
          <w:rFonts w:ascii="宋体" w:hAnsi="宋体"/>
          <w:color w:val="auto"/>
          <w:sz w:val="24"/>
        </w:rPr>
        <w:t>.</w:t>
      </w:r>
      <w:r>
        <w:rPr>
          <w:rFonts w:hint="eastAsia" w:ascii="宋体" w:hAnsi="宋体"/>
          <w:color w:val="auto"/>
          <w:sz w:val="24"/>
        </w:rPr>
        <w:t>1.3具有履行合同所必需的产品和专业技术能力</w:t>
      </w:r>
    </w:p>
    <w:p w14:paraId="0D508103">
      <w:pPr>
        <w:spacing w:line="360" w:lineRule="auto"/>
        <w:ind w:firstLine="480" w:firstLineChars="200"/>
        <w:rPr>
          <w:rFonts w:ascii="宋体" w:hAnsi="宋体"/>
          <w:color w:val="auto"/>
          <w:sz w:val="24"/>
        </w:rPr>
      </w:pPr>
      <w:r>
        <w:rPr>
          <w:rFonts w:hint="eastAsia" w:ascii="宋体" w:hAnsi="宋体"/>
          <w:color w:val="auto"/>
          <w:sz w:val="24"/>
        </w:rPr>
        <w:t>1</w:t>
      </w:r>
      <w:r>
        <w:rPr>
          <w:rFonts w:ascii="宋体" w:hAnsi="宋体"/>
          <w:color w:val="auto"/>
          <w:sz w:val="24"/>
        </w:rPr>
        <w:t>.</w:t>
      </w:r>
      <w:r>
        <w:rPr>
          <w:rFonts w:hint="eastAsia" w:ascii="宋体" w:hAnsi="宋体"/>
          <w:color w:val="auto"/>
          <w:sz w:val="24"/>
        </w:rPr>
        <w:t>1.4有依法缴纳税收和社会保障资金的良好记录</w:t>
      </w:r>
    </w:p>
    <w:p w14:paraId="68E391B2">
      <w:pPr>
        <w:spacing w:line="360" w:lineRule="auto"/>
        <w:ind w:firstLine="480" w:firstLineChars="200"/>
        <w:rPr>
          <w:rFonts w:ascii="宋体" w:hAnsi="宋体"/>
          <w:color w:val="auto"/>
          <w:sz w:val="24"/>
        </w:rPr>
      </w:pPr>
      <w:r>
        <w:rPr>
          <w:rFonts w:hint="eastAsia" w:ascii="宋体" w:hAnsi="宋体"/>
          <w:color w:val="auto"/>
          <w:sz w:val="24"/>
        </w:rPr>
        <w:t>1</w:t>
      </w:r>
      <w:r>
        <w:rPr>
          <w:rFonts w:ascii="宋体" w:hAnsi="宋体"/>
          <w:color w:val="auto"/>
          <w:sz w:val="24"/>
        </w:rPr>
        <w:t>.</w:t>
      </w:r>
      <w:r>
        <w:rPr>
          <w:rFonts w:hint="eastAsia" w:ascii="宋体" w:hAnsi="宋体"/>
          <w:color w:val="auto"/>
          <w:sz w:val="24"/>
        </w:rPr>
        <w:t>1.5参加政府采购活动前三年内，在经营活动中没有重大违法记录</w:t>
      </w:r>
    </w:p>
    <w:p w14:paraId="0C8CB50B">
      <w:pPr>
        <w:spacing w:line="360" w:lineRule="auto"/>
        <w:ind w:firstLine="480" w:firstLineChars="200"/>
        <w:rPr>
          <w:rFonts w:ascii="宋体" w:hAnsi="宋体"/>
          <w:color w:val="auto"/>
          <w:sz w:val="24"/>
        </w:rPr>
      </w:pPr>
      <w:r>
        <w:rPr>
          <w:rFonts w:hint="eastAsia" w:ascii="宋体" w:hAnsi="宋体"/>
          <w:color w:val="auto"/>
          <w:sz w:val="24"/>
        </w:rPr>
        <w:t>1</w:t>
      </w:r>
      <w:r>
        <w:rPr>
          <w:rFonts w:ascii="宋体" w:hAnsi="宋体"/>
          <w:color w:val="auto"/>
          <w:sz w:val="24"/>
        </w:rPr>
        <w:t>.</w:t>
      </w:r>
      <w:r>
        <w:rPr>
          <w:rFonts w:hint="eastAsia" w:ascii="宋体" w:hAnsi="宋体"/>
          <w:color w:val="auto"/>
          <w:sz w:val="24"/>
        </w:rPr>
        <w:t>1.6中华人民共和国法律、行政法规规定的其他条件</w:t>
      </w:r>
    </w:p>
    <w:p w14:paraId="0193BDEB">
      <w:pPr>
        <w:spacing w:line="360" w:lineRule="auto"/>
        <w:ind w:firstLine="480" w:firstLineChars="200"/>
        <w:rPr>
          <w:rFonts w:ascii="宋体" w:hAnsi="宋体"/>
          <w:color w:val="auto"/>
          <w:sz w:val="24"/>
        </w:rPr>
      </w:pPr>
      <w:r>
        <w:rPr>
          <w:rFonts w:hint="eastAsia" w:ascii="宋体" w:hAnsi="宋体"/>
          <w:color w:val="auto"/>
          <w:sz w:val="24"/>
        </w:rPr>
        <w:t>1.2参加本次磋商的供应商</w:t>
      </w:r>
      <w:r>
        <w:rPr>
          <w:rFonts w:ascii="宋体" w:hAnsi="宋体"/>
          <w:color w:val="auto"/>
          <w:sz w:val="24"/>
        </w:rPr>
        <w:t>不得直接或间接地与采购人（包括</w:t>
      </w:r>
      <w:r>
        <w:rPr>
          <w:rFonts w:hint="eastAsia" w:ascii="宋体" w:hAnsi="宋体"/>
          <w:color w:val="auto"/>
          <w:sz w:val="24"/>
        </w:rPr>
        <w:t>陕西国创招标有限公司</w:t>
      </w:r>
      <w:r>
        <w:rPr>
          <w:rFonts w:ascii="宋体" w:hAnsi="宋体"/>
          <w:color w:val="auto"/>
          <w:sz w:val="24"/>
        </w:rPr>
        <w:t>、采购人及用户）有任何关联，亦不得是采购人的附属机构。如果</w:t>
      </w:r>
      <w:r>
        <w:rPr>
          <w:rFonts w:hint="eastAsia" w:ascii="宋体" w:hAnsi="宋体"/>
          <w:color w:val="auto"/>
          <w:sz w:val="24"/>
        </w:rPr>
        <w:t>供应商</w:t>
      </w:r>
      <w:r>
        <w:rPr>
          <w:rFonts w:ascii="宋体" w:hAnsi="宋体"/>
          <w:color w:val="auto"/>
          <w:sz w:val="24"/>
        </w:rPr>
        <w:t>在</w:t>
      </w:r>
      <w:r>
        <w:rPr>
          <w:rFonts w:hint="eastAsia" w:ascii="宋体" w:hAnsi="宋体"/>
          <w:color w:val="auto"/>
          <w:sz w:val="24"/>
        </w:rPr>
        <w:t>磋商</w:t>
      </w:r>
      <w:r>
        <w:rPr>
          <w:rFonts w:ascii="宋体" w:hAnsi="宋体"/>
          <w:color w:val="auto"/>
          <w:sz w:val="24"/>
        </w:rPr>
        <w:t>中隐瞒了上述关系，</w:t>
      </w:r>
      <w:r>
        <w:rPr>
          <w:rFonts w:hint="eastAsia" w:ascii="宋体" w:hAnsi="宋体"/>
          <w:color w:val="auto"/>
          <w:sz w:val="24"/>
        </w:rPr>
        <w:t>其磋商响应文件按照无效处理</w:t>
      </w:r>
      <w:r>
        <w:rPr>
          <w:rFonts w:ascii="宋体" w:hAnsi="宋体"/>
          <w:color w:val="auto"/>
          <w:sz w:val="24"/>
        </w:rPr>
        <w:t>。</w:t>
      </w:r>
    </w:p>
    <w:p w14:paraId="32684AFC">
      <w:pPr>
        <w:spacing w:line="360" w:lineRule="auto"/>
        <w:ind w:firstLine="120" w:firstLineChars="50"/>
        <w:rPr>
          <w:rFonts w:ascii="宋体" w:hAnsi="宋体"/>
          <w:color w:val="auto"/>
          <w:sz w:val="24"/>
        </w:rPr>
      </w:pPr>
      <w:r>
        <w:rPr>
          <w:rFonts w:hint="eastAsia" w:ascii="宋体" w:hAnsi="宋体"/>
          <w:color w:val="auto"/>
          <w:sz w:val="24"/>
        </w:rPr>
        <w:t xml:space="preserve">   1.3单位负责人为同一人或者存在直接控股、管理关系的不同供应商，不得参加本项目同一合同项下的磋商。</w:t>
      </w:r>
      <w:r>
        <w:rPr>
          <w:rFonts w:ascii="宋体" w:hAnsi="宋体"/>
          <w:color w:val="auto"/>
          <w:sz w:val="24"/>
        </w:rPr>
        <w:t>如果</w:t>
      </w:r>
      <w:r>
        <w:rPr>
          <w:rFonts w:hint="eastAsia" w:ascii="宋体" w:hAnsi="宋体"/>
          <w:color w:val="auto"/>
          <w:sz w:val="24"/>
        </w:rPr>
        <w:t>供应商</w:t>
      </w:r>
      <w:r>
        <w:rPr>
          <w:rFonts w:ascii="宋体" w:hAnsi="宋体"/>
          <w:color w:val="auto"/>
          <w:sz w:val="24"/>
        </w:rPr>
        <w:t>在</w:t>
      </w:r>
      <w:r>
        <w:rPr>
          <w:rFonts w:hint="eastAsia" w:ascii="宋体" w:hAnsi="宋体"/>
          <w:color w:val="auto"/>
          <w:sz w:val="24"/>
        </w:rPr>
        <w:t>磋商</w:t>
      </w:r>
      <w:r>
        <w:rPr>
          <w:rFonts w:ascii="宋体" w:hAnsi="宋体"/>
          <w:color w:val="auto"/>
          <w:sz w:val="24"/>
        </w:rPr>
        <w:t>中隐瞒了上述关系，</w:t>
      </w:r>
      <w:r>
        <w:rPr>
          <w:rFonts w:hint="eastAsia" w:ascii="宋体" w:hAnsi="宋体"/>
          <w:color w:val="auto"/>
          <w:sz w:val="24"/>
        </w:rPr>
        <w:t>其磋商响应文件按照无效处理</w:t>
      </w:r>
      <w:r>
        <w:rPr>
          <w:rFonts w:ascii="宋体" w:hAnsi="宋体"/>
          <w:color w:val="auto"/>
          <w:sz w:val="24"/>
        </w:rPr>
        <w:t>。</w:t>
      </w:r>
    </w:p>
    <w:p w14:paraId="20054C48">
      <w:pPr>
        <w:spacing w:line="360" w:lineRule="auto"/>
        <w:ind w:firstLine="600" w:firstLineChars="250"/>
        <w:rPr>
          <w:rFonts w:ascii="宋体" w:hAnsi="宋体"/>
          <w:color w:val="auto"/>
          <w:sz w:val="24"/>
        </w:rPr>
      </w:pPr>
      <w:r>
        <w:rPr>
          <w:rFonts w:hint="eastAsia" w:ascii="宋体" w:hAnsi="宋体"/>
          <w:color w:val="auto"/>
          <w:sz w:val="24"/>
        </w:rPr>
        <w:t>1.4为本采购项目提供整体设计、规范编制或者项目管理、监理、检测等服务的供应商，不得再参加本采购项目的磋商报价。</w:t>
      </w:r>
      <w:r>
        <w:rPr>
          <w:rFonts w:ascii="宋体" w:hAnsi="宋体"/>
          <w:color w:val="auto"/>
          <w:sz w:val="24"/>
        </w:rPr>
        <w:t>如果</w:t>
      </w:r>
      <w:r>
        <w:rPr>
          <w:rFonts w:hint="eastAsia" w:ascii="宋体" w:hAnsi="宋体"/>
          <w:color w:val="auto"/>
          <w:sz w:val="24"/>
        </w:rPr>
        <w:t>供应商</w:t>
      </w:r>
      <w:r>
        <w:rPr>
          <w:rFonts w:ascii="宋体" w:hAnsi="宋体"/>
          <w:color w:val="auto"/>
          <w:sz w:val="24"/>
        </w:rPr>
        <w:t>在</w:t>
      </w:r>
      <w:r>
        <w:rPr>
          <w:rFonts w:hint="eastAsia" w:ascii="宋体" w:hAnsi="宋体"/>
          <w:color w:val="auto"/>
          <w:sz w:val="24"/>
        </w:rPr>
        <w:t>磋商</w:t>
      </w:r>
      <w:r>
        <w:rPr>
          <w:rFonts w:ascii="宋体" w:hAnsi="宋体"/>
          <w:color w:val="auto"/>
          <w:sz w:val="24"/>
        </w:rPr>
        <w:t>中隐瞒了上述</w:t>
      </w:r>
      <w:r>
        <w:rPr>
          <w:rFonts w:hint="eastAsia" w:ascii="宋体" w:hAnsi="宋体"/>
          <w:color w:val="auto"/>
          <w:sz w:val="24"/>
        </w:rPr>
        <w:t>事实</w:t>
      </w:r>
      <w:r>
        <w:rPr>
          <w:rFonts w:ascii="宋体" w:hAnsi="宋体"/>
          <w:color w:val="auto"/>
          <w:sz w:val="24"/>
        </w:rPr>
        <w:t>，</w:t>
      </w:r>
      <w:r>
        <w:rPr>
          <w:rFonts w:hint="eastAsia" w:ascii="宋体" w:hAnsi="宋体"/>
          <w:color w:val="auto"/>
          <w:sz w:val="24"/>
        </w:rPr>
        <w:t>其磋商响应文件按照无效处理</w:t>
      </w:r>
      <w:r>
        <w:rPr>
          <w:rFonts w:ascii="宋体" w:hAnsi="宋体"/>
          <w:color w:val="auto"/>
          <w:sz w:val="24"/>
        </w:rPr>
        <w:t>。</w:t>
      </w:r>
    </w:p>
    <w:p w14:paraId="63D72B50">
      <w:pPr>
        <w:spacing w:line="360" w:lineRule="auto"/>
        <w:ind w:firstLine="120" w:firstLineChars="50"/>
        <w:rPr>
          <w:rFonts w:ascii="宋体" w:hAnsi="宋体"/>
          <w:b/>
          <w:color w:val="auto"/>
          <w:sz w:val="24"/>
        </w:rPr>
      </w:pPr>
      <w:r>
        <w:rPr>
          <w:rFonts w:hint="eastAsia" w:ascii="宋体" w:hAnsi="宋体"/>
          <w:b/>
          <w:color w:val="auto"/>
          <w:sz w:val="24"/>
        </w:rPr>
        <w:t>2、供应商信用记录查询</w:t>
      </w:r>
    </w:p>
    <w:p w14:paraId="00C66E98">
      <w:pPr>
        <w:wordWrap w:val="0"/>
        <w:topLinePunct/>
        <w:spacing w:line="360" w:lineRule="auto"/>
        <w:ind w:firstLine="480" w:firstLineChars="200"/>
        <w:rPr>
          <w:rFonts w:ascii="宋体" w:hAnsi="宋体"/>
          <w:color w:val="auto"/>
          <w:sz w:val="24"/>
        </w:rPr>
      </w:pPr>
      <w:r>
        <w:rPr>
          <w:rFonts w:hint="eastAsia" w:ascii="宋体" w:hAnsi="宋体"/>
          <w:color w:val="auto"/>
          <w:sz w:val="24"/>
        </w:rPr>
        <w:t>2.1根据财政部与有关部门联合签署了《关于对重大税收违法案件当事人实施联合惩戒措施的合作备忘录》(发改财金〔2014〕3062号)、《失信企业协同监管和联合惩戒合作备忘录》(发改财金〔2015〕2045号)、《关于对违法失信上市公司相关责任主体实施联合惩戒的合作备忘录》(发改财金〔2015〕3062号)、《关于对失信被执行人实施联合惩戒的合作备忘录》(发改财金〔2016〕141号)、《关于对安全生产领域失信生产经营单位及其有关人员开展联合惩戒的合作备忘录》(发改财金〔2016〕1001号)，依法限制相关失信主体参与本次采购活动。</w:t>
      </w:r>
    </w:p>
    <w:p w14:paraId="3B72B354">
      <w:pPr>
        <w:wordWrap w:val="0"/>
        <w:topLinePunct/>
        <w:spacing w:line="360" w:lineRule="auto"/>
        <w:ind w:firstLine="480" w:firstLineChars="200"/>
        <w:rPr>
          <w:rFonts w:ascii="宋体" w:hAnsi="宋体"/>
          <w:color w:val="auto"/>
          <w:sz w:val="24"/>
        </w:rPr>
      </w:pPr>
      <w:r>
        <w:rPr>
          <w:rFonts w:hint="eastAsia" w:ascii="宋体" w:hAnsi="宋体"/>
          <w:color w:val="auto"/>
          <w:sz w:val="24"/>
        </w:rPr>
        <w:t>2.2信用记录查询渠道</w:t>
      </w:r>
    </w:p>
    <w:p w14:paraId="144B9F44">
      <w:pPr>
        <w:wordWrap w:val="0"/>
        <w:topLinePunct/>
        <w:spacing w:line="360" w:lineRule="auto"/>
        <w:ind w:firstLine="480" w:firstLineChars="200"/>
        <w:rPr>
          <w:rFonts w:ascii="宋体" w:hAnsi="宋体"/>
          <w:color w:val="auto"/>
          <w:sz w:val="24"/>
        </w:rPr>
      </w:pPr>
      <w:r>
        <w:rPr>
          <w:rFonts w:ascii="宋体" w:hAnsi="宋体"/>
          <w:color w:val="auto"/>
          <w:sz w:val="24"/>
        </w:rPr>
        <w:t>“信用中国”网站(www.creditchina.gov.cn)</w:t>
      </w:r>
      <w:r>
        <w:rPr>
          <w:rFonts w:hint="eastAsia" w:ascii="宋体" w:hAnsi="宋体"/>
          <w:color w:val="auto"/>
          <w:sz w:val="24"/>
        </w:rPr>
        <w:t xml:space="preserve"> 、中国政府采购网(www.ccgp.gov.cn)为供应商</w:t>
      </w:r>
      <w:r>
        <w:rPr>
          <w:rFonts w:ascii="宋体" w:hAnsi="宋体"/>
          <w:color w:val="auto"/>
          <w:sz w:val="24"/>
        </w:rPr>
        <w:t>信用</w:t>
      </w:r>
      <w:r>
        <w:rPr>
          <w:rFonts w:hint="eastAsia" w:ascii="宋体" w:hAnsi="宋体"/>
          <w:color w:val="auto"/>
          <w:sz w:val="24"/>
        </w:rPr>
        <w:t>记录的</w:t>
      </w:r>
      <w:r>
        <w:rPr>
          <w:rFonts w:ascii="宋体" w:hAnsi="宋体"/>
          <w:color w:val="auto"/>
          <w:sz w:val="24"/>
        </w:rPr>
        <w:t>查询渠道</w:t>
      </w:r>
      <w:r>
        <w:rPr>
          <w:rFonts w:hint="eastAsia" w:ascii="宋体" w:hAnsi="宋体"/>
          <w:color w:val="auto"/>
          <w:sz w:val="24"/>
        </w:rPr>
        <w:t>。查询截图（信用中国及中国政府采购网缺一不可）须附在响应文件正副本中，并加盖供应商公章。</w:t>
      </w:r>
    </w:p>
    <w:p w14:paraId="0DCDC2BB">
      <w:pPr>
        <w:wordWrap w:val="0"/>
        <w:topLinePunct/>
        <w:spacing w:line="360" w:lineRule="auto"/>
        <w:ind w:firstLine="480" w:firstLineChars="200"/>
        <w:rPr>
          <w:rFonts w:ascii="宋体" w:hAnsi="宋体"/>
          <w:color w:val="auto"/>
          <w:sz w:val="24"/>
        </w:rPr>
      </w:pPr>
      <w:r>
        <w:rPr>
          <w:rFonts w:hint="eastAsia" w:ascii="宋体" w:hAnsi="宋体"/>
          <w:color w:val="auto"/>
          <w:sz w:val="24"/>
        </w:rPr>
        <w:t>2.3信用记录的使用及时间截点</w:t>
      </w:r>
    </w:p>
    <w:p w14:paraId="50A17A68">
      <w:pPr>
        <w:wordWrap w:val="0"/>
        <w:topLinePunct/>
        <w:spacing w:line="360" w:lineRule="auto"/>
        <w:ind w:firstLine="480" w:firstLineChars="200"/>
        <w:rPr>
          <w:rFonts w:ascii="宋体" w:hAnsi="宋体"/>
          <w:color w:val="auto"/>
          <w:sz w:val="24"/>
        </w:rPr>
      </w:pPr>
      <w:r>
        <w:rPr>
          <w:rFonts w:hint="eastAsia" w:ascii="宋体" w:hAnsi="宋体"/>
          <w:color w:val="auto"/>
          <w:sz w:val="24"/>
        </w:rPr>
        <w:t>如果供应商（包含法定代表人）被查实在投标截止时间前已列入失信被执行人、重大税收违法案件当事人名单、政府采购严重违法失信行为记录名单，其投标为无效投标。从名单中被移出或期限届满的，则可参加本次采购活动。</w:t>
      </w:r>
    </w:p>
    <w:p w14:paraId="395BBDD5">
      <w:pPr>
        <w:ind w:firstLine="120" w:firstLineChars="50"/>
        <w:rPr>
          <w:rFonts w:ascii="宋体" w:hAnsi="宋体"/>
          <w:b/>
          <w:color w:val="auto"/>
          <w:sz w:val="24"/>
        </w:rPr>
      </w:pPr>
      <w:r>
        <w:rPr>
          <w:rFonts w:hint="eastAsia" w:ascii="宋体" w:hAnsi="宋体"/>
          <w:b/>
          <w:color w:val="auto"/>
          <w:sz w:val="24"/>
        </w:rPr>
        <w:t>3、磋商委托</w:t>
      </w:r>
    </w:p>
    <w:p w14:paraId="452F9800">
      <w:pPr>
        <w:spacing w:line="360" w:lineRule="auto"/>
        <w:ind w:firstLine="480" w:firstLineChars="200"/>
        <w:rPr>
          <w:rFonts w:ascii="宋体" w:hAnsi="宋体"/>
          <w:color w:val="auto"/>
          <w:sz w:val="24"/>
        </w:rPr>
      </w:pPr>
      <w:r>
        <w:rPr>
          <w:rFonts w:hint="eastAsia" w:ascii="宋体" w:hAnsi="宋体"/>
          <w:color w:val="auto"/>
          <w:sz w:val="24"/>
        </w:rPr>
        <w:t>如供应商代表不是法定代表人，须持有《法定代表人授权书》（原件）。</w:t>
      </w:r>
    </w:p>
    <w:p w14:paraId="461C3CB9">
      <w:pPr>
        <w:ind w:firstLine="120" w:firstLineChars="50"/>
        <w:rPr>
          <w:rFonts w:ascii="宋体" w:hAnsi="宋体"/>
          <w:b/>
          <w:color w:val="auto"/>
          <w:sz w:val="24"/>
        </w:rPr>
      </w:pPr>
      <w:r>
        <w:rPr>
          <w:rFonts w:hint="eastAsia" w:ascii="宋体" w:hAnsi="宋体"/>
          <w:b/>
          <w:color w:val="auto"/>
          <w:sz w:val="24"/>
        </w:rPr>
        <w:t>4、磋商费用</w:t>
      </w:r>
    </w:p>
    <w:p w14:paraId="7F072C67">
      <w:pPr>
        <w:spacing w:line="360" w:lineRule="auto"/>
        <w:ind w:firstLine="480" w:firstLineChars="200"/>
        <w:rPr>
          <w:rFonts w:ascii="宋体" w:hAnsi="宋体"/>
          <w:color w:val="auto"/>
          <w:sz w:val="24"/>
        </w:rPr>
      </w:pPr>
      <w:r>
        <w:rPr>
          <w:rFonts w:hint="eastAsia" w:ascii="宋体" w:hAnsi="宋体"/>
          <w:color w:val="auto"/>
          <w:sz w:val="24"/>
        </w:rPr>
        <w:t>无论磋商结果如何，供应商自行承担参加磋商相关的全部费用。</w:t>
      </w:r>
    </w:p>
    <w:p w14:paraId="4AFA667E">
      <w:pPr>
        <w:jc w:val="center"/>
        <w:rPr>
          <w:rFonts w:ascii="宋体" w:hAnsi="宋体"/>
          <w:color w:val="auto"/>
          <w:sz w:val="30"/>
          <w:szCs w:val="30"/>
        </w:rPr>
      </w:pPr>
      <w:r>
        <w:rPr>
          <w:rFonts w:hint="eastAsia" w:ascii="宋体" w:hAnsi="宋体"/>
          <w:b/>
          <w:color w:val="auto"/>
          <w:sz w:val="30"/>
          <w:szCs w:val="30"/>
        </w:rPr>
        <w:t>三．磋商文件</w:t>
      </w:r>
    </w:p>
    <w:p w14:paraId="5A1B60E7">
      <w:pPr>
        <w:ind w:firstLine="120" w:firstLineChars="50"/>
        <w:rPr>
          <w:rFonts w:ascii="宋体" w:hAnsi="宋体"/>
          <w:b/>
          <w:color w:val="auto"/>
          <w:sz w:val="24"/>
        </w:rPr>
      </w:pPr>
      <w:r>
        <w:rPr>
          <w:rFonts w:hint="eastAsia" w:ascii="宋体" w:hAnsi="宋体"/>
          <w:b/>
          <w:color w:val="auto"/>
          <w:sz w:val="24"/>
        </w:rPr>
        <w:t>5、磋商文件构成</w:t>
      </w:r>
    </w:p>
    <w:p w14:paraId="6002D06B">
      <w:pPr>
        <w:spacing w:line="360" w:lineRule="auto"/>
        <w:ind w:firstLine="480" w:firstLineChars="200"/>
        <w:rPr>
          <w:rFonts w:ascii="宋体" w:hAnsi="宋体"/>
          <w:color w:val="auto"/>
          <w:sz w:val="24"/>
        </w:rPr>
      </w:pPr>
      <w:r>
        <w:rPr>
          <w:rFonts w:hint="eastAsia" w:ascii="宋体" w:hAnsi="宋体"/>
          <w:color w:val="auto"/>
          <w:sz w:val="24"/>
        </w:rPr>
        <w:t>5.1磋商文件规定了</w:t>
      </w:r>
      <w:r>
        <w:rPr>
          <w:rFonts w:ascii="宋体" w:hAnsi="宋体"/>
          <w:color w:val="auto"/>
          <w:sz w:val="24"/>
        </w:rPr>
        <w:t>要求提供的</w:t>
      </w:r>
      <w:r>
        <w:rPr>
          <w:rFonts w:hint="eastAsia" w:ascii="宋体" w:hAnsi="宋体"/>
          <w:color w:val="auto"/>
          <w:sz w:val="24"/>
        </w:rPr>
        <w:t>货物及服务。</w:t>
      </w:r>
      <w:r>
        <w:rPr>
          <w:rFonts w:ascii="宋体" w:hAnsi="宋体"/>
          <w:color w:val="auto"/>
          <w:sz w:val="24"/>
        </w:rPr>
        <w:t>磋商程序和合同条件在磋商文件中均有说明。磋商文件共</w:t>
      </w:r>
      <w:r>
        <w:rPr>
          <w:rFonts w:hint="eastAsia" w:ascii="宋体" w:hAnsi="宋体"/>
          <w:color w:val="auto"/>
          <w:sz w:val="24"/>
        </w:rPr>
        <w:t>五</w:t>
      </w:r>
      <w:r>
        <w:rPr>
          <w:rFonts w:ascii="宋体" w:hAnsi="宋体"/>
          <w:color w:val="auto"/>
          <w:sz w:val="24"/>
        </w:rPr>
        <w:t>章</w:t>
      </w:r>
      <w:r>
        <w:rPr>
          <w:rFonts w:hint="eastAsia" w:ascii="宋体" w:hAnsi="宋体"/>
          <w:color w:val="auto"/>
          <w:sz w:val="24"/>
        </w:rPr>
        <w:t>，</w:t>
      </w:r>
      <w:r>
        <w:rPr>
          <w:rFonts w:ascii="宋体" w:hAnsi="宋体"/>
          <w:color w:val="auto"/>
          <w:sz w:val="24"/>
        </w:rPr>
        <w:t>内容如下：</w:t>
      </w:r>
    </w:p>
    <w:p w14:paraId="622AB492">
      <w:pPr>
        <w:spacing w:line="360" w:lineRule="auto"/>
        <w:ind w:firstLine="480" w:firstLineChars="200"/>
        <w:rPr>
          <w:rFonts w:ascii="宋体" w:hAnsi="宋体"/>
          <w:color w:val="auto"/>
          <w:sz w:val="24"/>
        </w:rPr>
      </w:pPr>
      <w:r>
        <w:rPr>
          <w:rFonts w:ascii="宋体" w:hAnsi="宋体"/>
          <w:color w:val="auto"/>
          <w:sz w:val="24"/>
        </w:rPr>
        <w:t>第一章</w:t>
      </w:r>
      <w:r>
        <w:rPr>
          <w:rFonts w:hint="eastAsia" w:ascii="宋体" w:hAnsi="宋体"/>
          <w:color w:val="auto"/>
          <w:sz w:val="24"/>
        </w:rPr>
        <w:t xml:space="preserve"> </w:t>
      </w:r>
      <w:r>
        <w:rPr>
          <w:rFonts w:ascii="宋体" w:hAnsi="宋体"/>
          <w:color w:val="auto"/>
          <w:sz w:val="24"/>
        </w:rPr>
        <w:t>磋商邀请书</w:t>
      </w:r>
    </w:p>
    <w:p w14:paraId="47056890">
      <w:pPr>
        <w:spacing w:line="360" w:lineRule="auto"/>
        <w:ind w:firstLine="480" w:firstLineChars="200"/>
        <w:rPr>
          <w:rFonts w:ascii="宋体" w:hAnsi="宋体"/>
          <w:color w:val="auto"/>
          <w:sz w:val="24"/>
        </w:rPr>
      </w:pPr>
      <w:r>
        <w:rPr>
          <w:rFonts w:hint="eastAsia" w:ascii="宋体" w:hAnsi="宋体"/>
          <w:color w:val="auto"/>
          <w:sz w:val="24"/>
        </w:rPr>
        <w:t xml:space="preserve">第二章 </w:t>
      </w:r>
      <w:r>
        <w:rPr>
          <w:rFonts w:ascii="宋体" w:hAnsi="宋体"/>
          <w:color w:val="auto"/>
          <w:sz w:val="24"/>
        </w:rPr>
        <w:t>磋商须知</w:t>
      </w:r>
    </w:p>
    <w:p w14:paraId="0E64D3E1">
      <w:pPr>
        <w:spacing w:line="360" w:lineRule="auto"/>
        <w:ind w:firstLine="480" w:firstLineChars="200"/>
        <w:rPr>
          <w:rFonts w:ascii="宋体" w:hAnsi="宋体"/>
          <w:color w:val="auto"/>
          <w:sz w:val="24"/>
        </w:rPr>
      </w:pPr>
      <w:r>
        <w:rPr>
          <w:rFonts w:ascii="宋体" w:hAnsi="宋体"/>
          <w:color w:val="auto"/>
          <w:sz w:val="24"/>
        </w:rPr>
        <w:t>第</w:t>
      </w:r>
      <w:r>
        <w:rPr>
          <w:rFonts w:hint="eastAsia" w:ascii="宋体" w:hAnsi="宋体"/>
          <w:color w:val="auto"/>
          <w:sz w:val="24"/>
        </w:rPr>
        <w:t>三</w:t>
      </w:r>
      <w:r>
        <w:rPr>
          <w:rFonts w:ascii="宋体" w:hAnsi="宋体"/>
          <w:color w:val="auto"/>
          <w:sz w:val="24"/>
        </w:rPr>
        <w:t>章</w:t>
      </w:r>
      <w:r>
        <w:rPr>
          <w:rFonts w:hint="eastAsia" w:ascii="宋体" w:hAnsi="宋体"/>
          <w:color w:val="auto"/>
          <w:sz w:val="24"/>
        </w:rPr>
        <w:t xml:space="preserve"> 服务要求及内容</w:t>
      </w:r>
    </w:p>
    <w:p w14:paraId="2513933A">
      <w:pPr>
        <w:spacing w:line="360" w:lineRule="auto"/>
        <w:ind w:firstLine="480" w:firstLineChars="200"/>
        <w:rPr>
          <w:rFonts w:ascii="宋体" w:hAnsi="宋体"/>
          <w:color w:val="auto"/>
          <w:sz w:val="24"/>
        </w:rPr>
      </w:pPr>
      <w:r>
        <w:rPr>
          <w:rFonts w:hint="eastAsia" w:ascii="宋体" w:hAnsi="宋体"/>
          <w:color w:val="auto"/>
          <w:sz w:val="24"/>
        </w:rPr>
        <w:t xml:space="preserve">第四章 </w:t>
      </w:r>
      <w:r>
        <w:rPr>
          <w:rFonts w:ascii="宋体" w:hAnsi="宋体"/>
          <w:color w:val="auto"/>
          <w:sz w:val="24"/>
        </w:rPr>
        <w:t>商务及合同</w:t>
      </w:r>
      <w:r>
        <w:rPr>
          <w:rFonts w:hint="eastAsia" w:ascii="宋体" w:hAnsi="宋体"/>
          <w:color w:val="auto"/>
          <w:sz w:val="24"/>
        </w:rPr>
        <w:t>主要</w:t>
      </w:r>
      <w:r>
        <w:rPr>
          <w:rFonts w:ascii="宋体" w:hAnsi="宋体"/>
          <w:color w:val="auto"/>
          <w:sz w:val="24"/>
        </w:rPr>
        <w:t>条款</w:t>
      </w:r>
    </w:p>
    <w:p w14:paraId="707A418A">
      <w:pPr>
        <w:spacing w:line="360" w:lineRule="auto"/>
        <w:ind w:firstLine="480" w:firstLineChars="200"/>
        <w:rPr>
          <w:rFonts w:ascii="宋体" w:hAnsi="宋体"/>
          <w:color w:val="auto"/>
          <w:sz w:val="24"/>
        </w:rPr>
      </w:pPr>
      <w:r>
        <w:rPr>
          <w:rFonts w:ascii="宋体" w:hAnsi="宋体"/>
          <w:color w:val="auto"/>
          <w:sz w:val="24"/>
        </w:rPr>
        <w:t>第</w:t>
      </w:r>
      <w:r>
        <w:rPr>
          <w:rFonts w:hint="eastAsia" w:ascii="宋体" w:hAnsi="宋体"/>
          <w:color w:val="auto"/>
          <w:sz w:val="24"/>
        </w:rPr>
        <w:t>五</w:t>
      </w:r>
      <w:r>
        <w:rPr>
          <w:rFonts w:ascii="宋体" w:hAnsi="宋体"/>
          <w:color w:val="auto"/>
          <w:sz w:val="24"/>
        </w:rPr>
        <w:t>章</w:t>
      </w:r>
      <w:r>
        <w:rPr>
          <w:rFonts w:hint="eastAsia" w:ascii="宋体" w:hAnsi="宋体"/>
          <w:color w:val="auto"/>
          <w:sz w:val="24"/>
        </w:rPr>
        <w:t xml:space="preserve"> </w:t>
      </w:r>
      <w:r>
        <w:rPr>
          <w:rFonts w:ascii="宋体" w:hAnsi="宋体"/>
          <w:color w:val="auto"/>
          <w:sz w:val="24"/>
        </w:rPr>
        <w:t>响应文件格式</w:t>
      </w:r>
    </w:p>
    <w:p w14:paraId="14D583F2">
      <w:pPr>
        <w:pStyle w:val="25"/>
        <w:spacing w:before="0" w:beforeAutospacing="0" w:after="0" w:afterAutospacing="0" w:line="360" w:lineRule="auto"/>
        <w:ind w:firstLine="480" w:firstLineChars="200"/>
        <w:rPr>
          <w:rFonts w:cs="Times New Roman"/>
          <w:color w:val="auto"/>
          <w:kern w:val="2"/>
        </w:rPr>
      </w:pPr>
      <w:r>
        <w:rPr>
          <w:rFonts w:hint="eastAsia" w:cs="Times New Roman"/>
          <w:color w:val="auto"/>
          <w:kern w:val="2"/>
        </w:rPr>
        <w:t>5.2适用范围：本次招标依据采购人的采购计划，仅适用于本招标文件中所叙述的项目。</w:t>
      </w:r>
      <w:r>
        <w:rPr>
          <w:rFonts w:cs="Times New Roman"/>
          <w:color w:val="auto"/>
          <w:kern w:val="2"/>
        </w:rPr>
        <w:t xml:space="preserve"> </w:t>
      </w:r>
    </w:p>
    <w:p w14:paraId="7A189774">
      <w:pPr>
        <w:pStyle w:val="25"/>
        <w:spacing w:before="0" w:beforeAutospacing="0" w:after="0" w:afterAutospacing="0" w:line="360" w:lineRule="auto"/>
        <w:rPr>
          <w:b/>
          <w:color w:val="auto"/>
          <w:shd w:val="pct10" w:color="auto" w:fill="FFFFFF"/>
        </w:rPr>
      </w:pPr>
      <w:r>
        <w:rPr>
          <w:rFonts w:hint="eastAsia" w:cs="Times New Roman"/>
          <w:color w:val="auto"/>
          <w:kern w:val="2"/>
        </w:rPr>
        <w:t xml:space="preserve">  </w:t>
      </w:r>
      <w:r>
        <w:rPr>
          <w:rFonts w:hint="eastAsia"/>
          <w:b/>
          <w:color w:val="auto"/>
        </w:rPr>
        <w:t>6．供应商询问和质疑</w:t>
      </w:r>
    </w:p>
    <w:p w14:paraId="28971F8D">
      <w:pPr>
        <w:ind w:firstLine="480"/>
        <w:rPr>
          <w:rFonts w:ascii="宋体" w:hAnsi="宋体"/>
          <w:color w:val="auto"/>
          <w:sz w:val="24"/>
        </w:rPr>
      </w:pPr>
      <w:r>
        <w:rPr>
          <w:rFonts w:hint="eastAsia" w:ascii="宋体" w:hAnsi="宋体"/>
          <w:color w:val="auto"/>
          <w:sz w:val="24"/>
        </w:rPr>
        <w:t xml:space="preserve">6.1供应商认为磋商文件、采购过程、成交结果使自己的权益受到损害的，可以在知道或者应知其权益受到损害之日起七个工作日内，以书面形式向采购代理机构提出。 </w:t>
      </w:r>
    </w:p>
    <w:p w14:paraId="4296DC93">
      <w:pPr>
        <w:ind w:firstLine="480"/>
        <w:rPr>
          <w:rFonts w:ascii="宋体" w:hAnsi="宋体"/>
          <w:color w:val="auto"/>
          <w:sz w:val="24"/>
        </w:rPr>
      </w:pPr>
      <w:r>
        <w:rPr>
          <w:rFonts w:hint="eastAsia" w:ascii="宋体" w:hAnsi="宋体"/>
          <w:color w:val="auto"/>
          <w:sz w:val="24"/>
        </w:rPr>
        <w:t>供应商</w:t>
      </w:r>
      <w:r>
        <w:rPr>
          <w:rFonts w:hint="eastAsia" w:ascii="宋体" w:hAnsi="宋体" w:cs="Arial"/>
          <w:color w:val="auto"/>
          <w:sz w:val="24"/>
        </w:rPr>
        <w:t>法定代表人提交质疑的，须出具法定代表人资格证明书和必要的证明材料原件；委托代理人提交质疑的，必须向其出具授权委托书，授权委托书应当载明代理人的姓名或者名称、代理事项、具体权限、期限和相关事项，由法定代表人签字或者盖章，并加盖单位公章和必要的证明材料原件。</w:t>
      </w:r>
    </w:p>
    <w:p w14:paraId="5EC739C4">
      <w:pPr>
        <w:ind w:firstLine="480" w:firstLineChars="200"/>
        <w:rPr>
          <w:rFonts w:ascii="宋体" w:hAnsi="宋体"/>
          <w:color w:val="auto"/>
          <w:sz w:val="24"/>
        </w:rPr>
      </w:pPr>
      <w:r>
        <w:rPr>
          <w:rFonts w:hint="eastAsia" w:ascii="宋体" w:hAnsi="宋体"/>
          <w:color w:val="auto"/>
          <w:sz w:val="24"/>
        </w:rPr>
        <w:t>6.2质疑函应当包括下列内容：</w:t>
      </w:r>
    </w:p>
    <w:p w14:paraId="6F2ED49B">
      <w:pPr>
        <w:ind w:firstLine="480" w:firstLineChars="200"/>
        <w:rPr>
          <w:rFonts w:ascii="宋体" w:hAnsi="宋体"/>
          <w:color w:val="auto"/>
          <w:sz w:val="24"/>
        </w:rPr>
      </w:pPr>
      <w:r>
        <w:rPr>
          <w:rFonts w:hint="eastAsia" w:ascii="宋体" w:hAnsi="宋体"/>
          <w:color w:val="auto"/>
          <w:sz w:val="24"/>
        </w:rPr>
        <w:t>6.2.1供应商的姓名或者名称、地址、邮编、联系人及联系电话；</w:t>
      </w:r>
    </w:p>
    <w:p w14:paraId="62791AD2">
      <w:pPr>
        <w:ind w:firstLine="480" w:firstLineChars="200"/>
        <w:rPr>
          <w:rFonts w:ascii="宋体" w:hAnsi="宋体"/>
          <w:color w:val="auto"/>
          <w:sz w:val="24"/>
        </w:rPr>
      </w:pPr>
      <w:r>
        <w:rPr>
          <w:rFonts w:hint="eastAsia" w:ascii="宋体" w:hAnsi="宋体"/>
          <w:color w:val="auto"/>
          <w:sz w:val="24"/>
        </w:rPr>
        <w:t>6.2.2质疑项目的名称、编号；</w:t>
      </w:r>
    </w:p>
    <w:p w14:paraId="6A8F04EE">
      <w:pPr>
        <w:ind w:firstLine="480" w:firstLineChars="200"/>
        <w:rPr>
          <w:rFonts w:ascii="宋体" w:hAnsi="宋体"/>
          <w:color w:val="auto"/>
          <w:sz w:val="24"/>
        </w:rPr>
      </w:pPr>
      <w:r>
        <w:rPr>
          <w:rFonts w:hint="eastAsia" w:ascii="宋体" w:hAnsi="宋体"/>
          <w:color w:val="auto"/>
          <w:sz w:val="24"/>
        </w:rPr>
        <w:t>6.2.3具体、明确的质疑事项和与质疑事项相关的请求；</w:t>
      </w:r>
    </w:p>
    <w:p w14:paraId="5A9C9330">
      <w:pPr>
        <w:ind w:firstLine="480" w:firstLineChars="200"/>
        <w:rPr>
          <w:rFonts w:ascii="宋体" w:hAnsi="宋体"/>
          <w:color w:val="auto"/>
          <w:sz w:val="24"/>
        </w:rPr>
      </w:pPr>
      <w:r>
        <w:rPr>
          <w:rFonts w:hint="eastAsia" w:ascii="宋体" w:hAnsi="宋体"/>
          <w:color w:val="auto"/>
          <w:sz w:val="24"/>
        </w:rPr>
        <w:t>6.2.4事实依据；</w:t>
      </w:r>
    </w:p>
    <w:p w14:paraId="5AB94F74">
      <w:pPr>
        <w:ind w:firstLine="480" w:firstLineChars="200"/>
        <w:rPr>
          <w:rFonts w:ascii="宋体" w:hAnsi="宋体"/>
          <w:color w:val="auto"/>
          <w:sz w:val="24"/>
        </w:rPr>
      </w:pPr>
      <w:r>
        <w:rPr>
          <w:rFonts w:hint="eastAsia" w:ascii="宋体" w:hAnsi="宋体"/>
          <w:color w:val="auto"/>
          <w:sz w:val="24"/>
        </w:rPr>
        <w:t>6.2.5必要的法律依据；</w:t>
      </w:r>
    </w:p>
    <w:p w14:paraId="3A2787B9">
      <w:pPr>
        <w:ind w:firstLine="480" w:firstLineChars="200"/>
        <w:rPr>
          <w:rFonts w:ascii="宋体" w:hAnsi="宋体"/>
          <w:color w:val="auto"/>
          <w:sz w:val="24"/>
        </w:rPr>
      </w:pPr>
      <w:r>
        <w:rPr>
          <w:rFonts w:hint="eastAsia" w:ascii="宋体" w:hAnsi="宋体"/>
          <w:color w:val="auto"/>
          <w:sz w:val="24"/>
        </w:rPr>
        <w:t xml:space="preserve">6.2.6提出质疑的日期。 </w:t>
      </w:r>
    </w:p>
    <w:p w14:paraId="6FC94947">
      <w:pPr>
        <w:ind w:firstLine="480" w:firstLineChars="200"/>
        <w:rPr>
          <w:rFonts w:ascii="宋体" w:hAnsi="宋体"/>
          <w:color w:val="auto"/>
          <w:sz w:val="24"/>
        </w:rPr>
      </w:pPr>
      <w:r>
        <w:rPr>
          <w:rFonts w:hint="eastAsia" w:ascii="宋体" w:hAnsi="宋体"/>
          <w:color w:val="auto"/>
          <w:sz w:val="24"/>
        </w:rPr>
        <w:t>备注：供应商须在法定质疑期内一次性提出针对同一采购程序环节的质疑。</w:t>
      </w:r>
    </w:p>
    <w:p w14:paraId="08555DEA">
      <w:pPr>
        <w:ind w:firstLine="480" w:firstLineChars="200"/>
        <w:rPr>
          <w:rFonts w:ascii="宋体" w:hAnsi="宋体"/>
          <w:color w:val="auto"/>
          <w:sz w:val="24"/>
        </w:rPr>
      </w:pPr>
      <w:r>
        <w:rPr>
          <w:rFonts w:hint="eastAsia" w:ascii="宋体" w:hAnsi="宋体"/>
          <w:color w:val="auto"/>
          <w:sz w:val="24"/>
        </w:rPr>
        <w:t>6.3质疑有以下情形之一的，采购代理机构不予受理：</w:t>
      </w:r>
    </w:p>
    <w:p w14:paraId="5DBCAA66">
      <w:pPr>
        <w:ind w:firstLine="480" w:firstLineChars="200"/>
        <w:rPr>
          <w:rFonts w:ascii="宋体" w:hAnsi="宋体"/>
          <w:color w:val="auto"/>
          <w:sz w:val="24"/>
        </w:rPr>
      </w:pPr>
      <w:r>
        <w:rPr>
          <w:rFonts w:hint="eastAsia" w:ascii="宋体" w:hAnsi="宋体"/>
          <w:color w:val="auto"/>
          <w:sz w:val="24"/>
        </w:rPr>
        <w:t>6.3.1未按规定程序和渠道提出质疑的；</w:t>
      </w:r>
    </w:p>
    <w:p w14:paraId="65303D6A">
      <w:pPr>
        <w:ind w:firstLine="480" w:firstLineChars="200"/>
        <w:rPr>
          <w:rFonts w:ascii="宋体" w:hAnsi="宋体"/>
          <w:color w:val="auto"/>
          <w:sz w:val="24"/>
        </w:rPr>
      </w:pPr>
      <w:r>
        <w:rPr>
          <w:rFonts w:hint="eastAsia" w:ascii="宋体" w:hAnsi="宋体"/>
          <w:color w:val="auto"/>
          <w:sz w:val="24"/>
        </w:rPr>
        <w:t xml:space="preserve">6.3.2超过法定质疑期限的； </w:t>
      </w:r>
    </w:p>
    <w:p w14:paraId="3AEFDC80">
      <w:pPr>
        <w:ind w:firstLine="480" w:firstLineChars="200"/>
        <w:rPr>
          <w:rFonts w:ascii="宋体" w:hAnsi="宋体"/>
          <w:color w:val="auto"/>
          <w:sz w:val="24"/>
        </w:rPr>
      </w:pPr>
      <w:r>
        <w:rPr>
          <w:rFonts w:hint="eastAsia" w:ascii="宋体" w:hAnsi="宋体"/>
          <w:color w:val="auto"/>
          <w:sz w:val="24"/>
        </w:rPr>
        <w:t>6.3.3书面质疑的形式和内容不符合上述要求的；</w:t>
      </w:r>
    </w:p>
    <w:p w14:paraId="4F4262A9">
      <w:pPr>
        <w:ind w:firstLine="480" w:firstLineChars="200"/>
        <w:rPr>
          <w:rFonts w:ascii="宋体" w:hAnsi="宋体"/>
          <w:color w:val="auto"/>
          <w:sz w:val="24"/>
        </w:rPr>
      </w:pPr>
      <w:r>
        <w:rPr>
          <w:rFonts w:hint="eastAsia" w:ascii="宋体" w:hAnsi="宋体"/>
          <w:color w:val="auto"/>
          <w:sz w:val="24"/>
        </w:rPr>
        <w:t xml:space="preserve">6.3.4提出的质疑事项已经明确答复的； </w:t>
      </w:r>
    </w:p>
    <w:p w14:paraId="341ED567">
      <w:pPr>
        <w:ind w:firstLine="480" w:firstLineChars="200"/>
        <w:rPr>
          <w:rFonts w:ascii="宋体" w:hAnsi="宋体"/>
          <w:color w:val="auto"/>
          <w:sz w:val="24"/>
        </w:rPr>
      </w:pPr>
      <w:r>
        <w:rPr>
          <w:rFonts w:hint="eastAsia" w:ascii="宋体" w:hAnsi="宋体"/>
          <w:color w:val="auto"/>
          <w:sz w:val="24"/>
        </w:rPr>
        <w:t>6.3.5法律法规规定的其他不予受理的条件。</w:t>
      </w:r>
    </w:p>
    <w:p w14:paraId="358BFA42">
      <w:pPr>
        <w:ind w:firstLine="480" w:firstLineChars="200"/>
        <w:rPr>
          <w:rFonts w:ascii="宋体" w:hAnsi="宋体"/>
          <w:color w:val="auto"/>
          <w:sz w:val="24"/>
        </w:rPr>
      </w:pPr>
      <w:r>
        <w:rPr>
          <w:rFonts w:hint="eastAsia" w:ascii="宋体" w:hAnsi="宋体"/>
          <w:color w:val="auto"/>
          <w:sz w:val="24"/>
        </w:rPr>
        <w:t>6.4采购代理机构应当在收到质疑函后七个工作日内做出书面答复。答复内容同时通知与处理结果有关的供应商，但答复内容不得涉及供应商的商业秘密。</w:t>
      </w:r>
    </w:p>
    <w:p w14:paraId="162A48B5">
      <w:pPr>
        <w:pStyle w:val="25"/>
        <w:spacing w:before="0" w:beforeAutospacing="0" w:after="0" w:afterAutospacing="0" w:line="360" w:lineRule="auto"/>
        <w:ind w:firstLine="482" w:firstLineChars="200"/>
        <w:rPr>
          <w:b/>
          <w:color w:val="auto"/>
        </w:rPr>
      </w:pPr>
      <w:r>
        <w:rPr>
          <w:b/>
          <w:color w:val="auto"/>
        </w:rPr>
        <w:t>接收质疑函的方式</w:t>
      </w:r>
      <w:r>
        <w:rPr>
          <w:rFonts w:hint="eastAsia"/>
          <w:b/>
          <w:color w:val="auto"/>
        </w:rPr>
        <w:t>：书面形式</w:t>
      </w:r>
    </w:p>
    <w:p w14:paraId="13CB7FE8">
      <w:pPr>
        <w:pStyle w:val="25"/>
        <w:spacing w:before="0" w:beforeAutospacing="0" w:after="0" w:afterAutospacing="0" w:line="360" w:lineRule="auto"/>
        <w:ind w:firstLine="482" w:firstLineChars="200"/>
        <w:rPr>
          <w:b/>
          <w:color w:val="auto"/>
          <w:kern w:val="2"/>
        </w:rPr>
      </w:pPr>
      <w:r>
        <w:rPr>
          <w:b/>
          <w:color w:val="auto"/>
        </w:rPr>
        <w:t>联系部门</w:t>
      </w:r>
      <w:r>
        <w:rPr>
          <w:rFonts w:hint="eastAsia"/>
          <w:b/>
          <w:color w:val="auto"/>
        </w:rPr>
        <w:t>：招标部</w:t>
      </w:r>
      <w:r>
        <w:rPr>
          <w:rFonts w:hint="eastAsia"/>
          <w:b/>
          <w:color w:val="auto"/>
          <w:kern w:val="2"/>
        </w:rPr>
        <w:t xml:space="preserve">                  联系人：任亚明 </w:t>
      </w:r>
    </w:p>
    <w:p w14:paraId="78A8F1E1">
      <w:pPr>
        <w:pStyle w:val="25"/>
        <w:spacing w:before="0" w:beforeAutospacing="0" w:after="0" w:afterAutospacing="0" w:line="360" w:lineRule="auto"/>
        <w:ind w:firstLine="482" w:firstLineChars="200"/>
        <w:rPr>
          <w:b/>
          <w:color w:val="auto"/>
          <w:kern w:val="2"/>
        </w:rPr>
      </w:pPr>
      <w:r>
        <w:rPr>
          <w:rFonts w:hint="eastAsia"/>
          <w:b/>
          <w:color w:val="auto"/>
          <w:kern w:val="2"/>
        </w:rPr>
        <w:t>联系电话：029-81873312            邮箱：</w:t>
      </w:r>
      <w:r>
        <w:rPr>
          <w:color w:val="auto"/>
        </w:rPr>
        <w:fldChar w:fldCharType="begin"/>
      </w:r>
      <w:r>
        <w:rPr>
          <w:color w:val="auto"/>
        </w:rPr>
        <w:instrText xml:space="preserve"> HYPERLINK "mailto:549470923@qq.com" </w:instrText>
      </w:r>
      <w:r>
        <w:rPr>
          <w:color w:val="auto"/>
        </w:rPr>
        <w:fldChar w:fldCharType="separate"/>
      </w:r>
      <w:r>
        <w:rPr>
          <w:rStyle w:val="33"/>
          <w:rFonts w:hint="eastAsia"/>
          <w:b/>
          <w:color w:val="auto"/>
          <w:kern w:val="2"/>
        </w:rPr>
        <w:t>2225197684@qq.com</w:t>
      </w:r>
      <w:r>
        <w:rPr>
          <w:rStyle w:val="33"/>
          <w:rFonts w:hint="eastAsia"/>
          <w:b/>
          <w:color w:val="auto"/>
          <w:kern w:val="2"/>
        </w:rPr>
        <w:fldChar w:fldCharType="end"/>
      </w:r>
    </w:p>
    <w:p w14:paraId="7D52622F">
      <w:pPr>
        <w:pStyle w:val="25"/>
        <w:spacing w:before="0" w:beforeAutospacing="0" w:after="0" w:afterAutospacing="0" w:line="360" w:lineRule="auto"/>
        <w:ind w:firstLine="482" w:firstLineChars="200"/>
        <w:rPr>
          <w:rFonts w:cs="Arial"/>
          <w:color w:val="auto"/>
        </w:rPr>
      </w:pPr>
      <w:r>
        <w:rPr>
          <w:b/>
          <w:color w:val="auto"/>
        </w:rPr>
        <w:t>通讯地址</w:t>
      </w:r>
      <w:r>
        <w:rPr>
          <w:rFonts w:hint="eastAsia"/>
          <w:b/>
          <w:color w:val="auto"/>
        </w:rPr>
        <w:t>：西安市莲湖区高新一路5号正信大厦A座24楼</w:t>
      </w:r>
    </w:p>
    <w:p w14:paraId="14ABECEC">
      <w:pPr>
        <w:rPr>
          <w:rFonts w:ascii="宋体" w:hAnsi="宋体"/>
          <w:b/>
          <w:color w:val="auto"/>
          <w:sz w:val="24"/>
        </w:rPr>
      </w:pPr>
      <w:r>
        <w:rPr>
          <w:rFonts w:hint="eastAsia" w:ascii="宋体" w:hAnsi="宋体"/>
          <w:b/>
          <w:color w:val="auto"/>
          <w:sz w:val="24"/>
        </w:rPr>
        <w:t>7．磋商文件的澄清及修改</w:t>
      </w:r>
    </w:p>
    <w:p w14:paraId="20229F67">
      <w:pPr>
        <w:spacing w:line="360" w:lineRule="auto"/>
        <w:ind w:firstLine="240" w:firstLineChars="100"/>
        <w:rPr>
          <w:rFonts w:ascii="宋体" w:hAnsi="宋体"/>
          <w:color w:val="auto"/>
          <w:sz w:val="24"/>
        </w:rPr>
      </w:pPr>
      <w:r>
        <w:rPr>
          <w:rFonts w:hint="eastAsia" w:ascii="宋体" w:hAnsi="宋体"/>
          <w:color w:val="auto"/>
          <w:sz w:val="24"/>
        </w:rPr>
        <w:t xml:space="preserve">7.1采购代理机构对已发出的磋商文件进行必要澄清或者修改的，在磋商文件要求提交响应文件截止时间五日前，以书面形式通知所有购买磋商文件的供应商，该澄清或者修改的内容作为磋商文件的组成部分，与其具有同等法律效力； </w:t>
      </w:r>
    </w:p>
    <w:p w14:paraId="071197E5">
      <w:pPr>
        <w:spacing w:line="360" w:lineRule="auto"/>
        <w:ind w:firstLine="240" w:firstLineChars="100"/>
        <w:rPr>
          <w:rFonts w:ascii="宋体" w:hAnsi="宋体"/>
          <w:color w:val="auto"/>
          <w:sz w:val="24"/>
        </w:rPr>
      </w:pPr>
      <w:r>
        <w:rPr>
          <w:rFonts w:hint="eastAsia" w:ascii="宋体" w:hAnsi="宋体"/>
          <w:color w:val="auto"/>
          <w:sz w:val="24"/>
        </w:rPr>
        <w:t>7.2为方便供应商对磋商文件修改或澄清内容有充分的时间进行补充修改，采购代理机构可延长磋商截止时间和磋商时间，均应在磋商文件要求提交响应文件的截止时间五日前，将变更时间书面通知所有购买磋商文件的供应商。</w:t>
      </w:r>
    </w:p>
    <w:p w14:paraId="248078D2">
      <w:pPr>
        <w:ind w:firstLine="120" w:firstLineChars="50"/>
        <w:rPr>
          <w:rFonts w:ascii="宋体" w:hAnsi="宋体"/>
          <w:b/>
          <w:color w:val="auto"/>
          <w:sz w:val="24"/>
        </w:rPr>
      </w:pPr>
      <w:r>
        <w:rPr>
          <w:rFonts w:hint="eastAsia" w:ascii="宋体" w:hAnsi="宋体"/>
          <w:b/>
          <w:color w:val="auto"/>
          <w:sz w:val="24"/>
        </w:rPr>
        <w:t>8、磋商文件的购买</w:t>
      </w:r>
    </w:p>
    <w:p w14:paraId="792EFBCC">
      <w:pPr>
        <w:spacing w:line="360" w:lineRule="auto"/>
        <w:ind w:firstLine="480" w:firstLineChars="200"/>
        <w:rPr>
          <w:rFonts w:ascii="宋体" w:hAnsi="宋体"/>
          <w:color w:val="auto"/>
          <w:sz w:val="24"/>
        </w:rPr>
      </w:pPr>
      <w:r>
        <w:rPr>
          <w:rFonts w:hint="eastAsia" w:ascii="宋体" w:hAnsi="宋体"/>
          <w:color w:val="auto"/>
          <w:sz w:val="24"/>
        </w:rPr>
        <w:t>供应商必须从采购代理机构购买磋商文件，供应商自行转让或复制的磋商文件视为无效文件；磋商文件一经售出，一律不退，仅作为本次磋商使用。</w:t>
      </w:r>
    </w:p>
    <w:p w14:paraId="0ACFE23A">
      <w:pPr>
        <w:ind w:firstLine="120" w:firstLineChars="50"/>
        <w:rPr>
          <w:rFonts w:ascii="宋体" w:hAnsi="宋体"/>
          <w:b/>
          <w:color w:val="auto"/>
          <w:sz w:val="24"/>
        </w:rPr>
      </w:pPr>
      <w:r>
        <w:rPr>
          <w:rFonts w:hint="eastAsia" w:ascii="宋体" w:hAnsi="宋体"/>
          <w:b/>
          <w:color w:val="auto"/>
          <w:sz w:val="24"/>
        </w:rPr>
        <w:t>9、磋商的处理依据</w:t>
      </w:r>
    </w:p>
    <w:p w14:paraId="7CCF62B0">
      <w:pPr>
        <w:spacing w:line="360" w:lineRule="auto"/>
        <w:ind w:firstLine="480" w:firstLineChars="200"/>
        <w:rPr>
          <w:rFonts w:ascii="宋体" w:hAnsi="宋体"/>
          <w:color w:val="auto"/>
          <w:sz w:val="24"/>
        </w:rPr>
      </w:pPr>
      <w:r>
        <w:rPr>
          <w:rFonts w:hint="eastAsia" w:ascii="宋体" w:hAnsi="宋体"/>
          <w:color w:val="auto"/>
          <w:sz w:val="24"/>
        </w:rPr>
        <w:t>磋商小组有权对在磋商过程中出现的一切问题，</w:t>
      </w:r>
      <w:r>
        <w:rPr>
          <w:rFonts w:hint="eastAsia" w:ascii="宋体" w:hAnsi="宋体"/>
          <w:color w:val="auto"/>
          <w:sz w:val="24"/>
          <w:lang w:eastAsia="zh-CN"/>
        </w:rPr>
        <w:t>按照</w:t>
      </w:r>
      <w:r>
        <w:rPr>
          <w:rFonts w:hint="eastAsia" w:ascii="宋体" w:hAnsi="宋体"/>
          <w:color w:val="auto"/>
          <w:sz w:val="24"/>
        </w:rPr>
        <w:t>《中华人民共和国政府采购法》、《政府采购货物和服务招标投标管理办法》和</w:t>
      </w:r>
      <w:r>
        <w:rPr>
          <w:rFonts w:hint="eastAsia"/>
          <w:color w:val="auto"/>
          <w:sz w:val="24"/>
        </w:rPr>
        <w:t>《</w:t>
      </w:r>
      <w:r>
        <w:rPr>
          <w:rFonts w:ascii="ˎ̥" w:hAnsi="ˎ̥"/>
          <w:color w:val="auto"/>
          <w:sz w:val="24"/>
        </w:rPr>
        <w:t>政府采购竞争性磋商采购方式管理暂行办法</w:t>
      </w:r>
      <w:r>
        <w:rPr>
          <w:rFonts w:hint="eastAsia"/>
          <w:color w:val="auto"/>
          <w:sz w:val="24"/>
        </w:rPr>
        <w:t>》</w:t>
      </w:r>
      <w:r>
        <w:rPr>
          <w:rFonts w:hint="eastAsia" w:ascii="宋体" w:hAnsi="宋体"/>
          <w:color w:val="auto"/>
          <w:sz w:val="24"/>
        </w:rPr>
        <w:t>的条款，本着公开、公平、公正的原则进行处理。</w:t>
      </w:r>
    </w:p>
    <w:p w14:paraId="7922F1D1">
      <w:pPr>
        <w:ind w:firstLine="120" w:firstLineChars="50"/>
        <w:rPr>
          <w:rFonts w:ascii="宋体" w:hAnsi="宋体"/>
          <w:b/>
          <w:color w:val="auto"/>
          <w:sz w:val="24"/>
        </w:rPr>
      </w:pPr>
      <w:r>
        <w:rPr>
          <w:rFonts w:hint="eastAsia" w:ascii="宋体" w:hAnsi="宋体"/>
          <w:b/>
          <w:color w:val="auto"/>
          <w:sz w:val="24"/>
        </w:rPr>
        <w:t>10、解释权归属</w:t>
      </w:r>
    </w:p>
    <w:p w14:paraId="7D806EDD">
      <w:pPr>
        <w:spacing w:line="360" w:lineRule="auto"/>
        <w:ind w:firstLine="480" w:firstLineChars="200"/>
        <w:rPr>
          <w:rFonts w:ascii="宋体" w:hAnsi="宋体"/>
          <w:color w:val="auto"/>
          <w:sz w:val="24"/>
        </w:rPr>
      </w:pPr>
      <w:r>
        <w:rPr>
          <w:rFonts w:hint="eastAsia" w:ascii="宋体" w:hAnsi="宋体"/>
          <w:color w:val="auto"/>
          <w:sz w:val="24"/>
        </w:rPr>
        <w:t>本次磋商文件的解释权归采购代理机构。</w:t>
      </w:r>
    </w:p>
    <w:p w14:paraId="6DC60952">
      <w:pPr>
        <w:jc w:val="center"/>
        <w:rPr>
          <w:rFonts w:ascii="宋体" w:hAnsi="宋体"/>
          <w:b/>
          <w:color w:val="auto"/>
          <w:sz w:val="30"/>
          <w:szCs w:val="30"/>
        </w:rPr>
      </w:pPr>
      <w:r>
        <w:rPr>
          <w:rFonts w:hint="eastAsia" w:ascii="宋体" w:hAnsi="宋体"/>
          <w:b/>
          <w:color w:val="auto"/>
          <w:sz w:val="30"/>
          <w:szCs w:val="30"/>
        </w:rPr>
        <w:t>四．磋商要求</w:t>
      </w:r>
    </w:p>
    <w:p w14:paraId="68C64329">
      <w:pPr>
        <w:ind w:firstLine="361" w:firstLineChars="150"/>
        <w:rPr>
          <w:rFonts w:ascii="宋体" w:hAnsi="宋体"/>
          <w:b/>
          <w:color w:val="auto"/>
          <w:sz w:val="24"/>
        </w:rPr>
      </w:pPr>
      <w:r>
        <w:rPr>
          <w:rFonts w:hint="eastAsia" w:ascii="宋体" w:hAnsi="宋体"/>
          <w:b/>
          <w:color w:val="auto"/>
          <w:sz w:val="24"/>
        </w:rPr>
        <w:t>11、磋商内容</w:t>
      </w:r>
    </w:p>
    <w:p w14:paraId="4B0EB109">
      <w:pPr>
        <w:kinsoku w:val="0"/>
        <w:spacing w:line="500" w:lineRule="exact"/>
        <w:ind w:firstLine="480" w:firstLineChars="200"/>
        <w:rPr>
          <w:rFonts w:ascii="宋体" w:hAnsi="宋体"/>
          <w:color w:val="auto"/>
          <w:spacing w:val="-6"/>
          <w:sz w:val="24"/>
        </w:rPr>
      </w:pPr>
      <w:r>
        <w:rPr>
          <w:rFonts w:hint="eastAsia" w:ascii="宋体" w:hAnsi="宋体"/>
          <w:color w:val="auto"/>
          <w:sz w:val="24"/>
        </w:rPr>
        <w:t>本次磋商为：</w:t>
      </w:r>
      <w:r>
        <w:rPr>
          <w:rFonts w:hint="eastAsia" w:ascii="宋体" w:hAnsi="宋体"/>
          <w:color w:val="auto"/>
          <w:sz w:val="24"/>
          <w:lang w:eastAsia="zh-CN"/>
        </w:rPr>
        <w:t>陕西警察学院2026年度信息系统等保测评服务项目</w:t>
      </w:r>
      <w:r>
        <w:rPr>
          <w:rFonts w:hint="eastAsia" w:ascii="宋体" w:hAnsi="宋体"/>
          <w:color w:val="auto"/>
          <w:spacing w:val="-6"/>
          <w:sz w:val="24"/>
        </w:rPr>
        <w:t>。</w:t>
      </w:r>
      <w:r>
        <w:rPr>
          <w:rFonts w:hint="eastAsia" w:ascii="宋体" w:hAnsi="宋体"/>
          <w:color w:val="auto"/>
          <w:sz w:val="24"/>
        </w:rPr>
        <w:t>供应商可根据自身的资质情况和经营范围对项目进行磋商，不得将其子目再行分解或只响应其中的一部分内容，否则磋商无效。开标、阅标、评标、定标、签订合同均以项目为单位进行。</w:t>
      </w:r>
    </w:p>
    <w:p w14:paraId="7BF45D30">
      <w:pPr>
        <w:numPr>
          <w:ilvl w:val="0"/>
          <w:numId w:val="5"/>
        </w:numPr>
        <w:spacing w:line="360" w:lineRule="auto"/>
        <w:ind w:firstLine="482" w:firstLineChars="200"/>
        <w:rPr>
          <w:rFonts w:ascii="宋体" w:hAnsi="宋体"/>
          <w:b/>
          <w:color w:val="auto"/>
          <w:sz w:val="24"/>
        </w:rPr>
      </w:pPr>
      <w:r>
        <w:rPr>
          <w:rFonts w:hint="eastAsia" w:ascii="宋体" w:hAnsi="宋体"/>
          <w:b/>
          <w:color w:val="auto"/>
          <w:sz w:val="24"/>
        </w:rPr>
        <w:t>资格条件：</w:t>
      </w:r>
      <w:r>
        <w:rPr>
          <w:rFonts w:hint="eastAsia" w:ascii="宋体" w:hAnsi="宋体"/>
          <w:bCs/>
          <w:color w:val="auto"/>
          <w:sz w:val="24"/>
        </w:rPr>
        <w:t>应符合供应商须知前附表中规定的资格条件。</w:t>
      </w:r>
    </w:p>
    <w:p w14:paraId="7EDBAB31">
      <w:pPr>
        <w:spacing w:line="360" w:lineRule="auto"/>
        <w:ind w:firstLine="480" w:firstLineChars="200"/>
        <w:rPr>
          <w:rFonts w:ascii="宋体" w:hAnsi="宋体"/>
          <w:color w:val="auto"/>
          <w:sz w:val="24"/>
        </w:rPr>
      </w:pPr>
      <w:r>
        <w:rPr>
          <w:rFonts w:hint="eastAsia" w:ascii="宋体" w:hAnsi="宋体"/>
          <w:color w:val="auto"/>
          <w:sz w:val="24"/>
        </w:rPr>
        <w:t>出现下列情形的，响应文件将被视为无效：</w:t>
      </w:r>
    </w:p>
    <w:p w14:paraId="7A54045A">
      <w:pPr>
        <w:spacing w:line="360" w:lineRule="auto"/>
        <w:ind w:firstLine="480" w:firstLineChars="200"/>
        <w:rPr>
          <w:rFonts w:ascii="宋体" w:hAnsi="宋体"/>
          <w:color w:val="auto"/>
          <w:sz w:val="24"/>
        </w:rPr>
      </w:pPr>
      <w:r>
        <w:rPr>
          <w:rFonts w:hint="eastAsia" w:ascii="宋体" w:hAnsi="宋体"/>
          <w:color w:val="auto"/>
          <w:sz w:val="24"/>
        </w:rPr>
        <w:t>（1）不具备磋商文件中规定的资格要求的；</w:t>
      </w:r>
    </w:p>
    <w:p w14:paraId="4DA298B5">
      <w:pPr>
        <w:spacing w:line="360" w:lineRule="auto"/>
        <w:ind w:firstLine="480" w:firstLineChars="200"/>
        <w:rPr>
          <w:rFonts w:ascii="宋体" w:hAnsi="宋体"/>
          <w:color w:val="auto"/>
          <w:sz w:val="24"/>
        </w:rPr>
      </w:pPr>
      <w:r>
        <w:rPr>
          <w:rFonts w:hint="eastAsia" w:ascii="宋体" w:hAnsi="宋体"/>
          <w:color w:val="auto"/>
          <w:sz w:val="24"/>
        </w:rPr>
        <w:t>（2）未按磋商文件要求提供资格证明文件原件或加盖公章的复印件，或未按磋商文件要求加盖公章的；</w:t>
      </w:r>
    </w:p>
    <w:p w14:paraId="1B911FF8">
      <w:pPr>
        <w:spacing w:line="360" w:lineRule="auto"/>
        <w:ind w:firstLine="480" w:firstLineChars="200"/>
        <w:rPr>
          <w:rFonts w:ascii="宋体" w:hAnsi="宋体"/>
          <w:color w:val="auto"/>
          <w:sz w:val="24"/>
        </w:rPr>
      </w:pPr>
      <w:r>
        <w:rPr>
          <w:rFonts w:hint="eastAsia" w:ascii="宋体" w:hAnsi="宋体"/>
          <w:color w:val="auto"/>
          <w:sz w:val="24"/>
        </w:rPr>
        <w:t>（3）采购人认为供应商的资格证明文件存在疑点，要求供应商现场提供原件，供应商不能在规定时限内提供符合磋商文件要求的证明文件的。</w:t>
      </w:r>
    </w:p>
    <w:p w14:paraId="7F629B73">
      <w:pPr>
        <w:spacing w:line="360" w:lineRule="auto"/>
        <w:ind w:firstLine="480" w:firstLineChars="200"/>
        <w:rPr>
          <w:rFonts w:ascii="宋体" w:hAnsi="宋体"/>
          <w:b/>
          <w:color w:val="auto"/>
          <w:sz w:val="24"/>
        </w:rPr>
      </w:pPr>
      <w:r>
        <w:rPr>
          <w:rFonts w:hint="eastAsia" w:ascii="宋体" w:hAnsi="宋体"/>
          <w:color w:val="auto"/>
          <w:sz w:val="24"/>
        </w:rPr>
        <w:t>资格审查结束后，采购人应当对审查结果进行签字确认，并告知有关供应商资格审查未通过的原因。</w:t>
      </w:r>
    </w:p>
    <w:p w14:paraId="7391CB0F">
      <w:pPr>
        <w:spacing w:line="360" w:lineRule="auto"/>
        <w:ind w:firstLine="120" w:firstLineChars="50"/>
        <w:rPr>
          <w:rFonts w:ascii="宋体" w:hAnsi="宋体"/>
          <w:b/>
          <w:color w:val="auto"/>
          <w:sz w:val="24"/>
        </w:rPr>
      </w:pPr>
      <w:r>
        <w:rPr>
          <w:rFonts w:hint="eastAsia" w:ascii="宋体" w:hAnsi="宋体"/>
          <w:b/>
          <w:color w:val="auto"/>
          <w:sz w:val="24"/>
        </w:rPr>
        <w:t>13、响应文件的编制</w:t>
      </w:r>
    </w:p>
    <w:p w14:paraId="02040624">
      <w:pPr>
        <w:spacing w:line="360" w:lineRule="auto"/>
        <w:ind w:firstLine="480" w:firstLineChars="200"/>
        <w:rPr>
          <w:rFonts w:ascii="宋体" w:hAnsi="宋体"/>
          <w:color w:val="auto"/>
          <w:sz w:val="24"/>
        </w:rPr>
      </w:pPr>
      <w:r>
        <w:rPr>
          <w:rFonts w:hint="eastAsia" w:ascii="宋体" w:hAnsi="宋体"/>
          <w:color w:val="auto"/>
          <w:sz w:val="24"/>
        </w:rPr>
        <w:t>响应文件必须根据磋商文件提供的内容及格式编制，并对磋商文件做出实质性响应；具体内容包括：</w:t>
      </w:r>
    </w:p>
    <w:p w14:paraId="0FC31C7C">
      <w:pPr>
        <w:tabs>
          <w:tab w:val="left" w:pos="1080"/>
          <w:tab w:val="left" w:pos="7171"/>
        </w:tabs>
        <w:spacing w:line="460" w:lineRule="exact"/>
        <w:ind w:firstLine="360" w:firstLineChars="150"/>
        <w:rPr>
          <w:rFonts w:ascii="宋体" w:hAnsi="宋体"/>
          <w:color w:val="auto"/>
          <w:sz w:val="24"/>
        </w:rPr>
      </w:pPr>
      <w:r>
        <w:rPr>
          <w:rFonts w:hint="eastAsia" w:ascii="宋体" w:hAnsi="宋体"/>
          <w:color w:val="auto"/>
          <w:sz w:val="24"/>
        </w:rPr>
        <w:t>13.1按照格式要求填写的响应函；</w:t>
      </w:r>
      <w:r>
        <w:rPr>
          <w:rFonts w:ascii="宋体" w:hAnsi="宋体"/>
          <w:color w:val="auto"/>
          <w:sz w:val="24"/>
        </w:rPr>
        <w:tab/>
      </w:r>
    </w:p>
    <w:p w14:paraId="71400B2A">
      <w:pPr>
        <w:spacing w:line="460" w:lineRule="exact"/>
        <w:ind w:firstLine="360" w:firstLineChars="150"/>
        <w:rPr>
          <w:rFonts w:ascii="宋体" w:hAnsi="宋体"/>
          <w:color w:val="auto"/>
          <w:sz w:val="24"/>
        </w:rPr>
      </w:pPr>
      <w:r>
        <w:rPr>
          <w:rFonts w:hint="eastAsia" w:ascii="宋体" w:hAnsi="宋体"/>
          <w:color w:val="auto"/>
          <w:sz w:val="24"/>
        </w:rPr>
        <w:t>13.2响应报价表、分项报价表和技术指标偏差表；</w:t>
      </w:r>
    </w:p>
    <w:p w14:paraId="1629CEAC">
      <w:pPr>
        <w:tabs>
          <w:tab w:val="left" w:pos="1080"/>
        </w:tabs>
        <w:spacing w:line="460" w:lineRule="exact"/>
        <w:ind w:firstLine="360" w:firstLineChars="150"/>
        <w:rPr>
          <w:rFonts w:ascii="宋体" w:hAnsi="宋体"/>
          <w:color w:val="auto"/>
          <w:sz w:val="24"/>
        </w:rPr>
      </w:pPr>
      <w:r>
        <w:rPr>
          <w:rFonts w:hint="eastAsia" w:ascii="宋体" w:hAnsi="宋体"/>
          <w:color w:val="auto"/>
          <w:sz w:val="24"/>
        </w:rPr>
        <w:t>13.3按要求出具的资质文件；</w:t>
      </w:r>
    </w:p>
    <w:p w14:paraId="44053C10">
      <w:pPr>
        <w:tabs>
          <w:tab w:val="left" w:pos="1080"/>
        </w:tabs>
        <w:spacing w:line="460" w:lineRule="exact"/>
        <w:ind w:firstLine="360" w:firstLineChars="150"/>
        <w:rPr>
          <w:rFonts w:ascii="宋体" w:hAnsi="宋体"/>
          <w:color w:val="auto"/>
          <w:sz w:val="24"/>
        </w:rPr>
      </w:pPr>
      <w:r>
        <w:rPr>
          <w:rFonts w:hint="eastAsia" w:ascii="宋体" w:hAnsi="宋体"/>
          <w:color w:val="auto"/>
          <w:sz w:val="24"/>
        </w:rPr>
        <w:t>13.4法定代表人授权委托书；</w:t>
      </w:r>
    </w:p>
    <w:p w14:paraId="7324AB9F">
      <w:pPr>
        <w:tabs>
          <w:tab w:val="left" w:pos="1080"/>
        </w:tabs>
        <w:spacing w:line="460" w:lineRule="exact"/>
        <w:ind w:firstLine="360" w:firstLineChars="150"/>
        <w:rPr>
          <w:rFonts w:ascii="宋体" w:hAnsi="宋体"/>
          <w:color w:val="auto"/>
          <w:sz w:val="24"/>
        </w:rPr>
      </w:pPr>
      <w:r>
        <w:rPr>
          <w:rFonts w:hint="eastAsia" w:ascii="宋体" w:hAnsi="宋体"/>
          <w:color w:val="auto"/>
          <w:sz w:val="24"/>
        </w:rPr>
        <w:t xml:space="preserve">13.5供应商的磋商方案： </w:t>
      </w:r>
    </w:p>
    <w:p w14:paraId="29D11FA1">
      <w:pPr>
        <w:kinsoku w:val="0"/>
        <w:spacing w:line="500" w:lineRule="exact"/>
        <w:rPr>
          <w:rFonts w:ascii="宋体" w:hAnsi="宋体"/>
          <w:color w:val="auto"/>
          <w:sz w:val="24"/>
        </w:rPr>
      </w:pPr>
      <w:r>
        <w:rPr>
          <w:rFonts w:hint="eastAsia" w:ascii="宋体" w:hAnsi="宋体"/>
          <w:color w:val="auto"/>
          <w:sz w:val="24"/>
        </w:rPr>
        <w:t xml:space="preserve">   13.5.1供应商企业简介。</w:t>
      </w:r>
    </w:p>
    <w:p w14:paraId="6D9EB93D">
      <w:pPr>
        <w:kinsoku w:val="0"/>
        <w:spacing w:line="500" w:lineRule="exact"/>
        <w:rPr>
          <w:rFonts w:ascii="宋体" w:hAnsi="宋体"/>
          <w:color w:val="auto"/>
          <w:sz w:val="24"/>
        </w:rPr>
      </w:pPr>
      <w:r>
        <w:rPr>
          <w:rFonts w:hint="eastAsia" w:ascii="宋体" w:hAnsi="宋体"/>
          <w:color w:val="auto"/>
          <w:sz w:val="24"/>
        </w:rPr>
        <w:t xml:space="preserve">   13.5.2商务响应说明。</w:t>
      </w:r>
    </w:p>
    <w:p w14:paraId="46ECA5F4">
      <w:pPr>
        <w:kinsoku w:val="0"/>
        <w:spacing w:line="500" w:lineRule="exact"/>
        <w:rPr>
          <w:rFonts w:ascii="宋体" w:hAnsi="宋体"/>
          <w:color w:val="auto"/>
          <w:sz w:val="24"/>
        </w:rPr>
      </w:pPr>
      <w:r>
        <w:rPr>
          <w:rFonts w:hint="eastAsia" w:ascii="宋体" w:hAnsi="宋体"/>
          <w:color w:val="auto"/>
          <w:sz w:val="24"/>
        </w:rPr>
        <w:t xml:space="preserve">   13.5.3供应商完成供货的组织机构、实施计划。</w:t>
      </w:r>
    </w:p>
    <w:p w14:paraId="7C9B6E05">
      <w:pPr>
        <w:kinsoku w:val="0"/>
        <w:spacing w:line="500" w:lineRule="exact"/>
        <w:rPr>
          <w:rFonts w:ascii="宋体" w:hAnsi="宋体"/>
          <w:color w:val="auto"/>
          <w:sz w:val="24"/>
        </w:rPr>
      </w:pPr>
      <w:r>
        <w:rPr>
          <w:rFonts w:hint="eastAsia" w:ascii="宋体" w:hAnsi="宋体"/>
          <w:color w:val="auto"/>
          <w:sz w:val="24"/>
        </w:rPr>
        <w:t xml:space="preserve">   13.5.4供应商完成供货保障能力。</w:t>
      </w:r>
    </w:p>
    <w:p w14:paraId="4FE583D2">
      <w:pPr>
        <w:kinsoku w:val="0"/>
        <w:spacing w:line="500" w:lineRule="exact"/>
        <w:rPr>
          <w:rFonts w:ascii="宋体" w:hAnsi="宋体"/>
          <w:color w:val="auto"/>
          <w:sz w:val="24"/>
        </w:rPr>
      </w:pPr>
      <w:r>
        <w:rPr>
          <w:rFonts w:hint="eastAsia" w:ascii="宋体" w:hAnsi="宋体"/>
          <w:color w:val="auto"/>
          <w:sz w:val="24"/>
        </w:rPr>
        <w:t xml:space="preserve">   13.5.5响应产品的质量标准、检测标准（符合国家规定及行业标准）。</w:t>
      </w:r>
    </w:p>
    <w:p w14:paraId="49FCB6BE">
      <w:pPr>
        <w:tabs>
          <w:tab w:val="left" w:pos="1080"/>
        </w:tabs>
        <w:spacing w:line="460" w:lineRule="exact"/>
        <w:rPr>
          <w:rFonts w:ascii="宋体" w:hAnsi="宋体"/>
          <w:color w:val="auto"/>
          <w:sz w:val="24"/>
        </w:rPr>
      </w:pPr>
      <w:r>
        <w:rPr>
          <w:rFonts w:hint="eastAsia" w:ascii="宋体" w:hAnsi="宋体"/>
          <w:color w:val="auto"/>
          <w:sz w:val="24"/>
        </w:rPr>
        <w:t xml:space="preserve">   13.5.6供应商认为有必要说明的问题。</w:t>
      </w:r>
    </w:p>
    <w:p w14:paraId="528C8373">
      <w:pPr>
        <w:tabs>
          <w:tab w:val="left" w:pos="1080"/>
        </w:tabs>
        <w:spacing w:line="460" w:lineRule="exact"/>
        <w:ind w:firstLine="360" w:firstLineChars="150"/>
        <w:rPr>
          <w:rFonts w:ascii="宋体" w:hAnsi="宋体"/>
          <w:color w:val="auto"/>
          <w:sz w:val="24"/>
        </w:rPr>
      </w:pPr>
      <w:r>
        <w:rPr>
          <w:rFonts w:hint="eastAsia" w:ascii="宋体" w:hAnsi="宋体"/>
          <w:color w:val="auto"/>
          <w:sz w:val="24"/>
        </w:rPr>
        <w:t>13.6供应商承诺书。</w:t>
      </w:r>
    </w:p>
    <w:p w14:paraId="6071A92A">
      <w:pPr>
        <w:spacing w:line="560" w:lineRule="exact"/>
        <w:ind w:firstLine="120" w:firstLineChars="50"/>
        <w:rPr>
          <w:rFonts w:ascii="宋体" w:hAnsi="宋体"/>
          <w:b/>
          <w:color w:val="auto"/>
          <w:sz w:val="24"/>
        </w:rPr>
      </w:pPr>
      <w:r>
        <w:rPr>
          <w:rFonts w:hint="eastAsia" w:ascii="宋体" w:hAnsi="宋体"/>
          <w:b/>
          <w:color w:val="auto"/>
          <w:sz w:val="24"/>
        </w:rPr>
        <w:t>14、磋商报价</w:t>
      </w:r>
    </w:p>
    <w:p w14:paraId="456D2F34">
      <w:pPr>
        <w:spacing w:line="500" w:lineRule="exact"/>
        <w:ind w:firstLine="360" w:firstLineChars="150"/>
        <w:rPr>
          <w:rFonts w:ascii="宋体" w:hAnsi="宋体"/>
          <w:color w:val="auto"/>
          <w:sz w:val="24"/>
        </w:rPr>
      </w:pPr>
      <w:r>
        <w:rPr>
          <w:rFonts w:hint="eastAsia" w:ascii="宋体" w:hAnsi="宋体"/>
          <w:color w:val="auto"/>
          <w:sz w:val="24"/>
        </w:rPr>
        <w:t>14.1磋商报价是指完成本次项目的所有费用，以磋商文件的内容和要求作为依据；</w:t>
      </w:r>
    </w:p>
    <w:p w14:paraId="5C487B35">
      <w:pPr>
        <w:spacing w:line="360" w:lineRule="auto"/>
        <w:ind w:firstLine="360" w:firstLineChars="150"/>
        <w:rPr>
          <w:rFonts w:ascii="宋体" w:hAnsi="宋体"/>
          <w:color w:val="auto"/>
          <w:sz w:val="24"/>
        </w:rPr>
      </w:pPr>
      <w:r>
        <w:rPr>
          <w:rFonts w:hint="eastAsia" w:ascii="宋体" w:hAnsi="宋体"/>
          <w:color w:val="auto"/>
          <w:sz w:val="24"/>
        </w:rPr>
        <w:t>14.2供应商应在响应文件中的响应报价表上，标明所投项目报价、其它费用；任何有选择的报价不予接受</w:t>
      </w:r>
    </w:p>
    <w:p w14:paraId="1DBC0A1F">
      <w:pPr>
        <w:spacing w:line="360" w:lineRule="auto"/>
        <w:ind w:firstLine="360" w:firstLineChars="150"/>
        <w:rPr>
          <w:rFonts w:ascii="宋体" w:hAnsi="宋体"/>
          <w:color w:val="auto"/>
          <w:sz w:val="24"/>
        </w:rPr>
      </w:pPr>
      <w:r>
        <w:rPr>
          <w:rFonts w:hint="eastAsia" w:ascii="宋体" w:hAnsi="宋体"/>
          <w:color w:val="auto"/>
          <w:sz w:val="24"/>
        </w:rPr>
        <w:t>14.3磋商货币：人民币；单位：元（精确到小数点后两位）；</w:t>
      </w:r>
    </w:p>
    <w:p w14:paraId="3B70B435">
      <w:pPr>
        <w:spacing w:line="360" w:lineRule="auto"/>
        <w:ind w:firstLine="360" w:firstLineChars="150"/>
        <w:rPr>
          <w:rFonts w:ascii="宋体" w:hAnsi="宋体"/>
          <w:color w:val="auto"/>
          <w:sz w:val="24"/>
        </w:rPr>
      </w:pPr>
      <w:r>
        <w:rPr>
          <w:rFonts w:hint="eastAsia" w:ascii="宋体" w:hAnsi="宋体"/>
          <w:color w:val="auto"/>
          <w:sz w:val="24"/>
        </w:rPr>
        <w:t>14.4响应报价表应有法定代表人或被授权人的签字；</w:t>
      </w:r>
    </w:p>
    <w:p w14:paraId="163E0C3D">
      <w:pPr>
        <w:spacing w:line="360" w:lineRule="auto"/>
        <w:ind w:firstLine="360" w:firstLineChars="150"/>
        <w:rPr>
          <w:rFonts w:ascii="宋体" w:hAnsi="宋体"/>
          <w:color w:val="auto"/>
          <w:sz w:val="24"/>
        </w:rPr>
      </w:pPr>
      <w:r>
        <w:rPr>
          <w:rFonts w:hint="eastAsia" w:ascii="宋体" w:hAnsi="宋体"/>
          <w:color w:val="auto"/>
          <w:sz w:val="24"/>
        </w:rPr>
        <w:t>14.5合同价格：经磋商小组确认的某一供应商的最终报价，在合同执行过程中是固定不变的，不受外汇汇率及市场价格变化的影响；</w:t>
      </w:r>
    </w:p>
    <w:p w14:paraId="1DC17B75">
      <w:pPr>
        <w:spacing w:line="360" w:lineRule="auto"/>
        <w:ind w:firstLine="360" w:firstLineChars="150"/>
        <w:rPr>
          <w:rFonts w:ascii="宋体" w:hAnsi="宋体"/>
          <w:color w:val="auto"/>
          <w:sz w:val="24"/>
        </w:rPr>
      </w:pPr>
      <w:r>
        <w:rPr>
          <w:rFonts w:hint="eastAsia" w:ascii="宋体" w:hAnsi="宋体"/>
          <w:color w:val="auto"/>
          <w:sz w:val="24"/>
        </w:rPr>
        <w:t>14.6凡因供应商对磋商文件阅读不深、理解不透、误解、疏漏、或因市场行情了解不清造成的后果和风险均由供应商自负；</w:t>
      </w:r>
    </w:p>
    <w:p w14:paraId="2A9F0B5D">
      <w:pPr>
        <w:spacing w:line="360" w:lineRule="auto"/>
        <w:ind w:firstLine="360" w:firstLineChars="150"/>
        <w:rPr>
          <w:rFonts w:ascii="宋体" w:hAnsi="宋体"/>
          <w:color w:val="auto"/>
          <w:sz w:val="24"/>
        </w:rPr>
      </w:pPr>
      <w:r>
        <w:rPr>
          <w:rFonts w:hint="eastAsia" w:ascii="宋体" w:hAnsi="宋体"/>
          <w:color w:val="auto"/>
          <w:sz w:val="24"/>
        </w:rPr>
        <w:t>14.7最低报价不是成交的唯一依据；</w:t>
      </w:r>
    </w:p>
    <w:p w14:paraId="30F2D323">
      <w:pPr>
        <w:spacing w:line="360" w:lineRule="auto"/>
        <w:ind w:firstLine="360" w:firstLineChars="150"/>
        <w:rPr>
          <w:rFonts w:ascii="宋体" w:hAnsi="宋体"/>
          <w:color w:val="auto"/>
          <w:sz w:val="24"/>
        </w:rPr>
      </w:pPr>
      <w:r>
        <w:rPr>
          <w:rFonts w:hint="eastAsia" w:ascii="宋体" w:hAnsi="宋体"/>
          <w:color w:val="auto"/>
          <w:sz w:val="24"/>
        </w:rPr>
        <w:t>14.8供应商不得以低于成本的报价参加磋商。当磋商小组认为某个供应商的磋商报价或者某些分项报价明显不合理或者低于成本，有可能影响产品质量和不能诚信履约的，可要求该供应商在规定的期限内提供书面文件予以解释说明，并提交相关证明材料；否则，磋商小组可以取消该供应商的成交候选资格。</w:t>
      </w:r>
    </w:p>
    <w:p w14:paraId="161F0F81">
      <w:pPr>
        <w:numPr>
          <w:ilvl w:val="0"/>
          <w:numId w:val="6"/>
        </w:numPr>
        <w:spacing w:line="560" w:lineRule="exact"/>
        <w:ind w:firstLine="120" w:firstLineChars="50"/>
        <w:rPr>
          <w:rFonts w:ascii="宋体" w:hAnsi="宋体"/>
          <w:b/>
          <w:color w:val="auto"/>
          <w:sz w:val="24"/>
        </w:rPr>
      </w:pPr>
      <w:r>
        <w:rPr>
          <w:rFonts w:hint="eastAsia" w:ascii="宋体" w:hAnsi="宋体"/>
          <w:b/>
          <w:color w:val="auto"/>
          <w:sz w:val="24"/>
        </w:rPr>
        <w:t>磋商保证金：</w:t>
      </w:r>
      <w:r>
        <w:rPr>
          <w:rFonts w:hint="eastAsia" w:ascii="宋体" w:hAnsi="宋体"/>
          <w:bCs/>
          <w:color w:val="auto"/>
          <w:sz w:val="24"/>
        </w:rPr>
        <w:t>见供应商须知前附表。</w:t>
      </w:r>
    </w:p>
    <w:p w14:paraId="0965F8AC">
      <w:pPr>
        <w:spacing w:line="360" w:lineRule="auto"/>
        <w:ind w:firstLine="360" w:firstLineChars="150"/>
        <w:rPr>
          <w:rFonts w:ascii="宋体" w:hAnsi="宋体"/>
          <w:color w:val="auto"/>
          <w:sz w:val="24"/>
        </w:rPr>
      </w:pPr>
      <w:r>
        <w:rPr>
          <w:rFonts w:hint="eastAsia" w:ascii="宋体" w:hAnsi="宋体"/>
          <w:color w:val="auto"/>
          <w:sz w:val="24"/>
        </w:rPr>
        <w:t>15.1供应商未交纳、未足额交纳或未按规定时间交纳保证金的，将被视为自动放弃磋商权利。</w:t>
      </w:r>
    </w:p>
    <w:p w14:paraId="0DFFAACD">
      <w:pPr>
        <w:spacing w:line="360" w:lineRule="auto"/>
        <w:ind w:firstLine="360" w:firstLineChars="150"/>
        <w:rPr>
          <w:rFonts w:ascii="宋体" w:hAnsi="宋体"/>
          <w:color w:val="auto"/>
          <w:sz w:val="24"/>
        </w:rPr>
      </w:pPr>
      <w:r>
        <w:rPr>
          <w:rFonts w:hint="eastAsia" w:ascii="宋体" w:hAnsi="宋体"/>
          <w:color w:val="auto"/>
          <w:sz w:val="24"/>
        </w:rPr>
        <w:t>15.2磋商保证金的交付单位和供应商的名称必须一致，否则将视为响应无效；</w:t>
      </w:r>
    </w:p>
    <w:p w14:paraId="352E3ECE">
      <w:pPr>
        <w:spacing w:line="360" w:lineRule="auto"/>
        <w:ind w:firstLine="360" w:firstLineChars="150"/>
        <w:rPr>
          <w:rFonts w:ascii="宋体" w:hAnsi="宋体"/>
          <w:color w:val="auto"/>
          <w:sz w:val="24"/>
        </w:rPr>
      </w:pPr>
      <w:r>
        <w:rPr>
          <w:rFonts w:hint="eastAsia" w:ascii="宋体" w:hAnsi="宋体"/>
          <w:color w:val="auto"/>
          <w:sz w:val="24"/>
        </w:rPr>
        <w:t>15.3磋商保证金退还:</w:t>
      </w:r>
    </w:p>
    <w:p w14:paraId="7D3AB381">
      <w:pPr>
        <w:spacing w:line="360" w:lineRule="auto"/>
        <w:ind w:firstLine="480" w:firstLineChars="200"/>
        <w:rPr>
          <w:rFonts w:ascii="宋体" w:hAnsi="宋体"/>
          <w:color w:val="auto"/>
          <w:sz w:val="24"/>
        </w:rPr>
      </w:pPr>
      <w:r>
        <w:rPr>
          <w:rFonts w:hint="eastAsia" w:ascii="宋体" w:hAnsi="宋体"/>
          <w:color w:val="auto"/>
          <w:sz w:val="24"/>
        </w:rPr>
        <w:t xml:space="preserve">1） 未成交供应商：磋商结束后，将根据所提供信息退还各供应商保证金，无需亲自前来办理； </w:t>
      </w:r>
    </w:p>
    <w:p w14:paraId="3E4C87BF">
      <w:pPr>
        <w:spacing w:line="360" w:lineRule="auto"/>
        <w:ind w:firstLine="480" w:firstLineChars="200"/>
        <w:jc w:val="distribute"/>
        <w:rPr>
          <w:rFonts w:ascii="宋体" w:hAnsi="宋体"/>
          <w:color w:val="auto"/>
          <w:sz w:val="24"/>
        </w:rPr>
      </w:pPr>
      <w:r>
        <w:rPr>
          <w:rFonts w:hint="eastAsia" w:ascii="宋体" w:hAnsi="宋体"/>
          <w:color w:val="auto"/>
          <w:sz w:val="24"/>
        </w:rPr>
        <w:t>2） 成交供应商：</w:t>
      </w:r>
      <w:r>
        <w:rPr>
          <w:rFonts w:ascii="宋体" w:hAnsi="宋体"/>
          <w:color w:val="auto"/>
          <w:sz w:val="24"/>
        </w:rPr>
        <w:t>在采购合同签订并按规定交纳代理服务费后五个工作日内退还</w:t>
      </w:r>
      <w:r>
        <w:rPr>
          <w:rFonts w:hint="eastAsia" w:ascii="宋体" w:hAnsi="宋体"/>
          <w:color w:val="auto"/>
          <w:sz w:val="24"/>
        </w:rPr>
        <w:t>。</w:t>
      </w:r>
      <w:r>
        <w:rPr>
          <w:rFonts w:hint="eastAsia" w:ascii="宋体" w:hAnsi="宋体"/>
          <w:b/>
          <w:bCs/>
          <w:color w:val="auto"/>
          <w:sz w:val="24"/>
        </w:rPr>
        <w:t>（办理退保证金：需提供与甲方签订的合同原件的扫描件一份（pdf格式）发送至此邮箱（945990512@qq.cpm）,发送时务必备注项目名称、项目编号和标段（无标段可不写））；</w:t>
      </w:r>
    </w:p>
    <w:p w14:paraId="6E45B627">
      <w:pPr>
        <w:pStyle w:val="94"/>
        <w:spacing w:line="360" w:lineRule="auto"/>
        <w:ind w:firstLine="361" w:firstLineChars="150"/>
        <w:rPr>
          <w:color w:val="auto"/>
        </w:rPr>
      </w:pPr>
      <w:r>
        <w:rPr>
          <w:rFonts w:hint="eastAsia" w:ascii="宋体" w:hAnsi="宋体"/>
          <w:b/>
          <w:color w:val="auto"/>
          <w:sz w:val="24"/>
        </w:rPr>
        <w:t>中标服务费查询请联系财务部：029-81875221（发票开具：开票邮箱：960338622@qq.com，邮箱发送资料：1.付款凭证或收款收据；2.文字版开票信息）</w:t>
      </w:r>
    </w:p>
    <w:p w14:paraId="06F67F52">
      <w:pPr>
        <w:spacing w:line="360" w:lineRule="auto"/>
        <w:ind w:firstLine="360" w:firstLineChars="150"/>
        <w:rPr>
          <w:rFonts w:ascii="宋体" w:hAnsi="宋体"/>
          <w:color w:val="auto"/>
          <w:sz w:val="24"/>
        </w:rPr>
      </w:pPr>
      <w:r>
        <w:rPr>
          <w:rFonts w:hint="eastAsia" w:ascii="宋体" w:hAnsi="宋体"/>
          <w:color w:val="auto"/>
          <w:sz w:val="24"/>
        </w:rPr>
        <w:t>15.4发生下列情况之一，磋商保证金将被没收：</w:t>
      </w:r>
    </w:p>
    <w:p w14:paraId="7314A613">
      <w:pPr>
        <w:spacing w:line="360" w:lineRule="auto"/>
        <w:rPr>
          <w:rFonts w:ascii="宋体" w:hAnsi="宋体"/>
          <w:color w:val="auto"/>
          <w:sz w:val="24"/>
        </w:rPr>
      </w:pPr>
      <w:r>
        <w:rPr>
          <w:rFonts w:hint="eastAsia" w:ascii="宋体" w:hAnsi="宋体"/>
          <w:color w:val="auto"/>
          <w:sz w:val="24"/>
        </w:rPr>
        <w:t xml:space="preserve">   15.4.1供应商提供虚假材料的；</w:t>
      </w:r>
    </w:p>
    <w:p w14:paraId="336CC20C">
      <w:pPr>
        <w:spacing w:line="360" w:lineRule="auto"/>
        <w:ind w:firstLine="360" w:firstLineChars="150"/>
        <w:rPr>
          <w:rFonts w:ascii="宋体" w:hAnsi="宋体"/>
          <w:color w:val="auto"/>
          <w:sz w:val="24"/>
        </w:rPr>
      </w:pPr>
      <w:r>
        <w:rPr>
          <w:rFonts w:hint="eastAsia" w:ascii="宋体" w:hAnsi="宋体"/>
          <w:color w:val="auto"/>
          <w:sz w:val="24"/>
        </w:rPr>
        <w:t>15.4.2供应商有围标、串标行为，经查证属实的；</w:t>
      </w:r>
    </w:p>
    <w:p w14:paraId="7D8C74F4">
      <w:pPr>
        <w:spacing w:line="360" w:lineRule="auto"/>
        <w:ind w:firstLine="360" w:firstLineChars="150"/>
        <w:rPr>
          <w:rFonts w:ascii="宋体" w:hAnsi="宋体"/>
          <w:color w:val="auto"/>
          <w:sz w:val="24"/>
        </w:rPr>
      </w:pPr>
      <w:r>
        <w:rPr>
          <w:rFonts w:hint="eastAsia" w:ascii="宋体" w:hAnsi="宋体"/>
          <w:color w:val="auto"/>
          <w:sz w:val="24"/>
        </w:rPr>
        <w:t>15.4.3中标人不按规定支付中标服务费的；</w:t>
      </w:r>
    </w:p>
    <w:p w14:paraId="69B8C812">
      <w:pPr>
        <w:spacing w:line="360" w:lineRule="auto"/>
        <w:ind w:firstLine="360" w:firstLineChars="150"/>
        <w:rPr>
          <w:rFonts w:ascii="宋体" w:hAnsi="宋体"/>
          <w:color w:val="auto"/>
          <w:sz w:val="24"/>
        </w:rPr>
      </w:pPr>
      <w:r>
        <w:rPr>
          <w:rFonts w:hint="eastAsia" w:ascii="宋体" w:hAnsi="宋体"/>
          <w:color w:val="auto"/>
          <w:sz w:val="24"/>
        </w:rPr>
        <w:t>15.4.4供应商在提交响应文件截止时间后撤回响应文件的；</w:t>
      </w:r>
    </w:p>
    <w:p w14:paraId="535C55FC">
      <w:pPr>
        <w:spacing w:line="360" w:lineRule="auto"/>
        <w:ind w:firstLine="360" w:firstLineChars="150"/>
        <w:rPr>
          <w:rFonts w:ascii="宋体" w:hAnsi="宋体"/>
          <w:color w:val="auto"/>
          <w:sz w:val="24"/>
        </w:rPr>
      </w:pPr>
      <w:r>
        <w:rPr>
          <w:rFonts w:hint="eastAsia" w:ascii="宋体" w:hAnsi="宋体"/>
          <w:color w:val="auto"/>
          <w:sz w:val="24"/>
        </w:rPr>
        <w:t>15.4.5中标人无正当理由不与采购人签订合同的；</w:t>
      </w:r>
    </w:p>
    <w:p w14:paraId="3E6295B5">
      <w:pPr>
        <w:spacing w:line="360" w:lineRule="auto"/>
        <w:ind w:firstLine="360" w:firstLineChars="150"/>
        <w:rPr>
          <w:rFonts w:ascii="宋体" w:hAnsi="宋体"/>
          <w:color w:val="auto"/>
          <w:sz w:val="24"/>
        </w:rPr>
      </w:pPr>
      <w:r>
        <w:rPr>
          <w:rFonts w:hint="eastAsia" w:ascii="宋体" w:hAnsi="宋体"/>
          <w:color w:val="auto"/>
          <w:sz w:val="24"/>
        </w:rPr>
        <w:t>15.4.6中标人将中标项目转让给他人，或者在响应文件中未说明，且未经采购人同意，将中标项目分包给他人的；</w:t>
      </w:r>
    </w:p>
    <w:p w14:paraId="242B5665">
      <w:pPr>
        <w:spacing w:line="360" w:lineRule="auto"/>
        <w:ind w:firstLine="360" w:firstLineChars="150"/>
        <w:rPr>
          <w:rFonts w:ascii="宋体" w:hAnsi="宋体"/>
          <w:color w:val="auto"/>
          <w:sz w:val="24"/>
        </w:rPr>
      </w:pPr>
      <w:r>
        <w:rPr>
          <w:rFonts w:hint="eastAsia" w:ascii="宋体" w:hAnsi="宋体"/>
          <w:color w:val="auto"/>
          <w:sz w:val="24"/>
        </w:rPr>
        <w:t>15.4.7中标人拒绝履行合同义务的；</w:t>
      </w:r>
    </w:p>
    <w:p w14:paraId="1C3E0AD8">
      <w:pPr>
        <w:spacing w:line="360" w:lineRule="auto"/>
        <w:ind w:firstLine="360" w:firstLineChars="150"/>
        <w:rPr>
          <w:rFonts w:ascii="宋体" w:hAnsi="宋体"/>
          <w:color w:val="auto"/>
          <w:sz w:val="24"/>
        </w:rPr>
      </w:pPr>
      <w:r>
        <w:rPr>
          <w:rFonts w:hint="eastAsia" w:ascii="宋体" w:hAnsi="宋体"/>
          <w:color w:val="auto"/>
          <w:sz w:val="24"/>
        </w:rPr>
        <w:t>15.4.8由于中标人的原因导致中标无效的；</w:t>
      </w:r>
    </w:p>
    <w:p w14:paraId="2AF1203E">
      <w:pPr>
        <w:spacing w:line="360" w:lineRule="auto"/>
        <w:ind w:firstLine="360" w:firstLineChars="150"/>
        <w:rPr>
          <w:rFonts w:ascii="宋体" w:hAnsi="宋体"/>
          <w:color w:val="auto"/>
          <w:sz w:val="24"/>
        </w:rPr>
      </w:pPr>
      <w:r>
        <w:rPr>
          <w:rFonts w:hint="eastAsia" w:ascii="宋体" w:hAnsi="宋体"/>
          <w:color w:val="auto"/>
          <w:sz w:val="24"/>
        </w:rPr>
        <w:t>15.4.9供应商有严重违反采购法律、法规及有关规定禁止行为的；</w:t>
      </w:r>
    </w:p>
    <w:p w14:paraId="4383B0C7">
      <w:pPr>
        <w:spacing w:line="360" w:lineRule="auto"/>
        <w:ind w:firstLine="360" w:firstLineChars="150"/>
        <w:rPr>
          <w:rFonts w:ascii="宋体" w:hAnsi="宋体"/>
          <w:color w:val="auto"/>
          <w:sz w:val="24"/>
        </w:rPr>
      </w:pPr>
      <w:r>
        <w:rPr>
          <w:rFonts w:hint="eastAsia" w:ascii="宋体" w:hAnsi="宋体"/>
          <w:color w:val="auto"/>
          <w:sz w:val="24"/>
        </w:rPr>
        <w:t>15.4.10中标人在规定期限内未提交履约保证金；</w:t>
      </w:r>
    </w:p>
    <w:p w14:paraId="24A40FA6">
      <w:pPr>
        <w:spacing w:line="360" w:lineRule="auto"/>
        <w:ind w:firstLine="360" w:firstLineChars="150"/>
        <w:rPr>
          <w:rFonts w:ascii="宋体" w:hAnsi="宋体"/>
          <w:color w:val="auto"/>
          <w:sz w:val="24"/>
        </w:rPr>
      </w:pPr>
      <w:r>
        <w:rPr>
          <w:rFonts w:hint="eastAsia" w:ascii="宋体" w:hAnsi="宋体"/>
          <w:color w:val="auto"/>
          <w:sz w:val="24"/>
        </w:rPr>
        <w:t>15.4.11法律、法规规定的其他情形；</w:t>
      </w:r>
    </w:p>
    <w:p w14:paraId="39AA48DF">
      <w:pPr>
        <w:spacing w:line="560" w:lineRule="exact"/>
        <w:ind w:firstLine="120" w:firstLineChars="50"/>
        <w:rPr>
          <w:rFonts w:ascii="宋体" w:hAnsi="宋体"/>
          <w:b/>
          <w:color w:val="auto"/>
          <w:sz w:val="24"/>
        </w:rPr>
      </w:pPr>
      <w:r>
        <w:rPr>
          <w:rFonts w:hint="eastAsia" w:ascii="宋体" w:hAnsi="宋体"/>
          <w:b/>
          <w:color w:val="auto"/>
          <w:sz w:val="24"/>
        </w:rPr>
        <w:t>16、响应文件的有效期</w:t>
      </w:r>
    </w:p>
    <w:p w14:paraId="6C73F7BD">
      <w:pPr>
        <w:pStyle w:val="44"/>
        <w:spacing w:line="360" w:lineRule="auto"/>
        <w:ind w:firstLine="480"/>
        <w:rPr>
          <w:rFonts w:ascii="宋体" w:hAnsi="宋体"/>
          <w:color w:val="auto"/>
          <w:kern w:val="2"/>
          <w:sz w:val="24"/>
          <w:szCs w:val="24"/>
        </w:rPr>
      </w:pPr>
      <w:r>
        <w:rPr>
          <w:rFonts w:hint="eastAsia" w:ascii="宋体" w:hAnsi="宋体"/>
          <w:color w:val="auto"/>
          <w:sz w:val="24"/>
          <w:szCs w:val="24"/>
        </w:rPr>
        <w:t>响应文件有效期为</w:t>
      </w:r>
      <w:r>
        <w:rPr>
          <w:rFonts w:hint="eastAsia" w:ascii="宋体" w:hAnsi="宋体"/>
          <w:color w:val="auto"/>
          <w:kern w:val="2"/>
          <w:sz w:val="24"/>
          <w:szCs w:val="24"/>
        </w:rPr>
        <w:t>自</w:t>
      </w:r>
      <w:r>
        <w:rPr>
          <w:rFonts w:hint="eastAsia" w:ascii="宋体" w:hAnsi="宋体"/>
          <w:color w:val="auto"/>
          <w:sz w:val="24"/>
        </w:rPr>
        <w:t>磋商</w:t>
      </w:r>
      <w:r>
        <w:rPr>
          <w:rFonts w:hint="eastAsia" w:ascii="宋体" w:hAnsi="宋体"/>
          <w:color w:val="auto"/>
          <w:kern w:val="2"/>
          <w:sz w:val="24"/>
          <w:szCs w:val="24"/>
        </w:rPr>
        <w:t>之日起算九十（90）个日历日；</w:t>
      </w:r>
      <w:r>
        <w:rPr>
          <w:rFonts w:hint="eastAsia" w:ascii="宋体" w:hAnsi="宋体"/>
          <w:color w:val="auto"/>
          <w:sz w:val="24"/>
        </w:rPr>
        <w:t>无磋商有效期或</w:t>
      </w:r>
      <w:r>
        <w:rPr>
          <w:rFonts w:hint="eastAsia" w:ascii="宋体" w:hAnsi="宋体"/>
          <w:color w:val="auto"/>
          <w:kern w:val="2"/>
          <w:sz w:val="24"/>
          <w:szCs w:val="24"/>
        </w:rPr>
        <w:t>有效期短于规定的</w:t>
      </w:r>
      <w:r>
        <w:rPr>
          <w:rFonts w:hint="eastAsia" w:ascii="宋体" w:hAnsi="宋体"/>
          <w:color w:val="auto"/>
          <w:sz w:val="24"/>
        </w:rPr>
        <w:t>磋商</w:t>
      </w:r>
      <w:r>
        <w:rPr>
          <w:rFonts w:hint="eastAsia" w:ascii="宋体" w:hAnsi="宋体"/>
          <w:color w:val="auto"/>
          <w:kern w:val="2"/>
          <w:sz w:val="24"/>
          <w:szCs w:val="24"/>
        </w:rPr>
        <w:t>有效期，视为无效文件。成交供应商的响应文件有效期延长至合同执行完毕。</w:t>
      </w:r>
    </w:p>
    <w:p w14:paraId="16A3160B">
      <w:pPr>
        <w:spacing w:line="560" w:lineRule="exact"/>
        <w:ind w:firstLine="120" w:firstLineChars="50"/>
        <w:rPr>
          <w:rFonts w:ascii="宋体" w:hAnsi="宋体"/>
          <w:b/>
          <w:color w:val="auto"/>
          <w:sz w:val="24"/>
        </w:rPr>
      </w:pPr>
      <w:r>
        <w:rPr>
          <w:rFonts w:hint="eastAsia" w:ascii="宋体" w:hAnsi="宋体"/>
          <w:b/>
          <w:color w:val="auto"/>
          <w:sz w:val="24"/>
        </w:rPr>
        <w:t>17、响应文件的签署及规定</w:t>
      </w:r>
    </w:p>
    <w:p w14:paraId="7E8FF540">
      <w:pPr>
        <w:spacing w:line="360" w:lineRule="auto"/>
        <w:ind w:firstLine="240" w:firstLineChars="100"/>
        <w:rPr>
          <w:rFonts w:ascii="宋体" w:hAnsi="宋体"/>
          <w:color w:val="auto"/>
          <w:sz w:val="24"/>
        </w:rPr>
      </w:pPr>
      <w:r>
        <w:rPr>
          <w:rFonts w:hint="eastAsia" w:ascii="宋体" w:hAnsi="宋体"/>
          <w:color w:val="auto"/>
          <w:sz w:val="24"/>
        </w:rPr>
        <w:t xml:space="preserve">  17.1供应商须依据磋商文件内容和响应文件格式的要求编制响应文件；</w:t>
      </w:r>
    </w:p>
    <w:p w14:paraId="3E04A533">
      <w:pPr>
        <w:spacing w:line="360" w:lineRule="auto"/>
        <w:ind w:firstLine="240" w:firstLineChars="100"/>
        <w:rPr>
          <w:rFonts w:ascii="宋体" w:hAnsi="宋体"/>
          <w:color w:val="auto"/>
          <w:sz w:val="24"/>
        </w:rPr>
      </w:pPr>
      <w:r>
        <w:rPr>
          <w:rFonts w:hint="eastAsia" w:ascii="宋体" w:hAnsi="宋体"/>
          <w:color w:val="auto"/>
          <w:sz w:val="24"/>
        </w:rPr>
        <w:t xml:space="preserve">  17.2响应文件的正本和所有的副本均需打印或用不褪色的蓝（黑）墨水填写，注明“正本”“副本”字样。统一胶装、编码，在每一页的正下方清楚标明共几页、第几页等字样；</w:t>
      </w:r>
    </w:p>
    <w:p w14:paraId="530D69CB">
      <w:pPr>
        <w:spacing w:line="360" w:lineRule="auto"/>
        <w:ind w:firstLine="240" w:firstLineChars="100"/>
        <w:rPr>
          <w:rFonts w:ascii="宋体" w:hAnsi="宋体"/>
          <w:color w:val="auto"/>
          <w:sz w:val="24"/>
        </w:rPr>
      </w:pPr>
      <w:r>
        <w:rPr>
          <w:rFonts w:hint="eastAsia" w:ascii="宋体" w:hAnsi="宋体"/>
          <w:color w:val="auto"/>
          <w:sz w:val="24"/>
        </w:rPr>
        <w:t xml:space="preserve">  17.3响应文件份数，本次磋商需提交响应文件共</w:t>
      </w:r>
      <w:r>
        <w:rPr>
          <w:rFonts w:hint="eastAsia" w:ascii="宋体" w:hAnsi="宋体"/>
          <w:b/>
          <w:color w:val="auto"/>
          <w:sz w:val="24"/>
          <w:u w:val="single"/>
        </w:rPr>
        <w:t xml:space="preserve"> 叁 </w:t>
      </w:r>
      <w:r>
        <w:rPr>
          <w:rFonts w:hint="eastAsia" w:ascii="宋体" w:hAnsi="宋体"/>
          <w:color w:val="auto"/>
          <w:sz w:val="24"/>
        </w:rPr>
        <w:t>份，</w:t>
      </w:r>
      <w:r>
        <w:rPr>
          <w:rFonts w:ascii="宋体" w:hAnsi="宋体"/>
          <w:color w:val="auto"/>
          <w:sz w:val="24"/>
        </w:rPr>
        <w:t>其中正本</w:t>
      </w:r>
      <w:r>
        <w:rPr>
          <w:rFonts w:hint="eastAsia" w:ascii="宋体" w:hAnsi="宋体"/>
          <w:b/>
          <w:color w:val="auto"/>
          <w:sz w:val="24"/>
          <w:u w:val="single"/>
        </w:rPr>
        <w:t xml:space="preserve"> </w:t>
      </w:r>
      <w:r>
        <w:rPr>
          <w:rFonts w:ascii="宋体" w:hAnsi="宋体"/>
          <w:b/>
          <w:color w:val="auto"/>
          <w:sz w:val="24"/>
          <w:u w:val="single"/>
        </w:rPr>
        <w:t>壹</w:t>
      </w:r>
      <w:r>
        <w:rPr>
          <w:rFonts w:hint="eastAsia" w:ascii="宋体" w:hAnsi="宋体"/>
          <w:b/>
          <w:color w:val="auto"/>
          <w:sz w:val="24"/>
          <w:u w:val="single"/>
        </w:rPr>
        <w:t xml:space="preserve"> </w:t>
      </w:r>
      <w:r>
        <w:rPr>
          <w:rFonts w:ascii="宋体" w:hAnsi="宋体"/>
          <w:color w:val="auto"/>
          <w:sz w:val="24"/>
        </w:rPr>
        <w:t>份，副本</w:t>
      </w:r>
      <w:r>
        <w:rPr>
          <w:rFonts w:hint="eastAsia" w:ascii="宋体" w:hAnsi="宋体"/>
          <w:color w:val="auto"/>
          <w:sz w:val="24"/>
          <w:u w:val="single"/>
        </w:rPr>
        <w:t xml:space="preserve"> </w:t>
      </w:r>
      <w:r>
        <w:rPr>
          <w:rFonts w:hint="eastAsia" w:ascii="宋体" w:hAnsi="宋体"/>
          <w:b/>
          <w:color w:val="auto"/>
          <w:sz w:val="24"/>
          <w:u w:val="single"/>
        </w:rPr>
        <w:t>贰</w:t>
      </w:r>
      <w:r>
        <w:rPr>
          <w:rFonts w:hint="eastAsia" w:ascii="宋体" w:hAnsi="宋体"/>
          <w:color w:val="auto"/>
          <w:sz w:val="24"/>
          <w:u w:val="single"/>
        </w:rPr>
        <w:t xml:space="preserve"> </w:t>
      </w:r>
      <w:r>
        <w:rPr>
          <w:rFonts w:ascii="宋体" w:hAnsi="宋体"/>
          <w:color w:val="auto"/>
          <w:sz w:val="24"/>
        </w:rPr>
        <w:t>份，电子版</w:t>
      </w:r>
      <w:r>
        <w:rPr>
          <w:rFonts w:hint="eastAsia" w:ascii="宋体" w:hAnsi="宋体"/>
          <w:color w:val="auto"/>
          <w:sz w:val="24"/>
        </w:rPr>
        <w:t>响应文件</w:t>
      </w:r>
      <w:r>
        <w:rPr>
          <w:rFonts w:ascii="宋体" w:hAnsi="宋体"/>
          <w:color w:val="auto"/>
          <w:sz w:val="24"/>
        </w:rPr>
        <w:t>（U盘）</w:t>
      </w:r>
      <w:r>
        <w:rPr>
          <w:rFonts w:hint="eastAsia" w:ascii="宋体" w:hAnsi="宋体"/>
          <w:color w:val="auto"/>
          <w:sz w:val="24"/>
          <w:u w:val="single"/>
        </w:rPr>
        <w:t xml:space="preserve"> </w:t>
      </w:r>
      <w:r>
        <w:rPr>
          <w:rFonts w:ascii="宋体" w:hAnsi="宋体"/>
          <w:b/>
          <w:color w:val="auto"/>
          <w:sz w:val="24"/>
          <w:u w:val="single"/>
        </w:rPr>
        <w:t>壹</w:t>
      </w:r>
      <w:r>
        <w:rPr>
          <w:rFonts w:hint="eastAsia" w:ascii="宋体" w:hAnsi="宋体"/>
          <w:b/>
          <w:color w:val="auto"/>
          <w:sz w:val="24"/>
          <w:u w:val="single"/>
        </w:rPr>
        <w:t xml:space="preserve"> </w:t>
      </w:r>
      <w:r>
        <w:rPr>
          <w:rFonts w:ascii="宋体" w:hAnsi="宋体"/>
          <w:color w:val="auto"/>
          <w:sz w:val="24"/>
        </w:rPr>
        <w:t>份；</w:t>
      </w:r>
      <w:r>
        <w:rPr>
          <w:rFonts w:hint="eastAsia" w:ascii="宋体" w:hAnsi="宋体"/>
          <w:color w:val="auto"/>
          <w:sz w:val="24"/>
        </w:rPr>
        <w:t>电子版响应文件提供响应文件正本的word版本及PDF版本（PDF文件为完整签字、盖章的正本扫描件）；</w:t>
      </w:r>
      <w:r>
        <w:rPr>
          <w:rFonts w:ascii="宋体" w:hAnsi="宋体"/>
          <w:color w:val="auto"/>
          <w:sz w:val="24"/>
        </w:rPr>
        <w:t>在封面标明“正本”、“副本”及“电子版</w:t>
      </w:r>
      <w:r>
        <w:rPr>
          <w:rFonts w:hint="eastAsia" w:ascii="宋体" w:hAnsi="宋体"/>
          <w:color w:val="auto"/>
          <w:sz w:val="24"/>
        </w:rPr>
        <w:t>响应文件</w:t>
      </w:r>
      <w:r>
        <w:rPr>
          <w:rFonts w:ascii="宋体" w:hAnsi="宋体"/>
          <w:color w:val="auto"/>
          <w:sz w:val="24"/>
        </w:rPr>
        <w:t>”字样；</w:t>
      </w:r>
    </w:p>
    <w:p w14:paraId="2C255ED2">
      <w:pPr>
        <w:spacing w:line="360" w:lineRule="auto"/>
        <w:ind w:firstLine="240" w:firstLineChars="100"/>
        <w:rPr>
          <w:rFonts w:ascii="宋体" w:hAnsi="宋体"/>
          <w:color w:val="auto"/>
          <w:sz w:val="24"/>
        </w:rPr>
      </w:pPr>
      <w:r>
        <w:rPr>
          <w:rFonts w:hint="eastAsia" w:ascii="宋体" w:hAnsi="宋体"/>
          <w:color w:val="auto"/>
          <w:sz w:val="24"/>
        </w:rPr>
        <w:t xml:space="preserve">  17.4供应商在响应文件中指定的页面落款处，必须按磋商文件要求加盖印章或签字；</w:t>
      </w:r>
    </w:p>
    <w:p w14:paraId="21EE48B1">
      <w:pPr>
        <w:spacing w:line="360" w:lineRule="auto"/>
        <w:ind w:firstLine="480" w:firstLineChars="200"/>
        <w:rPr>
          <w:rFonts w:ascii="宋体" w:hAnsi="宋体"/>
          <w:color w:val="auto"/>
          <w:sz w:val="24"/>
        </w:rPr>
      </w:pPr>
      <w:r>
        <w:rPr>
          <w:rFonts w:hint="eastAsia" w:ascii="宋体" w:hAnsi="宋体"/>
          <w:color w:val="auto"/>
          <w:sz w:val="24"/>
        </w:rPr>
        <w:t>17.</w:t>
      </w:r>
      <w:r>
        <w:rPr>
          <w:rFonts w:ascii="宋体" w:hAnsi="宋体"/>
          <w:color w:val="auto"/>
          <w:sz w:val="24"/>
        </w:rPr>
        <w:t>5</w:t>
      </w:r>
      <w:r>
        <w:rPr>
          <w:rFonts w:hint="eastAsia" w:ascii="宋体" w:hAnsi="宋体"/>
          <w:color w:val="auto"/>
          <w:sz w:val="24"/>
        </w:rPr>
        <w:t>响应文件的任何行间插字、涂改和增删，必须由法定代表人或被授权人在改动处旁签字方为有效；</w:t>
      </w:r>
    </w:p>
    <w:p w14:paraId="091EA47E">
      <w:pPr>
        <w:spacing w:line="360" w:lineRule="auto"/>
        <w:ind w:firstLine="480" w:firstLineChars="200"/>
        <w:rPr>
          <w:rFonts w:ascii="宋体" w:hAnsi="宋体"/>
          <w:color w:val="auto"/>
          <w:sz w:val="24"/>
        </w:rPr>
      </w:pPr>
      <w:r>
        <w:rPr>
          <w:rFonts w:hint="eastAsia" w:ascii="宋体" w:hAnsi="宋体"/>
          <w:color w:val="auto"/>
          <w:sz w:val="24"/>
        </w:rPr>
        <w:t>17.</w:t>
      </w:r>
      <w:r>
        <w:rPr>
          <w:rFonts w:ascii="宋体" w:hAnsi="宋体"/>
          <w:color w:val="auto"/>
          <w:sz w:val="24"/>
        </w:rPr>
        <w:t>6</w:t>
      </w:r>
      <w:r>
        <w:rPr>
          <w:rFonts w:hint="eastAsia" w:ascii="宋体" w:hAnsi="宋体"/>
          <w:color w:val="auto"/>
          <w:sz w:val="24"/>
        </w:rPr>
        <w:t>因字迹潦草、表述不清所引起的后果，由磋商报价人自行负责。</w:t>
      </w:r>
    </w:p>
    <w:p w14:paraId="0413E0B1">
      <w:pPr>
        <w:spacing w:line="360" w:lineRule="auto"/>
        <w:ind w:firstLine="482" w:firstLineChars="200"/>
        <w:rPr>
          <w:rFonts w:ascii="宋体" w:hAnsi="宋体"/>
          <w:b/>
          <w:color w:val="auto"/>
          <w:sz w:val="24"/>
        </w:rPr>
      </w:pPr>
      <w:r>
        <w:rPr>
          <w:rFonts w:hint="eastAsia" w:ascii="宋体" w:hAnsi="宋体"/>
          <w:b/>
          <w:color w:val="auto"/>
          <w:sz w:val="24"/>
        </w:rPr>
        <w:t>17.</w:t>
      </w:r>
      <w:r>
        <w:rPr>
          <w:rFonts w:ascii="宋体" w:hAnsi="宋体"/>
          <w:b/>
          <w:color w:val="auto"/>
          <w:sz w:val="24"/>
        </w:rPr>
        <w:t>7</w:t>
      </w:r>
      <w:r>
        <w:rPr>
          <w:rFonts w:hint="eastAsia" w:ascii="宋体" w:hAnsi="宋体"/>
          <w:b/>
          <w:color w:val="auto"/>
          <w:sz w:val="24"/>
        </w:rPr>
        <w:t>为响应国家环保号召，响应文件建议采用双面打印</w:t>
      </w:r>
    </w:p>
    <w:p w14:paraId="25A96C0A">
      <w:pPr>
        <w:spacing w:line="560" w:lineRule="exact"/>
        <w:ind w:firstLine="120" w:firstLineChars="50"/>
        <w:rPr>
          <w:rFonts w:ascii="宋体" w:hAnsi="宋体"/>
          <w:b/>
          <w:color w:val="auto"/>
          <w:sz w:val="24"/>
        </w:rPr>
      </w:pPr>
      <w:r>
        <w:rPr>
          <w:rFonts w:hint="eastAsia" w:ascii="宋体" w:hAnsi="宋体"/>
          <w:b/>
          <w:color w:val="auto"/>
          <w:sz w:val="24"/>
        </w:rPr>
        <w:t>18、文字要求</w:t>
      </w:r>
    </w:p>
    <w:p w14:paraId="70A8E4A4">
      <w:pPr>
        <w:spacing w:line="360" w:lineRule="auto"/>
        <w:ind w:firstLine="480" w:firstLineChars="200"/>
        <w:rPr>
          <w:rFonts w:ascii="宋体" w:hAnsi="宋体"/>
          <w:color w:val="auto"/>
          <w:sz w:val="24"/>
        </w:rPr>
      </w:pPr>
      <w:r>
        <w:rPr>
          <w:rFonts w:hint="eastAsia" w:ascii="宋体" w:hAnsi="宋体"/>
          <w:color w:val="auto"/>
          <w:sz w:val="24"/>
        </w:rPr>
        <w:t>本次磋商只接受简体中文文字的响应文件。</w:t>
      </w:r>
    </w:p>
    <w:p w14:paraId="12FDC763">
      <w:pPr>
        <w:spacing w:line="560" w:lineRule="exact"/>
        <w:ind w:firstLine="120" w:firstLineChars="50"/>
        <w:rPr>
          <w:rFonts w:ascii="宋体" w:hAnsi="宋体"/>
          <w:b/>
          <w:color w:val="auto"/>
          <w:sz w:val="24"/>
        </w:rPr>
      </w:pPr>
      <w:r>
        <w:rPr>
          <w:rFonts w:hint="eastAsia" w:ascii="宋体" w:hAnsi="宋体"/>
          <w:b/>
          <w:color w:val="auto"/>
          <w:sz w:val="24"/>
        </w:rPr>
        <w:t>19、本项目不接受联合体磋商</w:t>
      </w:r>
    </w:p>
    <w:p w14:paraId="56E928C9">
      <w:pPr>
        <w:jc w:val="center"/>
        <w:rPr>
          <w:rFonts w:ascii="宋体" w:hAnsi="宋体"/>
          <w:color w:val="auto"/>
          <w:sz w:val="30"/>
          <w:szCs w:val="30"/>
        </w:rPr>
      </w:pPr>
      <w:r>
        <w:rPr>
          <w:rFonts w:hint="eastAsia" w:ascii="宋体" w:hAnsi="宋体"/>
          <w:b/>
          <w:color w:val="auto"/>
          <w:sz w:val="30"/>
          <w:szCs w:val="30"/>
        </w:rPr>
        <w:t>五．响应文件封装、递交</w:t>
      </w:r>
    </w:p>
    <w:p w14:paraId="5A165B2A">
      <w:pPr>
        <w:spacing w:line="560" w:lineRule="exact"/>
        <w:ind w:firstLine="120" w:firstLineChars="50"/>
        <w:rPr>
          <w:rFonts w:ascii="宋体" w:hAnsi="宋体"/>
          <w:b/>
          <w:color w:val="auto"/>
          <w:sz w:val="24"/>
        </w:rPr>
      </w:pPr>
      <w:r>
        <w:rPr>
          <w:rFonts w:hint="eastAsia" w:ascii="宋体" w:hAnsi="宋体"/>
          <w:b/>
          <w:color w:val="auto"/>
          <w:sz w:val="24"/>
        </w:rPr>
        <w:t>20、响应文件的封装及标记</w:t>
      </w:r>
    </w:p>
    <w:p w14:paraId="6961F19A">
      <w:pPr>
        <w:spacing w:line="360" w:lineRule="auto"/>
        <w:ind w:firstLine="240" w:firstLineChars="100"/>
        <w:rPr>
          <w:rFonts w:ascii="宋体" w:hAnsi="宋体"/>
          <w:color w:val="auto"/>
          <w:sz w:val="24"/>
        </w:rPr>
      </w:pPr>
      <w:r>
        <w:rPr>
          <w:rFonts w:hint="eastAsia" w:ascii="宋体" w:hAnsi="宋体"/>
          <w:color w:val="auto"/>
          <w:sz w:val="24"/>
        </w:rPr>
        <w:t xml:space="preserve"> 20.1</w:t>
      </w:r>
      <w:r>
        <w:rPr>
          <w:rFonts w:hint="eastAsia" w:ascii="宋体" w:hAnsi="宋体"/>
          <w:color w:val="auto"/>
          <w:spacing w:val="6"/>
          <w:sz w:val="24"/>
        </w:rPr>
        <w:t>响应文件</w:t>
      </w:r>
      <w:r>
        <w:rPr>
          <w:rFonts w:hint="eastAsia" w:ascii="宋体" w:hAnsi="宋体"/>
          <w:color w:val="auto"/>
          <w:sz w:val="24"/>
        </w:rPr>
        <w:t>封装：</w:t>
      </w:r>
    </w:p>
    <w:p w14:paraId="2C4A0EB6">
      <w:pPr>
        <w:spacing w:line="360" w:lineRule="auto"/>
        <w:rPr>
          <w:rFonts w:ascii="宋体" w:hAnsi="宋体"/>
          <w:color w:val="auto"/>
          <w:sz w:val="24"/>
        </w:rPr>
      </w:pPr>
      <w:r>
        <w:rPr>
          <w:rFonts w:hint="eastAsia" w:ascii="宋体" w:hAnsi="宋体"/>
          <w:color w:val="auto"/>
          <w:sz w:val="24"/>
        </w:rPr>
        <w:t xml:space="preserve">   20.1.1</w:t>
      </w:r>
      <w:r>
        <w:rPr>
          <w:rFonts w:hint="eastAsia" w:ascii="宋体" w:hAnsi="宋体"/>
          <w:color w:val="auto"/>
          <w:spacing w:val="6"/>
          <w:sz w:val="24"/>
        </w:rPr>
        <w:t>供应商</w:t>
      </w:r>
      <w:r>
        <w:rPr>
          <w:rFonts w:hint="eastAsia" w:ascii="宋体" w:hAnsi="宋体"/>
          <w:color w:val="auto"/>
          <w:sz w:val="24"/>
        </w:rPr>
        <w:t>应将</w:t>
      </w:r>
      <w:r>
        <w:rPr>
          <w:rFonts w:hint="eastAsia" w:ascii="宋体" w:hAnsi="宋体"/>
          <w:color w:val="auto"/>
          <w:spacing w:val="6"/>
          <w:sz w:val="24"/>
        </w:rPr>
        <w:t>响应文件</w:t>
      </w:r>
      <w:r>
        <w:rPr>
          <w:rFonts w:hint="eastAsia" w:ascii="宋体" w:hAnsi="宋体"/>
          <w:color w:val="auto"/>
          <w:sz w:val="24"/>
        </w:rPr>
        <w:t>的正本、副本、</w:t>
      </w:r>
      <w:r>
        <w:rPr>
          <w:rFonts w:ascii="宋体" w:hAnsi="宋体"/>
          <w:color w:val="auto"/>
          <w:sz w:val="24"/>
        </w:rPr>
        <w:t>电子版标书（U盘）</w:t>
      </w:r>
      <w:r>
        <w:rPr>
          <w:rFonts w:hint="eastAsia" w:ascii="宋体" w:hAnsi="宋体"/>
          <w:color w:val="auto"/>
          <w:sz w:val="24"/>
        </w:rPr>
        <w:t>，用单独的封袋分装密封（封袋不得有破损），在封袋上标明“正本”或“副本”</w:t>
      </w:r>
      <w:r>
        <w:rPr>
          <w:rFonts w:ascii="宋体" w:hAnsi="宋体"/>
          <w:color w:val="auto"/>
          <w:sz w:val="24"/>
        </w:rPr>
        <w:t>及“电子版</w:t>
      </w:r>
      <w:r>
        <w:rPr>
          <w:rFonts w:hint="eastAsia" w:ascii="宋体" w:hAnsi="宋体"/>
          <w:color w:val="auto"/>
          <w:sz w:val="24"/>
        </w:rPr>
        <w:t>响应文件</w:t>
      </w:r>
      <w:r>
        <w:rPr>
          <w:rFonts w:ascii="宋体" w:hAnsi="宋体"/>
          <w:color w:val="auto"/>
          <w:sz w:val="24"/>
        </w:rPr>
        <w:t>”</w:t>
      </w:r>
      <w:r>
        <w:rPr>
          <w:rFonts w:hint="eastAsia" w:ascii="宋体" w:hAnsi="宋体"/>
          <w:color w:val="auto"/>
          <w:sz w:val="24"/>
        </w:rPr>
        <w:t>字样，封袋正面要粘贴标识并加盖</w:t>
      </w:r>
      <w:r>
        <w:rPr>
          <w:rFonts w:hint="eastAsia" w:ascii="宋体" w:hAnsi="宋体"/>
          <w:color w:val="auto"/>
          <w:spacing w:val="6"/>
          <w:sz w:val="24"/>
        </w:rPr>
        <w:t>供应商</w:t>
      </w:r>
      <w:r>
        <w:rPr>
          <w:rFonts w:hint="eastAsia" w:ascii="宋体" w:hAnsi="宋体"/>
          <w:color w:val="auto"/>
          <w:sz w:val="24"/>
        </w:rPr>
        <w:t xml:space="preserve">公章。响应文件正本中的法人授权书须为原件，其它资质证明文件为复印件加盖供应商公章；响应文件副本中的资质证明文件为复印件加盖供应商公章； </w:t>
      </w:r>
    </w:p>
    <w:p w14:paraId="75A4E61A">
      <w:pPr>
        <w:spacing w:line="360" w:lineRule="auto"/>
        <w:rPr>
          <w:rFonts w:ascii="宋体" w:hAnsi="宋体"/>
          <w:color w:val="auto"/>
          <w:sz w:val="24"/>
        </w:rPr>
      </w:pPr>
      <w:r>
        <w:rPr>
          <w:rFonts w:hint="eastAsia" w:ascii="宋体" w:hAnsi="宋体"/>
          <w:color w:val="auto"/>
          <w:sz w:val="24"/>
        </w:rPr>
        <w:t xml:space="preserve">   20.1.2封袋正面标识式样（参见格式）。</w:t>
      </w:r>
    </w:p>
    <w:p w14:paraId="618B07AD">
      <w:pPr>
        <w:spacing w:line="360" w:lineRule="auto"/>
        <w:rPr>
          <w:rFonts w:ascii="宋体" w:hAnsi="宋体"/>
          <w:color w:val="auto"/>
          <w:sz w:val="24"/>
        </w:rPr>
      </w:pPr>
      <w:r>
        <w:rPr>
          <w:rFonts w:hint="eastAsia" w:ascii="宋体" w:hAnsi="宋体"/>
          <w:color w:val="auto"/>
          <w:sz w:val="24"/>
        </w:rPr>
        <w:t xml:space="preserve">   20.2如果供应商未按上述要求封装及加写标记，误投或过早启封的响应文件，出现此类情况的响应文件，采购代理机构将拒绝接收，并退回供应商。采购代理机构对响应文件的误投和提前启封概不负责。</w:t>
      </w:r>
    </w:p>
    <w:p w14:paraId="3A344D4C">
      <w:pPr>
        <w:spacing w:line="560" w:lineRule="exact"/>
        <w:ind w:firstLine="120" w:firstLineChars="50"/>
        <w:rPr>
          <w:rFonts w:ascii="宋体" w:hAnsi="宋体"/>
          <w:b/>
          <w:color w:val="auto"/>
          <w:sz w:val="24"/>
        </w:rPr>
      </w:pPr>
      <w:r>
        <w:rPr>
          <w:rFonts w:hint="eastAsia" w:ascii="宋体" w:hAnsi="宋体"/>
          <w:b/>
          <w:color w:val="auto"/>
          <w:sz w:val="24"/>
        </w:rPr>
        <w:t>21、响应文件递交</w:t>
      </w:r>
    </w:p>
    <w:p w14:paraId="43D2F592">
      <w:pPr>
        <w:spacing w:line="360" w:lineRule="auto"/>
        <w:ind w:firstLine="240" w:firstLineChars="100"/>
        <w:rPr>
          <w:rFonts w:ascii="宋体" w:hAnsi="宋体"/>
          <w:color w:val="auto"/>
          <w:sz w:val="24"/>
        </w:rPr>
      </w:pPr>
      <w:r>
        <w:rPr>
          <w:rFonts w:hint="eastAsia" w:ascii="宋体" w:hAnsi="宋体"/>
          <w:color w:val="auto"/>
          <w:sz w:val="24"/>
        </w:rPr>
        <w:t xml:space="preserve"> 21.1供应商必须在磋商文件规定的时间和地点，将全部响应文件递交至采购代理机构项目承办人；</w:t>
      </w:r>
    </w:p>
    <w:p w14:paraId="67EABE11">
      <w:pPr>
        <w:spacing w:line="360" w:lineRule="auto"/>
        <w:ind w:firstLine="240" w:firstLineChars="100"/>
        <w:rPr>
          <w:rFonts w:ascii="宋体" w:hAnsi="宋体"/>
          <w:color w:val="auto"/>
          <w:sz w:val="24"/>
        </w:rPr>
      </w:pPr>
      <w:r>
        <w:rPr>
          <w:rFonts w:hint="eastAsia" w:ascii="宋体" w:hAnsi="宋体"/>
          <w:color w:val="auto"/>
          <w:sz w:val="24"/>
        </w:rPr>
        <w:t xml:space="preserve"> 21.2采购代理机构项目承办人在磋商文件规定的响应文件递交截止时间前，只负责响应文件的接收、清点、造册登记工作，并请法定代表人或被授权人签字确认，对其有效性不负任何责任；</w:t>
      </w:r>
    </w:p>
    <w:p w14:paraId="0E8C2AD3">
      <w:pPr>
        <w:spacing w:line="360" w:lineRule="auto"/>
        <w:ind w:firstLine="240" w:firstLineChars="100"/>
        <w:rPr>
          <w:rFonts w:ascii="宋体" w:hAnsi="宋体"/>
          <w:color w:val="auto"/>
          <w:sz w:val="24"/>
        </w:rPr>
      </w:pPr>
      <w:r>
        <w:rPr>
          <w:rFonts w:hint="eastAsia" w:ascii="宋体" w:hAnsi="宋体"/>
          <w:color w:val="auto"/>
          <w:sz w:val="24"/>
        </w:rPr>
        <w:t xml:space="preserve"> 21.3采购代理机构在宣布递交响应文件时间截止之后，拒绝接收任何人送达、递交的响应文件；</w:t>
      </w:r>
    </w:p>
    <w:p w14:paraId="5A23336E">
      <w:pPr>
        <w:spacing w:line="360" w:lineRule="auto"/>
        <w:ind w:firstLine="240" w:firstLineChars="100"/>
        <w:rPr>
          <w:rFonts w:ascii="宋体" w:hAnsi="宋体"/>
          <w:color w:val="auto"/>
          <w:sz w:val="24"/>
        </w:rPr>
      </w:pPr>
      <w:r>
        <w:rPr>
          <w:rFonts w:hint="eastAsia" w:ascii="宋体" w:hAnsi="宋体"/>
          <w:color w:val="auto"/>
          <w:sz w:val="24"/>
        </w:rPr>
        <w:t xml:space="preserve"> 21.4无论供应商成交与否或者废标，其响应文件恕不退还。</w:t>
      </w:r>
    </w:p>
    <w:p w14:paraId="54984600">
      <w:pPr>
        <w:spacing w:line="560" w:lineRule="exact"/>
        <w:ind w:firstLine="120" w:firstLineChars="50"/>
        <w:rPr>
          <w:rFonts w:ascii="宋体" w:hAnsi="宋体"/>
          <w:b/>
          <w:color w:val="auto"/>
          <w:sz w:val="24"/>
        </w:rPr>
      </w:pPr>
      <w:r>
        <w:rPr>
          <w:rFonts w:hint="eastAsia" w:ascii="宋体" w:hAnsi="宋体"/>
          <w:b/>
          <w:color w:val="auto"/>
          <w:sz w:val="24"/>
        </w:rPr>
        <w:t>22、响应文件递交截止时间</w:t>
      </w:r>
    </w:p>
    <w:p w14:paraId="591939BF">
      <w:pPr>
        <w:kinsoku w:val="0"/>
        <w:spacing w:line="500" w:lineRule="exact"/>
        <w:ind w:firstLine="240" w:firstLineChars="100"/>
        <w:rPr>
          <w:rFonts w:ascii="宋体" w:hAnsi="宋体"/>
          <w:color w:val="auto"/>
          <w:sz w:val="24"/>
        </w:rPr>
      </w:pPr>
      <w:r>
        <w:rPr>
          <w:rFonts w:hint="eastAsia" w:ascii="宋体" w:hAnsi="宋体"/>
          <w:color w:val="auto"/>
          <w:sz w:val="24"/>
        </w:rPr>
        <w:t xml:space="preserve"> 22.1供应商</w:t>
      </w:r>
      <w:r>
        <w:rPr>
          <w:rFonts w:hint="eastAsia" w:ascii="宋体" w:hAnsi="宋体"/>
          <w:color w:val="auto"/>
          <w:spacing w:val="6"/>
          <w:sz w:val="24"/>
        </w:rPr>
        <w:t>必须在</w:t>
      </w:r>
      <w:r>
        <w:rPr>
          <w:rFonts w:hint="eastAsia" w:ascii="宋体" w:hAnsi="宋体"/>
          <w:color w:val="auto"/>
          <w:sz w:val="24"/>
        </w:rPr>
        <w:t>磋商</w:t>
      </w:r>
      <w:r>
        <w:rPr>
          <w:rFonts w:hint="eastAsia" w:ascii="宋体" w:hAnsi="宋体"/>
          <w:color w:val="auto"/>
          <w:spacing w:val="6"/>
          <w:sz w:val="24"/>
        </w:rPr>
        <w:t>文件规定的递交截止时间之前递交响应文件，</w:t>
      </w:r>
      <w:r>
        <w:rPr>
          <w:rFonts w:hint="eastAsia" w:ascii="宋体" w:hAnsi="宋体"/>
          <w:color w:val="auto"/>
          <w:sz w:val="24"/>
        </w:rPr>
        <w:t>采购代理机构在截止时间后拒绝接收任何响应文件。</w:t>
      </w:r>
    </w:p>
    <w:p w14:paraId="55D6BA3E">
      <w:pPr>
        <w:kinsoku w:val="0"/>
        <w:spacing w:line="500" w:lineRule="exact"/>
        <w:ind w:firstLine="240" w:firstLineChars="100"/>
        <w:rPr>
          <w:rFonts w:ascii="宋体" w:hAnsi="宋体"/>
          <w:color w:val="auto"/>
          <w:sz w:val="24"/>
        </w:rPr>
      </w:pPr>
      <w:r>
        <w:rPr>
          <w:rFonts w:hint="eastAsia" w:ascii="宋体" w:hAnsi="宋体"/>
          <w:color w:val="auto"/>
          <w:sz w:val="24"/>
        </w:rPr>
        <w:t xml:space="preserve"> 22.2采购代理机构因采购人推迟磋商截止时间时，应以书面（或传真）的形式，通知所有供应商；在这种情况下，采购代理机构和供应商的权利和义务将受到新的截止期的约束。</w:t>
      </w:r>
    </w:p>
    <w:p w14:paraId="0C2AF7F9">
      <w:pPr>
        <w:spacing w:line="560" w:lineRule="exact"/>
        <w:ind w:firstLine="120" w:firstLineChars="50"/>
        <w:rPr>
          <w:rFonts w:ascii="宋体" w:hAnsi="宋体"/>
          <w:b/>
          <w:color w:val="auto"/>
          <w:sz w:val="24"/>
        </w:rPr>
      </w:pPr>
      <w:r>
        <w:rPr>
          <w:rFonts w:hint="eastAsia" w:ascii="宋体" w:hAnsi="宋体"/>
          <w:b/>
          <w:color w:val="auto"/>
          <w:sz w:val="24"/>
        </w:rPr>
        <w:t>23、响应文件的修改和撤回</w:t>
      </w:r>
    </w:p>
    <w:p w14:paraId="78B6C7A8">
      <w:pPr>
        <w:spacing w:line="360" w:lineRule="auto"/>
        <w:ind w:firstLine="240" w:firstLineChars="100"/>
        <w:rPr>
          <w:rFonts w:ascii="宋体" w:hAnsi="宋体"/>
          <w:color w:val="auto"/>
          <w:sz w:val="24"/>
        </w:rPr>
      </w:pPr>
      <w:r>
        <w:rPr>
          <w:rFonts w:hint="eastAsia" w:ascii="宋体" w:hAnsi="宋体"/>
          <w:color w:val="auto"/>
          <w:sz w:val="24"/>
        </w:rPr>
        <w:t xml:space="preserve"> 23.1响应文件递交后，如果供应商提出书面修改和撤回响应文件要求，在截止时间前以书面形式送达采购代理机构；</w:t>
      </w:r>
    </w:p>
    <w:p w14:paraId="5F95433B">
      <w:pPr>
        <w:spacing w:line="360" w:lineRule="auto"/>
        <w:ind w:firstLine="240" w:firstLineChars="100"/>
        <w:rPr>
          <w:rFonts w:ascii="宋体" w:hAnsi="宋体"/>
          <w:color w:val="auto"/>
          <w:sz w:val="24"/>
        </w:rPr>
      </w:pPr>
      <w:r>
        <w:rPr>
          <w:rFonts w:hint="eastAsia" w:ascii="宋体" w:hAnsi="宋体"/>
          <w:color w:val="auto"/>
          <w:sz w:val="24"/>
        </w:rPr>
        <w:t xml:space="preserve"> 23.2供应商修改响应文件的书面材料，须密封送达采购代理机构，修改或补充的内容应按磋商文件要求签署、盖章、密封、标记，并作为响应文件的组成部分；</w:t>
      </w:r>
    </w:p>
    <w:p w14:paraId="3430A758">
      <w:pPr>
        <w:spacing w:line="360" w:lineRule="auto"/>
        <w:ind w:firstLine="240" w:firstLineChars="100"/>
        <w:rPr>
          <w:rFonts w:ascii="宋体" w:hAnsi="宋体"/>
          <w:color w:val="auto"/>
          <w:sz w:val="24"/>
        </w:rPr>
      </w:pPr>
      <w:r>
        <w:rPr>
          <w:rFonts w:hint="eastAsia" w:ascii="宋体" w:hAnsi="宋体"/>
          <w:color w:val="auto"/>
          <w:sz w:val="24"/>
        </w:rPr>
        <w:t xml:space="preserve"> 23.3撤回响应文件应以书面（或传真）的形式通知采购代理机构。如采取传真形式撤回响应文件，随后必须补充有法定代表人或被授权人签署的要求撤回响应文件的正式文件；撤回响应文件的时间以送达采购代理机构到达日期为准；</w:t>
      </w:r>
    </w:p>
    <w:p w14:paraId="54D7DA20">
      <w:pPr>
        <w:spacing w:line="360" w:lineRule="auto"/>
        <w:ind w:firstLine="240" w:firstLineChars="100"/>
        <w:rPr>
          <w:rFonts w:ascii="宋体" w:hAnsi="宋体"/>
          <w:color w:val="auto"/>
          <w:sz w:val="24"/>
        </w:rPr>
      </w:pPr>
      <w:r>
        <w:rPr>
          <w:rFonts w:hint="eastAsia" w:ascii="宋体" w:hAnsi="宋体"/>
          <w:color w:val="auto"/>
          <w:sz w:val="24"/>
        </w:rPr>
        <w:t xml:space="preserve"> 23.4在磋商截止时间后到磋商文件规定的磋商有效期满之间的这段时间内，供应商不得撤回其响应文件；</w:t>
      </w:r>
    </w:p>
    <w:p w14:paraId="0FFF2320">
      <w:pPr>
        <w:spacing w:line="360" w:lineRule="auto"/>
        <w:ind w:firstLine="240" w:firstLineChars="100"/>
        <w:rPr>
          <w:rFonts w:ascii="宋体" w:hAnsi="宋体"/>
          <w:color w:val="auto"/>
          <w:sz w:val="24"/>
        </w:rPr>
      </w:pPr>
      <w:r>
        <w:rPr>
          <w:rFonts w:hint="eastAsia" w:ascii="宋体" w:hAnsi="宋体"/>
          <w:color w:val="auto"/>
          <w:sz w:val="24"/>
        </w:rPr>
        <w:t xml:space="preserve"> 23.5供应商在响应文件递交截止时间后，不得对其响应文件做任何修改。</w:t>
      </w:r>
    </w:p>
    <w:p w14:paraId="72BC42AB">
      <w:pPr>
        <w:jc w:val="center"/>
        <w:rPr>
          <w:rFonts w:ascii="宋体" w:hAnsi="宋体"/>
          <w:b/>
          <w:color w:val="auto"/>
          <w:sz w:val="30"/>
          <w:szCs w:val="30"/>
        </w:rPr>
      </w:pPr>
      <w:r>
        <w:rPr>
          <w:rFonts w:hint="eastAsia" w:ascii="宋体" w:hAnsi="宋体"/>
          <w:b/>
          <w:color w:val="auto"/>
          <w:sz w:val="30"/>
          <w:szCs w:val="30"/>
        </w:rPr>
        <w:t>六．磋商、澄清、成交</w:t>
      </w:r>
    </w:p>
    <w:p w14:paraId="68279E3C">
      <w:pPr>
        <w:tabs>
          <w:tab w:val="left" w:pos="1478"/>
        </w:tabs>
        <w:spacing w:line="560" w:lineRule="exact"/>
        <w:ind w:firstLine="120" w:firstLineChars="50"/>
        <w:rPr>
          <w:rFonts w:ascii="宋体" w:hAnsi="宋体"/>
          <w:b/>
          <w:color w:val="auto"/>
          <w:sz w:val="24"/>
        </w:rPr>
      </w:pPr>
      <w:r>
        <w:rPr>
          <w:rFonts w:hint="eastAsia" w:ascii="宋体" w:hAnsi="宋体"/>
          <w:b/>
          <w:color w:val="auto"/>
          <w:sz w:val="24"/>
        </w:rPr>
        <w:t>24、磋商</w:t>
      </w:r>
      <w:r>
        <w:rPr>
          <w:rFonts w:ascii="宋体" w:hAnsi="宋体"/>
          <w:b/>
          <w:color w:val="auto"/>
          <w:sz w:val="24"/>
        </w:rPr>
        <w:tab/>
      </w:r>
    </w:p>
    <w:p w14:paraId="049FB093">
      <w:pPr>
        <w:spacing w:line="360" w:lineRule="auto"/>
        <w:ind w:firstLine="240" w:firstLineChars="100"/>
        <w:rPr>
          <w:rFonts w:ascii="宋体" w:hAnsi="宋体"/>
          <w:color w:val="auto"/>
          <w:sz w:val="24"/>
        </w:rPr>
      </w:pPr>
      <w:r>
        <w:rPr>
          <w:rFonts w:hint="eastAsia" w:ascii="宋体" w:hAnsi="宋体"/>
          <w:color w:val="auto"/>
          <w:sz w:val="24"/>
        </w:rPr>
        <w:t xml:space="preserve"> 24.1采购代理机构按磋商文件规定的时间、地点组织磋商；磋商大会由采购代理机构主持，采购人代表、监督机构代表及有关工作人员参加，参加磋商的代表应签名报到以证明其出席；供应商派代表参加磋商大会；</w:t>
      </w:r>
    </w:p>
    <w:p w14:paraId="10566115">
      <w:pPr>
        <w:spacing w:line="360" w:lineRule="auto"/>
        <w:ind w:firstLine="240" w:firstLineChars="100"/>
        <w:rPr>
          <w:rFonts w:ascii="宋体" w:hAnsi="宋体"/>
          <w:color w:val="auto"/>
          <w:sz w:val="24"/>
        </w:rPr>
      </w:pPr>
      <w:r>
        <w:rPr>
          <w:rFonts w:hint="eastAsia" w:ascii="宋体" w:hAnsi="宋体"/>
          <w:color w:val="auto"/>
          <w:sz w:val="24"/>
        </w:rPr>
        <w:t xml:space="preserve"> 24.2为确保磋商工作公开、公平、公正，依法成立磋商小组。磋商小组由采购人及有关专家组成，其中技术、经济等方面的专家不少于磋商小组成员总数的三分之二，专家名单由有关人员在财政部门设立的采购评审专家库中随机抽取，磋商小组成员应当遵守并履行下列责任和义务：</w:t>
      </w:r>
    </w:p>
    <w:p w14:paraId="658E1796">
      <w:pPr>
        <w:spacing w:line="360" w:lineRule="auto"/>
        <w:ind w:left="17" w:leftChars="8"/>
        <w:rPr>
          <w:rFonts w:ascii="宋体" w:hAnsi="宋体"/>
          <w:color w:val="auto"/>
          <w:sz w:val="24"/>
        </w:rPr>
      </w:pPr>
      <w:r>
        <w:rPr>
          <w:rFonts w:hint="eastAsia" w:ascii="宋体" w:hAnsi="宋体"/>
          <w:color w:val="auto"/>
          <w:sz w:val="24"/>
        </w:rPr>
        <w:t xml:space="preserve">   24.2.1</w:t>
      </w:r>
      <w:r>
        <w:rPr>
          <w:rFonts w:hint="eastAsia"/>
          <w:color w:val="auto"/>
          <w:sz w:val="24"/>
        </w:rPr>
        <w:t>要严格遵守采购相关法律制度，依法履行各自职责，公正、客观、审慎地组织和参与评审工作；</w:t>
      </w:r>
    </w:p>
    <w:p w14:paraId="55A0BE8D">
      <w:pPr>
        <w:tabs>
          <w:tab w:val="left" w:pos="1200"/>
        </w:tabs>
        <w:spacing w:line="360" w:lineRule="auto"/>
        <w:rPr>
          <w:rFonts w:ascii="宋体" w:hAnsi="宋体"/>
          <w:color w:val="auto"/>
          <w:sz w:val="24"/>
        </w:rPr>
      </w:pPr>
      <w:r>
        <w:rPr>
          <w:rFonts w:hint="eastAsia" w:ascii="宋体" w:hAnsi="宋体"/>
          <w:color w:val="auto"/>
          <w:sz w:val="24"/>
        </w:rPr>
        <w:t xml:space="preserve">   24.2.2</w:t>
      </w:r>
      <w:r>
        <w:rPr>
          <w:rFonts w:hint="eastAsia"/>
          <w:color w:val="auto"/>
          <w:sz w:val="24"/>
        </w:rPr>
        <w:t>对所有响应文件逐一进行资格性、符合性检查，</w:t>
      </w:r>
      <w:r>
        <w:rPr>
          <w:rFonts w:hint="eastAsia" w:ascii="宋体" w:hAnsi="宋体"/>
          <w:color w:val="auto"/>
          <w:sz w:val="24"/>
        </w:rPr>
        <w:t>并做出评价；</w:t>
      </w:r>
    </w:p>
    <w:p w14:paraId="68C1F6BC">
      <w:pPr>
        <w:pStyle w:val="94"/>
        <w:spacing w:line="360" w:lineRule="auto"/>
        <w:ind w:firstLine="360" w:firstLineChars="150"/>
        <w:rPr>
          <w:rFonts w:ascii="宋体" w:hAnsi="宋体"/>
          <w:color w:val="auto"/>
          <w:sz w:val="24"/>
          <w:szCs w:val="24"/>
        </w:rPr>
      </w:pPr>
      <w:r>
        <w:rPr>
          <w:rFonts w:hint="eastAsia" w:ascii="宋体" w:hAnsi="宋体"/>
          <w:color w:val="auto"/>
          <w:sz w:val="24"/>
          <w:szCs w:val="24"/>
        </w:rPr>
        <w:t>24.2.3初审结束后，磋商小组所有成员集中与单一供应商分别进行磋商，并给予所有参加磋商的供应商平等的磋商机会。供应商应派其法定代表人或授权代表参加磋商。</w:t>
      </w:r>
    </w:p>
    <w:p w14:paraId="2B78E6B3">
      <w:pPr>
        <w:tabs>
          <w:tab w:val="left" w:pos="1200"/>
        </w:tabs>
        <w:spacing w:line="360" w:lineRule="auto"/>
        <w:ind w:left="17" w:leftChars="8"/>
        <w:rPr>
          <w:rFonts w:ascii="宋体" w:hAnsi="宋体"/>
          <w:color w:val="auto"/>
          <w:sz w:val="24"/>
        </w:rPr>
      </w:pPr>
      <w:r>
        <w:rPr>
          <w:rFonts w:hint="eastAsia" w:ascii="宋体" w:hAnsi="宋体"/>
          <w:color w:val="auto"/>
          <w:sz w:val="24"/>
        </w:rPr>
        <w:t xml:space="preserve">   24.2.</w:t>
      </w:r>
      <w:r>
        <w:rPr>
          <w:rFonts w:ascii="宋体" w:hAnsi="宋体"/>
          <w:color w:val="auto"/>
          <w:sz w:val="24"/>
        </w:rPr>
        <w:t>4</w:t>
      </w:r>
      <w:r>
        <w:rPr>
          <w:rFonts w:hint="eastAsia"/>
          <w:color w:val="auto"/>
          <w:sz w:val="24"/>
        </w:rPr>
        <w:t>按</w:t>
      </w:r>
      <w:r>
        <w:rPr>
          <w:rFonts w:hint="eastAsia" w:ascii="宋体" w:hAnsi="宋体"/>
          <w:color w:val="auto"/>
          <w:sz w:val="24"/>
        </w:rPr>
        <w:t>磋商</w:t>
      </w:r>
      <w:r>
        <w:rPr>
          <w:rFonts w:hint="eastAsia"/>
          <w:color w:val="auto"/>
          <w:sz w:val="24"/>
        </w:rPr>
        <w:t>文件规定的评审方法和标准，进行比较和评价；对供应商的价格分等客观评分项的评分应当一致；</w:t>
      </w:r>
    </w:p>
    <w:p w14:paraId="199BE61B">
      <w:pPr>
        <w:spacing w:line="360" w:lineRule="auto"/>
        <w:rPr>
          <w:rFonts w:ascii="宋体" w:hAnsi="宋体"/>
          <w:color w:val="auto"/>
          <w:sz w:val="24"/>
        </w:rPr>
      </w:pPr>
      <w:r>
        <w:rPr>
          <w:rFonts w:hint="eastAsia" w:ascii="宋体" w:hAnsi="宋体"/>
          <w:color w:val="auto"/>
          <w:sz w:val="24"/>
        </w:rPr>
        <w:t xml:space="preserve">   24.2.</w:t>
      </w:r>
      <w:r>
        <w:rPr>
          <w:rFonts w:ascii="宋体" w:hAnsi="宋体"/>
          <w:color w:val="auto"/>
          <w:sz w:val="24"/>
        </w:rPr>
        <w:t>5</w:t>
      </w:r>
      <w:r>
        <w:rPr>
          <w:rFonts w:hint="eastAsia" w:ascii="宋体" w:hAnsi="宋体"/>
          <w:color w:val="auto"/>
          <w:sz w:val="24"/>
        </w:rPr>
        <w:t>要求供应商对响应文件有关事项作出解释或澄清；</w:t>
      </w:r>
    </w:p>
    <w:p w14:paraId="14CD587C">
      <w:pPr>
        <w:spacing w:line="360" w:lineRule="auto"/>
        <w:ind w:left="17" w:leftChars="8"/>
        <w:rPr>
          <w:rFonts w:ascii="宋体" w:hAnsi="宋体"/>
          <w:color w:val="auto"/>
          <w:sz w:val="24"/>
        </w:rPr>
      </w:pPr>
      <w:r>
        <w:rPr>
          <w:rFonts w:hint="eastAsia" w:ascii="宋体" w:hAnsi="宋体"/>
          <w:color w:val="auto"/>
          <w:sz w:val="24"/>
        </w:rPr>
        <w:t xml:space="preserve">   24.2.</w:t>
      </w:r>
      <w:r>
        <w:rPr>
          <w:rFonts w:ascii="宋体" w:hAnsi="宋体"/>
          <w:color w:val="auto"/>
          <w:sz w:val="24"/>
        </w:rPr>
        <w:t>6</w:t>
      </w:r>
      <w:r>
        <w:rPr>
          <w:rFonts w:hint="eastAsia" w:ascii="宋体" w:hAnsi="宋体"/>
          <w:color w:val="auto"/>
          <w:sz w:val="24"/>
        </w:rPr>
        <w:t>要依法独立评审，按照磋商文件的要求和评标标准进行评标，推荐成交候选供应商名单，对评审意见承担个人责任；</w:t>
      </w:r>
    </w:p>
    <w:p w14:paraId="3DD6FDB2">
      <w:pPr>
        <w:spacing w:line="360" w:lineRule="auto"/>
        <w:ind w:left="1" w:leftChars="-171" w:hanging="360" w:hangingChars="150"/>
        <w:rPr>
          <w:rFonts w:ascii="宋体" w:hAnsi="宋体"/>
          <w:color w:val="auto"/>
          <w:sz w:val="24"/>
        </w:rPr>
      </w:pPr>
      <w:r>
        <w:rPr>
          <w:rFonts w:hint="eastAsia" w:ascii="宋体" w:hAnsi="宋体"/>
          <w:color w:val="auto"/>
          <w:sz w:val="24"/>
        </w:rPr>
        <w:t xml:space="preserve">      24.2.</w:t>
      </w:r>
      <w:r>
        <w:rPr>
          <w:rFonts w:ascii="宋体" w:hAnsi="宋体"/>
          <w:color w:val="auto"/>
          <w:sz w:val="24"/>
        </w:rPr>
        <w:t>7</w:t>
      </w:r>
      <w:r>
        <w:rPr>
          <w:rFonts w:hint="eastAsia" w:ascii="宋体" w:hAnsi="宋体"/>
          <w:color w:val="auto"/>
          <w:sz w:val="24"/>
        </w:rPr>
        <w:t>对需要共同认定的事项存在争议的，按照少数服从多数的原则做出结论。持不同意见的磋商小组成员应当在评审报告上签署不同意见并说明理由，否则视为同意；</w:t>
      </w:r>
      <w:r>
        <w:rPr>
          <w:rFonts w:ascii="宋体" w:hAnsi="宋体"/>
          <w:color w:val="auto"/>
          <w:sz w:val="24"/>
        </w:rPr>
        <w:t xml:space="preserve"> </w:t>
      </w:r>
    </w:p>
    <w:p w14:paraId="61C0DB77">
      <w:pPr>
        <w:spacing w:line="360" w:lineRule="auto"/>
        <w:rPr>
          <w:rFonts w:ascii="宋体" w:hAnsi="宋体"/>
          <w:color w:val="auto"/>
          <w:sz w:val="24"/>
        </w:rPr>
      </w:pPr>
      <w:r>
        <w:rPr>
          <w:rFonts w:hint="eastAsia" w:ascii="宋体" w:hAnsi="宋体"/>
          <w:color w:val="auto"/>
          <w:sz w:val="24"/>
        </w:rPr>
        <w:t xml:space="preserve">   24.2.</w:t>
      </w:r>
      <w:r>
        <w:rPr>
          <w:rFonts w:ascii="宋体" w:hAnsi="宋体"/>
          <w:color w:val="auto"/>
          <w:sz w:val="24"/>
        </w:rPr>
        <w:t>8</w:t>
      </w:r>
      <w:r>
        <w:rPr>
          <w:rFonts w:hint="eastAsia" w:ascii="宋体" w:hAnsi="宋体"/>
          <w:color w:val="auto"/>
          <w:sz w:val="24"/>
        </w:rPr>
        <w:t>对评审情况以及在评审过程中获悉的国家秘密、商业秘密负有保密责任；</w:t>
      </w:r>
    </w:p>
    <w:p w14:paraId="0F3ACD53">
      <w:pPr>
        <w:spacing w:line="360" w:lineRule="auto"/>
        <w:rPr>
          <w:rFonts w:ascii="宋体" w:hAnsi="宋体"/>
          <w:color w:val="auto"/>
          <w:sz w:val="24"/>
        </w:rPr>
      </w:pPr>
      <w:r>
        <w:rPr>
          <w:rFonts w:hint="eastAsia" w:ascii="宋体" w:hAnsi="宋体"/>
          <w:color w:val="auto"/>
          <w:sz w:val="24"/>
        </w:rPr>
        <w:t xml:space="preserve">   24.2.</w:t>
      </w:r>
      <w:r>
        <w:rPr>
          <w:rFonts w:ascii="宋体" w:hAnsi="宋体"/>
          <w:color w:val="auto"/>
          <w:sz w:val="24"/>
        </w:rPr>
        <w:t>9</w:t>
      </w:r>
      <w:r>
        <w:rPr>
          <w:rFonts w:hint="eastAsia" w:ascii="宋体" w:hAnsi="宋体"/>
          <w:color w:val="auto"/>
          <w:sz w:val="24"/>
        </w:rPr>
        <w:t>配合监督部门的投诉处理工作；</w:t>
      </w:r>
    </w:p>
    <w:p w14:paraId="66BE3571">
      <w:pPr>
        <w:spacing w:line="360" w:lineRule="auto"/>
        <w:rPr>
          <w:rFonts w:ascii="宋体" w:hAnsi="宋体"/>
          <w:color w:val="auto"/>
          <w:sz w:val="24"/>
        </w:rPr>
      </w:pPr>
      <w:r>
        <w:rPr>
          <w:rFonts w:hint="eastAsia" w:ascii="宋体" w:hAnsi="宋体"/>
          <w:color w:val="auto"/>
          <w:sz w:val="24"/>
        </w:rPr>
        <w:t xml:space="preserve">   24.2.</w:t>
      </w:r>
      <w:r>
        <w:rPr>
          <w:rFonts w:ascii="宋体" w:hAnsi="宋体"/>
          <w:color w:val="auto"/>
          <w:sz w:val="24"/>
        </w:rPr>
        <w:t>10</w:t>
      </w:r>
      <w:r>
        <w:rPr>
          <w:rFonts w:hint="eastAsia" w:ascii="宋体" w:hAnsi="宋体"/>
          <w:color w:val="auto"/>
          <w:sz w:val="24"/>
        </w:rPr>
        <w:t>配合采购人、采购代理机构答复供应商提出的质疑。</w:t>
      </w:r>
    </w:p>
    <w:p w14:paraId="1340A604">
      <w:pPr>
        <w:spacing w:line="360" w:lineRule="auto"/>
        <w:ind w:firstLine="240" w:firstLineChars="100"/>
        <w:rPr>
          <w:rFonts w:ascii="宋体" w:hAnsi="宋体"/>
          <w:color w:val="auto"/>
          <w:sz w:val="24"/>
        </w:rPr>
      </w:pPr>
      <w:r>
        <w:rPr>
          <w:rFonts w:hint="eastAsia" w:ascii="宋体" w:hAnsi="宋体"/>
          <w:color w:val="auto"/>
          <w:sz w:val="24"/>
        </w:rPr>
        <w:t xml:space="preserve"> 24.3查验响应文件密封情况，确认无误后拆封，唱价过程中采购代理机构指定专人负责将供应商的名称、项目名称、磋商价格记录，并存档备案；</w:t>
      </w:r>
    </w:p>
    <w:p w14:paraId="02A272BE">
      <w:pPr>
        <w:spacing w:line="360" w:lineRule="auto"/>
        <w:ind w:firstLine="240" w:firstLineChars="100"/>
        <w:rPr>
          <w:rFonts w:ascii="宋体" w:hAnsi="宋体"/>
          <w:color w:val="auto"/>
          <w:sz w:val="24"/>
        </w:rPr>
      </w:pPr>
      <w:r>
        <w:rPr>
          <w:rFonts w:hint="eastAsia" w:ascii="宋体" w:hAnsi="宋体"/>
          <w:color w:val="auto"/>
          <w:sz w:val="24"/>
        </w:rPr>
        <w:t xml:space="preserve"> 24.4磋商时，响应文件中出现下列情况，修正原则为：</w:t>
      </w:r>
    </w:p>
    <w:p w14:paraId="3BE0F2E1">
      <w:pPr>
        <w:spacing w:line="360" w:lineRule="auto"/>
        <w:rPr>
          <w:rFonts w:ascii="宋体" w:hAnsi="宋体"/>
          <w:color w:val="auto"/>
          <w:sz w:val="24"/>
        </w:rPr>
      </w:pPr>
      <w:r>
        <w:rPr>
          <w:rFonts w:hint="eastAsia" w:ascii="宋体" w:hAnsi="宋体"/>
          <w:color w:val="auto"/>
          <w:sz w:val="24"/>
        </w:rPr>
        <w:t xml:space="preserve">   24.4.1响应文件中响应报价表内容与响应文件中明细内容不一致的，以响应报价表为准；</w:t>
      </w:r>
    </w:p>
    <w:p w14:paraId="719B7CB8">
      <w:pPr>
        <w:spacing w:line="360" w:lineRule="auto"/>
        <w:rPr>
          <w:rFonts w:ascii="宋体" w:hAnsi="宋体"/>
          <w:color w:val="auto"/>
          <w:sz w:val="24"/>
        </w:rPr>
      </w:pPr>
      <w:r>
        <w:rPr>
          <w:rFonts w:hint="eastAsia" w:ascii="宋体" w:hAnsi="宋体"/>
          <w:color w:val="auto"/>
          <w:sz w:val="24"/>
        </w:rPr>
        <w:t xml:space="preserve">   24.4.2大写金额和小写金额不一致的，以大写金额为准；</w:t>
      </w:r>
    </w:p>
    <w:p w14:paraId="6CDF92D4">
      <w:pPr>
        <w:spacing w:line="360" w:lineRule="auto"/>
        <w:rPr>
          <w:rFonts w:ascii="宋体" w:hAnsi="宋体"/>
          <w:color w:val="auto"/>
          <w:sz w:val="24"/>
        </w:rPr>
      </w:pPr>
      <w:r>
        <w:rPr>
          <w:rFonts w:hint="eastAsia" w:ascii="宋体" w:hAnsi="宋体"/>
          <w:color w:val="auto"/>
          <w:sz w:val="24"/>
        </w:rPr>
        <w:t xml:space="preserve">   24.4.3单价金额小数点或者百分比有明显错位的，以响应报价表的总价为准，并修改单价；</w:t>
      </w:r>
    </w:p>
    <w:p w14:paraId="33CA0FEF">
      <w:pPr>
        <w:spacing w:line="360" w:lineRule="auto"/>
        <w:rPr>
          <w:rFonts w:ascii="宋体" w:hAnsi="宋体"/>
          <w:color w:val="auto"/>
          <w:sz w:val="24"/>
        </w:rPr>
      </w:pPr>
      <w:r>
        <w:rPr>
          <w:rFonts w:hint="eastAsia" w:ascii="宋体" w:hAnsi="宋体"/>
          <w:color w:val="auto"/>
          <w:sz w:val="24"/>
        </w:rPr>
        <w:t xml:space="preserve">   24.4.4总价金额与按单价汇总金额不一致的，以单价金额计算结果为准；</w:t>
      </w:r>
    </w:p>
    <w:p w14:paraId="022F3170">
      <w:pPr>
        <w:spacing w:line="360" w:lineRule="auto"/>
        <w:rPr>
          <w:rFonts w:ascii="宋体" w:hAnsi="宋体"/>
          <w:color w:val="auto"/>
          <w:sz w:val="24"/>
        </w:rPr>
      </w:pPr>
      <w:r>
        <w:rPr>
          <w:rFonts w:hint="eastAsia" w:ascii="宋体" w:hAnsi="宋体"/>
          <w:color w:val="auto"/>
          <w:sz w:val="24"/>
        </w:rPr>
        <w:t xml:space="preserve">   24.4.5响应文件正本与副本不一致的，以正本为准；</w:t>
      </w:r>
    </w:p>
    <w:p w14:paraId="5C59FCFF">
      <w:pPr>
        <w:spacing w:line="360" w:lineRule="auto"/>
        <w:rPr>
          <w:rFonts w:ascii="宋体" w:hAnsi="宋体"/>
          <w:color w:val="auto"/>
          <w:sz w:val="24"/>
        </w:rPr>
      </w:pPr>
      <w:r>
        <w:rPr>
          <w:rFonts w:hint="eastAsia" w:ascii="宋体" w:hAnsi="宋体"/>
          <w:color w:val="auto"/>
          <w:sz w:val="24"/>
        </w:rPr>
        <w:t xml:space="preserve">   24.4.6多处内容交叉不符时，以磋商小组成员评审结果为准；</w:t>
      </w:r>
    </w:p>
    <w:p w14:paraId="084F8018">
      <w:pPr>
        <w:spacing w:line="360" w:lineRule="auto"/>
        <w:rPr>
          <w:rFonts w:ascii="宋体" w:hAnsi="宋体"/>
          <w:color w:val="auto"/>
          <w:sz w:val="24"/>
        </w:rPr>
      </w:pPr>
      <w:r>
        <w:rPr>
          <w:rFonts w:hint="eastAsia" w:ascii="宋体" w:hAnsi="宋体"/>
          <w:color w:val="auto"/>
          <w:sz w:val="24"/>
        </w:rPr>
        <w:t xml:space="preserve">   24.4.7文字与图表不符时以文字为准；</w:t>
      </w:r>
    </w:p>
    <w:p w14:paraId="35A0CBAC">
      <w:pPr>
        <w:spacing w:line="360" w:lineRule="auto"/>
        <w:ind w:left="120" w:leftChars="57" w:firstLine="480" w:firstLineChars="200"/>
        <w:rPr>
          <w:rFonts w:ascii="宋体" w:hAnsi="宋体"/>
          <w:color w:val="auto"/>
          <w:sz w:val="24"/>
        </w:rPr>
      </w:pPr>
      <w:r>
        <w:rPr>
          <w:rFonts w:hint="eastAsia" w:ascii="宋体" w:hAnsi="宋体"/>
          <w:color w:val="auto"/>
          <w:sz w:val="24"/>
        </w:rPr>
        <w:t>同时出现两种以上不一致的，按照前款规定的顺序修正。按上述修正错误的原则及方法调整或修正响应文件的报价，供应商同意后，调整后的报价对供应商起约束作用。如果供应商不接受修正后的报价，则其响应文件无效</w:t>
      </w:r>
    </w:p>
    <w:p w14:paraId="1B2A4B74">
      <w:pPr>
        <w:spacing w:line="360" w:lineRule="auto"/>
        <w:ind w:firstLine="240" w:firstLineChars="100"/>
        <w:rPr>
          <w:rFonts w:ascii="宋体" w:hAnsi="宋体"/>
          <w:color w:val="auto"/>
          <w:sz w:val="24"/>
        </w:rPr>
      </w:pPr>
      <w:r>
        <w:rPr>
          <w:rFonts w:hint="eastAsia" w:ascii="宋体" w:hAnsi="宋体"/>
          <w:color w:val="auto"/>
          <w:sz w:val="24"/>
        </w:rPr>
        <w:t xml:space="preserve"> 24.5磋商结束后，直到向成交的供应商授予合同为止，凡审查、澄清、评价和比较磋商的有关资料及被授标意见等内容，磋商小组成员均不得向供应商及与磋商无关的其他人透露。 </w:t>
      </w:r>
    </w:p>
    <w:p w14:paraId="4364112F">
      <w:pPr>
        <w:spacing w:line="520" w:lineRule="exact"/>
        <w:ind w:firstLine="241" w:firstLineChars="100"/>
        <w:rPr>
          <w:rFonts w:ascii="宋体" w:hAnsi="宋体"/>
          <w:b/>
          <w:color w:val="auto"/>
          <w:sz w:val="24"/>
        </w:rPr>
      </w:pPr>
      <w:r>
        <w:rPr>
          <w:rFonts w:hint="eastAsia" w:ascii="宋体" w:hAnsi="宋体"/>
          <w:b/>
          <w:color w:val="auto"/>
          <w:sz w:val="24"/>
        </w:rPr>
        <w:t>25、磋商文件的初审</w:t>
      </w:r>
    </w:p>
    <w:p w14:paraId="5500FD02">
      <w:pPr>
        <w:spacing w:line="360" w:lineRule="auto"/>
        <w:ind w:firstLine="480" w:firstLineChars="200"/>
        <w:rPr>
          <w:rFonts w:ascii="宋体" w:hAnsi="宋体"/>
          <w:color w:val="auto"/>
          <w:sz w:val="24"/>
        </w:rPr>
      </w:pPr>
      <w:r>
        <w:rPr>
          <w:rFonts w:hint="eastAsia" w:ascii="宋体" w:hAnsi="宋体"/>
          <w:color w:val="auto"/>
          <w:sz w:val="24"/>
        </w:rPr>
        <w:t>初审为资格性审查和符合性审查。资格性审查由采购人审查，若采购人对资质有疑问的可由磋商小组协助审查；符合性审查由磋商小组审查；</w:t>
      </w:r>
    </w:p>
    <w:p w14:paraId="6DC8867F">
      <w:pPr>
        <w:spacing w:line="360" w:lineRule="auto"/>
        <w:ind w:firstLine="361" w:firstLineChars="150"/>
        <w:rPr>
          <w:rFonts w:ascii="宋体" w:hAnsi="宋体"/>
          <w:color w:val="auto"/>
          <w:sz w:val="24"/>
        </w:rPr>
      </w:pPr>
      <w:r>
        <w:rPr>
          <w:rFonts w:hint="eastAsia" w:ascii="宋体" w:hAnsi="宋体"/>
          <w:b/>
          <w:color w:val="auto"/>
          <w:sz w:val="24"/>
        </w:rPr>
        <w:t>25.1资格性审查：</w:t>
      </w:r>
      <w:r>
        <w:rPr>
          <w:rFonts w:hint="eastAsia" w:ascii="宋体" w:hAnsi="宋体"/>
          <w:color w:val="auto"/>
          <w:sz w:val="24"/>
        </w:rPr>
        <w:t>依据磋商文件的规定，对响应文件的资格证明进行审查，资格审查不合格的,不进入下一轮评审环节。</w:t>
      </w:r>
    </w:p>
    <w:p w14:paraId="32E9E364">
      <w:pPr>
        <w:spacing w:line="360" w:lineRule="auto"/>
        <w:ind w:firstLine="361" w:firstLineChars="150"/>
        <w:rPr>
          <w:rFonts w:ascii="宋体" w:hAnsi="宋体"/>
          <w:color w:val="auto"/>
          <w:sz w:val="24"/>
        </w:rPr>
      </w:pPr>
      <w:r>
        <w:rPr>
          <w:rFonts w:hint="eastAsia" w:ascii="宋体" w:hAnsi="宋体"/>
          <w:b/>
          <w:color w:val="auto"/>
          <w:sz w:val="24"/>
        </w:rPr>
        <w:t>25.2符合性审查：</w:t>
      </w:r>
      <w:r>
        <w:rPr>
          <w:rFonts w:hint="eastAsia" w:ascii="宋体" w:hAnsi="宋体"/>
          <w:color w:val="auto"/>
          <w:sz w:val="24"/>
        </w:rPr>
        <w:t>依据磋商文件规定，从响应文件的有效性、完整性和对磋商文件的响应程度进行审查。出现任何一项不满足者（但不限于），不进入下一轮评审：</w:t>
      </w:r>
    </w:p>
    <w:tbl>
      <w:tblPr>
        <w:tblStyle w:val="28"/>
        <w:tblW w:w="90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2524"/>
        <w:gridCol w:w="3952"/>
        <w:gridCol w:w="817"/>
        <w:gridCol w:w="1060"/>
      </w:tblGrid>
      <w:tr w14:paraId="138FF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676" w:type="dxa"/>
            <w:shd w:val="clear" w:color="auto" w:fill="D9D9D9"/>
            <w:vAlign w:val="center"/>
          </w:tcPr>
          <w:p w14:paraId="563E8D70">
            <w:pPr>
              <w:spacing w:line="320" w:lineRule="exact"/>
              <w:jc w:val="center"/>
              <w:rPr>
                <w:rFonts w:ascii="宋体" w:hAnsi="宋体" w:cs="宋体"/>
                <w:b/>
                <w:bCs/>
                <w:color w:val="auto"/>
                <w:kern w:val="0"/>
                <w:sz w:val="24"/>
              </w:rPr>
            </w:pPr>
            <w:r>
              <w:rPr>
                <w:rFonts w:hint="eastAsia" w:ascii="宋体" w:hAnsi="宋体" w:cs="宋体"/>
                <w:b/>
                <w:bCs/>
                <w:color w:val="auto"/>
                <w:kern w:val="0"/>
                <w:sz w:val="24"/>
              </w:rPr>
              <w:t>序号</w:t>
            </w:r>
          </w:p>
        </w:tc>
        <w:tc>
          <w:tcPr>
            <w:tcW w:w="2524" w:type="dxa"/>
            <w:shd w:val="clear" w:color="auto" w:fill="D9D9D9"/>
            <w:vAlign w:val="center"/>
          </w:tcPr>
          <w:p w14:paraId="2CA57596">
            <w:pPr>
              <w:spacing w:line="320" w:lineRule="exact"/>
              <w:jc w:val="center"/>
              <w:rPr>
                <w:rFonts w:ascii="宋体" w:hAnsi="宋体" w:cs="宋体"/>
                <w:b/>
                <w:bCs/>
                <w:color w:val="auto"/>
                <w:kern w:val="0"/>
                <w:sz w:val="24"/>
              </w:rPr>
            </w:pPr>
            <w:r>
              <w:rPr>
                <w:rFonts w:hint="eastAsia" w:ascii="宋体" w:hAnsi="宋体" w:cs="宋体"/>
                <w:b/>
                <w:bCs/>
                <w:color w:val="auto"/>
                <w:kern w:val="0"/>
                <w:sz w:val="24"/>
              </w:rPr>
              <w:t>符合性审查项</w:t>
            </w:r>
          </w:p>
        </w:tc>
        <w:tc>
          <w:tcPr>
            <w:tcW w:w="3952" w:type="dxa"/>
            <w:shd w:val="clear" w:color="auto" w:fill="D9D9D9"/>
            <w:vAlign w:val="center"/>
          </w:tcPr>
          <w:p w14:paraId="15996157">
            <w:pPr>
              <w:spacing w:line="320" w:lineRule="exact"/>
              <w:jc w:val="center"/>
              <w:rPr>
                <w:rFonts w:ascii="宋体" w:hAnsi="宋体" w:cs="宋体"/>
                <w:b/>
                <w:bCs/>
                <w:color w:val="auto"/>
                <w:kern w:val="0"/>
                <w:sz w:val="24"/>
              </w:rPr>
            </w:pPr>
            <w:r>
              <w:rPr>
                <w:rFonts w:hint="eastAsia" w:ascii="宋体" w:hAnsi="宋体" w:cs="宋体"/>
                <w:b/>
                <w:bCs/>
                <w:color w:val="auto"/>
                <w:kern w:val="0"/>
                <w:sz w:val="24"/>
              </w:rPr>
              <w:t>通过条件</w:t>
            </w:r>
          </w:p>
        </w:tc>
        <w:tc>
          <w:tcPr>
            <w:tcW w:w="817" w:type="dxa"/>
            <w:shd w:val="clear" w:color="auto" w:fill="D9D9D9"/>
            <w:vAlign w:val="center"/>
          </w:tcPr>
          <w:p w14:paraId="4FD31D46">
            <w:pPr>
              <w:spacing w:line="320" w:lineRule="exact"/>
              <w:jc w:val="center"/>
              <w:rPr>
                <w:rFonts w:ascii="宋体" w:hAnsi="宋体" w:cs="宋体"/>
                <w:b/>
                <w:bCs/>
                <w:color w:val="auto"/>
                <w:kern w:val="0"/>
                <w:sz w:val="24"/>
              </w:rPr>
            </w:pPr>
            <w:r>
              <w:rPr>
                <w:rFonts w:hint="eastAsia" w:ascii="宋体" w:hAnsi="宋体" w:cs="宋体"/>
                <w:b/>
                <w:bCs/>
                <w:color w:val="auto"/>
                <w:kern w:val="0"/>
                <w:sz w:val="24"/>
              </w:rPr>
              <w:t>结论</w:t>
            </w:r>
          </w:p>
        </w:tc>
        <w:tc>
          <w:tcPr>
            <w:tcW w:w="1060" w:type="dxa"/>
            <w:shd w:val="clear" w:color="auto" w:fill="D9D9D9"/>
            <w:vAlign w:val="center"/>
          </w:tcPr>
          <w:p w14:paraId="6AA563E5">
            <w:pPr>
              <w:spacing w:line="320" w:lineRule="exact"/>
              <w:jc w:val="center"/>
              <w:rPr>
                <w:rFonts w:ascii="宋体" w:hAnsi="宋体" w:cs="宋体"/>
                <w:b/>
                <w:bCs/>
                <w:color w:val="auto"/>
                <w:kern w:val="0"/>
                <w:sz w:val="24"/>
              </w:rPr>
            </w:pPr>
            <w:r>
              <w:rPr>
                <w:rFonts w:hint="eastAsia" w:ascii="宋体" w:hAnsi="宋体" w:cs="宋体"/>
                <w:b/>
                <w:bCs/>
                <w:color w:val="auto"/>
                <w:kern w:val="0"/>
                <w:sz w:val="24"/>
              </w:rPr>
              <w:t>未通过原因</w:t>
            </w:r>
          </w:p>
        </w:tc>
      </w:tr>
      <w:tr w14:paraId="0801B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676" w:type="dxa"/>
            <w:vAlign w:val="center"/>
          </w:tcPr>
          <w:p w14:paraId="4FEC756F">
            <w:pPr>
              <w:spacing w:line="320" w:lineRule="exact"/>
              <w:jc w:val="center"/>
              <w:rPr>
                <w:rFonts w:ascii="宋体" w:hAnsi="宋体" w:cs="宋体"/>
                <w:bCs/>
                <w:color w:val="auto"/>
                <w:kern w:val="0"/>
                <w:sz w:val="24"/>
              </w:rPr>
            </w:pPr>
            <w:r>
              <w:rPr>
                <w:rFonts w:ascii="宋体" w:hAnsi="宋体" w:cs="宋体"/>
                <w:bCs/>
                <w:color w:val="auto"/>
                <w:kern w:val="0"/>
                <w:sz w:val="24"/>
              </w:rPr>
              <w:t>1</w:t>
            </w:r>
          </w:p>
        </w:tc>
        <w:tc>
          <w:tcPr>
            <w:tcW w:w="2524" w:type="dxa"/>
            <w:vAlign w:val="center"/>
          </w:tcPr>
          <w:p w14:paraId="743D7AD9">
            <w:pPr>
              <w:spacing w:line="320" w:lineRule="exact"/>
              <w:jc w:val="left"/>
              <w:rPr>
                <w:rFonts w:ascii="宋体" w:hAnsi="宋体" w:cs="宋体"/>
                <w:bCs/>
                <w:color w:val="auto"/>
                <w:kern w:val="0"/>
                <w:sz w:val="24"/>
              </w:rPr>
            </w:pPr>
            <w:r>
              <w:rPr>
                <w:rFonts w:hint="eastAsia" w:ascii="宋体" w:hAnsi="宋体" w:cs="宋体"/>
                <w:bCs/>
                <w:color w:val="auto"/>
                <w:kern w:val="0"/>
                <w:sz w:val="24"/>
              </w:rPr>
              <w:t>投标文件正、副本数量</w:t>
            </w:r>
          </w:p>
        </w:tc>
        <w:tc>
          <w:tcPr>
            <w:tcW w:w="3952" w:type="dxa"/>
            <w:vAlign w:val="center"/>
          </w:tcPr>
          <w:p w14:paraId="719B33B1">
            <w:pPr>
              <w:spacing w:line="320" w:lineRule="exact"/>
              <w:jc w:val="left"/>
              <w:rPr>
                <w:rFonts w:ascii="宋体" w:hAnsi="宋体" w:cs="宋体"/>
                <w:bCs/>
                <w:color w:val="auto"/>
                <w:kern w:val="0"/>
                <w:sz w:val="24"/>
              </w:rPr>
            </w:pPr>
            <w:r>
              <w:rPr>
                <w:rFonts w:hint="eastAsia" w:ascii="宋体" w:hAnsi="宋体"/>
                <w:color w:val="auto"/>
                <w:sz w:val="24"/>
              </w:rPr>
              <w:t>均符合招标文件要求。</w:t>
            </w:r>
          </w:p>
        </w:tc>
        <w:tc>
          <w:tcPr>
            <w:tcW w:w="817" w:type="dxa"/>
            <w:vAlign w:val="center"/>
          </w:tcPr>
          <w:p w14:paraId="7FFFBD30">
            <w:pPr>
              <w:spacing w:line="320" w:lineRule="exact"/>
              <w:jc w:val="center"/>
              <w:rPr>
                <w:rFonts w:ascii="宋体" w:hAnsi="宋体" w:cs="宋体"/>
                <w:b/>
                <w:bCs/>
                <w:color w:val="auto"/>
                <w:kern w:val="0"/>
                <w:sz w:val="24"/>
              </w:rPr>
            </w:pPr>
          </w:p>
        </w:tc>
        <w:tc>
          <w:tcPr>
            <w:tcW w:w="1060" w:type="dxa"/>
            <w:vAlign w:val="center"/>
          </w:tcPr>
          <w:p w14:paraId="14EEA345">
            <w:pPr>
              <w:spacing w:line="320" w:lineRule="exact"/>
              <w:jc w:val="center"/>
              <w:rPr>
                <w:rFonts w:ascii="宋体" w:hAnsi="宋体" w:cs="宋体"/>
                <w:b/>
                <w:bCs/>
                <w:color w:val="auto"/>
                <w:kern w:val="0"/>
                <w:sz w:val="24"/>
              </w:rPr>
            </w:pPr>
          </w:p>
        </w:tc>
      </w:tr>
      <w:tr w14:paraId="2B0B1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676" w:type="dxa"/>
            <w:vAlign w:val="center"/>
          </w:tcPr>
          <w:p w14:paraId="74EF1428">
            <w:pPr>
              <w:spacing w:line="320" w:lineRule="exact"/>
              <w:jc w:val="center"/>
              <w:rPr>
                <w:rFonts w:ascii="宋体" w:hAnsi="宋体" w:cs="宋体"/>
                <w:bCs/>
                <w:color w:val="auto"/>
                <w:kern w:val="0"/>
                <w:sz w:val="24"/>
              </w:rPr>
            </w:pPr>
            <w:r>
              <w:rPr>
                <w:rFonts w:hint="eastAsia" w:ascii="宋体" w:hAnsi="宋体" w:cs="宋体"/>
                <w:bCs/>
                <w:color w:val="auto"/>
                <w:kern w:val="0"/>
                <w:sz w:val="24"/>
              </w:rPr>
              <w:t>2</w:t>
            </w:r>
          </w:p>
        </w:tc>
        <w:tc>
          <w:tcPr>
            <w:tcW w:w="2524" w:type="dxa"/>
            <w:vAlign w:val="center"/>
          </w:tcPr>
          <w:p w14:paraId="75CB02F7">
            <w:pPr>
              <w:spacing w:line="320" w:lineRule="exact"/>
              <w:jc w:val="left"/>
              <w:rPr>
                <w:rFonts w:ascii="宋体" w:hAnsi="宋体" w:cs="宋体"/>
                <w:bCs/>
                <w:color w:val="auto"/>
                <w:kern w:val="0"/>
                <w:sz w:val="24"/>
              </w:rPr>
            </w:pPr>
            <w:r>
              <w:rPr>
                <w:rFonts w:hint="eastAsia" w:ascii="宋体" w:hAnsi="宋体" w:cs="宋体"/>
                <w:bCs/>
                <w:color w:val="auto"/>
                <w:kern w:val="0"/>
                <w:sz w:val="24"/>
              </w:rPr>
              <w:t>投标文件语言、有效期</w:t>
            </w:r>
          </w:p>
        </w:tc>
        <w:tc>
          <w:tcPr>
            <w:tcW w:w="3952" w:type="dxa"/>
            <w:vAlign w:val="center"/>
          </w:tcPr>
          <w:p w14:paraId="0DDD2318">
            <w:pPr>
              <w:spacing w:line="320" w:lineRule="exact"/>
              <w:jc w:val="left"/>
              <w:rPr>
                <w:rFonts w:ascii="宋体" w:hAnsi="宋体"/>
                <w:color w:val="auto"/>
                <w:sz w:val="24"/>
              </w:rPr>
            </w:pPr>
            <w:r>
              <w:rPr>
                <w:rFonts w:hint="eastAsia" w:ascii="宋体" w:hAnsi="宋体" w:cs="宋体"/>
                <w:bCs/>
                <w:color w:val="auto"/>
                <w:kern w:val="0"/>
                <w:sz w:val="24"/>
              </w:rPr>
              <w:t>投标文件语言、有效期符合招标文件的要求。</w:t>
            </w:r>
          </w:p>
        </w:tc>
        <w:tc>
          <w:tcPr>
            <w:tcW w:w="817" w:type="dxa"/>
            <w:vAlign w:val="center"/>
          </w:tcPr>
          <w:p w14:paraId="6EF25918">
            <w:pPr>
              <w:spacing w:line="320" w:lineRule="exact"/>
              <w:jc w:val="center"/>
              <w:rPr>
                <w:rFonts w:ascii="宋体" w:hAnsi="宋体" w:cs="宋体"/>
                <w:b/>
                <w:bCs/>
                <w:color w:val="auto"/>
                <w:kern w:val="0"/>
                <w:sz w:val="24"/>
              </w:rPr>
            </w:pPr>
          </w:p>
        </w:tc>
        <w:tc>
          <w:tcPr>
            <w:tcW w:w="1060" w:type="dxa"/>
            <w:vAlign w:val="center"/>
          </w:tcPr>
          <w:p w14:paraId="1EDD0841">
            <w:pPr>
              <w:spacing w:line="320" w:lineRule="exact"/>
              <w:jc w:val="center"/>
              <w:rPr>
                <w:rFonts w:ascii="宋体" w:hAnsi="宋体" w:cs="宋体"/>
                <w:b/>
                <w:bCs/>
                <w:color w:val="auto"/>
                <w:kern w:val="0"/>
                <w:sz w:val="24"/>
              </w:rPr>
            </w:pPr>
          </w:p>
        </w:tc>
      </w:tr>
      <w:tr w14:paraId="5A58C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676" w:type="dxa"/>
            <w:vAlign w:val="center"/>
          </w:tcPr>
          <w:p w14:paraId="457824C8">
            <w:pPr>
              <w:spacing w:line="320" w:lineRule="exact"/>
              <w:jc w:val="center"/>
              <w:rPr>
                <w:rFonts w:ascii="宋体" w:hAnsi="宋体" w:cs="宋体"/>
                <w:bCs/>
                <w:color w:val="auto"/>
                <w:kern w:val="0"/>
                <w:sz w:val="24"/>
              </w:rPr>
            </w:pPr>
            <w:r>
              <w:rPr>
                <w:rFonts w:hint="eastAsia" w:ascii="宋体" w:hAnsi="宋体" w:cs="宋体"/>
                <w:bCs/>
                <w:color w:val="auto"/>
                <w:kern w:val="0"/>
                <w:sz w:val="24"/>
              </w:rPr>
              <w:t>3</w:t>
            </w:r>
          </w:p>
        </w:tc>
        <w:tc>
          <w:tcPr>
            <w:tcW w:w="2524" w:type="dxa"/>
            <w:vAlign w:val="center"/>
          </w:tcPr>
          <w:p w14:paraId="08C39E07">
            <w:pPr>
              <w:spacing w:line="320" w:lineRule="exact"/>
              <w:jc w:val="left"/>
              <w:rPr>
                <w:rFonts w:ascii="宋体" w:hAnsi="宋体" w:cs="宋体"/>
                <w:bCs/>
                <w:color w:val="auto"/>
                <w:kern w:val="0"/>
                <w:sz w:val="24"/>
              </w:rPr>
            </w:pPr>
            <w:r>
              <w:rPr>
                <w:rFonts w:hint="eastAsia" w:ascii="宋体" w:hAnsi="宋体" w:cs="宋体"/>
                <w:bCs/>
                <w:color w:val="auto"/>
                <w:kern w:val="0"/>
                <w:sz w:val="24"/>
              </w:rPr>
              <w:t>投标文件封面、投标函、法定代表人授权委托书三处的项目名称、项目编号</w:t>
            </w:r>
          </w:p>
        </w:tc>
        <w:tc>
          <w:tcPr>
            <w:tcW w:w="3952" w:type="dxa"/>
            <w:vAlign w:val="center"/>
          </w:tcPr>
          <w:p w14:paraId="02FD4576">
            <w:pPr>
              <w:spacing w:line="320" w:lineRule="exact"/>
              <w:jc w:val="left"/>
              <w:rPr>
                <w:rFonts w:ascii="宋体" w:hAnsi="宋体" w:cs="宋体"/>
                <w:bCs/>
                <w:color w:val="auto"/>
                <w:kern w:val="0"/>
                <w:sz w:val="24"/>
              </w:rPr>
            </w:pPr>
            <w:r>
              <w:rPr>
                <w:rFonts w:hint="eastAsia" w:ascii="宋体" w:hAnsi="宋体" w:cs="宋体"/>
                <w:bCs/>
                <w:color w:val="auto"/>
                <w:kern w:val="0"/>
                <w:sz w:val="24"/>
              </w:rPr>
              <w:t>三处均无遗漏，且与所投项目名称、项目编号一致。</w:t>
            </w:r>
          </w:p>
        </w:tc>
        <w:tc>
          <w:tcPr>
            <w:tcW w:w="817" w:type="dxa"/>
            <w:vAlign w:val="center"/>
          </w:tcPr>
          <w:p w14:paraId="432B73C4">
            <w:pPr>
              <w:spacing w:line="320" w:lineRule="exact"/>
              <w:jc w:val="center"/>
              <w:rPr>
                <w:rFonts w:ascii="宋体" w:hAnsi="宋体" w:cs="宋体"/>
                <w:b/>
                <w:bCs/>
                <w:color w:val="auto"/>
                <w:kern w:val="0"/>
                <w:sz w:val="24"/>
              </w:rPr>
            </w:pPr>
          </w:p>
        </w:tc>
        <w:tc>
          <w:tcPr>
            <w:tcW w:w="1060" w:type="dxa"/>
            <w:vAlign w:val="center"/>
          </w:tcPr>
          <w:p w14:paraId="29A5E9DB">
            <w:pPr>
              <w:spacing w:line="320" w:lineRule="exact"/>
              <w:jc w:val="center"/>
              <w:rPr>
                <w:rFonts w:ascii="宋体" w:hAnsi="宋体" w:cs="宋体"/>
                <w:b/>
                <w:bCs/>
                <w:color w:val="auto"/>
                <w:kern w:val="0"/>
                <w:sz w:val="24"/>
              </w:rPr>
            </w:pPr>
          </w:p>
        </w:tc>
      </w:tr>
      <w:tr w14:paraId="67CF8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76" w:type="dxa"/>
            <w:vAlign w:val="center"/>
          </w:tcPr>
          <w:p w14:paraId="4A469030">
            <w:pPr>
              <w:spacing w:line="320" w:lineRule="exact"/>
              <w:jc w:val="center"/>
              <w:rPr>
                <w:rFonts w:ascii="宋体" w:hAnsi="宋体" w:cs="宋体"/>
                <w:bCs/>
                <w:color w:val="auto"/>
                <w:kern w:val="0"/>
                <w:sz w:val="24"/>
              </w:rPr>
            </w:pPr>
            <w:r>
              <w:rPr>
                <w:rFonts w:hint="eastAsia" w:ascii="宋体" w:hAnsi="宋体" w:cs="宋体"/>
                <w:bCs/>
                <w:color w:val="auto"/>
                <w:kern w:val="0"/>
                <w:sz w:val="24"/>
              </w:rPr>
              <w:t>4</w:t>
            </w:r>
          </w:p>
        </w:tc>
        <w:tc>
          <w:tcPr>
            <w:tcW w:w="2524" w:type="dxa"/>
            <w:vAlign w:val="center"/>
          </w:tcPr>
          <w:p w14:paraId="599CE43F">
            <w:pPr>
              <w:spacing w:line="320" w:lineRule="exact"/>
              <w:jc w:val="left"/>
              <w:rPr>
                <w:rFonts w:ascii="宋体" w:hAnsi="宋体" w:cs="宋体"/>
                <w:bCs/>
                <w:color w:val="auto"/>
                <w:kern w:val="0"/>
                <w:sz w:val="24"/>
              </w:rPr>
            </w:pPr>
            <w:r>
              <w:rPr>
                <w:rFonts w:hint="eastAsia" w:ascii="宋体" w:hAnsi="宋体" w:cs="宋体"/>
                <w:bCs/>
                <w:color w:val="auto"/>
                <w:kern w:val="0"/>
                <w:sz w:val="24"/>
              </w:rPr>
              <w:t>投标文件签署、盖章</w:t>
            </w:r>
          </w:p>
        </w:tc>
        <w:tc>
          <w:tcPr>
            <w:tcW w:w="3952" w:type="dxa"/>
            <w:vAlign w:val="center"/>
          </w:tcPr>
          <w:p w14:paraId="02152C35">
            <w:pPr>
              <w:spacing w:line="320" w:lineRule="exact"/>
              <w:jc w:val="left"/>
              <w:rPr>
                <w:rFonts w:ascii="宋体" w:hAnsi="宋体" w:cs="宋体"/>
                <w:color w:val="auto"/>
                <w:sz w:val="24"/>
              </w:rPr>
            </w:pPr>
            <w:r>
              <w:rPr>
                <w:rFonts w:hint="eastAsia" w:ascii="宋体" w:hAnsi="宋体" w:cs="宋体"/>
                <w:bCs/>
                <w:color w:val="auto"/>
                <w:kern w:val="0"/>
                <w:sz w:val="24"/>
              </w:rPr>
              <w:t>均按招标文件要求签字、盖章（评分标准中要求提供的证明材料除外）。</w:t>
            </w:r>
          </w:p>
        </w:tc>
        <w:tc>
          <w:tcPr>
            <w:tcW w:w="817" w:type="dxa"/>
            <w:vAlign w:val="center"/>
          </w:tcPr>
          <w:p w14:paraId="0149135C">
            <w:pPr>
              <w:spacing w:line="320" w:lineRule="exact"/>
              <w:jc w:val="center"/>
              <w:rPr>
                <w:rFonts w:ascii="宋体" w:hAnsi="宋体" w:cs="宋体"/>
                <w:b/>
                <w:bCs/>
                <w:color w:val="auto"/>
                <w:kern w:val="0"/>
                <w:sz w:val="24"/>
              </w:rPr>
            </w:pPr>
          </w:p>
        </w:tc>
        <w:tc>
          <w:tcPr>
            <w:tcW w:w="1060" w:type="dxa"/>
            <w:vAlign w:val="center"/>
          </w:tcPr>
          <w:p w14:paraId="0EF16F68">
            <w:pPr>
              <w:spacing w:line="320" w:lineRule="exact"/>
              <w:jc w:val="center"/>
              <w:rPr>
                <w:rFonts w:ascii="宋体" w:hAnsi="宋体" w:cs="宋体"/>
                <w:b/>
                <w:bCs/>
                <w:color w:val="auto"/>
                <w:kern w:val="0"/>
                <w:sz w:val="24"/>
              </w:rPr>
            </w:pPr>
          </w:p>
        </w:tc>
      </w:tr>
      <w:tr w14:paraId="57CE7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7" w:hRule="atLeast"/>
          <w:jc w:val="center"/>
        </w:trPr>
        <w:tc>
          <w:tcPr>
            <w:tcW w:w="676" w:type="dxa"/>
            <w:vAlign w:val="center"/>
          </w:tcPr>
          <w:p w14:paraId="7694EE76">
            <w:pPr>
              <w:spacing w:line="320" w:lineRule="exact"/>
              <w:jc w:val="center"/>
              <w:rPr>
                <w:rFonts w:ascii="宋体" w:hAnsi="宋体" w:cs="宋体"/>
                <w:bCs/>
                <w:color w:val="auto"/>
                <w:kern w:val="0"/>
                <w:sz w:val="24"/>
              </w:rPr>
            </w:pPr>
            <w:r>
              <w:rPr>
                <w:rFonts w:hint="eastAsia" w:ascii="宋体" w:hAnsi="宋体" w:cs="宋体"/>
                <w:bCs/>
                <w:color w:val="auto"/>
                <w:kern w:val="0"/>
                <w:sz w:val="24"/>
              </w:rPr>
              <w:t>5</w:t>
            </w:r>
          </w:p>
        </w:tc>
        <w:tc>
          <w:tcPr>
            <w:tcW w:w="2524" w:type="dxa"/>
            <w:vAlign w:val="center"/>
          </w:tcPr>
          <w:p w14:paraId="7F0634F7">
            <w:pPr>
              <w:spacing w:line="320" w:lineRule="exact"/>
              <w:jc w:val="left"/>
              <w:rPr>
                <w:rFonts w:ascii="宋体" w:hAnsi="宋体" w:cs="宋体"/>
                <w:bCs/>
                <w:color w:val="auto"/>
                <w:kern w:val="0"/>
                <w:sz w:val="24"/>
              </w:rPr>
            </w:pPr>
            <w:r>
              <w:rPr>
                <w:rFonts w:hint="eastAsia" w:ascii="宋体" w:hAnsi="宋体" w:cs="宋体"/>
                <w:bCs/>
                <w:color w:val="auto"/>
                <w:kern w:val="0"/>
                <w:sz w:val="24"/>
              </w:rPr>
              <w:t>投标报价表</w:t>
            </w:r>
          </w:p>
        </w:tc>
        <w:tc>
          <w:tcPr>
            <w:tcW w:w="3952" w:type="dxa"/>
            <w:vAlign w:val="center"/>
          </w:tcPr>
          <w:p w14:paraId="703CF33D">
            <w:pPr>
              <w:spacing w:line="320" w:lineRule="exact"/>
              <w:jc w:val="left"/>
              <w:rPr>
                <w:rFonts w:ascii="宋体" w:hAnsi="宋体" w:cs="宋体"/>
                <w:bCs/>
                <w:color w:val="auto"/>
                <w:kern w:val="0"/>
                <w:sz w:val="24"/>
              </w:rPr>
            </w:pPr>
            <w:r>
              <w:rPr>
                <w:rFonts w:hint="eastAsia" w:ascii="宋体" w:hAnsi="宋体" w:cs="宋体"/>
                <w:bCs/>
                <w:color w:val="auto"/>
                <w:kern w:val="0"/>
                <w:sz w:val="24"/>
              </w:rPr>
              <w:t>（1）投标报价表填写符合要求；</w:t>
            </w:r>
          </w:p>
          <w:p w14:paraId="5E192CF0">
            <w:pPr>
              <w:spacing w:line="320" w:lineRule="exact"/>
              <w:jc w:val="left"/>
              <w:rPr>
                <w:rFonts w:ascii="宋体" w:hAnsi="宋体" w:cs="宋体"/>
                <w:bCs/>
                <w:color w:val="auto"/>
                <w:kern w:val="0"/>
                <w:sz w:val="24"/>
              </w:rPr>
            </w:pPr>
            <w:r>
              <w:rPr>
                <w:rFonts w:hint="eastAsia" w:ascii="宋体" w:hAnsi="宋体" w:cs="宋体"/>
                <w:bCs/>
                <w:color w:val="auto"/>
                <w:kern w:val="0"/>
                <w:sz w:val="24"/>
              </w:rPr>
              <w:t>（2）计量单位、报价货币均符合招标文件要求；</w:t>
            </w:r>
          </w:p>
          <w:p w14:paraId="79475005">
            <w:pPr>
              <w:wordWrap w:val="0"/>
              <w:topLinePunct/>
              <w:spacing w:line="320" w:lineRule="exact"/>
              <w:ind w:right="210"/>
              <w:jc w:val="left"/>
              <w:rPr>
                <w:rFonts w:ascii="宋体" w:hAnsi="宋体" w:cs="宋体"/>
                <w:bCs/>
                <w:color w:val="auto"/>
                <w:kern w:val="0"/>
                <w:sz w:val="24"/>
              </w:rPr>
            </w:pPr>
            <w:r>
              <w:rPr>
                <w:rFonts w:hint="eastAsia" w:ascii="宋体" w:hAnsi="宋体" w:cs="宋体"/>
                <w:bCs/>
                <w:color w:val="auto"/>
                <w:kern w:val="0"/>
                <w:sz w:val="24"/>
              </w:rPr>
              <w:t>（3）投标报价未超出采购预算或招标文件规定的最高限价。</w:t>
            </w:r>
          </w:p>
          <w:p w14:paraId="2A50A0D1">
            <w:pPr>
              <w:wordWrap w:val="0"/>
              <w:topLinePunct/>
              <w:spacing w:line="320" w:lineRule="exact"/>
              <w:ind w:right="210"/>
              <w:jc w:val="left"/>
              <w:rPr>
                <w:rFonts w:ascii="宋体" w:hAnsi="宋体" w:cs="宋体"/>
                <w:bCs/>
                <w:color w:val="auto"/>
                <w:kern w:val="0"/>
                <w:sz w:val="24"/>
              </w:rPr>
            </w:pPr>
            <w:r>
              <w:rPr>
                <w:rFonts w:hint="eastAsia" w:ascii="宋体" w:hAnsi="宋体" w:cs="宋体"/>
                <w:bCs/>
                <w:color w:val="auto"/>
                <w:kern w:val="0"/>
                <w:sz w:val="24"/>
              </w:rPr>
              <w:t>（4）政府采购异常低价审查</w:t>
            </w:r>
          </w:p>
          <w:p w14:paraId="52278356">
            <w:pPr>
              <w:wordWrap w:val="0"/>
              <w:topLinePunct/>
              <w:spacing w:line="320" w:lineRule="exact"/>
              <w:ind w:right="210"/>
              <w:jc w:val="left"/>
              <w:rPr>
                <w:rFonts w:ascii="宋体" w:hAnsi="宋体" w:cs="宋体"/>
                <w:bCs/>
                <w:color w:val="auto"/>
                <w:kern w:val="0"/>
                <w:sz w:val="24"/>
              </w:rPr>
            </w:pPr>
            <w:r>
              <w:rPr>
                <w:rFonts w:hint="eastAsia" w:ascii="宋体" w:hAnsi="宋体" w:cs="宋体"/>
                <w:bCs/>
                <w:color w:val="auto"/>
                <w:kern w:val="0"/>
                <w:sz w:val="24"/>
              </w:rPr>
              <w:t>政府采购评审中出现下列情形之一的，评审委员会应当启动异常低价投标审查程序：</w:t>
            </w:r>
          </w:p>
          <w:p w14:paraId="6D6E9F8F">
            <w:pPr>
              <w:wordWrap w:val="0"/>
              <w:topLinePunct/>
              <w:spacing w:line="320" w:lineRule="exact"/>
              <w:ind w:right="210"/>
              <w:jc w:val="left"/>
              <w:rPr>
                <w:rFonts w:ascii="宋体" w:hAnsi="宋体" w:cs="宋体"/>
                <w:bCs/>
                <w:color w:val="auto"/>
                <w:kern w:val="0"/>
                <w:sz w:val="24"/>
              </w:rPr>
            </w:pPr>
            <w:r>
              <w:rPr>
                <w:rFonts w:hint="eastAsia" w:ascii="宋体" w:hAnsi="宋体" w:cs="宋体"/>
                <w:bCs/>
                <w:color w:val="auto"/>
                <w:kern w:val="0"/>
                <w:sz w:val="24"/>
              </w:rPr>
              <w:t>①投标报价低于全部通过符合性审查供应商投标报价平均值50%的，即投标报价&lt;全部通过符合性审查供应商投标报价平均值×50%；</w:t>
            </w:r>
          </w:p>
          <w:p w14:paraId="0FB5B246">
            <w:pPr>
              <w:wordWrap w:val="0"/>
              <w:topLinePunct/>
              <w:spacing w:line="320" w:lineRule="exact"/>
              <w:ind w:right="210"/>
              <w:jc w:val="left"/>
              <w:rPr>
                <w:rFonts w:ascii="宋体" w:hAnsi="宋体" w:cs="宋体"/>
                <w:bCs/>
                <w:color w:val="auto"/>
                <w:kern w:val="0"/>
                <w:sz w:val="24"/>
              </w:rPr>
            </w:pPr>
            <w:r>
              <w:rPr>
                <w:rFonts w:hint="eastAsia" w:ascii="宋体" w:hAnsi="宋体" w:cs="宋体"/>
                <w:bCs/>
                <w:color w:val="auto"/>
                <w:kern w:val="0"/>
                <w:sz w:val="24"/>
              </w:rPr>
              <w:t>②投标报价低于通过符合性审查的次低报价供应商投标报价50%的，即投标报价&lt;通过符合性审查的次低报价供应商投标报价×50%；</w:t>
            </w:r>
          </w:p>
          <w:p w14:paraId="2BE1FC61">
            <w:pPr>
              <w:wordWrap w:val="0"/>
              <w:topLinePunct/>
              <w:spacing w:line="320" w:lineRule="exact"/>
              <w:ind w:right="210"/>
              <w:jc w:val="left"/>
              <w:rPr>
                <w:rFonts w:ascii="宋体" w:hAnsi="宋体" w:cs="宋体"/>
                <w:bCs/>
                <w:color w:val="auto"/>
                <w:kern w:val="0"/>
                <w:sz w:val="24"/>
              </w:rPr>
            </w:pPr>
            <w:r>
              <w:rPr>
                <w:rFonts w:hint="eastAsia" w:ascii="宋体" w:hAnsi="宋体" w:cs="宋体"/>
                <w:bCs/>
                <w:color w:val="auto"/>
                <w:kern w:val="0"/>
                <w:sz w:val="24"/>
              </w:rPr>
              <w:t>③投标报价低于采购项目最高限价45%的，即投标报价&lt;采购项目最高限价×45%；</w:t>
            </w:r>
          </w:p>
          <w:p w14:paraId="77F4D2AA">
            <w:pPr>
              <w:wordWrap w:val="0"/>
              <w:topLinePunct/>
              <w:spacing w:line="320" w:lineRule="exact"/>
              <w:ind w:right="210"/>
              <w:jc w:val="left"/>
              <w:rPr>
                <w:rFonts w:ascii="宋体" w:hAnsi="宋体" w:cs="宋体"/>
                <w:bCs/>
                <w:color w:val="auto"/>
                <w:kern w:val="0"/>
                <w:sz w:val="24"/>
              </w:rPr>
            </w:pPr>
            <w:r>
              <w:rPr>
                <w:rFonts w:hint="eastAsia" w:ascii="宋体" w:hAnsi="宋体" w:cs="宋体"/>
                <w:bCs/>
                <w:color w:val="auto"/>
                <w:kern w:val="0"/>
                <w:sz w:val="24"/>
              </w:rPr>
              <w:t>④评审委员会基于专业判断，认为供应商报价过低，有可能影响产品质量或者不能诚信履约的其他情形。</w:t>
            </w:r>
          </w:p>
          <w:p w14:paraId="6FCACD4E">
            <w:pPr>
              <w:wordWrap w:val="0"/>
              <w:topLinePunct/>
              <w:spacing w:line="320" w:lineRule="exact"/>
              <w:ind w:right="210"/>
              <w:jc w:val="left"/>
              <w:rPr>
                <w:rFonts w:ascii="宋体" w:hAnsi="宋体" w:cs="宋体"/>
                <w:bCs/>
                <w:color w:val="auto"/>
                <w:kern w:val="0"/>
                <w:sz w:val="24"/>
              </w:rPr>
            </w:pPr>
            <w:r>
              <w:rPr>
                <w:rFonts w:hint="eastAsia" w:ascii="宋体" w:hAnsi="宋体" w:cs="宋体"/>
                <w:bCs/>
                <w:color w:val="auto"/>
                <w:kern w:val="0"/>
                <w:sz w:val="24"/>
              </w:rPr>
              <w:t>相关法律法规对供应商报价有规定的，从其规定。</w:t>
            </w:r>
          </w:p>
          <w:p w14:paraId="7734B0C4">
            <w:pPr>
              <w:wordWrap w:val="0"/>
              <w:topLinePunct/>
              <w:spacing w:line="320" w:lineRule="exact"/>
              <w:ind w:right="210"/>
              <w:jc w:val="left"/>
              <w:rPr>
                <w:rFonts w:ascii="宋体" w:hAnsi="宋体" w:cs="宋体"/>
                <w:bCs/>
                <w:color w:val="auto"/>
                <w:kern w:val="0"/>
                <w:sz w:val="24"/>
              </w:rPr>
            </w:pPr>
            <w:r>
              <w:rPr>
                <w:rFonts w:hint="eastAsia" w:ascii="宋体" w:hAnsi="宋体" w:cs="宋体"/>
                <w:bCs/>
                <w:color w:val="auto"/>
                <w:kern w:val="0"/>
                <w:sz w:val="24"/>
              </w:rPr>
              <w:t>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6A9431B6">
            <w:pPr>
              <w:spacing w:line="320" w:lineRule="exact"/>
              <w:jc w:val="left"/>
              <w:rPr>
                <w:color w:val="auto"/>
              </w:rPr>
            </w:pPr>
            <w:r>
              <w:rPr>
                <w:rFonts w:hint="eastAsia" w:ascii="宋体" w:hAnsi="宋体" w:cs="宋体"/>
                <w:bCs/>
                <w:color w:val="auto"/>
                <w:kern w:val="0"/>
                <w:sz w:val="24"/>
              </w:rPr>
              <w:t>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tc>
        <w:tc>
          <w:tcPr>
            <w:tcW w:w="817" w:type="dxa"/>
            <w:vAlign w:val="center"/>
          </w:tcPr>
          <w:p w14:paraId="1F609268">
            <w:pPr>
              <w:spacing w:line="320" w:lineRule="exact"/>
              <w:jc w:val="center"/>
              <w:rPr>
                <w:rFonts w:ascii="宋体" w:hAnsi="宋体" w:cs="宋体"/>
                <w:b/>
                <w:bCs/>
                <w:color w:val="auto"/>
                <w:kern w:val="0"/>
                <w:sz w:val="24"/>
              </w:rPr>
            </w:pPr>
          </w:p>
        </w:tc>
        <w:tc>
          <w:tcPr>
            <w:tcW w:w="1060" w:type="dxa"/>
            <w:vAlign w:val="center"/>
          </w:tcPr>
          <w:p w14:paraId="62396E18">
            <w:pPr>
              <w:spacing w:line="320" w:lineRule="exact"/>
              <w:jc w:val="center"/>
              <w:rPr>
                <w:rFonts w:ascii="宋体" w:hAnsi="宋体" w:cs="宋体"/>
                <w:b/>
                <w:bCs/>
                <w:color w:val="auto"/>
                <w:kern w:val="0"/>
                <w:sz w:val="24"/>
              </w:rPr>
            </w:pPr>
          </w:p>
        </w:tc>
      </w:tr>
      <w:tr w14:paraId="391CC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7" w:hRule="atLeast"/>
          <w:jc w:val="center"/>
        </w:trPr>
        <w:tc>
          <w:tcPr>
            <w:tcW w:w="676" w:type="dxa"/>
            <w:vAlign w:val="center"/>
          </w:tcPr>
          <w:p w14:paraId="7FEB8D45">
            <w:pPr>
              <w:spacing w:line="320" w:lineRule="exact"/>
              <w:jc w:val="center"/>
              <w:rPr>
                <w:rFonts w:ascii="宋体" w:hAnsi="宋体" w:cs="宋体"/>
                <w:bCs/>
                <w:color w:val="auto"/>
                <w:kern w:val="0"/>
                <w:sz w:val="24"/>
              </w:rPr>
            </w:pPr>
            <w:r>
              <w:rPr>
                <w:rFonts w:hint="eastAsia" w:ascii="宋体" w:hAnsi="宋体" w:cs="宋体"/>
                <w:bCs/>
                <w:color w:val="auto"/>
                <w:kern w:val="0"/>
                <w:sz w:val="24"/>
              </w:rPr>
              <w:t>6</w:t>
            </w:r>
          </w:p>
        </w:tc>
        <w:tc>
          <w:tcPr>
            <w:tcW w:w="2524" w:type="dxa"/>
            <w:vAlign w:val="center"/>
          </w:tcPr>
          <w:p w14:paraId="04F85507">
            <w:pPr>
              <w:spacing w:line="320" w:lineRule="exact"/>
              <w:jc w:val="left"/>
              <w:rPr>
                <w:rFonts w:ascii="宋体" w:hAnsi="宋体" w:cs="宋体"/>
                <w:bCs/>
                <w:color w:val="auto"/>
                <w:kern w:val="0"/>
                <w:sz w:val="24"/>
              </w:rPr>
            </w:pPr>
            <w:r>
              <w:rPr>
                <w:rFonts w:hint="eastAsia" w:ascii="宋体" w:hAnsi="宋体" w:cs="宋体"/>
                <w:bCs/>
                <w:color w:val="auto"/>
                <w:kern w:val="0"/>
                <w:sz w:val="24"/>
              </w:rPr>
              <w:t>技术服务要求</w:t>
            </w:r>
          </w:p>
        </w:tc>
        <w:tc>
          <w:tcPr>
            <w:tcW w:w="3952" w:type="dxa"/>
            <w:vAlign w:val="center"/>
          </w:tcPr>
          <w:p w14:paraId="7139633E">
            <w:pPr>
              <w:spacing w:line="320" w:lineRule="exact"/>
              <w:jc w:val="left"/>
              <w:rPr>
                <w:rFonts w:ascii="宋体" w:hAnsi="宋体" w:cs="宋体"/>
                <w:bCs/>
                <w:color w:val="auto"/>
                <w:kern w:val="0"/>
                <w:sz w:val="24"/>
              </w:rPr>
            </w:pPr>
            <w:r>
              <w:rPr>
                <w:rFonts w:hint="eastAsia" w:ascii="宋体" w:hAnsi="宋体" w:cs="宋体"/>
                <w:bCs/>
                <w:color w:val="auto"/>
                <w:kern w:val="0"/>
                <w:sz w:val="24"/>
              </w:rPr>
              <w:t>完全理解并接受对合格投标人、合格的货物、工程或服务要求，根据投标人投标文件《技术指标偏差表》，结合招标文件第三章“★”标识的实质性要求没有负偏离。</w:t>
            </w:r>
          </w:p>
        </w:tc>
        <w:tc>
          <w:tcPr>
            <w:tcW w:w="817" w:type="dxa"/>
            <w:vAlign w:val="center"/>
          </w:tcPr>
          <w:p w14:paraId="06F315CE">
            <w:pPr>
              <w:spacing w:line="320" w:lineRule="exact"/>
              <w:jc w:val="center"/>
              <w:rPr>
                <w:rFonts w:ascii="宋体" w:hAnsi="宋体" w:cs="宋体"/>
                <w:b/>
                <w:bCs/>
                <w:color w:val="auto"/>
                <w:kern w:val="0"/>
                <w:sz w:val="24"/>
              </w:rPr>
            </w:pPr>
          </w:p>
        </w:tc>
        <w:tc>
          <w:tcPr>
            <w:tcW w:w="1060" w:type="dxa"/>
            <w:vAlign w:val="center"/>
          </w:tcPr>
          <w:p w14:paraId="2CE3CE20">
            <w:pPr>
              <w:spacing w:line="320" w:lineRule="exact"/>
              <w:jc w:val="center"/>
              <w:rPr>
                <w:rFonts w:ascii="宋体" w:hAnsi="宋体" w:cs="宋体"/>
                <w:b/>
                <w:bCs/>
                <w:color w:val="auto"/>
                <w:kern w:val="0"/>
                <w:sz w:val="24"/>
              </w:rPr>
            </w:pPr>
          </w:p>
        </w:tc>
      </w:tr>
      <w:tr w14:paraId="4789C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676" w:type="dxa"/>
            <w:vAlign w:val="center"/>
          </w:tcPr>
          <w:p w14:paraId="65D90A42">
            <w:pPr>
              <w:spacing w:line="320" w:lineRule="exact"/>
              <w:jc w:val="center"/>
              <w:rPr>
                <w:rFonts w:ascii="宋体" w:hAnsi="宋体" w:cs="宋体"/>
                <w:bCs/>
                <w:color w:val="auto"/>
                <w:kern w:val="0"/>
                <w:sz w:val="24"/>
              </w:rPr>
            </w:pPr>
            <w:r>
              <w:rPr>
                <w:rFonts w:hint="eastAsia" w:ascii="宋体" w:hAnsi="宋体" w:cs="宋体"/>
                <w:bCs/>
                <w:color w:val="auto"/>
                <w:kern w:val="0"/>
                <w:sz w:val="24"/>
              </w:rPr>
              <w:t>7</w:t>
            </w:r>
          </w:p>
        </w:tc>
        <w:tc>
          <w:tcPr>
            <w:tcW w:w="2524" w:type="dxa"/>
            <w:vAlign w:val="center"/>
          </w:tcPr>
          <w:p w14:paraId="0891E2CD">
            <w:pPr>
              <w:spacing w:line="320" w:lineRule="exact"/>
              <w:jc w:val="left"/>
              <w:rPr>
                <w:rFonts w:ascii="宋体" w:hAnsi="宋体" w:cs="宋体"/>
                <w:bCs/>
                <w:color w:val="auto"/>
                <w:kern w:val="0"/>
                <w:sz w:val="24"/>
              </w:rPr>
            </w:pPr>
            <w:r>
              <w:rPr>
                <w:rFonts w:hint="eastAsia" w:ascii="宋体" w:hAnsi="宋体" w:cs="宋体"/>
                <w:bCs/>
                <w:color w:val="auto"/>
                <w:kern w:val="0"/>
                <w:sz w:val="24"/>
              </w:rPr>
              <w:t>无其他招标文件或法规明确规定投标无效的事项</w:t>
            </w:r>
          </w:p>
        </w:tc>
        <w:tc>
          <w:tcPr>
            <w:tcW w:w="3952" w:type="dxa"/>
            <w:vAlign w:val="center"/>
          </w:tcPr>
          <w:p w14:paraId="5CCC4849">
            <w:pPr>
              <w:spacing w:line="320" w:lineRule="exact"/>
              <w:jc w:val="left"/>
              <w:rPr>
                <w:rFonts w:ascii="宋体" w:hAnsi="宋体"/>
                <w:color w:val="auto"/>
                <w:sz w:val="24"/>
              </w:rPr>
            </w:pPr>
            <w:r>
              <w:rPr>
                <w:rFonts w:hint="eastAsia" w:ascii="宋体" w:hAnsi="宋体" w:cs="宋体"/>
                <w:bCs/>
                <w:color w:val="auto"/>
                <w:kern w:val="0"/>
                <w:sz w:val="24"/>
              </w:rPr>
              <w:t>没有不符合招标文件规定的被视为无效投标的其他条款。</w:t>
            </w:r>
          </w:p>
        </w:tc>
        <w:tc>
          <w:tcPr>
            <w:tcW w:w="817" w:type="dxa"/>
            <w:vAlign w:val="center"/>
          </w:tcPr>
          <w:p w14:paraId="570CA4B0">
            <w:pPr>
              <w:spacing w:line="320" w:lineRule="exact"/>
              <w:jc w:val="center"/>
              <w:rPr>
                <w:rFonts w:ascii="宋体" w:hAnsi="宋体" w:cs="宋体"/>
                <w:b/>
                <w:bCs/>
                <w:color w:val="auto"/>
                <w:kern w:val="0"/>
                <w:sz w:val="24"/>
              </w:rPr>
            </w:pPr>
          </w:p>
        </w:tc>
        <w:tc>
          <w:tcPr>
            <w:tcW w:w="1060" w:type="dxa"/>
            <w:vAlign w:val="center"/>
          </w:tcPr>
          <w:p w14:paraId="3629C6F7">
            <w:pPr>
              <w:spacing w:line="320" w:lineRule="exact"/>
              <w:jc w:val="center"/>
              <w:rPr>
                <w:rFonts w:ascii="宋体" w:hAnsi="宋体" w:cs="宋体"/>
                <w:b/>
                <w:bCs/>
                <w:color w:val="auto"/>
                <w:kern w:val="0"/>
                <w:sz w:val="24"/>
              </w:rPr>
            </w:pPr>
          </w:p>
        </w:tc>
      </w:tr>
      <w:tr w14:paraId="727E5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676" w:type="dxa"/>
            <w:vAlign w:val="center"/>
          </w:tcPr>
          <w:p w14:paraId="78BA1D20">
            <w:pPr>
              <w:spacing w:line="320" w:lineRule="exact"/>
              <w:jc w:val="center"/>
              <w:rPr>
                <w:rFonts w:ascii="宋体" w:hAnsi="宋体" w:cs="宋体"/>
                <w:bCs/>
                <w:color w:val="auto"/>
                <w:kern w:val="0"/>
                <w:sz w:val="24"/>
              </w:rPr>
            </w:pPr>
            <w:r>
              <w:rPr>
                <w:rFonts w:hint="eastAsia" w:ascii="宋体" w:hAnsi="宋体" w:cs="宋体"/>
                <w:bCs/>
                <w:color w:val="auto"/>
                <w:kern w:val="0"/>
                <w:sz w:val="24"/>
              </w:rPr>
              <w:t>8</w:t>
            </w:r>
          </w:p>
        </w:tc>
        <w:tc>
          <w:tcPr>
            <w:tcW w:w="2524" w:type="dxa"/>
            <w:vAlign w:val="center"/>
          </w:tcPr>
          <w:p w14:paraId="488300BA">
            <w:pPr>
              <w:spacing w:line="320" w:lineRule="exact"/>
              <w:jc w:val="left"/>
              <w:rPr>
                <w:rFonts w:ascii="宋体" w:hAnsi="宋体" w:cs="仿宋"/>
                <w:bCs/>
                <w:color w:val="auto"/>
                <w:kern w:val="0"/>
                <w:sz w:val="24"/>
              </w:rPr>
            </w:pPr>
            <w:r>
              <w:rPr>
                <w:rFonts w:hint="eastAsia" w:ascii="宋体" w:hAnsi="宋体" w:cs="宋体"/>
                <w:bCs/>
                <w:color w:val="auto"/>
                <w:kern w:val="0"/>
                <w:sz w:val="24"/>
              </w:rPr>
              <w:t>合同条款响应</w:t>
            </w:r>
          </w:p>
        </w:tc>
        <w:tc>
          <w:tcPr>
            <w:tcW w:w="3952" w:type="dxa"/>
            <w:vAlign w:val="center"/>
          </w:tcPr>
          <w:p w14:paraId="294AFD3E">
            <w:pPr>
              <w:spacing w:line="320" w:lineRule="exact"/>
              <w:jc w:val="left"/>
              <w:rPr>
                <w:rFonts w:ascii="宋体" w:hAnsi="宋体" w:cs="仿宋"/>
                <w:color w:val="auto"/>
                <w:sz w:val="24"/>
              </w:rPr>
            </w:pPr>
            <w:r>
              <w:rPr>
                <w:rFonts w:hint="eastAsia" w:ascii="宋体" w:hAnsi="宋体" w:cs="宋体"/>
                <w:bCs/>
                <w:color w:val="auto"/>
                <w:kern w:val="0"/>
                <w:sz w:val="24"/>
              </w:rPr>
              <w:t>有完全理解并接受招标文件合同基本条款要求的描述。</w:t>
            </w:r>
          </w:p>
        </w:tc>
        <w:tc>
          <w:tcPr>
            <w:tcW w:w="817" w:type="dxa"/>
            <w:vAlign w:val="center"/>
          </w:tcPr>
          <w:p w14:paraId="18BE4018">
            <w:pPr>
              <w:spacing w:line="320" w:lineRule="exact"/>
              <w:jc w:val="center"/>
              <w:rPr>
                <w:rFonts w:ascii="宋体" w:hAnsi="宋体" w:cs="宋体"/>
                <w:b/>
                <w:bCs/>
                <w:color w:val="auto"/>
                <w:kern w:val="0"/>
                <w:sz w:val="24"/>
              </w:rPr>
            </w:pPr>
          </w:p>
        </w:tc>
        <w:tc>
          <w:tcPr>
            <w:tcW w:w="1060" w:type="dxa"/>
            <w:vAlign w:val="center"/>
          </w:tcPr>
          <w:p w14:paraId="4E9CDCAD">
            <w:pPr>
              <w:spacing w:line="320" w:lineRule="exact"/>
              <w:jc w:val="center"/>
              <w:rPr>
                <w:rFonts w:ascii="宋体" w:hAnsi="宋体" w:cs="宋体"/>
                <w:b/>
                <w:bCs/>
                <w:color w:val="auto"/>
                <w:kern w:val="0"/>
                <w:sz w:val="24"/>
              </w:rPr>
            </w:pPr>
          </w:p>
        </w:tc>
      </w:tr>
    </w:tbl>
    <w:p w14:paraId="13494332">
      <w:pPr>
        <w:spacing w:line="360" w:lineRule="auto"/>
        <w:ind w:firstLine="361" w:firstLineChars="150"/>
        <w:rPr>
          <w:rFonts w:ascii="宋体" w:hAnsi="宋体"/>
          <w:color w:val="auto"/>
          <w:sz w:val="24"/>
        </w:rPr>
      </w:pPr>
      <w:r>
        <w:rPr>
          <w:rFonts w:hint="eastAsia" w:ascii="宋体" w:hAnsi="宋体"/>
          <w:b/>
          <w:color w:val="auto"/>
          <w:sz w:val="24"/>
        </w:rPr>
        <w:t>25.3供应商出现下列情况之一（但不限于），按无效文件处理：</w:t>
      </w:r>
    </w:p>
    <w:p w14:paraId="5F31887F">
      <w:pPr>
        <w:kinsoku w:val="0"/>
        <w:spacing w:line="500" w:lineRule="exact"/>
        <w:ind w:firstLine="360" w:firstLineChars="150"/>
        <w:rPr>
          <w:rFonts w:ascii="宋体" w:hAnsi="宋体"/>
          <w:color w:val="auto"/>
          <w:sz w:val="24"/>
        </w:rPr>
      </w:pPr>
      <w:r>
        <w:rPr>
          <w:rFonts w:hint="eastAsia" w:ascii="宋体" w:hAnsi="宋体"/>
          <w:color w:val="auto"/>
          <w:sz w:val="24"/>
        </w:rPr>
        <w:t>25.3.1必备资质的有效性和符合性不符合要求的；</w:t>
      </w:r>
    </w:p>
    <w:p w14:paraId="00B2A56C">
      <w:pPr>
        <w:kinsoku w:val="0"/>
        <w:spacing w:line="500" w:lineRule="exact"/>
        <w:ind w:firstLine="360" w:firstLineChars="150"/>
        <w:rPr>
          <w:rFonts w:ascii="宋体" w:hAnsi="宋体"/>
          <w:color w:val="auto"/>
          <w:sz w:val="24"/>
        </w:rPr>
      </w:pPr>
      <w:r>
        <w:rPr>
          <w:rFonts w:hint="eastAsia" w:ascii="宋体" w:hAnsi="宋体"/>
          <w:color w:val="auto"/>
          <w:sz w:val="24"/>
        </w:rPr>
        <w:t>25.3.2供应商未经过正常渠道购买磋商文件，或供应商名称与购买磋商文件时登记的供应商名称不符的；</w:t>
      </w:r>
    </w:p>
    <w:p w14:paraId="1AD14DA7">
      <w:pPr>
        <w:kinsoku w:val="0"/>
        <w:spacing w:line="500" w:lineRule="exact"/>
        <w:ind w:firstLine="360" w:firstLineChars="150"/>
        <w:rPr>
          <w:rFonts w:ascii="宋体" w:hAnsi="宋体"/>
          <w:color w:val="auto"/>
          <w:sz w:val="24"/>
        </w:rPr>
      </w:pPr>
      <w:r>
        <w:rPr>
          <w:rFonts w:hint="eastAsia" w:ascii="宋体" w:hAnsi="宋体"/>
          <w:color w:val="auto"/>
          <w:sz w:val="24"/>
        </w:rPr>
        <w:t>25.3.3无磋商有效期或有效期达不到磋商文件要求的；</w:t>
      </w:r>
    </w:p>
    <w:p w14:paraId="0FFA1C1C">
      <w:pPr>
        <w:kinsoku w:val="0"/>
        <w:spacing w:line="500" w:lineRule="exact"/>
        <w:ind w:firstLine="360" w:firstLineChars="150"/>
        <w:rPr>
          <w:rFonts w:ascii="宋体" w:hAnsi="宋体"/>
          <w:color w:val="auto"/>
          <w:sz w:val="24"/>
        </w:rPr>
      </w:pPr>
      <w:r>
        <w:rPr>
          <w:rFonts w:hint="eastAsia" w:ascii="宋体" w:hAnsi="宋体"/>
          <w:color w:val="auto"/>
          <w:sz w:val="24"/>
        </w:rPr>
        <w:t>25.3.4供应商针对同一项目递交两份或多份内容不同的响应文件，未书面声明哪一份是有效的或出现选择性报价的；</w:t>
      </w:r>
    </w:p>
    <w:p w14:paraId="424CA8F6">
      <w:pPr>
        <w:kinsoku w:val="0"/>
        <w:spacing w:line="500" w:lineRule="exact"/>
        <w:ind w:firstLine="360" w:firstLineChars="150"/>
        <w:rPr>
          <w:rFonts w:ascii="宋体" w:hAnsi="宋体"/>
          <w:color w:val="auto"/>
          <w:sz w:val="24"/>
        </w:rPr>
      </w:pPr>
      <w:r>
        <w:rPr>
          <w:rFonts w:hint="eastAsia" w:ascii="宋体" w:hAnsi="宋体"/>
          <w:color w:val="auto"/>
          <w:sz w:val="24"/>
        </w:rPr>
        <w:t>25.3.5供应商有串通投标、弄虚作假（包括但不限于虚假资质、虚假证明、虚假应答等）、行贿等违法行为的；</w:t>
      </w:r>
    </w:p>
    <w:p w14:paraId="4F055B1B">
      <w:pPr>
        <w:kinsoku w:val="0"/>
        <w:spacing w:line="500" w:lineRule="exact"/>
        <w:ind w:firstLine="360" w:firstLineChars="150"/>
        <w:rPr>
          <w:rFonts w:ascii="宋体" w:hAnsi="宋体"/>
          <w:color w:val="auto"/>
          <w:sz w:val="24"/>
        </w:rPr>
      </w:pPr>
      <w:r>
        <w:rPr>
          <w:rFonts w:hint="eastAsia" w:ascii="宋体" w:hAnsi="宋体"/>
          <w:color w:val="auto"/>
          <w:sz w:val="24"/>
        </w:rPr>
        <w:t>25.3.6响应文件附加了采购人难以接受的条件或条款的；</w:t>
      </w:r>
    </w:p>
    <w:p w14:paraId="389D3486">
      <w:pPr>
        <w:topLinePunct/>
        <w:spacing w:line="500" w:lineRule="exact"/>
        <w:ind w:firstLine="360" w:firstLineChars="150"/>
        <w:rPr>
          <w:rFonts w:ascii="宋体" w:hAnsi="宋体"/>
          <w:color w:val="auto"/>
          <w:sz w:val="24"/>
        </w:rPr>
      </w:pPr>
      <w:r>
        <w:rPr>
          <w:rFonts w:hint="eastAsia" w:ascii="宋体" w:hAnsi="宋体"/>
          <w:color w:val="auto"/>
          <w:sz w:val="24"/>
        </w:rPr>
        <w:t>25.3.7在采购或其它重大项目履约过程中有不良记录，未能按期履约的；</w:t>
      </w:r>
    </w:p>
    <w:p w14:paraId="2B8B09FA">
      <w:pPr>
        <w:topLinePunct/>
        <w:spacing w:line="500" w:lineRule="exact"/>
        <w:ind w:firstLine="360" w:firstLineChars="150"/>
        <w:rPr>
          <w:rFonts w:ascii="宋体" w:hAnsi="宋体"/>
          <w:color w:val="auto"/>
          <w:sz w:val="24"/>
        </w:rPr>
      </w:pPr>
      <w:r>
        <w:rPr>
          <w:rFonts w:hint="eastAsia" w:ascii="宋体" w:hAnsi="宋体"/>
          <w:color w:val="auto"/>
          <w:sz w:val="24"/>
        </w:rPr>
        <w:t>25.3.8当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将其作为无效投标处理；</w:t>
      </w:r>
    </w:p>
    <w:p w14:paraId="40DCE1A0">
      <w:pPr>
        <w:spacing w:line="500" w:lineRule="exact"/>
        <w:ind w:firstLine="360" w:firstLineChars="150"/>
        <w:rPr>
          <w:rFonts w:ascii="宋体" w:hAnsi="宋体"/>
          <w:color w:val="auto"/>
          <w:sz w:val="24"/>
        </w:rPr>
      </w:pPr>
      <w:r>
        <w:rPr>
          <w:rFonts w:hint="eastAsia" w:ascii="宋体" w:hAnsi="宋体"/>
          <w:color w:val="auto"/>
          <w:sz w:val="24"/>
        </w:rPr>
        <w:t>25.3.9投标报价子目出现漏项或报价数量与要求不符的；</w:t>
      </w:r>
    </w:p>
    <w:p w14:paraId="03933C57">
      <w:pPr>
        <w:kinsoku w:val="0"/>
        <w:spacing w:line="500" w:lineRule="exact"/>
        <w:ind w:firstLine="360" w:firstLineChars="150"/>
        <w:rPr>
          <w:rFonts w:ascii="宋体" w:hAnsi="宋体"/>
          <w:color w:val="auto"/>
          <w:sz w:val="24"/>
        </w:rPr>
      </w:pPr>
      <w:r>
        <w:rPr>
          <w:rFonts w:hint="eastAsia" w:ascii="宋体" w:hAnsi="宋体"/>
          <w:color w:val="auto"/>
          <w:sz w:val="24"/>
        </w:rPr>
        <w:t>25.3.10提供虚假技术性能指标。</w:t>
      </w:r>
    </w:p>
    <w:p w14:paraId="00306D47">
      <w:pPr>
        <w:kinsoku w:val="0"/>
        <w:spacing w:line="500" w:lineRule="exact"/>
        <w:ind w:firstLine="360" w:firstLineChars="150"/>
        <w:rPr>
          <w:rFonts w:ascii="宋体" w:hAnsi="宋体"/>
          <w:color w:val="auto"/>
          <w:sz w:val="24"/>
        </w:rPr>
      </w:pPr>
      <w:r>
        <w:rPr>
          <w:rFonts w:hint="eastAsia" w:ascii="宋体" w:hAnsi="宋体"/>
          <w:color w:val="auto"/>
          <w:sz w:val="24"/>
        </w:rPr>
        <w:t>25.3.11供应商主体存在失信记录的。</w:t>
      </w:r>
    </w:p>
    <w:p w14:paraId="673C9879">
      <w:pPr>
        <w:kinsoku w:val="0"/>
        <w:spacing w:line="500" w:lineRule="exact"/>
        <w:ind w:firstLine="361" w:firstLineChars="150"/>
        <w:rPr>
          <w:rFonts w:ascii="宋体" w:hAnsi="宋体"/>
          <w:b/>
          <w:color w:val="auto"/>
          <w:sz w:val="24"/>
        </w:rPr>
      </w:pPr>
      <w:r>
        <w:rPr>
          <w:rFonts w:hint="eastAsia" w:ascii="宋体" w:hAnsi="宋体"/>
          <w:b/>
          <w:color w:val="auto"/>
          <w:sz w:val="24"/>
        </w:rPr>
        <w:t>25.4</w:t>
      </w:r>
      <w:r>
        <w:rPr>
          <w:rFonts w:hint="eastAsia" w:ascii="宋体" w:hAnsi="宋体"/>
          <w:b/>
          <w:color w:val="auto"/>
          <w:spacing w:val="-2"/>
          <w:sz w:val="24"/>
        </w:rPr>
        <w:t>有下列情形之一的，视为供应商串通投标，磋商小组应当认定其响应文件无效：</w:t>
      </w:r>
    </w:p>
    <w:p w14:paraId="6E894764">
      <w:pPr>
        <w:kinsoku w:val="0"/>
        <w:spacing w:line="500" w:lineRule="exact"/>
        <w:ind w:firstLine="360" w:firstLineChars="150"/>
        <w:rPr>
          <w:rFonts w:ascii="宋体" w:hAnsi="宋体"/>
          <w:color w:val="auto"/>
          <w:sz w:val="24"/>
        </w:rPr>
      </w:pPr>
      <w:r>
        <w:rPr>
          <w:rFonts w:hint="eastAsia" w:ascii="宋体" w:hAnsi="宋体"/>
          <w:color w:val="auto"/>
          <w:sz w:val="24"/>
        </w:rPr>
        <w:t>25.4.1不同供应商的响应文件由同一单位或者个人编制；</w:t>
      </w:r>
    </w:p>
    <w:p w14:paraId="74AD4B99">
      <w:pPr>
        <w:kinsoku w:val="0"/>
        <w:spacing w:line="500" w:lineRule="exact"/>
        <w:ind w:firstLine="360" w:firstLineChars="150"/>
        <w:rPr>
          <w:rFonts w:ascii="宋体" w:hAnsi="宋体"/>
          <w:color w:val="auto"/>
          <w:sz w:val="24"/>
        </w:rPr>
      </w:pPr>
      <w:r>
        <w:rPr>
          <w:rFonts w:hint="eastAsia" w:ascii="宋体" w:hAnsi="宋体"/>
          <w:color w:val="auto"/>
          <w:sz w:val="24"/>
        </w:rPr>
        <w:t xml:space="preserve">25.4.2不同供应商委托同一单位或者个人办理磋商事宜； </w:t>
      </w:r>
    </w:p>
    <w:p w14:paraId="5AD4F390">
      <w:pPr>
        <w:kinsoku w:val="0"/>
        <w:spacing w:line="500" w:lineRule="exact"/>
        <w:ind w:firstLine="360" w:firstLineChars="150"/>
        <w:rPr>
          <w:rFonts w:ascii="宋体" w:hAnsi="宋体"/>
          <w:color w:val="auto"/>
          <w:sz w:val="24"/>
        </w:rPr>
      </w:pPr>
      <w:r>
        <w:rPr>
          <w:rFonts w:hint="eastAsia" w:ascii="宋体" w:hAnsi="宋体"/>
          <w:color w:val="auto"/>
          <w:sz w:val="24"/>
        </w:rPr>
        <w:t>25.4.3不同供应商的响应文件载明的项目管理成员或者联系人员为同一人；</w:t>
      </w:r>
    </w:p>
    <w:p w14:paraId="2F26B61B">
      <w:pPr>
        <w:kinsoku w:val="0"/>
        <w:spacing w:line="500" w:lineRule="exact"/>
        <w:ind w:firstLine="360" w:firstLineChars="150"/>
        <w:rPr>
          <w:rFonts w:ascii="宋体" w:hAnsi="宋体"/>
          <w:color w:val="auto"/>
          <w:sz w:val="24"/>
        </w:rPr>
      </w:pPr>
      <w:r>
        <w:rPr>
          <w:rFonts w:hint="eastAsia" w:ascii="宋体" w:hAnsi="宋体"/>
          <w:color w:val="auto"/>
          <w:sz w:val="24"/>
        </w:rPr>
        <w:t>25.4.4不同供应商的响应文件异常一致或者磋商报价呈规律性差异；</w:t>
      </w:r>
    </w:p>
    <w:p w14:paraId="319AA21A">
      <w:pPr>
        <w:kinsoku w:val="0"/>
        <w:spacing w:line="500" w:lineRule="exact"/>
        <w:ind w:firstLine="360" w:firstLineChars="150"/>
        <w:rPr>
          <w:rFonts w:ascii="宋体" w:hAnsi="宋体"/>
          <w:color w:val="auto"/>
          <w:sz w:val="24"/>
        </w:rPr>
      </w:pPr>
      <w:r>
        <w:rPr>
          <w:rFonts w:hint="eastAsia" w:ascii="宋体" w:hAnsi="宋体"/>
          <w:color w:val="auto"/>
          <w:sz w:val="24"/>
        </w:rPr>
        <w:t>25.4.5不同供应商的响应文件相互混装；</w:t>
      </w:r>
    </w:p>
    <w:p w14:paraId="25531DEE">
      <w:pPr>
        <w:kinsoku w:val="0"/>
        <w:spacing w:line="500" w:lineRule="exact"/>
        <w:ind w:firstLine="360" w:firstLineChars="150"/>
        <w:rPr>
          <w:rFonts w:ascii="宋体" w:hAnsi="宋体"/>
          <w:color w:val="auto"/>
          <w:sz w:val="24"/>
        </w:rPr>
      </w:pPr>
      <w:r>
        <w:rPr>
          <w:rFonts w:hint="eastAsia" w:ascii="宋体" w:hAnsi="宋体"/>
          <w:color w:val="auto"/>
          <w:sz w:val="24"/>
        </w:rPr>
        <w:t>25.4.6不同供应商的磋商保证金从同一单位或者个人的账户转出。</w:t>
      </w:r>
    </w:p>
    <w:p w14:paraId="2369513B">
      <w:pPr>
        <w:spacing w:line="560" w:lineRule="exact"/>
        <w:ind w:firstLine="120" w:firstLineChars="50"/>
        <w:rPr>
          <w:rFonts w:ascii="宋体" w:hAnsi="宋体"/>
          <w:b/>
          <w:color w:val="auto"/>
          <w:sz w:val="24"/>
        </w:rPr>
      </w:pPr>
      <w:r>
        <w:rPr>
          <w:rFonts w:hint="eastAsia" w:ascii="宋体" w:hAnsi="宋体"/>
          <w:b/>
          <w:color w:val="auto"/>
          <w:sz w:val="24"/>
        </w:rPr>
        <w:t>26、澄清</w:t>
      </w:r>
    </w:p>
    <w:p w14:paraId="37F2C089">
      <w:pPr>
        <w:spacing w:line="360" w:lineRule="auto"/>
        <w:ind w:firstLine="240" w:firstLineChars="100"/>
        <w:rPr>
          <w:rFonts w:ascii="宋体" w:hAnsi="宋体"/>
          <w:color w:val="auto"/>
          <w:sz w:val="24"/>
        </w:rPr>
      </w:pPr>
      <w:r>
        <w:rPr>
          <w:rFonts w:hint="eastAsia" w:ascii="宋体" w:hAnsi="宋体"/>
          <w:color w:val="auto"/>
          <w:sz w:val="24"/>
        </w:rPr>
        <w:t xml:space="preserve"> 26.1磋商小组有权就响应文件中含混之处向上述步骤初审合格的供应商提出询问或澄清要求；供应商将有关询标澄清、补正、说明的内容应以书面形式提交；</w:t>
      </w:r>
    </w:p>
    <w:p w14:paraId="2122F2F3">
      <w:pPr>
        <w:spacing w:line="360" w:lineRule="auto"/>
        <w:ind w:firstLine="240" w:firstLineChars="100"/>
        <w:rPr>
          <w:rFonts w:ascii="宋体" w:hAnsi="宋体"/>
          <w:color w:val="auto"/>
          <w:sz w:val="24"/>
        </w:rPr>
      </w:pPr>
      <w:r>
        <w:rPr>
          <w:rFonts w:hint="eastAsia" w:ascii="宋体" w:hAnsi="宋体"/>
          <w:color w:val="auto"/>
          <w:sz w:val="24"/>
        </w:rPr>
        <w:t>26.2磋商文件、响应文件作为磋商的依据，澄清、补正、说明的内容只作为磋商参考。澄清时供应商只作说明和解释，不得借此对磋商报价、交货期、主要技术指标等实质性内容做任何修改；如澄清、补正、说明的内容与响应文件内容有重大相悖或矛盾，将被认定为无效文件；</w:t>
      </w:r>
    </w:p>
    <w:p w14:paraId="36C1F062">
      <w:pPr>
        <w:spacing w:line="360" w:lineRule="auto"/>
        <w:ind w:firstLine="240" w:firstLineChars="100"/>
        <w:rPr>
          <w:rFonts w:ascii="宋体" w:hAnsi="宋体"/>
          <w:color w:val="auto"/>
          <w:sz w:val="24"/>
        </w:rPr>
      </w:pPr>
      <w:r>
        <w:rPr>
          <w:rFonts w:hint="eastAsia" w:ascii="宋体" w:hAnsi="宋体"/>
          <w:color w:val="auto"/>
          <w:sz w:val="24"/>
        </w:rPr>
        <w:t>26.3供应商对响应文件的澄清不得改变磋商价格及实质内容。</w:t>
      </w:r>
    </w:p>
    <w:p w14:paraId="5A9E9385">
      <w:pPr>
        <w:spacing w:line="360" w:lineRule="auto"/>
        <w:rPr>
          <w:rFonts w:ascii="宋体" w:hAnsi="宋体"/>
          <w:b/>
          <w:color w:val="auto"/>
          <w:sz w:val="24"/>
        </w:rPr>
      </w:pPr>
      <w:r>
        <w:rPr>
          <w:rFonts w:hint="eastAsia" w:ascii="宋体" w:hAnsi="宋体"/>
          <w:b/>
          <w:color w:val="auto"/>
          <w:sz w:val="24"/>
        </w:rPr>
        <w:t>27、进行磋商</w:t>
      </w:r>
    </w:p>
    <w:p w14:paraId="53E1F9E4">
      <w:pPr>
        <w:spacing w:line="360" w:lineRule="auto"/>
        <w:ind w:firstLine="240" w:firstLineChars="100"/>
        <w:rPr>
          <w:rFonts w:ascii="宋体" w:hAnsi="宋体"/>
          <w:color w:val="auto"/>
          <w:sz w:val="24"/>
        </w:rPr>
      </w:pPr>
      <w:r>
        <w:rPr>
          <w:rFonts w:hint="eastAsia" w:ascii="宋体" w:hAnsi="宋体"/>
          <w:color w:val="auto"/>
          <w:sz w:val="24"/>
        </w:rPr>
        <w:t>27.1磋商小组所有成员应当集中与单一供应商分别进行磋商，并给予所有参加磋商的供应商平等的磋商机会。</w:t>
      </w:r>
    </w:p>
    <w:p w14:paraId="77BE5BAF">
      <w:pPr>
        <w:spacing w:line="360" w:lineRule="auto"/>
        <w:ind w:firstLine="241" w:firstLineChars="100"/>
        <w:rPr>
          <w:rFonts w:ascii="宋体" w:hAnsi="宋体"/>
          <w:b/>
          <w:bCs/>
          <w:color w:val="auto"/>
          <w:sz w:val="24"/>
        </w:rPr>
      </w:pPr>
      <w:r>
        <w:rPr>
          <w:rFonts w:hint="eastAsia" w:ascii="宋体" w:hAnsi="宋体"/>
          <w:b/>
          <w:bCs/>
          <w:color w:val="auto"/>
          <w:sz w:val="24"/>
        </w:rPr>
        <w:t>27.2磋商文件中的响应报价表为一次报价，在满足磋商文件所有实质性要求前提下提交最终报价。供应商磋商现场为二轮报价，二轮报价为最终报价。如采购需求没有实质性变化，各供应商的最终报价不得高于一次报价，否则，按无效文件处理。</w:t>
      </w:r>
    </w:p>
    <w:p w14:paraId="50CA35C7">
      <w:pPr>
        <w:spacing w:line="360" w:lineRule="auto"/>
        <w:rPr>
          <w:rFonts w:ascii="宋体" w:hAnsi="宋体"/>
          <w:b/>
          <w:color w:val="auto"/>
          <w:sz w:val="24"/>
        </w:rPr>
      </w:pPr>
      <w:r>
        <w:rPr>
          <w:rFonts w:hint="eastAsia" w:ascii="宋体" w:hAnsi="宋体"/>
          <w:b/>
          <w:color w:val="auto"/>
          <w:sz w:val="24"/>
        </w:rPr>
        <w:t>28、评审过程的保密</w:t>
      </w:r>
    </w:p>
    <w:p w14:paraId="70AE590F">
      <w:pPr>
        <w:spacing w:line="360" w:lineRule="auto"/>
        <w:ind w:firstLine="240" w:firstLineChars="100"/>
        <w:rPr>
          <w:rFonts w:ascii="宋体" w:hAnsi="宋体"/>
          <w:color w:val="auto"/>
          <w:sz w:val="24"/>
        </w:rPr>
      </w:pPr>
      <w:r>
        <w:rPr>
          <w:rFonts w:hint="eastAsia" w:ascii="宋体" w:hAnsi="宋体"/>
          <w:color w:val="auto"/>
          <w:sz w:val="24"/>
        </w:rPr>
        <w:t>28.1竞争性磋商小组成员和与评审活动有关的工作人员不得泄露有关磋商响应文件的评审和比较、成交候选人的推荐以及与评审有关的其他情况。</w:t>
      </w:r>
    </w:p>
    <w:p w14:paraId="389A24AD">
      <w:pPr>
        <w:spacing w:line="360" w:lineRule="auto"/>
        <w:ind w:firstLine="240" w:firstLineChars="100"/>
        <w:rPr>
          <w:rFonts w:ascii="宋体" w:hAnsi="宋体"/>
          <w:color w:val="auto"/>
          <w:sz w:val="24"/>
        </w:rPr>
      </w:pPr>
      <w:r>
        <w:rPr>
          <w:rFonts w:hint="eastAsia" w:ascii="宋体" w:hAnsi="宋体"/>
          <w:color w:val="auto"/>
          <w:sz w:val="24"/>
        </w:rPr>
        <w:t>28.2在评审过程中，如果磋商报价人试图在磋商响应文件的评审和比较、成交候选人的推荐以及与评审有关的其他方面，向磋商小组、采购人和采购代理机构施加任何影响，其磋商响应文件将按照无效处理。</w:t>
      </w:r>
    </w:p>
    <w:p w14:paraId="68A00761">
      <w:pPr>
        <w:spacing w:line="560" w:lineRule="exact"/>
        <w:rPr>
          <w:rFonts w:ascii="宋体" w:hAnsi="宋体"/>
          <w:b/>
          <w:color w:val="auto"/>
          <w:sz w:val="24"/>
        </w:rPr>
      </w:pPr>
      <w:r>
        <w:rPr>
          <w:rFonts w:hint="eastAsia" w:ascii="宋体" w:hAnsi="宋体"/>
          <w:b/>
          <w:color w:val="auto"/>
          <w:sz w:val="24"/>
        </w:rPr>
        <w:t>29、评审方法及内容</w:t>
      </w:r>
    </w:p>
    <w:p w14:paraId="3AD213CF">
      <w:pPr>
        <w:spacing w:line="360" w:lineRule="auto"/>
        <w:ind w:firstLine="480" w:firstLineChars="200"/>
        <w:rPr>
          <w:rFonts w:ascii="宋体" w:hAnsi="宋体" w:cs="宋体"/>
          <w:b/>
          <w:color w:val="auto"/>
          <w:sz w:val="24"/>
        </w:rPr>
      </w:pPr>
      <w:r>
        <w:rPr>
          <w:rFonts w:hint="eastAsia" w:ascii="宋体" w:hAnsi="宋体" w:cs="宋体"/>
          <w:color w:val="auto"/>
          <w:sz w:val="24"/>
        </w:rPr>
        <w:t>按照磋商文件规定的评审方法和标准，对资格性审查和符合性审查合格的响应文件进行商务和技术评审，综合比较和评价，最低报价不是成交的唯一依据。</w:t>
      </w:r>
    </w:p>
    <w:p w14:paraId="2502A26D">
      <w:pPr>
        <w:spacing w:line="360" w:lineRule="auto"/>
        <w:ind w:firstLine="360" w:firstLineChars="150"/>
        <w:rPr>
          <w:rFonts w:ascii="宋体" w:hAnsi="宋体" w:cs="宋体"/>
          <w:color w:val="auto"/>
          <w:sz w:val="24"/>
        </w:rPr>
      </w:pPr>
      <w:r>
        <w:rPr>
          <w:rFonts w:hint="eastAsia" w:ascii="宋体" w:hAnsi="宋体" w:cs="宋体"/>
          <w:color w:val="auto"/>
          <w:sz w:val="24"/>
        </w:rPr>
        <w:t>2</w:t>
      </w:r>
      <w:r>
        <w:rPr>
          <w:rFonts w:ascii="宋体" w:hAnsi="宋体" w:cs="宋体"/>
          <w:color w:val="auto"/>
          <w:sz w:val="24"/>
        </w:rPr>
        <w:t>9</w:t>
      </w:r>
      <w:r>
        <w:rPr>
          <w:rFonts w:hint="eastAsia" w:ascii="宋体" w:hAnsi="宋体" w:cs="宋体"/>
          <w:color w:val="auto"/>
          <w:sz w:val="24"/>
        </w:rPr>
        <w:t>.1竞争性磋商小组采用综合评分法对提交最后报价的供应商的响应文件和最后报价进行综合评分，按照评审得分由高到低顺序推荐3名成交候选供应商。</w:t>
      </w:r>
    </w:p>
    <w:p w14:paraId="1788A3CD">
      <w:pPr>
        <w:spacing w:line="360" w:lineRule="auto"/>
        <w:ind w:firstLine="240" w:firstLineChars="100"/>
        <w:rPr>
          <w:rFonts w:ascii="宋体" w:hAnsi="宋体" w:cs="宋体"/>
          <w:color w:val="auto"/>
          <w:sz w:val="24"/>
        </w:rPr>
      </w:pPr>
      <w:r>
        <w:rPr>
          <w:rFonts w:hint="eastAsia" w:ascii="宋体" w:hAnsi="宋体" w:cs="宋体"/>
          <w:color w:val="auto"/>
          <w:sz w:val="24"/>
        </w:rPr>
        <w:t xml:space="preserve"> 2</w:t>
      </w:r>
      <w:r>
        <w:rPr>
          <w:rFonts w:ascii="宋体" w:hAnsi="宋体" w:cs="宋体"/>
          <w:color w:val="auto"/>
          <w:sz w:val="24"/>
        </w:rPr>
        <w:t>9</w:t>
      </w:r>
      <w:r>
        <w:rPr>
          <w:rFonts w:hint="eastAsia" w:ascii="宋体" w:hAnsi="宋体" w:cs="宋体"/>
          <w:color w:val="auto"/>
          <w:sz w:val="24"/>
        </w:rPr>
        <w:t>.2磋商小组根据以下内容进行综合比较，自主打分，按最后得分由高到低汇总排序，以项目为单位分别推荐成交候选供应商；磋商小组根据磋商结果写出磋商意见。</w:t>
      </w:r>
    </w:p>
    <w:p w14:paraId="0FD0AC45">
      <w:pPr>
        <w:spacing w:line="360" w:lineRule="auto"/>
        <w:ind w:firstLine="480" w:firstLineChars="200"/>
        <w:rPr>
          <w:rFonts w:ascii="宋体" w:hAnsi="宋体"/>
          <w:color w:val="auto"/>
          <w:sz w:val="24"/>
        </w:rPr>
      </w:pPr>
      <w:r>
        <w:rPr>
          <w:rFonts w:hint="eastAsia" w:ascii="宋体" w:hAnsi="宋体"/>
          <w:color w:val="auto"/>
          <w:sz w:val="24"/>
        </w:rPr>
        <w:t>29.3评审指标分值构成（总计100分）</w:t>
      </w:r>
    </w:p>
    <w:p w14:paraId="4B114E11">
      <w:pPr>
        <w:spacing w:line="360" w:lineRule="auto"/>
        <w:ind w:firstLine="960" w:firstLineChars="400"/>
        <w:rPr>
          <w:rFonts w:ascii="宋体" w:hAnsi="宋体"/>
          <w:color w:val="auto"/>
          <w:sz w:val="24"/>
        </w:rPr>
      </w:pPr>
      <w:r>
        <w:rPr>
          <w:rFonts w:hint="eastAsia" w:ascii="宋体" w:hAnsi="宋体"/>
          <w:color w:val="auto"/>
          <w:sz w:val="24"/>
        </w:rPr>
        <w:t>磋商报价                     10分</w:t>
      </w:r>
    </w:p>
    <w:p w14:paraId="39172757">
      <w:pPr>
        <w:spacing w:line="360" w:lineRule="auto"/>
        <w:ind w:firstLine="960" w:firstLineChars="400"/>
        <w:rPr>
          <w:rFonts w:ascii="宋体" w:hAnsi="宋体"/>
          <w:color w:val="auto"/>
          <w:sz w:val="24"/>
        </w:rPr>
      </w:pPr>
      <w:r>
        <w:rPr>
          <w:rFonts w:hint="eastAsia" w:ascii="宋体" w:hAnsi="宋体"/>
          <w:color w:val="auto"/>
          <w:sz w:val="24"/>
        </w:rPr>
        <w:t>服务方案                     20分</w:t>
      </w:r>
    </w:p>
    <w:p w14:paraId="7B8F7E64">
      <w:pPr>
        <w:spacing w:line="360" w:lineRule="auto"/>
        <w:ind w:firstLine="960" w:firstLineChars="400"/>
        <w:rPr>
          <w:rFonts w:ascii="宋体" w:hAnsi="宋体"/>
          <w:color w:val="auto"/>
          <w:sz w:val="24"/>
        </w:rPr>
      </w:pPr>
      <w:r>
        <w:rPr>
          <w:rFonts w:hint="eastAsia" w:ascii="宋体" w:hAnsi="宋体"/>
          <w:color w:val="auto"/>
          <w:sz w:val="24"/>
        </w:rPr>
        <w:t>售后服务方案                 15分</w:t>
      </w:r>
    </w:p>
    <w:p w14:paraId="5FA6AACE">
      <w:pPr>
        <w:spacing w:line="360" w:lineRule="auto"/>
        <w:ind w:firstLine="960" w:firstLineChars="400"/>
        <w:rPr>
          <w:rFonts w:ascii="宋体" w:hAnsi="宋体"/>
          <w:color w:val="auto"/>
          <w:sz w:val="24"/>
        </w:rPr>
      </w:pPr>
      <w:r>
        <w:rPr>
          <w:rFonts w:hint="eastAsia" w:ascii="宋体" w:hAnsi="宋体"/>
          <w:color w:val="auto"/>
          <w:sz w:val="24"/>
        </w:rPr>
        <w:t xml:space="preserve">服务工具                      5分 </w:t>
      </w:r>
    </w:p>
    <w:p w14:paraId="73A835B2">
      <w:pPr>
        <w:spacing w:line="360" w:lineRule="auto"/>
        <w:ind w:firstLine="960" w:firstLineChars="400"/>
        <w:rPr>
          <w:rFonts w:ascii="宋体" w:hAnsi="宋体"/>
          <w:color w:val="auto"/>
          <w:sz w:val="24"/>
        </w:rPr>
      </w:pPr>
      <w:r>
        <w:rPr>
          <w:rFonts w:hint="eastAsia" w:ascii="宋体" w:hAnsi="宋体"/>
          <w:color w:val="auto"/>
          <w:sz w:val="24"/>
        </w:rPr>
        <w:t>服务团队能力                 30分</w:t>
      </w:r>
    </w:p>
    <w:p w14:paraId="383062E6">
      <w:pPr>
        <w:spacing w:line="360" w:lineRule="auto"/>
        <w:ind w:firstLine="960" w:firstLineChars="400"/>
        <w:rPr>
          <w:rFonts w:ascii="宋体" w:hAnsi="宋体"/>
          <w:color w:val="auto"/>
          <w:sz w:val="24"/>
        </w:rPr>
      </w:pPr>
      <w:r>
        <w:rPr>
          <w:rFonts w:hint="eastAsia" w:ascii="宋体" w:hAnsi="宋体"/>
          <w:color w:val="auto"/>
          <w:sz w:val="24"/>
        </w:rPr>
        <w:t xml:space="preserve">企业服务能力                 10分      </w:t>
      </w:r>
    </w:p>
    <w:p w14:paraId="0BC9BDF6">
      <w:pPr>
        <w:spacing w:line="360" w:lineRule="auto"/>
        <w:ind w:firstLine="960" w:firstLineChars="400"/>
        <w:rPr>
          <w:rFonts w:ascii="宋体" w:hAnsi="宋体"/>
          <w:color w:val="auto"/>
          <w:sz w:val="24"/>
        </w:rPr>
      </w:pPr>
      <w:r>
        <w:rPr>
          <w:rFonts w:hint="eastAsia" w:ascii="宋体" w:hAnsi="宋体"/>
          <w:color w:val="auto"/>
          <w:sz w:val="24"/>
        </w:rPr>
        <w:t>业绩                         10分</w:t>
      </w:r>
    </w:p>
    <w:p w14:paraId="2A08DD77">
      <w:pPr>
        <w:spacing w:line="360" w:lineRule="auto"/>
        <w:ind w:firstLine="480" w:firstLineChars="200"/>
        <w:rPr>
          <w:rFonts w:ascii="宋体" w:hAnsi="宋体"/>
          <w:color w:val="auto"/>
          <w:sz w:val="24"/>
        </w:rPr>
      </w:pPr>
      <w:r>
        <w:rPr>
          <w:rFonts w:hint="eastAsia" w:ascii="宋体" w:hAnsi="宋体"/>
          <w:color w:val="auto"/>
          <w:sz w:val="24"/>
        </w:rPr>
        <w:t>29.4评审内容</w:t>
      </w:r>
    </w:p>
    <w:tbl>
      <w:tblPr>
        <w:tblStyle w:val="28"/>
        <w:tblW w:w="8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7"/>
        <w:gridCol w:w="6525"/>
        <w:gridCol w:w="877"/>
      </w:tblGrid>
      <w:tr w14:paraId="04CCA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97" w:type="dxa"/>
            <w:shd w:val="clear" w:color="auto" w:fill="auto"/>
            <w:vAlign w:val="center"/>
          </w:tcPr>
          <w:p w14:paraId="209D7FAB">
            <w:pPr>
              <w:spacing w:line="460" w:lineRule="exact"/>
              <w:jc w:val="center"/>
              <w:rPr>
                <w:rFonts w:ascii="宋体" w:hAnsi="宋体" w:cs="宋体"/>
                <w:b/>
                <w:bCs/>
                <w:color w:val="auto"/>
                <w:sz w:val="24"/>
              </w:rPr>
            </w:pPr>
            <w:r>
              <w:rPr>
                <w:rFonts w:hint="eastAsia" w:ascii="宋体" w:hAnsi="宋体" w:cs="宋体"/>
                <w:b/>
                <w:bCs/>
                <w:color w:val="auto"/>
                <w:sz w:val="24"/>
              </w:rPr>
              <w:t>评审内容</w:t>
            </w:r>
          </w:p>
        </w:tc>
        <w:tc>
          <w:tcPr>
            <w:tcW w:w="6525" w:type="dxa"/>
            <w:shd w:val="clear" w:color="auto" w:fill="auto"/>
            <w:vAlign w:val="center"/>
          </w:tcPr>
          <w:p w14:paraId="357D7CA4">
            <w:pPr>
              <w:spacing w:line="360" w:lineRule="auto"/>
              <w:jc w:val="center"/>
              <w:rPr>
                <w:rFonts w:ascii="宋体" w:hAnsi="宋体" w:cs="宋体"/>
                <w:b/>
                <w:bCs/>
                <w:color w:val="auto"/>
                <w:sz w:val="24"/>
              </w:rPr>
            </w:pPr>
            <w:r>
              <w:rPr>
                <w:rFonts w:hint="eastAsia" w:ascii="宋体" w:hAnsi="宋体" w:cs="宋体"/>
                <w:b/>
                <w:bCs/>
                <w:color w:val="auto"/>
                <w:sz w:val="24"/>
              </w:rPr>
              <w:t>评审标准</w:t>
            </w:r>
          </w:p>
        </w:tc>
        <w:tc>
          <w:tcPr>
            <w:tcW w:w="877" w:type="dxa"/>
            <w:shd w:val="clear" w:color="auto" w:fill="auto"/>
            <w:vAlign w:val="center"/>
          </w:tcPr>
          <w:p w14:paraId="6253703A">
            <w:pPr>
              <w:spacing w:line="360" w:lineRule="auto"/>
              <w:jc w:val="center"/>
              <w:rPr>
                <w:rFonts w:ascii="宋体" w:hAnsi="宋体" w:cs="宋体"/>
                <w:b/>
                <w:bCs/>
                <w:color w:val="auto"/>
                <w:sz w:val="24"/>
              </w:rPr>
            </w:pPr>
            <w:r>
              <w:rPr>
                <w:rFonts w:hint="eastAsia" w:ascii="宋体" w:hAnsi="宋体" w:cs="宋体"/>
                <w:b/>
                <w:bCs/>
                <w:color w:val="auto"/>
                <w:sz w:val="24"/>
              </w:rPr>
              <w:t>客观/</w:t>
            </w:r>
          </w:p>
          <w:p w14:paraId="079149EB">
            <w:pPr>
              <w:spacing w:line="360" w:lineRule="auto"/>
              <w:jc w:val="center"/>
              <w:rPr>
                <w:rFonts w:ascii="宋体" w:hAnsi="宋体" w:cs="宋体"/>
                <w:b/>
                <w:bCs/>
                <w:color w:val="auto"/>
                <w:sz w:val="24"/>
              </w:rPr>
            </w:pPr>
            <w:r>
              <w:rPr>
                <w:rFonts w:hint="eastAsia" w:ascii="宋体" w:hAnsi="宋体" w:cs="宋体"/>
                <w:b/>
                <w:bCs/>
                <w:color w:val="auto"/>
                <w:sz w:val="24"/>
              </w:rPr>
              <w:t>主观</w:t>
            </w:r>
          </w:p>
        </w:tc>
      </w:tr>
      <w:tr w14:paraId="7289B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97" w:type="dxa"/>
            <w:vAlign w:val="center"/>
          </w:tcPr>
          <w:p w14:paraId="38767881">
            <w:pPr>
              <w:spacing w:line="360" w:lineRule="auto"/>
              <w:jc w:val="center"/>
              <w:rPr>
                <w:rFonts w:ascii="宋体" w:hAnsi="宋体"/>
                <w:b/>
                <w:bCs/>
                <w:color w:val="auto"/>
                <w:sz w:val="24"/>
              </w:rPr>
            </w:pPr>
            <w:r>
              <w:rPr>
                <w:rFonts w:hint="eastAsia" w:ascii="宋体" w:hAnsi="宋体"/>
                <w:b/>
                <w:bCs/>
                <w:color w:val="auto"/>
                <w:sz w:val="24"/>
              </w:rPr>
              <w:t>磋商报价</w:t>
            </w:r>
          </w:p>
          <w:p w14:paraId="731CD475">
            <w:pPr>
              <w:spacing w:line="360" w:lineRule="auto"/>
              <w:jc w:val="center"/>
              <w:rPr>
                <w:rFonts w:ascii="宋体" w:hAnsi="宋体"/>
                <w:b/>
                <w:bCs/>
                <w:color w:val="auto"/>
                <w:sz w:val="24"/>
              </w:rPr>
            </w:pPr>
            <w:r>
              <w:rPr>
                <w:rFonts w:hint="eastAsia" w:ascii="宋体" w:hAnsi="宋体"/>
                <w:b/>
                <w:bCs/>
                <w:color w:val="auto"/>
                <w:sz w:val="24"/>
              </w:rPr>
              <w:t>（10分）</w:t>
            </w:r>
          </w:p>
        </w:tc>
        <w:tc>
          <w:tcPr>
            <w:tcW w:w="6525" w:type="dxa"/>
          </w:tcPr>
          <w:p w14:paraId="67424FF2">
            <w:pPr>
              <w:spacing w:line="360" w:lineRule="auto"/>
              <w:rPr>
                <w:rFonts w:ascii="宋体" w:hAnsi="宋体" w:cs="宋体"/>
                <w:color w:val="auto"/>
                <w:sz w:val="24"/>
              </w:rPr>
            </w:pPr>
            <w:r>
              <w:rPr>
                <w:rFonts w:hint="eastAsia" w:ascii="宋体" w:hAnsi="宋体" w:cs="宋体"/>
                <w:color w:val="auto"/>
                <w:sz w:val="24"/>
              </w:rPr>
              <w:t>价格分统一采用低价优先法计算，即满足磋商文件要求且响应价格最低的磋商报价为评标基准价，其价格分为满分。其他供应商价格分统一按照下列公式计算：</w:t>
            </w:r>
          </w:p>
          <w:p w14:paraId="6259F4A3">
            <w:pPr>
              <w:spacing w:line="360" w:lineRule="auto"/>
              <w:rPr>
                <w:rFonts w:ascii="宋体" w:hAnsi="宋体" w:cs="宋体"/>
                <w:color w:val="auto"/>
                <w:sz w:val="24"/>
              </w:rPr>
            </w:pPr>
            <w:r>
              <w:rPr>
                <w:rFonts w:hint="eastAsia" w:ascii="宋体" w:hAnsi="宋体" w:cs="宋体"/>
                <w:color w:val="auto"/>
                <w:sz w:val="24"/>
              </w:rPr>
              <w:t xml:space="preserve">磋商报价得分=(评标基准价／磋商报价)×价格权值×100               </w:t>
            </w:r>
          </w:p>
          <w:p w14:paraId="220D4029">
            <w:pPr>
              <w:spacing w:line="360" w:lineRule="auto"/>
              <w:rPr>
                <w:rFonts w:ascii="宋体" w:hAnsi="宋体"/>
                <w:color w:val="auto"/>
                <w:sz w:val="24"/>
              </w:rPr>
            </w:pPr>
            <w:r>
              <w:rPr>
                <w:rFonts w:hint="eastAsia" w:ascii="宋体" w:hAnsi="宋体" w:cs="宋体"/>
                <w:color w:val="auto"/>
                <w:sz w:val="24"/>
              </w:rPr>
              <w:t>计算分数时四舍五入取小数点后两位</w:t>
            </w:r>
          </w:p>
        </w:tc>
        <w:tc>
          <w:tcPr>
            <w:tcW w:w="877" w:type="dxa"/>
            <w:vAlign w:val="center"/>
          </w:tcPr>
          <w:p w14:paraId="21E42B64">
            <w:pPr>
              <w:spacing w:line="360" w:lineRule="auto"/>
              <w:rPr>
                <w:rFonts w:ascii="宋体" w:hAnsi="宋体" w:cs="宋体"/>
                <w:color w:val="auto"/>
                <w:sz w:val="24"/>
              </w:rPr>
            </w:pPr>
            <w:r>
              <w:rPr>
                <w:rFonts w:hint="eastAsia" w:ascii="宋体" w:hAnsi="宋体" w:cs="宋体"/>
                <w:b/>
                <w:bCs/>
                <w:color w:val="auto"/>
                <w:sz w:val="24"/>
              </w:rPr>
              <w:t>客观</w:t>
            </w:r>
          </w:p>
        </w:tc>
      </w:tr>
      <w:tr w14:paraId="16121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97" w:type="dxa"/>
            <w:shd w:val="clear" w:color="auto" w:fill="auto"/>
            <w:vAlign w:val="center"/>
          </w:tcPr>
          <w:p w14:paraId="3DFDF741">
            <w:pPr>
              <w:spacing w:line="360" w:lineRule="auto"/>
              <w:jc w:val="center"/>
              <w:rPr>
                <w:rFonts w:ascii="宋体" w:hAnsi="宋体"/>
                <w:b/>
                <w:bCs/>
                <w:color w:val="auto"/>
                <w:sz w:val="24"/>
              </w:rPr>
            </w:pPr>
            <w:r>
              <w:rPr>
                <w:rFonts w:hint="eastAsia" w:ascii="宋体" w:hAnsi="宋体"/>
                <w:b/>
                <w:bCs/>
                <w:color w:val="auto"/>
                <w:sz w:val="24"/>
              </w:rPr>
              <w:t>服务方案</w:t>
            </w:r>
          </w:p>
          <w:p w14:paraId="3E6117A6">
            <w:pPr>
              <w:spacing w:line="360" w:lineRule="auto"/>
              <w:jc w:val="center"/>
              <w:rPr>
                <w:rFonts w:ascii="宋体" w:hAnsi="宋体" w:cs="宋体"/>
                <w:color w:val="auto"/>
                <w:sz w:val="24"/>
              </w:rPr>
            </w:pPr>
            <w:r>
              <w:rPr>
                <w:rFonts w:hint="eastAsia" w:ascii="宋体" w:hAnsi="宋体"/>
                <w:b/>
                <w:bCs/>
                <w:color w:val="auto"/>
                <w:sz w:val="24"/>
              </w:rPr>
              <w:t>（20分）</w:t>
            </w:r>
          </w:p>
        </w:tc>
        <w:tc>
          <w:tcPr>
            <w:tcW w:w="6525" w:type="dxa"/>
            <w:shd w:val="clear" w:color="auto" w:fill="auto"/>
            <w:vAlign w:val="center"/>
          </w:tcPr>
          <w:p w14:paraId="78127F30">
            <w:pPr>
              <w:spacing w:line="360" w:lineRule="auto"/>
              <w:rPr>
                <w:rFonts w:ascii="宋体" w:hAnsi="宋体" w:cs="宋体"/>
                <w:color w:val="auto"/>
                <w:sz w:val="24"/>
              </w:rPr>
            </w:pPr>
            <w:r>
              <w:rPr>
                <w:rFonts w:hint="eastAsia" w:ascii="宋体" w:hAnsi="宋体" w:cs="宋体"/>
                <w:color w:val="auto"/>
                <w:sz w:val="24"/>
              </w:rPr>
              <w:t>供应商需针对本项目采购内容提供切实可行的测评服务方案，方案内容包括：①项目需求分析、②测评方案、③实施进度、④人员安排等；针对本项应依据国家等级保护测评最新标准体系要求，并结合采购人要求，方案内容完整，且方案描述详细，测评内容及方法明确，服务条理清晰，满足要求；项目实施进度计划合理、项目执行过程管控到位、项目风险分析及处置措施完善、合理、指导性强。</w:t>
            </w:r>
          </w:p>
          <w:p w14:paraId="199174F1">
            <w:pPr>
              <w:spacing w:line="360" w:lineRule="auto"/>
              <w:rPr>
                <w:rFonts w:ascii="宋体" w:hAnsi="宋体" w:cs="宋体"/>
                <w:color w:val="auto"/>
                <w:sz w:val="24"/>
              </w:rPr>
            </w:pPr>
            <w:r>
              <w:rPr>
                <w:rFonts w:hint="eastAsia" w:ascii="宋体" w:hAnsi="宋体" w:cs="宋体"/>
                <w:color w:val="auto"/>
                <w:sz w:val="24"/>
              </w:rPr>
              <w:t>1.根据其响应程度赋分；响应内容完整、可行的每项计5分；</w:t>
            </w:r>
          </w:p>
          <w:p w14:paraId="5F335F63">
            <w:pPr>
              <w:spacing w:line="360" w:lineRule="auto"/>
              <w:rPr>
                <w:rFonts w:ascii="宋体" w:hAnsi="宋体" w:cs="宋体"/>
                <w:color w:val="auto"/>
                <w:sz w:val="24"/>
              </w:rPr>
            </w:pPr>
            <w:r>
              <w:rPr>
                <w:rFonts w:hint="eastAsia" w:ascii="宋体" w:hAnsi="宋体" w:cs="宋体"/>
                <w:color w:val="auto"/>
                <w:sz w:val="24"/>
              </w:rPr>
              <w:t>响应内容较完整，基本可行的计3分；</w:t>
            </w:r>
          </w:p>
          <w:p w14:paraId="16D209FB">
            <w:pPr>
              <w:spacing w:line="360" w:lineRule="auto"/>
              <w:rPr>
                <w:rFonts w:ascii="宋体" w:hAnsi="宋体" w:cs="宋体"/>
                <w:color w:val="auto"/>
                <w:sz w:val="24"/>
              </w:rPr>
            </w:pPr>
            <w:r>
              <w:rPr>
                <w:rFonts w:hint="eastAsia" w:ascii="宋体" w:hAnsi="宋体" w:cs="宋体"/>
                <w:color w:val="auto"/>
                <w:sz w:val="24"/>
              </w:rPr>
              <w:t>响应内容简单的每项计1分；</w:t>
            </w:r>
          </w:p>
          <w:p w14:paraId="23E2ECC5">
            <w:pPr>
              <w:spacing w:line="360" w:lineRule="auto"/>
              <w:rPr>
                <w:rFonts w:ascii="宋体" w:hAnsi="宋体" w:cs="宋体"/>
                <w:color w:val="auto"/>
                <w:sz w:val="24"/>
              </w:rPr>
            </w:pPr>
            <w:r>
              <w:rPr>
                <w:rFonts w:hint="eastAsia" w:ascii="宋体" w:hAnsi="宋体" w:cs="宋体"/>
                <w:color w:val="auto"/>
                <w:sz w:val="24"/>
              </w:rPr>
              <w:t>注：满分20分，未提供不计分。</w:t>
            </w:r>
          </w:p>
        </w:tc>
        <w:tc>
          <w:tcPr>
            <w:tcW w:w="877" w:type="dxa"/>
            <w:shd w:val="clear" w:color="auto" w:fill="auto"/>
            <w:vAlign w:val="center"/>
          </w:tcPr>
          <w:p w14:paraId="1FA205F4">
            <w:pPr>
              <w:jc w:val="left"/>
              <w:rPr>
                <w:rFonts w:ascii="宋体" w:hAnsi="宋体"/>
                <w:b/>
                <w:bCs/>
                <w:color w:val="auto"/>
                <w:sz w:val="24"/>
              </w:rPr>
            </w:pPr>
            <w:r>
              <w:rPr>
                <w:rFonts w:hint="eastAsia" w:ascii="宋体" w:hAnsi="宋体" w:cs="宋体"/>
                <w:b/>
                <w:bCs/>
                <w:color w:val="auto"/>
                <w:sz w:val="24"/>
              </w:rPr>
              <w:t>主观</w:t>
            </w:r>
          </w:p>
        </w:tc>
      </w:tr>
      <w:tr w14:paraId="125FF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1" w:hRule="atLeast"/>
          <w:jc w:val="center"/>
        </w:trPr>
        <w:tc>
          <w:tcPr>
            <w:tcW w:w="1497" w:type="dxa"/>
            <w:shd w:val="clear" w:color="auto" w:fill="auto"/>
            <w:vAlign w:val="center"/>
          </w:tcPr>
          <w:p w14:paraId="2F9CF50D">
            <w:pPr>
              <w:widowControl/>
              <w:overflowPunct w:val="0"/>
              <w:autoSpaceDE w:val="0"/>
              <w:autoSpaceDN w:val="0"/>
              <w:adjustRightInd w:val="0"/>
              <w:spacing w:line="360" w:lineRule="auto"/>
              <w:jc w:val="center"/>
              <w:textAlignment w:val="baseline"/>
              <w:rPr>
                <w:rFonts w:ascii="宋体" w:hAnsi="宋体" w:cs="宋体"/>
                <w:b/>
                <w:bCs/>
                <w:color w:val="auto"/>
                <w:sz w:val="24"/>
              </w:rPr>
            </w:pPr>
            <w:r>
              <w:rPr>
                <w:rFonts w:hint="eastAsia" w:ascii="宋体" w:hAnsi="宋体" w:cs="宋体"/>
                <w:b/>
                <w:bCs/>
                <w:color w:val="auto"/>
                <w:sz w:val="24"/>
              </w:rPr>
              <w:t>售后服务</w:t>
            </w:r>
          </w:p>
          <w:p w14:paraId="06484B40">
            <w:pPr>
              <w:widowControl/>
              <w:overflowPunct w:val="0"/>
              <w:autoSpaceDE w:val="0"/>
              <w:autoSpaceDN w:val="0"/>
              <w:adjustRightInd w:val="0"/>
              <w:spacing w:line="360" w:lineRule="auto"/>
              <w:jc w:val="center"/>
              <w:textAlignment w:val="baseline"/>
              <w:rPr>
                <w:rFonts w:ascii="宋体" w:hAnsi="宋体" w:cs="宋体"/>
                <w:b/>
                <w:bCs/>
                <w:color w:val="auto"/>
                <w:sz w:val="24"/>
              </w:rPr>
            </w:pPr>
            <w:r>
              <w:rPr>
                <w:rFonts w:hint="eastAsia" w:ascii="宋体" w:hAnsi="宋体" w:cs="宋体"/>
                <w:b/>
                <w:bCs/>
                <w:color w:val="auto"/>
                <w:sz w:val="24"/>
              </w:rPr>
              <w:t>方案</w:t>
            </w:r>
          </w:p>
          <w:p w14:paraId="2DF8BB69">
            <w:pPr>
              <w:widowControl/>
              <w:overflowPunct w:val="0"/>
              <w:autoSpaceDE w:val="0"/>
              <w:autoSpaceDN w:val="0"/>
              <w:adjustRightInd w:val="0"/>
              <w:spacing w:line="360" w:lineRule="auto"/>
              <w:jc w:val="center"/>
              <w:textAlignment w:val="baseline"/>
              <w:rPr>
                <w:rFonts w:ascii="宋体" w:hAnsi="宋体" w:cs="宋体"/>
                <w:color w:val="auto"/>
                <w:sz w:val="24"/>
              </w:rPr>
            </w:pPr>
            <w:r>
              <w:rPr>
                <w:rFonts w:hint="eastAsia" w:ascii="宋体" w:hAnsi="宋体" w:cs="宋体"/>
                <w:b/>
                <w:bCs/>
                <w:color w:val="auto"/>
                <w:sz w:val="24"/>
              </w:rPr>
              <w:t>（15分）</w:t>
            </w:r>
          </w:p>
        </w:tc>
        <w:tc>
          <w:tcPr>
            <w:tcW w:w="6525" w:type="dxa"/>
            <w:shd w:val="clear" w:color="auto" w:fill="auto"/>
            <w:vAlign w:val="center"/>
          </w:tcPr>
          <w:p w14:paraId="64FEB36C">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供应商提供针对本项目全面详细售后服务方案，方案包括：①售后服务管理体系、②售后服务团队、③安全咨询服务，④安全培训服务、⑤安全应急服务；</w:t>
            </w:r>
          </w:p>
          <w:p w14:paraId="5D1CC7C5">
            <w:pPr>
              <w:widowControl/>
              <w:numPr>
                <w:ilvl w:val="0"/>
                <w:numId w:val="7"/>
              </w:numPr>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根据其响应程度赋分；方案合理、可行，满足项目需求的每项3分，</w:t>
            </w:r>
          </w:p>
          <w:p w14:paraId="01351B4E">
            <w:pPr>
              <w:widowControl/>
              <w:numPr>
                <w:ilvl w:val="0"/>
                <w:numId w:val="7"/>
              </w:numPr>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基本满足项目需求的计1分，</w:t>
            </w:r>
          </w:p>
          <w:p w14:paraId="5E7C80F3">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b/>
                <w:bCs/>
                <w:color w:val="auto"/>
                <w:sz w:val="24"/>
              </w:rPr>
              <w:t>注：满分15分；未提供不计分。</w:t>
            </w:r>
          </w:p>
        </w:tc>
        <w:tc>
          <w:tcPr>
            <w:tcW w:w="877" w:type="dxa"/>
            <w:shd w:val="clear" w:color="auto" w:fill="auto"/>
            <w:vAlign w:val="center"/>
          </w:tcPr>
          <w:p w14:paraId="464FE114">
            <w:pPr>
              <w:widowControl/>
              <w:overflowPunct w:val="0"/>
              <w:autoSpaceDE w:val="0"/>
              <w:autoSpaceDN w:val="0"/>
              <w:adjustRightInd w:val="0"/>
              <w:spacing w:line="360" w:lineRule="auto"/>
              <w:jc w:val="left"/>
              <w:textAlignment w:val="baseline"/>
              <w:rPr>
                <w:rFonts w:ascii="宋体" w:hAnsi="宋体" w:cs="宋体"/>
                <w:b/>
                <w:bCs/>
                <w:color w:val="auto"/>
                <w:sz w:val="24"/>
              </w:rPr>
            </w:pPr>
            <w:r>
              <w:rPr>
                <w:rFonts w:hint="eastAsia" w:ascii="宋体" w:hAnsi="宋体" w:cs="宋体"/>
                <w:b/>
                <w:bCs/>
                <w:color w:val="auto"/>
                <w:sz w:val="24"/>
              </w:rPr>
              <w:t>主观</w:t>
            </w:r>
          </w:p>
        </w:tc>
      </w:tr>
      <w:tr w14:paraId="7433E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1497" w:type="dxa"/>
            <w:shd w:val="clear" w:color="auto" w:fill="auto"/>
            <w:vAlign w:val="center"/>
          </w:tcPr>
          <w:p w14:paraId="0BBC8C25">
            <w:pPr>
              <w:widowControl/>
              <w:overflowPunct w:val="0"/>
              <w:autoSpaceDE w:val="0"/>
              <w:autoSpaceDN w:val="0"/>
              <w:adjustRightInd w:val="0"/>
              <w:spacing w:line="360" w:lineRule="auto"/>
              <w:jc w:val="center"/>
              <w:textAlignment w:val="baseline"/>
              <w:rPr>
                <w:rFonts w:ascii="宋体" w:hAnsi="宋体" w:cs="宋体"/>
                <w:b/>
                <w:bCs/>
                <w:color w:val="auto"/>
                <w:sz w:val="24"/>
              </w:rPr>
            </w:pPr>
            <w:r>
              <w:rPr>
                <w:rFonts w:hint="eastAsia" w:ascii="宋体" w:hAnsi="宋体" w:cs="宋体"/>
                <w:b/>
                <w:bCs/>
                <w:color w:val="auto"/>
                <w:sz w:val="24"/>
              </w:rPr>
              <w:t>服务工具</w:t>
            </w:r>
          </w:p>
          <w:p w14:paraId="2BD29BDA">
            <w:pPr>
              <w:widowControl/>
              <w:overflowPunct w:val="0"/>
              <w:autoSpaceDE w:val="0"/>
              <w:autoSpaceDN w:val="0"/>
              <w:adjustRightInd w:val="0"/>
              <w:spacing w:line="360" w:lineRule="auto"/>
              <w:jc w:val="center"/>
              <w:textAlignment w:val="baseline"/>
              <w:rPr>
                <w:rFonts w:ascii="宋体" w:hAnsi="宋体" w:cs="宋体"/>
                <w:color w:val="auto"/>
                <w:sz w:val="24"/>
              </w:rPr>
            </w:pPr>
            <w:r>
              <w:rPr>
                <w:rFonts w:hint="eastAsia" w:ascii="宋体" w:hAnsi="宋体" w:cs="宋体"/>
                <w:b/>
                <w:bCs/>
                <w:color w:val="auto"/>
                <w:sz w:val="24"/>
              </w:rPr>
              <w:t>（5分）</w:t>
            </w:r>
          </w:p>
        </w:tc>
        <w:tc>
          <w:tcPr>
            <w:tcW w:w="6525" w:type="dxa"/>
            <w:shd w:val="clear" w:color="auto" w:fill="auto"/>
            <w:vAlign w:val="center"/>
          </w:tcPr>
          <w:p w14:paraId="477F359F">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测评实施工作配备必要的工具。如为自研工具应提供以下相关功能软件著作证明，如为商用工具应提供以下相关功能截图、工具购买合同。</w:t>
            </w:r>
          </w:p>
          <w:p w14:paraId="5E0E8087">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（1）安全漏洞扫描或检测系统；</w:t>
            </w:r>
          </w:p>
          <w:p w14:paraId="706F9E3E">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（2）配置核查或扫描系统；</w:t>
            </w:r>
          </w:p>
          <w:p w14:paraId="01F17526">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（3）网络安全等级保护渗透测试系统；</w:t>
            </w:r>
          </w:p>
          <w:p w14:paraId="4D5F67E5">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（4）网络安全等保服务管理系统；</w:t>
            </w:r>
          </w:p>
          <w:p w14:paraId="7695571D">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（5）网络安全风险在线测评分析系统；</w:t>
            </w:r>
          </w:p>
          <w:p w14:paraId="60E467FB">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每提供一项功能证明得1分，最高得5分。</w:t>
            </w:r>
          </w:p>
        </w:tc>
        <w:tc>
          <w:tcPr>
            <w:tcW w:w="877" w:type="dxa"/>
            <w:shd w:val="clear" w:color="auto" w:fill="auto"/>
            <w:vAlign w:val="center"/>
          </w:tcPr>
          <w:p w14:paraId="2A40396A">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b/>
                <w:bCs/>
                <w:color w:val="auto"/>
                <w:sz w:val="24"/>
              </w:rPr>
              <w:t>客观</w:t>
            </w:r>
          </w:p>
        </w:tc>
      </w:tr>
      <w:tr w14:paraId="167A7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7" w:hRule="atLeast"/>
          <w:jc w:val="center"/>
        </w:trPr>
        <w:tc>
          <w:tcPr>
            <w:tcW w:w="1497" w:type="dxa"/>
            <w:shd w:val="clear" w:color="auto" w:fill="auto"/>
            <w:vAlign w:val="center"/>
          </w:tcPr>
          <w:p w14:paraId="631B20FD">
            <w:pPr>
              <w:widowControl/>
              <w:overflowPunct w:val="0"/>
              <w:autoSpaceDE w:val="0"/>
              <w:autoSpaceDN w:val="0"/>
              <w:adjustRightInd w:val="0"/>
              <w:spacing w:line="360" w:lineRule="auto"/>
              <w:jc w:val="center"/>
              <w:textAlignment w:val="baseline"/>
              <w:rPr>
                <w:rFonts w:ascii="宋体" w:hAnsi="宋体" w:cs="宋体"/>
                <w:b/>
                <w:bCs/>
                <w:color w:val="auto"/>
                <w:sz w:val="24"/>
              </w:rPr>
            </w:pPr>
            <w:r>
              <w:rPr>
                <w:rFonts w:hint="eastAsia" w:ascii="宋体" w:hAnsi="宋体" w:cs="宋体"/>
                <w:b/>
                <w:bCs/>
                <w:color w:val="auto"/>
                <w:sz w:val="24"/>
              </w:rPr>
              <w:t>服务团队</w:t>
            </w:r>
          </w:p>
          <w:p w14:paraId="0A6D8A9F">
            <w:pPr>
              <w:widowControl/>
              <w:overflowPunct w:val="0"/>
              <w:autoSpaceDE w:val="0"/>
              <w:autoSpaceDN w:val="0"/>
              <w:adjustRightInd w:val="0"/>
              <w:spacing w:line="360" w:lineRule="auto"/>
              <w:jc w:val="center"/>
              <w:textAlignment w:val="baseline"/>
              <w:rPr>
                <w:rFonts w:ascii="宋体" w:hAnsi="宋体" w:cs="宋体"/>
                <w:b/>
                <w:bCs/>
                <w:color w:val="auto"/>
                <w:sz w:val="24"/>
              </w:rPr>
            </w:pPr>
            <w:r>
              <w:rPr>
                <w:rFonts w:hint="eastAsia" w:ascii="宋体" w:hAnsi="宋体" w:cs="宋体"/>
                <w:b/>
                <w:bCs/>
                <w:color w:val="auto"/>
                <w:sz w:val="24"/>
              </w:rPr>
              <w:t>能力</w:t>
            </w:r>
          </w:p>
          <w:p w14:paraId="16CE09E2">
            <w:pPr>
              <w:widowControl/>
              <w:overflowPunct w:val="0"/>
              <w:autoSpaceDE w:val="0"/>
              <w:autoSpaceDN w:val="0"/>
              <w:adjustRightInd w:val="0"/>
              <w:spacing w:line="360" w:lineRule="auto"/>
              <w:jc w:val="center"/>
              <w:textAlignment w:val="baseline"/>
              <w:rPr>
                <w:rFonts w:ascii="宋体" w:hAnsi="宋体" w:cs="宋体"/>
                <w:color w:val="auto"/>
                <w:sz w:val="24"/>
                <w:lang w:val="zh-CN"/>
              </w:rPr>
            </w:pPr>
            <w:r>
              <w:rPr>
                <w:rFonts w:hint="eastAsia" w:ascii="宋体" w:hAnsi="宋体" w:cs="宋体"/>
                <w:b/>
                <w:bCs/>
                <w:color w:val="auto"/>
                <w:sz w:val="24"/>
              </w:rPr>
              <w:t>（30分）</w:t>
            </w:r>
          </w:p>
        </w:tc>
        <w:tc>
          <w:tcPr>
            <w:tcW w:w="6525" w:type="dxa"/>
            <w:shd w:val="clear" w:color="auto" w:fill="auto"/>
            <w:vAlign w:val="center"/>
          </w:tcPr>
          <w:p w14:paraId="507748C8">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团队职责应划分合理，评审专家根据以下团队成员服务能力赋分：</w:t>
            </w:r>
          </w:p>
          <w:p w14:paraId="012F00FC">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1、项目成员应包含至少2 名高级测评师，4名中级测评师，5名初级测评师，满足得2分，不满足不得分。</w:t>
            </w:r>
          </w:p>
          <w:p w14:paraId="1FF830B8">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2、项目经理应配备高级测评师1名，</w:t>
            </w:r>
            <w:bookmarkStart w:id="3" w:name="OLE_LINK3"/>
            <w:r>
              <w:rPr>
                <w:rFonts w:hint="eastAsia" w:ascii="宋体" w:hAnsi="宋体" w:cs="宋体"/>
                <w:color w:val="auto"/>
                <w:sz w:val="24"/>
              </w:rPr>
              <w:t>高级测评师应具备高级数据安全工程师证书、CISM（国际注册信息安全经理认证）证书，每提供一项证书得3分，最高得6分。</w:t>
            </w:r>
          </w:p>
          <w:p w14:paraId="277C134B">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3、质量审核应配备高级测评师1名，在此基础上具备以下任意一项认证得2分，最高6分。</w:t>
            </w:r>
          </w:p>
          <w:p w14:paraId="2AEBFD36">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（1）质量管理体系内审员</w:t>
            </w:r>
          </w:p>
          <w:p w14:paraId="01FFE264">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（2）信息系统审计师或信息安全工程师</w:t>
            </w:r>
          </w:p>
          <w:p w14:paraId="4C314064">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（3）数据安全评估师认证证书（CCRC-DSA）</w:t>
            </w:r>
          </w:p>
          <w:bookmarkEnd w:id="3"/>
          <w:p w14:paraId="47C99F97">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4、</w:t>
            </w:r>
            <w:bookmarkStart w:id="4" w:name="OLE_LINK11"/>
            <w:r>
              <w:rPr>
                <w:rFonts w:hint="eastAsia" w:ascii="宋体" w:hAnsi="宋体" w:cs="宋体"/>
                <w:color w:val="auto"/>
                <w:sz w:val="24"/>
              </w:rPr>
              <w:t>渗透测试人员</w:t>
            </w:r>
            <w:bookmarkEnd w:id="4"/>
            <w:r>
              <w:rPr>
                <w:rFonts w:hint="eastAsia" w:ascii="宋体" w:hAnsi="宋体" w:cs="宋体"/>
                <w:color w:val="auto"/>
                <w:sz w:val="24"/>
              </w:rPr>
              <w:t>应具备以下任意一项认证得1分，最高2分。</w:t>
            </w:r>
          </w:p>
          <w:p w14:paraId="1C2B8ACF">
            <w:pPr>
              <w:widowControl/>
              <w:overflowPunct w:val="0"/>
              <w:autoSpaceDE w:val="0"/>
              <w:autoSpaceDN w:val="0"/>
              <w:adjustRightInd w:val="0"/>
              <w:spacing w:line="360" w:lineRule="auto"/>
              <w:jc w:val="left"/>
              <w:textAlignment w:val="baseline"/>
              <w:rPr>
                <w:rFonts w:ascii="宋体" w:hAnsi="宋体" w:cs="宋体"/>
                <w:color w:val="auto"/>
                <w:sz w:val="24"/>
              </w:rPr>
            </w:pPr>
            <w:bookmarkStart w:id="5" w:name="OLE_LINK17"/>
            <w:r>
              <w:rPr>
                <w:rFonts w:hint="eastAsia" w:ascii="宋体" w:hAnsi="宋体" w:cs="宋体"/>
                <w:color w:val="auto"/>
                <w:sz w:val="24"/>
              </w:rPr>
              <w:t>（1）</w:t>
            </w:r>
            <w:bookmarkEnd w:id="5"/>
            <w:r>
              <w:rPr>
                <w:rFonts w:hint="eastAsia" w:ascii="宋体" w:hAnsi="宋体" w:cs="宋体"/>
                <w:color w:val="auto"/>
                <w:sz w:val="24"/>
              </w:rPr>
              <w:t>注册渗透测试工程师（CISP-PTE）；</w:t>
            </w:r>
          </w:p>
          <w:p w14:paraId="02133CDA">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（2）信息安全保障人员认证证书（CISAW）。</w:t>
            </w:r>
          </w:p>
          <w:p w14:paraId="3FBB0500">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5、</w:t>
            </w:r>
            <w:bookmarkStart w:id="6" w:name="OLE_LINK4"/>
            <w:r>
              <w:rPr>
                <w:rFonts w:hint="eastAsia" w:ascii="宋体" w:hAnsi="宋体" w:cs="宋体"/>
                <w:color w:val="auto"/>
                <w:sz w:val="24"/>
              </w:rPr>
              <w:t>测评实施人员应配备初级或以上</w:t>
            </w:r>
            <w:bookmarkEnd w:id="6"/>
            <w:r>
              <w:rPr>
                <w:rFonts w:hint="eastAsia" w:ascii="宋体" w:hAnsi="宋体" w:cs="宋体"/>
                <w:color w:val="auto"/>
                <w:sz w:val="24"/>
              </w:rPr>
              <w:t>测评师至少1名，在此基础上具备以下任意一项认证得1分，最高2分。</w:t>
            </w:r>
          </w:p>
          <w:p w14:paraId="7EA06C33">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（1）</w:t>
            </w:r>
            <w:bookmarkStart w:id="7" w:name="OLE_LINK5"/>
            <w:r>
              <w:rPr>
                <w:rFonts w:hint="eastAsia" w:ascii="宋体" w:hAnsi="宋体" w:cs="宋体"/>
                <w:color w:val="auto"/>
                <w:sz w:val="24"/>
              </w:rPr>
              <w:t>中级网络工程师证书；</w:t>
            </w:r>
          </w:p>
          <w:p w14:paraId="442CEC10">
            <w:pPr>
              <w:widowControl/>
              <w:overflowPunct w:val="0"/>
              <w:autoSpaceDE w:val="0"/>
              <w:autoSpaceDN w:val="0"/>
              <w:adjustRightInd w:val="0"/>
              <w:spacing w:line="360" w:lineRule="auto"/>
              <w:jc w:val="left"/>
              <w:textAlignment w:val="baseline"/>
              <w:rPr>
                <w:rFonts w:ascii="宋体" w:hAnsi="宋体" w:cs="宋体"/>
                <w:color w:val="auto"/>
                <w:sz w:val="24"/>
              </w:rPr>
            </w:pPr>
            <w:bookmarkStart w:id="8" w:name="OLE_LINK13"/>
            <w:r>
              <w:rPr>
                <w:rFonts w:hint="eastAsia" w:ascii="宋体" w:hAnsi="宋体" w:cs="宋体"/>
                <w:color w:val="auto"/>
                <w:sz w:val="24"/>
              </w:rPr>
              <w:t>（2）</w:t>
            </w:r>
            <w:bookmarkEnd w:id="8"/>
            <w:r>
              <w:rPr>
                <w:rFonts w:hint="eastAsia" w:ascii="宋体" w:hAnsi="宋体" w:cs="宋体"/>
                <w:color w:val="auto"/>
                <w:sz w:val="24"/>
              </w:rPr>
              <w:t>云计算技术高级认证。</w:t>
            </w:r>
          </w:p>
          <w:bookmarkEnd w:id="7"/>
          <w:p w14:paraId="496E8145">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6、远程应急专家应配备高级测评师1名，在此基础上提供以下任意一项证明得2分，最高6分。</w:t>
            </w:r>
          </w:p>
          <w:p w14:paraId="092D56F7">
            <w:pPr>
              <w:widowControl/>
              <w:overflowPunct w:val="0"/>
              <w:autoSpaceDE w:val="0"/>
              <w:autoSpaceDN w:val="0"/>
              <w:adjustRightInd w:val="0"/>
              <w:spacing w:line="360" w:lineRule="auto"/>
              <w:jc w:val="left"/>
              <w:textAlignment w:val="baseline"/>
              <w:rPr>
                <w:rFonts w:ascii="宋体" w:hAnsi="宋体" w:cs="宋体"/>
                <w:color w:val="auto"/>
                <w:sz w:val="24"/>
              </w:rPr>
            </w:pPr>
            <w:bookmarkStart w:id="9" w:name="OLE_LINK14"/>
            <w:r>
              <w:rPr>
                <w:rFonts w:hint="eastAsia" w:ascii="宋体" w:hAnsi="宋体" w:cs="宋体"/>
                <w:color w:val="auto"/>
                <w:sz w:val="24"/>
              </w:rPr>
              <w:t>（1）</w:t>
            </w:r>
            <w:bookmarkEnd w:id="9"/>
            <w:bookmarkStart w:id="10" w:name="OLE_LINK7"/>
            <w:r>
              <w:rPr>
                <w:rFonts w:hint="eastAsia" w:ascii="宋体" w:hAnsi="宋体" w:cs="宋体"/>
                <w:color w:val="auto"/>
                <w:sz w:val="24"/>
              </w:rPr>
              <w:t>副高级或以上职称证明</w:t>
            </w:r>
            <w:bookmarkEnd w:id="10"/>
            <w:r>
              <w:rPr>
                <w:rFonts w:hint="eastAsia" w:ascii="宋体" w:hAnsi="宋体" w:cs="宋体"/>
                <w:color w:val="auto"/>
                <w:sz w:val="24"/>
              </w:rPr>
              <w:t>；</w:t>
            </w:r>
          </w:p>
          <w:p w14:paraId="1F86EA18">
            <w:pPr>
              <w:widowControl/>
              <w:overflowPunct w:val="0"/>
              <w:autoSpaceDE w:val="0"/>
              <w:autoSpaceDN w:val="0"/>
              <w:adjustRightInd w:val="0"/>
              <w:spacing w:line="360" w:lineRule="auto"/>
              <w:jc w:val="left"/>
              <w:textAlignment w:val="baseline"/>
              <w:rPr>
                <w:rFonts w:ascii="宋体" w:hAnsi="宋体" w:cs="宋体"/>
                <w:color w:val="auto"/>
                <w:sz w:val="24"/>
              </w:rPr>
            </w:pPr>
            <w:bookmarkStart w:id="11" w:name="OLE_LINK15"/>
            <w:r>
              <w:rPr>
                <w:rFonts w:hint="eastAsia" w:ascii="宋体" w:hAnsi="宋体" w:cs="宋体"/>
                <w:color w:val="auto"/>
                <w:sz w:val="24"/>
              </w:rPr>
              <w:t>（2）</w:t>
            </w:r>
            <w:bookmarkEnd w:id="11"/>
            <w:r>
              <w:rPr>
                <w:rFonts w:hint="eastAsia" w:ascii="宋体" w:hAnsi="宋体" w:cs="宋体"/>
                <w:color w:val="auto"/>
                <w:sz w:val="24"/>
              </w:rPr>
              <w:t>国家级会议网络安全保卫支撑专家经验证明；</w:t>
            </w:r>
          </w:p>
          <w:p w14:paraId="31EDB285">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（3）</w:t>
            </w:r>
            <w:bookmarkStart w:id="12" w:name="OLE_LINK6"/>
            <w:r>
              <w:rPr>
                <w:rFonts w:hint="eastAsia" w:ascii="宋体" w:hAnsi="宋体" w:cs="宋体"/>
                <w:color w:val="auto"/>
                <w:sz w:val="24"/>
              </w:rPr>
              <w:t>国家级HW演习/行动支撑专家经验证明</w:t>
            </w:r>
            <w:bookmarkEnd w:id="12"/>
            <w:r>
              <w:rPr>
                <w:rFonts w:hint="eastAsia" w:ascii="宋体" w:hAnsi="宋体" w:cs="宋体"/>
                <w:color w:val="auto"/>
                <w:sz w:val="24"/>
              </w:rPr>
              <w:t>。</w:t>
            </w:r>
          </w:p>
          <w:p w14:paraId="52CC5880">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7、</w:t>
            </w:r>
            <w:bookmarkStart w:id="13" w:name="OLE_LINK8"/>
            <w:r>
              <w:rPr>
                <w:rFonts w:hint="eastAsia" w:ascii="宋体" w:hAnsi="宋体" w:cs="宋体"/>
                <w:color w:val="auto"/>
                <w:sz w:val="24"/>
              </w:rPr>
              <w:t>售后服务人员应</w:t>
            </w:r>
            <w:bookmarkEnd w:id="13"/>
            <w:r>
              <w:rPr>
                <w:rFonts w:hint="eastAsia" w:ascii="宋体" w:hAnsi="宋体" w:cs="宋体"/>
                <w:color w:val="auto"/>
                <w:sz w:val="24"/>
              </w:rPr>
              <w:t>具备以下认证，每项得2分，最高6分。</w:t>
            </w:r>
          </w:p>
          <w:p w14:paraId="6FB973CF">
            <w:pPr>
              <w:widowControl/>
              <w:overflowPunct w:val="0"/>
              <w:autoSpaceDE w:val="0"/>
              <w:autoSpaceDN w:val="0"/>
              <w:adjustRightInd w:val="0"/>
              <w:spacing w:line="360" w:lineRule="auto"/>
              <w:jc w:val="left"/>
              <w:textAlignment w:val="baseline"/>
              <w:rPr>
                <w:rFonts w:ascii="宋体" w:hAnsi="宋体" w:cs="宋体"/>
                <w:color w:val="auto"/>
                <w:sz w:val="24"/>
              </w:rPr>
            </w:pPr>
            <w:bookmarkStart w:id="14" w:name="OLE_LINK9"/>
            <w:r>
              <w:rPr>
                <w:rFonts w:hint="eastAsia" w:ascii="宋体" w:hAnsi="宋体" w:cs="宋体"/>
                <w:color w:val="auto"/>
                <w:sz w:val="24"/>
              </w:rPr>
              <w:t>（1）注册信息安全讲师（CISI）；</w:t>
            </w:r>
          </w:p>
          <w:p w14:paraId="0D69D6D8">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（2）高级数据安全工程师；</w:t>
            </w:r>
          </w:p>
          <w:p w14:paraId="63038823">
            <w:pPr>
              <w:widowControl/>
              <w:overflowPunct w:val="0"/>
              <w:autoSpaceDE w:val="0"/>
              <w:autoSpaceDN w:val="0"/>
              <w:adjustRightInd w:val="0"/>
              <w:spacing w:line="360" w:lineRule="auto"/>
              <w:jc w:val="left"/>
              <w:textAlignment w:val="baseline"/>
              <w:rPr>
                <w:rFonts w:ascii="宋体" w:hAnsi="宋体" w:cs="宋体"/>
                <w:color w:val="auto"/>
                <w:sz w:val="24"/>
              </w:rPr>
            </w:pPr>
            <w:bookmarkStart w:id="15" w:name="OLE_LINK12"/>
            <w:r>
              <w:rPr>
                <w:rFonts w:hint="eastAsia" w:ascii="宋体" w:hAnsi="宋体" w:cs="宋体"/>
                <w:color w:val="auto"/>
                <w:sz w:val="24"/>
              </w:rPr>
              <w:t>（3）</w:t>
            </w:r>
            <w:bookmarkEnd w:id="15"/>
            <w:r>
              <w:rPr>
                <w:rFonts w:hint="eastAsia" w:ascii="宋体" w:hAnsi="宋体" w:cs="宋体"/>
                <w:color w:val="auto"/>
                <w:sz w:val="24"/>
              </w:rPr>
              <w:t>售后服务管理师。</w:t>
            </w:r>
          </w:p>
          <w:bookmarkEnd w:id="14"/>
          <w:p w14:paraId="2E7D9453">
            <w:pPr>
              <w:widowControl/>
              <w:overflowPunct w:val="0"/>
              <w:autoSpaceDE w:val="0"/>
              <w:autoSpaceDN w:val="0"/>
              <w:adjustRightInd w:val="0"/>
              <w:spacing w:line="360" w:lineRule="auto"/>
              <w:jc w:val="left"/>
              <w:textAlignment w:val="baseline"/>
              <w:rPr>
                <w:rFonts w:ascii="宋体" w:hAnsi="宋体" w:cs="宋体"/>
                <w:color w:val="auto"/>
                <w:sz w:val="24"/>
                <w:lang w:val="zh-CN"/>
              </w:rPr>
            </w:pPr>
            <w:bookmarkStart w:id="16" w:name="OLE_LINK10"/>
            <w:r>
              <w:rPr>
                <w:rFonts w:hint="eastAsia" w:ascii="宋体" w:hAnsi="宋体" w:cs="宋体"/>
                <w:color w:val="auto"/>
                <w:sz w:val="24"/>
              </w:rPr>
              <w:t>多个同类证书不重复计分</w:t>
            </w:r>
            <w:bookmarkEnd w:id="16"/>
            <w:r>
              <w:rPr>
                <w:rFonts w:hint="eastAsia" w:ascii="宋体" w:hAnsi="宋体" w:cs="宋体"/>
                <w:color w:val="auto"/>
                <w:sz w:val="24"/>
              </w:rPr>
              <w:t>，须提供相关证书复印件，否则视为无效，并以人员社保缴纳证明为依据。</w:t>
            </w:r>
          </w:p>
        </w:tc>
        <w:tc>
          <w:tcPr>
            <w:tcW w:w="877" w:type="dxa"/>
            <w:shd w:val="clear" w:color="auto" w:fill="auto"/>
            <w:vAlign w:val="center"/>
          </w:tcPr>
          <w:p w14:paraId="37C2488A">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b/>
                <w:bCs/>
                <w:color w:val="auto"/>
                <w:sz w:val="24"/>
              </w:rPr>
              <w:t>客观</w:t>
            </w:r>
          </w:p>
        </w:tc>
      </w:tr>
      <w:tr w14:paraId="20B14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0" w:hRule="atLeast"/>
          <w:jc w:val="center"/>
        </w:trPr>
        <w:tc>
          <w:tcPr>
            <w:tcW w:w="1497" w:type="dxa"/>
            <w:shd w:val="clear" w:color="auto" w:fill="auto"/>
            <w:vAlign w:val="center"/>
          </w:tcPr>
          <w:p w14:paraId="3D82449A">
            <w:pPr>
              <w:widowControl/>
              <w:overflowPunct w:val="0"/>
              <w:autoSpaceDE w:val="0"/>
              <w:autoSpaceDN w:val="0"/>
              <w:adjustRightInd w:val="0"/>
              <w:spacing w:line="360" w:lineRule="auto"/>
              <w:jc w:val="center"/>
              <w:textAlignment w:val="baseline"/>
              <w:rPr>
                <w:rFonts w:ascii="宋体" w:hAnsi="宋体" w:cs="宋体"/>
                <w:b/>
                <w:bCs/>
                <w:color w:val="auto"/>
                <w:sz w:val="24"/>
              </w:rPr>
            </w:pPr>
            <w:r>
              <w:rPr>
                <w:rFonts w:hint="eastAsia" w:ascii="宋体" w:hAnsi="宋体" w:cs="宋体"/>
                <w:b/>
                <w:bCs/>
                <w:color w:val="auto"/>
                <w:sz w:val="24"/>
              </w:rPr>
              <w:t>企业服务</w:t>
            </w:r>
          </w:p>
          <w:p w14:paraId="2F9AEFED">
            <w:pPr>
              <w:widowControl/>
              <w:overflowPunct w:val="0"/>
              <w:autoSpaceDE w:val="0"/>
              <w:autoSpaceDN w:val="0"/>
              <w:adjustRightInd w:val="0"/>
              <w:spacing w:line="360" w:lineRule="auto"/>
              <w:jc w:val="center"/>
              <w:textAlignment w:val="baseline"/>
              <w:rPr>
                <w:rFonts w:ascii="宋体" w:hAnsi="宋体" w:cs="宋体"/>
                <w:b/>
                <w:bCs/>
                <w:color w:val="auto"/>
                <w:sz w:val="24"/>
              </w:rPr>
            </w:pPr>
            <w:r>
              <w:rPr>
                <w:rFonts w:hint="eastAsia" w:ascii="宋体" w:hAnsi="宋体" w:cs="宋体"/>
                <w:b/>
                <w:bCs/>
                <w:color w:val="auto"/>
                <w:sz w:val="24"/>
              </w:rPr>
              <w:t>能力</w:t>
            </w:r>
          </w:p>
          <w:p w14:paraId="2ADFB36A">
            <w:pPr>
              <w:widowControl/>
              <w:overflowPunct w:val="0"/>
              <w:autoSpaceDE w:val="0"/>
              <w:autoSpaceDN w:val="0"/>
              <w:adjustRightInd w:val="0"/>
              <w:spacing w:line="360" w:lineRule="auto"/>
              <w:jc w:val="center"/>
              <w:textAlignment w:val="baseline"/>
              <w:rPr>
                <w:rFonts w:ascii="宋体" w:hAnsi="宋体" w:cs="宋体"/>
                <w:color w:val="auto"/>
                <w:sz w:val="24"/>
              </w:rPr>
            </w:pPr>
            <w:r>
              <w:rPr>
                <w:rFonts w:hint="eastAsia" w:ascii="宋体" w:hAnsi="宋体" w:cs="宋体"/>
                <w:b/>
                <w:bCs/>
                <w:color w:val="auto"/>
                <w:sz w:val="24"/>
              </w:rPr>
              <w:t>（10分）</w:t>
            </w:r>
          </w:p>
        </w:tc>
        <w:tc>
          <w:tcPr>
            <w:tcW w:w="6525" w:type="dxa"/>
            <w:shd w:val="clear" w:color="auto" w:fill="auto"/>
            <w:vAlign w:val="center"/>
          </w:tcPr>
          <w:p w14:paraId="48B2E930">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1、供应商参加近年全国公安省、市级（包含）以上的网络攻防演练，获得前三名以内得1分，最多得5分，需提供获奖证明文件；</w:t>
            </w:r>
          </w:p>
          <w:p w14:paraId="72AF9344">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2、供应商提供以下任意一项认证或发明专利得1分，最高得5分；</w:t>
            </w:r>
          </w:p>
          <w:p w14:paraId="4D80BBC7">
            <w:pPr>
              <w:widowControl/>
              <w:overflowPunct w:val="0"/>
              <w:autoSpaceDE w:val="0"/>
              <w:autoSpaceDN w:val="0"/>
              <w:adjustRightInd w:val="0"/>
              <w:spacing w:line="360" w:lineRule="auto"/>
              <w:jc w:val="left"/>
              <w:textAlignment w:val="baseline"/>
              <w:rPr>
                <w:rFonts w:ascii="宋体" w:hAnsi="宋体" w:cs="宋体"/>
                <w:color w:val="auto"/>
                <w:sz w:val="24"/>
              </w:rPr>
            </w:pPr>
            <w:bookmarkStart w:id="17" w:name="OLE_LINK16"/>
            <w:r>
              <w:rPr>
                <w:rFonts w:hint="eastAsia" w:ascii="宋体" w:hAnsi="宋体" w:cs="宋体"/>
                <w:color w:val="auto"/>
                <w:sz w:val="24"/>
              </w:rPr>
              <w:t>（1）</w:t>
            </w:r>
            <w:bookmarkEnd w:id="17"/>
            <w:r>
              <w:rPr>
                <w:rFonts w:hint="eastAsia" w:ascii="宋体" w:hAnsi="宋体" w:cs="宋体"/>
                <w:color w:val="auto"/>
                <w:sz w:val="24"/>
              </w:rPr>
              <w:t>ISO20000信息技术服务管理体系认证；</w:t>
            </w:r>
          </w:p>
          <w:p w14:paraId="4F2E855B">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（2）CCRC信息安全风险评估服务资质(二级及以上)；</w:t>
            </w:r>
          </w:p>
          <w:p w14:paraId="2D041228">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（3）CCRC网络安全审计服务资质；</w:t>
            </w:r>
          </w:p>
          <w:p w14:paraId="0AE0A30E">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（4）网络安全测试评估相关发明专利证书；</w:t>
            </w:r>
          </w:p>
          <w:p w14:paraId="73574C84">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color w:val="auto"/>
                <w:sz w:val="24"/>
              </w:rPr>
              <w:t>（5）售后服务评价体系认证证书四星级及以上。</w:t>
            </w:r>
          </w:p>
        </w:tc>
        <w:tc>
          <w:tcPr>
            <w:tcW w:w="877" w:type="dxa"/>
            <w:shd w:val="clear" w:color="auto" w:fill="auto"/>
            <w:vAlign w:val="center"/>
          </w:tcPr>
          <w:p w14:paraId="58D1E33C">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b/>
                <w:bCs/>
                <w:color w:val="auto"/>
                <w:sz w:val="24"/>
              </w:rPr>
              <w:t>客观</w:t>
            </w:r>
          </w:p>
        </w:tc>
      </w:tr>
      <w:tr w14:paraId="27B5F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2" w:hRule="atLeast"/>
          <w:jc w:val="center"/>
        </w:trPr>
        <w:tc>
          <w:tcPr>
            <w:tcW w:w="1497" w:type="dxa"/>
            <w:shd w:val="clear" w:color="auto" w:fill="auto"/>
            <w:vAlign w:val="center"/>
          </w:tcPr>
          <w:p w14:paraId="39C30EC7">
            <w:pPr>
              <w:kinsoku w:val="0"/>
              <w:spacing w:line="500" w:lineRule="exact"/>
              <w:jc w:val="center"/>
              <w:rPr>
                <w:rFonts w:ascii="宋体" w:hAnsi="宋体" w:cs="宋体"/>
                <w:b/>
                <w:bCs/>
                <w:color w:val="auto"/>
                <w:sz w:val="24"/>
              </w:rPr>
            </w:pPr>
            <w:r>
              <w:rPr>
                <w:rFonts w:hint="eastAsia" w:ascii="宋体" w:hAnsi="宋体" w:cs="宋体"/>
                <w:b/>
                <w:bCs/>
                <w:color w:val="auto"/>
                <w:sz w:val="24"/>
              </w:rPr>
              <w:t>业绩</w:t>
            </w:r>
          </w:p>
          <w:p w14:paraId="16B76B70">
            <w:pPr>
              <w:kinsoku w:val="0"/>
              <w:spacing w:line="500" w:lineRule="exact"/>
              <w:jc w:val="center"/>
              <w:rPr>
                <w:rFonts w:ascii="宋体" w:hAnsi="宋体" w:cs="宋体"/>
                <w:color w:val="auto"/>
                <w:sz w:val="24"/>
              </w:rPr>
            </w:pPr>
            <w:r>
              <w:rPr>
                <w:rFonts w:hint="eastAsia" w:ascii="宋体" w:hAnsi="宋体" w:cs="宋体"/>
                <w:b/>
                <w:bCs/>
                <w:color w:val="auto"/>
                <w:sz w:val="24"/>
              </w:rPr>
              <w:t>（10分）</w:t>
            </w:r>
          </w:p>
        </w:tc>
        <w:tc>
          <w:tcPr>
            <w:tcW w:w="6525" w:type="dxa"/>
            <w:shd w:val="clear" w:color="auto" w:fill="auto"/>
          </w:tcPr>
          <w:p w14:paraId="6D439237">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eastAsia="宋体" w:cs="宋体"/>
                <w:b w:val="0"/>
                <w:bCs w:val="0"/>
                <w:color w:val="auto"/>
                <w:sz w:val="24"/>
                <w:szCs w:val="22"/>
                <w:highlight w:val="none"/>
                <w:lang w:eastAsia="zh-Hans"/>
              </w:rPr>
              <w:t>供应商提供2023年9月至今类似项目业绩，须提供完整业绩合同及对应货款任意一张发票，两份材料均需加盖</w:t>
            </w:r>
            <w:r>
              <w:rPr>
                <w:rFonts w:hint="eastAsia" w:ascii="宋体" w:hAnsi="宋体" w:eastAsia="宋体" w:cs="宋体"/>
                <w:b w:val="0"/>
                <w:bCs w:val="0"/>
                <w:color w:val="auto"/>
                <w:sz w:val="24"/>
                <w:szCs w:val="22"/>
                <w:highlight w:val="none"/>
                <w:lang w:val="en-US" w:eastAsia="zh-CN"/>
              </w:rPr>
              <w:t>供应商</w:t>
            </w:r>
            <w:r>
              <w:rPr>
                <w:rFonts w:hint="eastAsia" w:ascii="宋体" w:hAnsi="宋体" w:eastAsia="宋体" w:cs="宋体"/>
                <w:b w:val="0"/>
                <w:bCs w:val="0"/>
                <w:color w:val="auto"/>
                <w:sz w:val="24"/>
                <w:szCs w:val="22"/>
                <w:highlight w:val="none"/>
                <w:lang w:eastAsia="zh-Hans"/>
              </w:rPr>
              <w:t>公章</w:t>
            </w:r>
            <w:r>
              <w:rPr>
                <w:rFonts w:hint="eastAsia" w:ascii="宋体" w:hAnsi="宋体" w:eastAsia="宋体" w:cs="宋体"/>
                <w:b w:val="0"/>
                <w:bCs w:val="0"/>
                <w:color w:val="auto"/>
                <w:sz w:val="24"/>
                <w:szCs w:val="22"/>
                <w:highlight w:val="none"/>
                <w:lang w:eastAsia="zh-CN"/>
              </w:rPr>
              <w:t>，时间以合同签订时间为准。</w:t>
            </w:r>
            <w:r>
              <w:rPr>
                <w:rFonts w:hint="eastAsia" w:ascii="宋体" w:hAnsi="宋体" w:eastAsia="宋体" w:cs="宋体"/>
                <w:b w:val="0"/>
                <w:bCs w:val="0"/>
                <w:color w:val="auto"/>
                <w:sz w:val="24"/>
                <w:szCs w:val="22"/>
                <w:highlight w:val="none"/>
                <w:lang w:eastAsia="zh-Hans"/>
              </w:rPr>
              <w:t>非涉密业绩须同时提交完整合同与对应发票，两项材料齐全方可计分，缺任一材料均不予计分。涉密业绩无法提供完整合同的，可提供合同关键页（含首页、工作内容页、盖章页）或提供合同的主要条款内容，如付款条款，采购设备清单，售后服务条款等，搭配对应货款任意一张加盖公章的发票一同提交，材料齐全即可正常计分，否则不得分）</w:t>
            </w:r>
            <w:r>
              <w:rPr>
                <w:rFonts w:hint="eastAsia" w:ascii="宋体" w:hAnsi="宋体" w:eastAsia="宋体" w:cs="宋体"/>
                <w:b w:val="0"/>
                <w:bCs w:val="0"/>
                <w:color w:val="auto"/>
                <w:sz w:val="24"/>
                <w:szCs w:val="22"/>
                <w:highlight w:val="none"/>
                <w:lang w:eastAsia="zh-CN"/>
              </w:rPr>
              <w:t>。</w:t>
            </w:r>
            <w:r>
              <w:rPr>
                <w:rFonts w:hint="eastAsia" w:ascii="宋体" w:hAnsi="宋体" w:cs="宋体"/>
                <w:b w:val="0"/>
                <w:bCs w:val="0"/>
                <w:color w:val="auto"/>
                <w:sz w:val="24"/>
              </w:rPr>
              <w:t>每提供1份计2分，满分10分，未提供不计分。</w:t>
            </w:r>
          </w:p>
        </w:tc>
        <w:tc>
          <w:tcPr>
            <w:tcW w:w="877" w:type="dxa"/>
            <w:shd w:val="clear" w:color="auto" w:fill="auto"/>
            <w:vAlign w:val="center"/>
          </w:tcPr>
          <w:p w14:paraId="1537DCE4">
            <w:pPr>
              <w:widowControl/>
              <w:overflowPunct w:val="0"/>
              <w:autoSpaceDE w:val="0"/>
              <w:autoSpaceDN w:val="0"/>
              <w:adjustRightInd w:val="0"/>
              <w:spacing w:line="360" w:lineRule="auto"/>
              <w:jc w:val="left"/>
              <w:textAlignment w:val="baseline"/>
              <w:rPr>
                <w:rFonts w:ascii="宋体" w:hAnsi="宋体" w:cs="宋体"/>
                <w:color w:val="auto"/>
                <w:sz w:val="24"/>
              </w:rPr>
            </w:pPr>
            <w:r>
              <w:rPr>
                <w:rFonts w:hint="eastAsia" w:ascii="宋体" w:hAnsi="宋体" w:cs="宋体"/>
                <w:b/>
                <w:bCs/>
                <w:color w:val="auto"/>
                <w:sz w:val="24"/>
              </w:rPr>
              <w:t>客观</w:t>
            </w:r>
          </w:p>
        </w:tc>
      </w:tr>
      <w:tr w14:paraId="1325B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8899" w:type="dxa"/>
            <w:gridSpan w:val="3"/>
          </w:tcPr>
          <w:p w14:paraId="0F143AF9">
            <w:pPr>
              <w:rPr>
                <w:rFonts w:ascii="宋体" w:hAnsi="宋体"/>
                <w:b/>
                <w:color w:val="auto"/>
                <w:sz w:val="24"/>
              </w:rPr>
            </w:pPr>
            <w:r>
              <w:rPr>
                <w:rFonts w:hint="eastAsia" w:ascii="宋体" w:hAnsi="宋体"/>
                <w:b/>
                <w:color w:val="auto"/>
                <w:sz w:val="24"/>
              </w:rPr>
              <w:t>备注</w:t>
            </w:r>
            <w:r>
              <w:rPr>
                <w:rFonts w:ascii="宋体" w:hAnsi="宋体"/>
                <w:b/>
                <w:color w:val="auto"/>
                <w:sz w:val="24"/>
              </w:rPr>
              <w:t>：</w:t>
            </w:r>
            <w:r>
              <w:rPr>
                <w:rFonts w:hint="eastAsia" w:ascii="宋体" w:hAnsi="宋体"/>
                <w:b/>
                <w:color w:val="auto"/>
                <w:sz w:val="24"/>
              </w:rPr>
              <w:t>以上所有</w:t>
            </w:r>
            <w:r>
              <w:rPr>
                <w:rFonts w:ascii="宋体" w:hAnsi="宋体"/>
                <w:b/>
                <w:color w:val="auto"/>
                <w:sz w:val="24"/>
              </w:rPr>
              <w:t>证明文件须提供</w:t>
            </w:r>
            <w:r>
              <w:rPr>
                <w:rFonts w:hint="eastAsia" w:ascii="宋体" w:hAnsi="宋体"/>
                <w:b/>
                <w:color w:val="auto"/>
                <w:sz w:val="24"/>
              </w:rPr>
              <w:t>清晰</w:t>
            </w:r>
            <w:r>
              <w:rPr>
                <w:rFonts w:ascii="宋体" w:hAnsi="宋体"/>
                <w:b/>
                <w:color w:val="auto"/>
                <w:sz w:val="24"/>
              </w:rPr>
              <w:t>复印件加盖供应商公章装订</w:t>
            </w:r>
            <w:r>
              <w:rPr>
                <w:rFonts w:hint="eastAsia" w:ascii="宋体" w:hAnsi="宋体"/>
                <w:b/>
                <w:color w:val="auto"/>
                <w:sz w:val="24"/>
              </w:rPr>
              <w:t>于</w:t>
            </w:r>
            <w:r>
              <w:rPr>
                <w:rFonts w:ascii="宋体" w:hAnsi="宋体"/>
                <w:b/>
                <w:color w:val="auto"/>
                <w:sz w:val="24"/>
              </w:rPr>
              <w:t>正、副本中，原件备查。</w:t>
            </w:r>
          </w:p>
        </w:tc>
      </w:tr>
    </w:tbl>
    <w:p w14:paraId="3E2A462C">
      <w:pPr>
        <w:spacing w:line="360" w:lineRule="auto"/>
        <w:rPr>
          <w:rFonts w:ascii="宋体" w:hAnsi="宋体"/>
          <w:b/>
          <w:color w:val="auto"/>
          <w:sz w:val="24"/>
        </w:rPr>
      </w:pPr>
      <w:r>
        <w:rPr>
          <w:rFonts w:hint="eastAsia" w:ascii="宋体" w:hAnsi="宋体"/>
          <w:b/>
          <w:color w:val="auto"/>
          <w:sz w:val="24"/>
        </w:rPr>
        <w:t>30、成交</w:t>
      </w:r>
    </w:p>
    <w:p w14:paraId="63A37DD6">
      <w:pPr>
        <w:spacing w:line="360" w:lineRule="auto"/>
        <w:ind w:firstLine="240" w:firstLineChars="100"/>
        <w:rPr>
          <w:rFonts w:ascii="宋体" w:hAnsi="宋体"/>
          <w:color w:val="auto"/>
          <w:sz w:val="24"/>
        </w:rPr>
      </w:pPr>
      <w:r>
        <w:rPr>
          <w:rFonts w:hint="eastAsia" w:ascii="宋体" w:hAnsi="宋体"/>
          <w:color w:val="auto"/>
          <w:sz w:val="24"/>
        </w:rPr>
        <w:t xml:space="preserve"> 30.1采购代理机构在磋商结束后二个工作日内将磋商结果报告送达采购人，采购人在收到磋商结果报告后五个工作日内，按照磋商结果报告中推荐的成交候选供应商顺序确定成交供应商，同时书面复函采购代理机构；</w:t>
      </w:r>
    </w:p>
    <w:p w14:paraId="76924221">
      <w:pPr>
        <w:spacing w:line="360" w:lineRule="auto"/>
        <w:ind w:firstLine="240" w:firstLineChars="100"/>
        <w:rPr>
          <w:rFonts w:ascii="宋体" w:hAnsi="宋体"/>
          <w:color w:val="auto"/>
          <w:sz w:val="24"/>
        </w:rPr>
      </w:pPr>
      <w:r>
        <w:rPr>
          <w:rFonts w:hint="eastAsia" w:ascii="宋体" w:hAnsi="宋体"/>
          <w:color w:val="auto"/>
          <w:sz w:val="24"/>
        </w:rPr>
        <w:t xml:space="preserve"> 30.2采购代理机构收到采购人“成交复函”后，二个工作日内在指定的采购信息媒体上发布公告，同时向成交供应商发出“成交通知书”。</w:t>
      </w:r>
    </w:p>
    <w:p w14:paraId="250E87FD">
      <w:pPr>
        <w:jc w:val="center"/>
        <w:rPr>
          <w:rFonts w:ascii="宋体" w:hAnsi="宋体"/>
          <w:b/>
          <w:color w:val="auto"/>
          <w:sz w:val="30"/>
          <w:szCs w:val="30"/>
        </w:rPr>
      </w:pPr>
      <w:r>
        <w:rPr>
          <w:rFonts w:hint="eastAsia" w:ascii="宋体" w:hAnsi="宋体"/>
          <w:b/>
          <w:color w:val="auto"/>
          <w:sz w:val="30"/>
          <w:szCs w:val="30"/>
        </w:rPr>
        <w:t>七．签订合同</w:t>
      </w:r>
    </w:p>
    <w:p w14:paraId="00D33002">
      <w:pPr>
        <w:spacing w:line="520" w:lineRule="exact"/>
        <w:ind w:firstLine="480" w:firstLineChars="200"/>
        <w:rPr>
          <w:rFonts w:ascii="宋体" w:hAnsi="宋体"/>
          <w:color w:val="auto"/>
          <w:sz w:val="24"/>
        </w:rPr>
      </w:pPr>
      <w:r>
        <w:rPr>
          <w:rFonts w:hint="eastAsia" w:ascii="宋体" w:hAnsi="宋体"/>
          <w:color w:val="auto"/>
          <w:sz w:val="24"/>
        </w:rPr>
        <w:t>31、采购人应当自成交通知书发出之日起三十日历日内，按照磋商文件和成交供应商的响应文件（包括磋商评审中形成的最后报价等补充文件），与成交供应商签订书面合同。</w:t>
      </w:r>
    </w:p>
    <w:p w14:paraId="69B1AE46">
      <w:pPr>
        <w:spacing w:line="520" w:lineRule="exact"/>
        <w:ind w:firstLine="480" w:firstLineChars="200"/>
        <w:rPr>
          <w:rFonts w:ascii="宋体" w:hAnsi="宋体"/>
          <w:color w:val="auto"/>
          <w:sz w:val="24"/>
        </w:rPr>
      </w:pPr>
      <w:r>
        <w:rPr>
          <w:rFonts w:hint="eastAsia" w:ascii="宋体" w:hAnsi="宋体"/>
          <w:color w:val="auto"/>
          <w:sz w:val="24"/>
        </w:rPr>
        <w:t>32、采购合同履行中，采购人需追加与合同标的相同的货物、工程或者服务的，在不改变合同其他条款的前提下，可以与成交供应商协商签订补充合同，但所有补充合同的采购金额不得超过原合同采购金额的百分之十；</w:t>
      </w:r>
    </w:p>
    <w:p w14:paraId="20107474">
      <w:pPr>
        <w:spacing w:line="360" w:lineRule="auto"/>
        <w:ind w:firstLine="480" w:firstLineChars="200"/>
        <w:rPr>
          <w:rFonts w:ascii="宋体" w:hAnsi="宋体"/>
          <w:color w:val="auto"/>
          <w:sz w:val="24"/>
        </w:rPr>
      </w:pPr>
      <w:r>
        <w:rPr>
          <w:rFonts w:hint="eastAsia" w:ascii="宋体" w:hAnsi="宋体"/>
          <w:color w:val="auto"/>
          <w:sz w:val="24"/>
        </w:rPr>
        <w:t>33、根据需要，采购代理机构可会同采购人负责监督、协调和处理履约过程中出现的问题；</w:t>
      </w:r>
    </w:p>
    <w:p w14:paraId="6B3573F7">
      <w:pPr>
        <w:spacing w:line="360" w:lineRule="auto"/>
        <w:ind w:firstLine="480" w:firstLineChars="200"/>
        <w:rPr>
          <w:rFonts w:ascii="宋体" w:hAnsi="宋体"/>
          <w:color w:val="auto"/>
          <w:sz w:val="24"/>
        </w:rPr>
      </w:pPr>
      <w:r>
        <w:rPr>
          <w:rFonts w:hint="eastAsia" w:ascii="宋体" w:hAnsi="宋体"/>
          <w:color w:val="auto"/>
          <w:sz w:val="24"/>
        </w:rPr>
        <w:t>34、采购管理部门在合同履行期间以及履行期后，可以随时检查项目的执行情况，对采购标准、采购内容进行调查核实，并对发现的问题进行处理。</w:t>
      </w:r>
    </w:p>
    <w:p w14:paraId="0D46CE57">
      <w:pPr>
        <w:jc w:val="center"/>
        <w:rPr>
          <w:rFonts w:ascii="宋体" w:hAnsi="宋体"/>
          <w:b/>
          <w:color w:val="auto"/>
          <w:sz w:val="30"/>
          <w:szCs w:val="30"/>
        </w:rPr>
      </w:pPr>
      <w:r>
        <w:rPr>
          <w:rFonts w:hint="eastAsia" w:ascii="宋体" w:hAnsi="宋体"/>
          <w:b/>
          <w:color w:val="auto"/>
          <w:sz w:val="30"/>
          <w:szCs w:val="30"/>
        </w:rPr>
        <w:t>八．成交服务费</w:t>
      </w:r>
    </w:p>
    <w:p w14:paraId="4F4D1CBE">
      <w:pPr>
        <w:spacing w:line="360" w:lineRule="auto"/>
        <w:ind w:firstLine="480" w:firstLineChars="200"/>
        <w:rPr>
          <w:rFonts w:ascii="宋体" w:hAnsi="宋体"/>
          <w:color w:val="auto"/>
          <w:sz w:val="24"/>
        </w:rPr>
      </w:pPr>
      <w:r>
        <w:rPr>
          <w:rFonts w:hint="eastAsia" w:ascii="宋体" w:hAnsi="宋体"/>
          <w:color w:val="auto"/>
          <w:sz w:val="24"/>
        </w:rPr>
        <w:t>35、成交服务费按约定由成交供应商支付，确定中标后3日内，由成交供应商向招标代理机构一次付清招标代理服务费。成交服务费按国家发展与改革委员会《招标代理服务收费暂行办法》（计价格[2002]1980号）及发改办价格[2003]857号文件的规定标准收取。</w:t>
      </w:r>
    </w:p>
    <w:p w14:paraId="6A35B635">
      <w:pPr>
        <w:spacing w:line="360" w:lineRule="auto"/>
        <w:ind w:firstLine="480" w:firstLineChars="200"/>
        <w:rPr>
          <w:rFonts w:ascii="宋体" w:hAnsi="宋体"/>
          <w:color w:val="auto"/>
          <w:sz w:val="24"/>
        </w:rPr>
      </w:pPr>
      <w:r>
        <w:rPr>
          <w:rFonts w:hint="eastAsia" w:ascii="宋体" w:hAnsi="宋体"/>
          <w:color w:val="auto"/>
          <w:sz w:val="24"/>
        </w:rPr>
        <w:t>36、本项目代理服务费按服务计取。</w:t>
      </w:r>
    </w:p>
    <w:tbl>
      <w:tblPr>
        <w:tblStyle w:val="28"/>
        <w:tblW w:w="0" w:type="auto"/>
        <w:tblInd w:w="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58"/>
        <w:gridCol w:w="1840"/>
        <w:gridCol w:w="2100"/>
        <w:gridCol w:w="2100"/>
      </w:tblGrid>
      <w:tr w14:paraId="4BC78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2358" w:type="dxa"/>
            <w:vAlign w:val="center"/>
          </w:tcPr>
          <w:p w14:paraId="36A51C9C">
            <w:pPr>
              <w:pStyle w:val="25"/>
              <w:spacing w:line="500" w:lineRule="exact"/>
              <w:jc w:val="center"/>
              <w:rPr>
                <w:color w:val="auto"/>
              </w:rPr>
            </w:pPr>
            <w:r>
              <w:rPr>
                <w:rFonts w:hint="eastAsia"/>
                <w:b/>
                <w:color w:val="auto"/>
              </w:rPr>
              <w:t>中标金额（万元）</w:t>
            </w:r>
          </w:p>
        </w:tc>
        <w:tc>
          <w:tcPr>
            <w:tcW w:w="1840" w:type="dxa"/>
            <w:vAlign w:val="center"/>
          </w:tcPr>
          <w:p w14:paraId="6597E607">
            <w:pPr>
              <w:pStyle w:val="25"/>
              <w:spacing w:line="500" w:lineRule="exact"/>
              <w:jc w:val="center"/>
              <w:rPr>
                <w:color w:val="auto"/>
              </w:rPr>
            </w:pPr>
            <w:r>
              <w:rPr>
                <w:rFonts w:hint="eastAsia"/>
                <w:b/>
                <w:color w:val="auto"/>
              </w:rPr>
              <w:t>货物招标</w:t>
            </w:r>
          </w:p>
        </w:tc>
        <w:tc>
          <w:tcPr>
            <w:tcW w:w="2100" w:type="dxa"/>
            <w:vAlign w:val="center"/>
          </w:tcPr>
          <w:p w14:paraId="5D08371E">
            <w:pPr>
              <w:pStyle w:val="25"/>
              <w:spacing w:line="500" w:lineRule="exact"/>
              <w:jc w:val="center"/>
              <w:rPr>
                <w:color w:val="auto"/>
              </w:rPr>
            </w:pPr>
            <w:r>
              <w:rPr>
                <w:rFonts w:hint="eastAsia"/>
                <w:b/>
                <w:color w:val="auto"/>
              </w:rPr>
              <w:t>服务招标</w:t>
            </w:r>
          </w:p>
        </w:tc>
        <w:tc>
          <w:tcPr>
            <w:tcW w:w="2100" w:type="dxa"/>
            <w:vAlign w:val="center"/>
          </w:tcPr>
          <w:p w14:paraId="7604A5C2">
            <w:pPr>
              <w:pStyle w:val="25"/>
              <w:spacing w:line="500" w:lineRule="exact"/>
              <w:jc w:val="center"/>
              <w:rPr>
                <w:color w:val="auto"/>
              </w:rPr>
            </w:pPr>
            <w:r>
              <w:rPr>
                <w:rFonts w:hint="eastAsia"/>
                <w:b/>
                <w:color w:val="auto"/>
              </w:rPr>
              <w:t>工程招标</w:t>
            </w:r>
          </w:p>
        </w:tc>
      </w:tr>
      <w:tr w14:paraId="12B0E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2358" w:type="dxa"/>
            <w:vAlign w:val="center"/>
          </w:tcPr>
          <w:p w14:paraId="0AC0569B">
            <w:pPr>
              <w:pStyle w:val="25"/>
              <w:spacing w:line="500" w:lineRule="exact"/>
              <w:jc w:val="both"/>
              <w:rPr>
                <w:color w:val="auto"/>
              </w:rPr>
            </w:pPr>
            <w:r>
              <w:rPr>
                <w:rFonts w:hint="eastAsia"/>
                <w:color w:val="auto"/>
              </w:rPr>
              <w:t>100以下</w:t>
            </w:r>
          </w:p>
        </w:tc>
        <w:tc>
          <w:tcPr>
            <w:tcW w:w="1840" w:type="dxa"/>
            <w:vAlign w:val="center"/>
          </w:tcPr>
          <w:p w14:paraId="65540B62">
            <w:pPr>
              <w:pStyle w:val="25"/>
              <w:spacing w:line="500" w:lineRule="exact"/>
              <w:jc w:val="center"/>
              <w:rPr>
                <w:color w:val="auto"/>
              </w:rPr>
            </w:pPr>
            <w:r>
              <w:rPr>
                <w:rFonts w:hint="eastAsia"/>
                <w:color w:val="auto"/>
              </w:rPr>
              <w:t>1.5%</w:t>
            </w:r>
          </w:p>
        </w:tc>
        <w:tc>
          <w:tcPr>
            <w:tcW w:w="2100" w:type="dxa"/>
            <w:vAlign w:val="center"/>
          </w:tcPr>
          <w:p w14:paraId="7CA9EFC5">
            <w:pPr>
              <w:pStyle w:val="25"/>
              <w:spacing w:line="500" w:lineRule="exact"/>
              <w:jc w:val="center"/>
              <w:rPr>
                <w:color w:val="auto"/>
              </w:rPr>
            </w:pPr>
            <w:r>
              <w:rPr>
                <w:rFonts w:hint="eastAsia"/>
                <w:color w:val="auto"/>
              </w:rPr>
              <w:t>1.5%</w:t>
            </w:r>
          </w:p>
        </w:tc>
        <w:tc>
          <w:tcPr>
            <w:tcW w:w="2100" w:type="dxa"/>
            <w:vAlign w:val="center"/>
          </w:tcPr>
          <w:p w14:paraId="1D4CE1EE">
            <w:pPr>
              <w:pStyle w:val="25"/>
              <w:spacing w:line="500" w:lineRule="exact"/>
              <w:jc w:val="center"/>
              <w:rPr>
                <w:color w:val="auto"/>
              </w:rPr>
            </w:pPr>
            <w:r>
              <w:rPr>
                <w:rFonts w:hint="eastAsia"/>
                <w:color w:val="auto"/>
              </w:rPr>
              <w:t>1.0%</w:t>
            </w:r>
          </w:p>
        </w:tc>
      </w:tr>
      <w:tr w14:paraId="424E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2358" w:type="dxa"/>
            <w:vAlign w:val="center"/>
          </w:tcPr>
          <w:p w14:paraId="72F5DAFC">
            <w:pPr>
              <w:spacing w:line="500" w:lineRule="exact"/>
              <w:rPr>
                <w:rFonts w:ascii="宋体" w:hAnsi="宋体"/>
                <w:b/>
                <w:color w:val="auto"/>
                <w:sz w:val="24"/>
              </w:rPr>
            </w:pPr>
            <w:r>
              <w:rPr>
                <w:rFonts w:hint="eastAsia" w:ascii="宋体" w:hAnsi="宋体"/>
                <w:color w:val="auto"/>
                <w:sz w:val="24"/>
              </w:rPr>
              <w:t>100-500</w:t>
            </w:r>
          </w:p>
        </w:tc>
        <w:tc>
          <w:tcPr>
            <w:tcW w:w="1840" w:type="dxa"/>
            <w:vAlign w:val="center"/>
          </w:tcPr>
          <w:p w14:paraId="374396C7">
            <w:pPr>
              <w:spacing w:line="500" w:lineRule="exact"/>
              <w:jc w:val="center"/>
              <w:rPr>
                <w:rFonts w:ascii="宋体" w:hAnsi="宋体"/>
                <w:b/>
                <w:color w:val="auto"/>
                <w:sz w:val="24"/>
              </w:rPr>
            </w:pPr>
            <w:r>
              <w:rPr>
                <w:rFonts w:hint="eastAsia" w:ascii="宋体" w:hAnsi="宋体"/>
                <w:color w:val="auto"/>
                <w:sz w:val="24"/>
              </w:rPr>
              <w:t>1.1%</w:t>
            </w:r>
          </w:p>
        </w:tc>
        <w:tc>
          <w:tcPr>
            <w:tcW w:w="2100" w:type="dxa"/>
            <w:vAlign w:val="center"/>
          </w:tcPr>
          <w:p w14:paraId="46DBBC8A">
            <w:pPr>
              <w:spacing w:line="500" w:lineRule="exact"/>
              <w:jc w:val="center"/>
              <w:rPr>
                <w:rFonts w:ascii="宋体" w:hAnsi="宋体"/>
                <w:b/>
                <w:color w:val="auto"/>
                <w:sz w:val="24"/>
              </w:rPr>
            </w:pPr>
            <w:r>
              <w:rPr>
                <w:rFonts w:hint="eastAsia" w:ascii="宋体" w:hAnsi="宋体"/>
                <w:color w:val="auto"/>
                <w:sz w:val="24"/>
              </w:rPr>
              <w:t>0.8%</w:t>
            </w:r>
          </w:p>
        </w:tc>
        <w:tc>
          <w:tcPr>
            <w:tcW w:w="2100" w:type="dxa"/>
            <w:vAlign w:val="center"/>
          </w:tcPr>
          <w:p w14:paraId="3C7A1B50">
            <w:pPr>
              <w:pStyle w:val="25"/>
              <w:spacing w:line="500" w:lineRule="exact"/>
              <w:jc w:val="center"/>
              <w:rPr>
                <w:color w:val="auto"/>
              </w:rPr>
            </w:pPr>
            <w:r>
              <w:rPr>
                <w:rFonts w:hint="eastAsia"/>
                <w:color w:val="auto"/>
              </w:rPr>
              <w:t>0.7%</w:t>
            </w:r>
          </w:p>
        </w:tc>
      </w:tr>
      <w:tr w14:paraId="047A8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2358" w:type="dxa"/>
            <w:vAlign w:val="center"/>
          </w:tcPr>
          <w:p w14:paraId="467A85DC">
            <w:pPr>
              <w:spacing w:line="500" w:lineRule="exact"/>
              <w:rPr>
                <w:rFonts w:ascii="宋体" w:hAnsi="宋体"/>
                <w:b/>
                <w:color w:val="auto"/>
                <w:sz w:val="24"/>
              </w:rPr>
            </w:pPr>
            <w:r>
              <w:rPr>
                <w:rFonts w:hint="eastAsia" w:ascii="宋体" w:hAnsi="宋体"/>
                <w:color w:val="auto"/>
                <w:sz w:val="24"/>
              </w:rPr>
              <w:t>500-1000</w:t>
            </w:r>
          </w:p>
        </w:tc>
        <w:tc>
          <w:tcPr>
            <w:tcW w:w="1840" w:type="dxa"/>
            <w:vAlign w:val="center"/>
          </w:tcPr>
          <w:p w14:paraId="6774BA66">
            <w:pPr>
              <w:spacing w:line="500" w:lineRule="exact"/>
              <w:jc w:val="center"/>
              <w:rPr>
                <w:rFonts w:ascii="宋体" w:hAnsi="宋体"/>
                <w:b/>
                <w:color w:val="auto"/>
                <w:sz w:val="24"/>
              </w:rPr>
            </w:pPr>
            <w:r>
              <w:rPr>
                <w:rFonts w:hint="eastAsia" w:ascii="宋体" w:hAnsi="宋体"/>
                <w:color w:val="auto"/>
                <w:sz w:val="24"/>
              </w:rPr>
              <w:t>0.8%</w:t>
            </w:r>
          </w:p>
        </w:tc>
        <w:tc>
          <w:tcPr>
            <w:tcW w:w="2100" w:type="dxa"/>
            <w:vAlign w:val="center"/>
          </w:tcPr>
          <w:p w14:paraId="56FAA20B">
            <w:pPr>
              <w:spacing w:line="500" w:lineRule="exact"/>
              <w:jc w:val="center"/>
              <w:rPr>
                <w:rFonts w:ascii="宋体" w:hAnsi="宋体"/>
                <w:b/>
                <w:color w:val="auto"/>
                <w:sz w:val="24"/>
              </w:rPr>
            </w:pPr>
            <w:r>
              <w:rPr>
                <w:rFonts w:hint="eastAsia" w:ascii="宋体" w:hAnsi="宋体"/>
                <w:color w:val="auto"/>
                <w:sz w:val="24"/>
              </w:rPr>
              <w:t>0.45%</w:t>
            </w:r>
          </w:p>
        </w:tc>
        <w:tc>
          <w:tcPr>
            <w:tcW w:w="2100" w:type="dxa"/>
            <w:vAlign w:val="center"/>
          </w:tcPr>
          <w:p w14:paraId="67ABF031">
            <w:pPr>
              <w:spacing w:line="500" w:lineRule="exact"/>
              <w:jc w:val="center"/>
              <w:rPr>
                <w:rFonts w:ascii="宋体" w:hAnsi="宋体"/>
                <w:b/>
                <w:color w:val="auto"/>
                <w:sz w:val="24"/>
              </w:rPr>
            </w:pPr>
            <w:r>
              <w:rPr>
                <w:rFonts w:hint="eastAsia" w:ascii="宋体" w:hAnsi="宋体"/>
                <w:color w:val="auto"/>
                <w:sz w:val="24"/>
              </w:rPr>
              <w:t>0.55%</w:t>
            </w:r>
          </w:p>
        </w:tc>
      </w:tr>
      <w:tr w14:paraId="4C4D7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2358" w:type="dxa"/>
            <w:vAlign w:val="center"/>
          </w:tcPr>
          <w:p w14:paraId="2E460B06">
            <w:pPr>
              <w:spacing w:line="500" w:lineRule="exact"/>
              <w:rPr>
                <w:rFonts w:ascii="宋体" w:hAnsi="宋体"/>
                <w:b/>
                <w:color w:val="auto"/>
                <w:sz w:val="24"/>
              </w:rPr>
            </w:pPr>
            <w:r>
              <w:rPr>
                <w:rFonts w:hint="eastAsia" w:ascii="宋体" w:hAnsi="宋体"/>
                <w:color w:val="auto"/>
                <w:sz w:val="24"/>
              </w:rPr>
              <w:t>1000-5000</w:t>
            </w:r>
          </w:p>
        </w:tc>
        <w:tc>
          <w:tcPr>
            <w:tcW w:w="1840" w:type="dxa"/>
            <w:vAlign w:val="center"/>
          </w:tcPr>
          <w:p w14:paraId="6CCE57D0">
            <w:pPr>
              <w:spacing w:line="500" w:lineRule="exact"/>
              <w:jc w:val="center"/>
              <w:rPr>
                <w:rFonts w:ascii="宋体" w:hAnsi="宋体"/>
                <w:b/>
                <w:color w:val="auto"/>
                <w:sz w:val="24"/>
              </w:rPr>
            </w:pPr>
            <w:r>
              <w:rPr>
                <w:rFonts w:hint="eastAsia" w:ascii="宋体" w:hAnsi="宋体"/>
                <w:color w:val="auto"/>
                <w:sz w:val="24"/>
              </w:rPr>
              <w:t>0.5%</w:t>
            </w:r>
          </w:p>
        </w:tc>
        <w:tc>
          <w:tcPr>
            <w:tcW w:w="2100" w:type="dxa"/>
            <w:vAlign w:val="center"/>
          </w:tcPr>
          <w:p w14:paraId="025F2187">
            <w:pPr>
              <w:spacing w:line="500" w:lineRule="exact"/>
              <w:jc w:val="center"/>
              <w:rPr>
                <w:rFonts w:ascii="宋体" w:hAnsi="宋体"/>
                <w:b/>
                <w:color w:val="auto"/>
                <w:sz w:val="24"/>
              </w:rPr>
            </w:pPr>
            <w:r>
              <w:rPr>
                <w:rFonts w:hint="eastAsia" w:ascii="宋体" w:hAnsi="宋体"/>
                <w:color w:val="auto"/>
                <w:sz w:val="24"/>
              </w:rPr>
              <w:t>0.25%</w:t>
            </w:r>
          </w:p>
        </w:tc>
        <w:tc>
          <w:tcPr>
            <w:tcW w:w="2100" w:type="dxa"/>
            <w:vAlign w:val="center"/>
          </w:tcPr>
          <w:p w14:paraId="2A02802A">
            <w:pPr>
              <w:pStyle w:val="25"/>
              <w:spacing w:line="500" w:lineRule="exact"/>
              <w:jc w:val="center"/>
              <w:rPr>
                <w:color w:val="auto"/>
              </w:rPr>
            </w:pPr>
            <w:r>
              <w:rPr>
                <w:rFonts w:hint="eastAsia"/>
                <w:color w:val="auto"/>
              </w:rPr>
              <w:t>0.35%</w:t>
            </w:r>
          </w:p>
        </w:tc>
      </w:tr>
      <w:tr w14:paraId="7E114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2358" w:type="dxa"/>
            <w:vAlign w:val="center"/>
          </w:tcPr>
          <w:p w14:paraId="4FDE1184">
            <w:pPr>
              <w:spacing w:line="500" w:lineRule="exact"/>
              <w:rPr>
                <w:rFonts w:ascii="宋体" w:hAnsi="宋体"/>
                <w:b/>
                <w:color w:val="auto"/>
                <w:sz w:val="24"/>
              </w:rPr>
            </w:pPr>
            <w:r>
              <w:rPr>
                <w:rFonts w:hint="eastAsia" w:ascii="宋体" w:hAnsi="宋体"/>
                <w:color w:val="auto"/>
                <w:sz w:val="24"/>
              </w:rPr>
              <w:t>5000-10000</w:t>
            </w:r>
          </w:p>
        </w:tc>
        <w:tc>
          <w:tcPr>
            <w:tcW w:w="1840" w:type="dxa"/>
            <w:vAlign w:val="center"/>
          </w:tcPr>
          <w:p w14:paraId="7B904B4E">
            <w:pPr>
              <w:spacing w:line="500" w:lineRule="exact"/>
              <w:jc w:val="center"/>
              <w:rPr>
                <w:rFonts w:ascii="宋体" w:hAnsi="宋体"/>
                <w:b/>
                <w:color w:val="auto"/>
                <w:sz w:val="24"/>
              </w:rPr>
            </w:pPr>
            <w:r>
              <w:rPr>
                <w:rFonts w:hint="eastAsia" w:ascii="宋体" w:hAnsi="宋体"/>
                <w:color w:val="auto"/>
                <w:sz w:val="24"/>
              </w:rPr>
              <w:t>0.25%</w:t>
            </w:r>
          </w:p>
        </w:tc>
        <w:tc>
          <w:tcPr>
            <w:tcW w:w="2100" w:type="dxa"/>
            <w:vAlign w:val="center"/>
          </w:tcPr>
          <w:p w14:paraId="6B6E8BB2">
            <w:pPr>
              <w:spacing w:line="500" w:lineRule="exact"/>
              <w:jc w:val="center"/>
              <w:rPr>
                <w:rFonts w:ascii="宋体" w:hAnsi="宋体"/>
                <w:b/>
                <w:color w:val="auto"/>
                <w:sz w:val="24"/>
              </w:rPr>
            </w:pPr>
            <w:r>
              <w:rPr>
                <w:rFonts w:hint="eastAsia" w:ascii="宋体" w:hAnsi="宋体"/>
                <w:color w:val="auto"/>
                <w:sz w:val="24"/>
              </w:rPr>
              <w:t>0.1%</w:t>
            </w:r>
          </w:p>
        </w:tc>
        <w:tc>
          <w:tcPr>
            <w:tcW w:w="2100" w:type="dxa"/>
            <w:vAlign w:val="center"/>
          </w:tcPr>
          <w:p w14:paraId="60AA350D">
            <w:pPr>
              <w:spacing w:line="500" w:lineRule="exact"/>
              <w:jc w:val="center"/>
              <w:rPr>
                <w:rFonts w:ascii="宋体" w:hAnsi="宋体"/>
                <w:b/>
                <w:color w:val="auto"/>
                <w:sz w:val="24"/>
              </w:rPr>
            </w:pPr>
            <w:r>
              <w:rPr>
                <w:rFonts w:hint="eastAsia" w:ascii="宋体" w:hAnsi="宋体"/>
                <w:color w:val="auto"/>
                <w:sz w:val="24"/>
              </w:rPr>
              <w:t>0.2%</w:t>
            </w:r>
          </w:p>
        </w:tc>
      </w:tr>
      <w:tr w14:paraId="6F1AF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2358" w:type="dxa"/>
            <w:vAlign w:val="center"/>
          </w:tcPr>
          <w:p w14:paraId="460AA960">
            <w:pPr>
              <w:spacing w:line="500" w:lineRule="exact"/>
              <w:rPr>
                <w:rFonts w:ascii="宋体" w:hAnsi="宋体"/>
                <w:b/>
                <w:color w:val="auto"/>
                <w:sz w:val="24"/>
              </w:rPr>
            </w:pPr>
            <w:r>
              <w:rPr>
                <w:rFonts w:hint="eastAsia" w:ascii="宋体" w:hAnsi="宋体"/>
                <w:color w:val="auto"/>
                <w:sz w:val="24"/>
              </w:rPr>
              <w:t>10000-100000</w:t>
            </w:r>
          </w:p>
        </w:tc>
        <w:tc>
          <w:tcPr>
            <w:tcW w:w="1840" w:type="dxa"/>
            <w:vAlign w:val="center"/>
          </w:tcPr>
          <w:p w14:paraId="6CD78CF6">
            <w:pPr>
              <w:spacing w:line="500" w:lineRule="exact"/>
              <w:jc w:val="center"/>
              <w:rPr>
                <w:rFonts w:ascii="宋体" w:hAnsi="宋体"/>
                <w:b/>
                <w:color w:val="auto"/>
                <w:sz w:val="24"/>
              </w:rPr>
            </w:pPr>
            <w:r>
              <w:rPr>
                <w:rFonts w:hint="eastAsia" w:ascii="宋体" w:hAnsi="宋体"/>
                <w:color w:val="auto"/>
                <w:sz w:val="24"/>
              </w:rPr>
              <w:t>0.05%</w:t>
            </w:r>
          </w:p>
        </w:tc>
        <w:tc>
          <w:tcPr>
            <w:tcW w:w="2100" w:type="dxa"/>
            <w:vAlign w:val="center"/>
          </w:tcPr>
          <w:p w14:paraId="78CA8FE2">
            <w:pPr>
              <w:spacing w:line="500" w:lineRule="exact"/>
              <w:jc w:val="center"/>
              <w:rPr>
                <w:rFonts w:ascii="宋体" w:hAnsi="宋体"/>
                <w:b/>
                <w:color w:val="auto"/>
                <w:sz w:val="24"/>
              </w:rPr>
            </w:pPr>
            <w:r>
              <w:rPr>
                <w:rFonts w:hint="eastAsia" w:ascii="宋体" w:hAnsi="宋体"/>
                <w:color w:val="auto"/>
                <w:sz w:val="24"/>
              </w:rPr>
              <w:t>0.05%</w:t>
            </w:r>
          </w:p>
        </w:tc>
        <w:tc>
          <w:tcPr>
            <w:tcW w:w="2100" w:type="dxa"/>
            <w:vAlign w:val="center"/>
          </w:tcPr>
          <w:p w14:paraId="60BA6D73">
            <w:pPr>
              <w:spacing w:line="500" w:lineRule="exact"/>
              <w:jc w:val="center"/>
              <w:rPr>
                <w:rFonts w:ascii="宋体" w:hAnsi="宋体"/>
                <w:b/>
                <w:color w:val="auto"/>
                <w:sz w:val="24"/>
              </w:rPr>
            </w:pPr>
            <w:r>
              <w:rPr>
                <w:rFonts w:hint="eastAsia" w:ascii="宋体" w:hAnsi="宋体"/>
                <w:color w:val="auto"/>
                <w:sz w:val="24"/>
              </w:rPr>
              <w:t>0.05%</w:t>
            </w:r>
          </w:p>
        </w:tc>
      </w:tr>
      <w:tr w14:paraId="62938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2358" w:type="dxa"/>
            <w:vAlign w:val="center"/>
          </w:tcPr>
          <w:p w14:paraId="55746124">
            <w:pPr>
              <w:spacing w:line="500" w:lineRule="exact"/>
              <w:rPr>
                <w:rFonts w:ascii="宋体" w:hAnsi="宋体"/>
                <w:b/>
                <w:color w:val="auto"/>
                <w:sz w:val="24"/>
              </w:rPr>
            </w:pPr>
            <w:r>
              <w:rPr>
                <w:rFonts w:hint="eastAsia" w:ascii="宋体" w:hAnsi="宋体"/>
                <w:color w:val="auto"/>
                <w:sz w:val="24"/>
              </w:rPr>
              <w:t>100000以上</w:t>
            </w:r>
          </w:p>
        </w:tc>
        <w:tc>
          <w:tcPr>
            <w:tcW w:w="1840" w:type="dxa"/>
            <w:vAlign w:val="center"/>
          </w:tcPr>
          <w:p w14:paraId="36A2B42C">
            <w:pPr>
              <w:spacing w:line="500" w:lineRule="exact"/>
              <w:jc w:val="center"/>
              <w:rPr>
                <w:rFonts w:ascii="宋体" w:hAnsi="宋体"/>
                <w:b/>
                <w:color w:val="auto"/>
                <w:sz w:val="24"/>
              </w:rPr>
            </w:pPr>
            <w:r>
              <w:rPr>
                <w:rFonts w:hint="eastAsia" w:ascii="宋体" w:hAnsi="宋体"/>
                <w:color w:val="auto"/>
                <w:sz w:val="24"/>
              </w:rPr>
              <w:t>0.01%</w:t>
            </w:r>
          </w:p>
        </w:tc>
        <w:tc>
          <w:tcPr>
            <w:tcW w:w="2100" w:type="dxa"/>
            <w:vAlign w:val="center"/>
          </w:tcPr>
          <w:p w14:paraId="201C4E54">
            <w:pPr>
              <w:spacing w:line="500" w:lineRule="exact"/>
              <w:jc w:val="center"/>
              <w:rPr>
                <w:rFonts w:ascii="宋体" w:hAnsi="宋体"/>
                <w:b/>
                <w:color w:val="auto"/>
                <w:sz w:val="24"/>
              </w:rPr>
            </w:pPr>
            <w:r>
              <w:rPr>
                <w:rFonts w:hint="eastAsia" w:ascii="宋体" w:hAnsi="宋体"/>
                <w:color w:val="auto"/>
                <w:sz w:val="24"/>
              </w:rPr>
              <w:t>0.01%</w:t>
            </w:r>
          </w:p>
        </w:tc>
        <w:tc>
          <w:tcPr>
            <w:tcW w:w="2100" w:type="dxa"/>
            <w:vAlign w:val="center"/>
          </w:tcPr>
          <w:p w14:paraId="722FCB0A">
            <w:pPr>
              <w:pStyle w:val="25"/>
              <w:spacing w:line="500" w:lineRule="exact"/>
              <w:jc w:val="center"/>
              <w:rPr>
                <w:color w:val="auto"/>
              </w:rPr>
            </w:pPr>
            <w:r>
              <w:rPr>
                <w:rFonts w:hint="eastAsia"/>
                <w:color w:val="auto"/>
              </w:rPr>
              <w:t>0.015%</w:t>
            </w:r>
          </w:p>
        </w:tc>
      </w:tr>
    </w:tbl>
    <w:p w14:paraId="25C65C77">
      <w:pPr>
        <w:spacing w:line="360" w:lineRule="auto"/>
        <w:ind w:firstLine="361" w:firstLineChars="150"/>
        <w:rPr>
          <w:rFonts w:ascii="宋体" w:hAnsi="宋体" w:cs="宋体"/>
          <w:b/>
          <w:color w:val="auto"/>
          <w:kern w:val="0"/>
          <w:sz w:val="24"/>
        </w:rPr>
      </w:pPr>
      <w:r>
        <w:rPr>
          <w:rFonts w:hint="eastAsia" w:ascii="宋体" w:hAnsi="宋体" w:cs="宋体"/>
          <w:b/>
          <w:color w:val="auto"/>
          <w:kern w:val="0"/>
          <w:sz w:val="24"/>
        </w:rPr>
        <w:t>注</w:t>
      </w:r>
      <w:r>
        <w:rPr>
          <w:rFonts w:ascii="宋体" w:hAnsi="宋体" w:cs="宋体"/>
          <w:b/>
          <w:color w:val="auto"/>
          <w:kern w:val="0"/>
          <w:sz w:val="24"/>
        </w:rPr>
        <w:t>：</w:t>
      </w:r>
      <w:r>
        <w:rPr>
          <w:rFonts w:hint="eastAsia" w:ascii="宋体" w:hAnsi="宋体" w:cs="宋体"/>
          <w:b/>
          <w:color w:val="auto"/>
          <w:kern w:val="0"/>
          <w:sz w:val="24"/>
        </w:rPr>
        <w:t>招标代理服务收费按差额定率累进法计算。</w:t>
      </w:r>
    </w:p>
    <w:p w14:paraId="6CC42DBA">
      <w:pPr>
        <w:spacing w:line="360" w:lineRule="auto"/>
        <w:ind w:firstLine="361" w:firstLineChars="150"/>
        <w:rPr>
          <w:b/>
          <w:color w:val="auto"/>
          <w:sz w:val="24"/>
        </w:rPr>
      </w:pPr>
      <w:r>
        <w:rPr>
          <w:rFonts w:hint="eastAsia" w:ascii="宋体" w:hAnsi="宋体" w:cs="宋体"/>
          <w:b/>
          <w:color w:val="auto"/>
          <w:kern w:val="0"/>
          <w:sz w:val="24"/>
        </w:rPr>
        <w:t>以货物项目为例：中标金额为1200万元，</w:t>
      </w:r>
      <w:r>
        <w:rPr>
          <w:rFonts w:ascii="宋体" w:hAnsi="宋体" w:cs="宋体"/>
          <w:b/>
          <w:color w:val="auto"/>
          <w:kern w:val="0"/>
          <w:sz w:val="24"/>
        </w:rPr>
        <w:t>计算招标代理服务</w:t>
      </w:r>
      <w:r>
        <w:rPr>
          <w:rFonts w:hint="eastAsia" w:ascii="宋体" w:hAnsi="宋体" w:cs="宋体"/>
          <w:b/>
          <w:color w:val="auto"/>
          <w:kern w:val="0"/>
          <w:sz w:val="24"/>
        </w:rPr>
        <w:t>收费额</w:t>
      </w:r>
      <w:r>
        <w:rPr>
          <w:rFonts w:ascii="宋体" w:hAnsi="宋体" w:cs="宋体"/>
          <w:b/>
          <w:color w:val="auto"/>
          <w:kern w:val="0"/>
          <w:sz w:val="24"/>
        </w:rPr>
        <w:t>如下：</w:t>
      </w:r>
    </w:p>
    <w:p w14:paraId="2C5F5B5E">
      <w:pPr>
        <w:spacing w:line="360" w:lineRule="auto"/>
        <w:ind w:firstLine="361" w:firstLineChars="150"/>
        <w:rPr>
          <w:rFonts w:ascii="宋体" w:hAnsi="宋体" w:cs="宋体"/>
          <w:b/>
          <w:color w:val="auto"/>
          <w:kern w:val="0"/>
          <w:sz w:val="24"/>
        </w:rPr>
      </w:pPr>
      <w:r>
        <w:rPr>
          <w:rFonts w:hint="eastAsia" w:ascii="宋体" w:hAnsi="宋体" w:cs="宋体"/>
          <w:b/>
          <w:color w:val="auto"/>
          <w:kern w:val="0"/>
          <w:sz w:val="24"/>
        </w:rPr>
        <w:t>100万</w:t>
      </w:r>
      <w:r>
        <w:rPr>
          <w:rFonts w:ascii="宋体" w:hAnsi="宋体" w:cs="宋体"/>
          <w:b/>
          <w:color w:val="auto"/>
          <w:kern w:val="0"/>
          <w:sz w:val="24"/>
        </w:rPr>
        <w:t>元</w:t>
      </w:r>
      <w:r>
        <w:rPr>
          <w:rFonts w:hint="eastAsia" w:ascii="宋体" w:hAnsi="宋体" w:cs="宋体"/>
          <w:b/>
          <w:color w:val="auto"/>
          <w:kern w:val="0"/>
          <w:sz w:val="24"/>
        </w:rPr>
        <w:t>×1.5%</w:t>
      </w:r>
      <w:r>
        <w:rPr>
          <w:rFonts w:ascii="宋体" w:hAnsi="宋体" w:cs="宋体"/>
          <w:b/>
          <w:color w:val="auto"/>
          <w:kern w:val="0"/>
          <w:sz w:val="24"/>
        </w:rPr>
        <w:t>=1.5</w:t>
      </w:r>
      <w:r>
        <w:rPr>
          <w:rFonts w:hint="eastAsia" w:ascii="宋体" w:hAnsi="宋体" w:cs="宋体"/>
          <w:b/>
          <w:color w:val="auto"/>
          <w:kern w:val="0"/>
          <w:sz w:val="24"/>
        </w:rPr>
        <w:t>万</w:t>
      </w:r>
      <w:r>
        <w:rPr>
          <w:rFonts w:ascii="宋体" w:hAnsi="宋体" w:cs="宋体"/>
          <w:b/>
          <w:color w:val="auto"/>
          <w:kern w:val="0"/>
          <w:sz w:val="24"/>
        </w:rPr>
        <w:t>元</w:t>
      </w:r>
    </w:p>
    <w:p w14:paraId="600E3A84">
      <w:pPr>
        <w:spacing w:line="360" w:lineRule="auto"/>
        <w:ind w:firstLine="241" w:firstLineChars="100"/>
        <w:rPr>
          <w:rFonts w:ascii="宋体" w:hAnsi="宋体" w:cs="宋体"/>
          <w:b/>
          <w:color w:val="auto"/>
          <w:kern w:val="0"/>
          <w:sz w:val="24"/>
        </w:rPr>
      </w:pPr>
      <w:r>
        <w:rPr>
          <w:rFonts w:hint="eastAsia" w:ascii="宋体" w:hAnsi="宋体" w:cs="宋体"/>
          <w:b/>
          <w:color w:val="auto"/>
          <w:kern w:val="0"/>
          <w:sz w:val="24"/>
        </w:rPr>
        <w:t>（500-100）万</w:t>
      </w:r>
      <w:r>
        <w:rPr>
          <w:rFonts w:ascii="宋体" w:hAnsi="宋体" w:cs="宋体"/>
          <w:b/>
          <w:color w:val="auto"/>
          <w:kern w:val="0"/>
          <w:sz w:val="24"/>
        </w:rPr>
        <w:t>元</w:t>
      </w:r>
      <w:r>
        <w:rPr>
          <w:rFonts w:hint="eastAsia" w:ascii="宋体" w:hAnsi="宋体" w:cs="宋体"/>
          <w:b/>
          <w:color w:val="auto"/>
          <w:kern w:val="0"/>
          <w:sz w:val="24"/>
        </w:rPr>
        <w:t>×1.1%</w:t>
      </w:r>
      <w:r>
        <w:rPr>
          <w:rFonts w:ascii="宋体" w:hAnsi="宋体" w:cs="宋体"/>
          <w:b/>
          <w:color w:val="auto"/>
          <w:kern w:val="0"/>
          <w:sz w:val="24"/>
        </w:rPr>
        <w:t>=4.4</w:t>
      </w:r>
      <w:r>
        <w:rPr>
          <w:rFonts w:hint="eastAsia" w:ascii="宋体" w:hAnsi="宋体" w:cs="宋体"/>
          <w:b/>
          <w:color w:val="auto"/>
          <w:kern w:val="0"/>
          <w:sz w:val="24"/>
        </w:rPr>
        <w:t>万</w:t>
      </w:r>
      <w:r>
        <w:rPr>
          <w:rFonts w:ascii="宋体" w:hAnsi="宋体" w:cs="宋体"/>
          <w:b/>
          <w:color w:val="auto"/>
          <w:kern w:val="0"/>
          <w:sz w:val="24"/>
        </w:rPr>
        <w:t>元</w:t>
      </w:r>
      <w:r>
        <w:rPr>
          <w:rFonts w:hint="eastAsia" w:ascii="宋体" w:hAnsi="宋体" w:cs="宋体"/>
          <w:b/>
          <w:color w:val="auto"/>
          <w:kern w:val="0"/>
          <w:sz w:val="24"/>
        </w:rPr>
        <w:t xml:space="preserve"> </w:t>
      </w:r>
    </w:p>
    <w:p w14:paraId="17FE7E73">
      <w:pPr>
        <w:spacing w:line="360" w:lineRule="auto"/>
        <w:ind w:firstLine="361" w:firstLineChars="150"/>
        <w:rPr>
          <w:rFonts w:ascii="宋体" w:hAnsi="宋体" w:cs="宋体"/>
          <w:b/>
          <w:color w:val="auto"/>
          <w:kern w:val="0"/>
          <w:sz w:val="24"/>
        </w:rPr>
      </w:pPr>
      <w:r>
        <w:rPr>
          <w:rFonts w:hint="eastAsia" w:ascii="宋体" w:hAnsi="宋体" w:cs="宋体"/>
          <w:b/>
          <w:color w:val="auto"/>
          <w:kern w:val="0"/>
          <w:sz w:val="24"/>
        </w:rPr>
        <w:t>（1000-500）万</w:t>
      </w:r>
      <w:r>
        <w:rPr>
          <w:rFonts w:ascii="宋体" w:hAnsi="宋体" w:cs="宋体"/>
          <w:b/>
          <w:color w:val="auto"/>
          <w:kern w:val="0"/>
          <w:sz w:val="24"/>
        </w:rPr>
        <w:t>元</w:t>
      </w:r>
      <w:r>
        <w:rPr>
          <w:rFonts w:hint="eastAsia" w:ascii="宋体" w:hAnsi="宋体" w:cs="宋体"/>
          <w:b/>
          <w:color w:val="auto"/>
          <w:kern w:val="0"/>
          <w:sz w:val="24"/>
        </w:rPr>
        <w:t>×0.8%</w:t>
      </w:r>
      <w:r>
        <w:rPr>
          <w:rFonts w:ascii="宋体" w:hAnsi="宋体" w:cs="宋体"/>
          <w:b/>
          <w:color w:val="auto"/>
          <w:kern w:val="0"/>
          <w:sz w:val="24"/>
        </w:rPr>
        <w:t>=4</w:t>
      </w:r>
      <w:r>
        <w:rPr>
          <w:rFonts w:hint="eastAsia" w:ascii="宋体" w:hAnsi="宋体" w:cs="宋体"/>
          <w:b/>
          <w:color w:val="auto"/>
          <w:kern w:val="0"/>
          <w:sz w:val="24"/>
        </w:rPr>
        <w:t>万</w:t>
      </w:r>
      <w:r>
        <w:rPr>
          <w:rFonts w:ascii="宋体" w:hAnsi="宋体" w:cs="宋体"/>
          <w:b/>
          <w:color w:val="auto"/>
          <w:kern w:val="0"/>
          <w:sz w:val="24"/>
        </w:rPr>
        <w:t>元</w:t>
      </w:r>
      <w:r>
        <w:rPr>
          <w:rFonts w:hint="eastAsia" w:ascii="宋体" w:hAnsi="宋体" w:cs="宋体"/>
          <w:b/>
          <w:color w:val="auto"/>
          <w:kern w:val="0"/>
          <w:sz w:val="24"/>
        </w:rPr>
        <w:t xml:space="preserve"> </w:t>
      </w:r>
    </w:p>
    <w:p w14:paraId="0FFBECA9">
      <w:pPr>
        <w:spacing w:line="360" w:lineRule="auto"/>
        <w:ind w:firstLine="361" w:firstLineChars="150"/>
        <w:rPr>
          <w:rFonts w:ascii="宋体" w:hAnsi="宋体" w:cs="宋体"/>
          <w:b/>
          <w:color w:val="auto"/>
          <w:kern w:val="0"/>
          <w:sz w:val="24"/>
        </w:rPr>
      </w:pPr>
      <w:r>
        <w:rPr>
          <w:rFonts w:hint="eastAsia" w:ascii="宋体" w:hAnsi="宋体" w:cs="宋体"/>
          <w:b/>
          <w:color w:val="auto"/>
          <w:kern w:val="0"/>
          <w:sz w:val="24"/>
        </w:rPr>
        <w:t>（1200-1000）万</w:t>
      </w:r>
      <w:r>
        <w:rPr>
          <w:rFonts w:ascii="宋体" w:hAnsi="宋体" w:cs="宋体"/>
          <w:b/>
          <w:color w:val="auto"/>
          <w:kern w:val="0"/>
          <w:sz w:val="24"/>
        </w:rPr>
        <w:t>元</w:t>
      </w:r>
      <w:r>
        <w:rPr>
          <w:rFonts w:hint="eastAsia" w:ascii="宋体" w:hAnsi="宋体" w:cs="宋体"/>
          <w:b/>
          <w:color w:val="auto"/>
          <w:kern w:val="0"/>
          <w:sz w:val="24"/>
        </w:rPr>
        <w:t>×0.5%</w:t>
      </w:r>
      <w:r>
        <w:rPr>
          <w:rFonts w:ascii="宋体" w:hAnsi="宋体" w:cs="宋体"/>
          <w:b/>
          <w:color w:val="auto"/>
          <w:kern w:val="0"/>
          <w:sz w:val="24"/>
        </w:rPr>
        <w:t>=1</w:t>
      </w:r>
      <w:r>
        <w:rPr>
          <w:rFonts w:hint="eastAsia" w:ascii="宋体" w:hAnsi="宋体" w:cs="宋体"/>
          <w:b/>
          <w:color w:val="auto"/>
          <w:kern w:val="0"/>
          <w:sz w:val="24"/>
        </w:rPr>
        <w:t>万</w:t>
      </w:r>
      <w:r>
        <w:rPr>
          <w:rFonts w:ascii="宋体" w:hAnsi="宋体" w:cs="宋体"/>
          <w:b/>
          <w:color w:val="auto"/>
          <w:kern w:val="0"/>
          <w:sz w:val="24"/>
        </w:rPr>
        <w:t>元</w:t>
      </w:r>
    </w:p>
    <w:p w14:paraId="7E283786">
      <w:pPr>
        <w:spacing w:line="360" w:lineRule="auto"/>
        <w:ind w:firstLine="482" w:firstLineChars="200"/>
        <w:rPr>
          <w:color w:val="auto"/>
        </w:rPr>
      </w:pPr>
      <w:r>
        <w:rPr>
          <w:rFonts w:hint="eastAsia" w:ascii="宋体" w:hAnsi="宋体" w:cs="宋体"/>
          <w:b/>
          <w:color w:val="auto"/>
          <w:kern w:val="0"/>
          <w:sz w:val="24"/>
        </w:rPr>
        <w:t>合</w:t>
      </w:r>
      <w:r>
        <w:rPr>
          <w:rFonts w:ascii="宋体" w:hAnsi="宋体" w:cs="宋体"/>
          <w:b/>
          <w:color w:val="auto"/>
          <w:kern w:val="0"/>
          <w:sz w:val="24"/>
        </w:rPr>
        <w:t>计收费</w:t>
      </w:r>
      <w:r>
        <w:rPr>
          <w:rFonts w:hint="eastAsia" w:ascii="宋体" w:hAnsi="宋体" w:cs="宋体"/>
          <w:b/>
          <w:color w:val="auto"/>
          <w:kern w:val="0"/>
          <w:sz w:val="24"/>
        </w:rPr>
        <w:t>=1.5+4.4+4+1</w:t>
      </w:r>
      <w:r>
        <w:rPr>
          <w:rFonts w:ascii="宋体" w:hAnsi="宋体" w:cs="宋体"/>
          <w:b/>
          <w:color w:val="auto"/>
          <w:kern w:val="0"/>
          <w:sz w:val="24"/>
        </w:rPr>
        <w:t>=</w:t>
      </w:r>
      <w:r>
        <w:rPr>
          <w:rFonts w:hint="eastAsia" w:ascii="宋体" w:hAnsi="宋体" w:cs="宋体"/>
          <w:b/>
          <w:color w:val="auto"/>
          <w:kern w:val="0"/>
          <w:sz w:val="24"/>
        </w:rPr>
        <w:t>10.9万元</w:t>
      </w:r>
    </w:p>
    <w:p w14:paraId="23717959">
      <w:pPr>
        <w:jc w:val="center"/>
        <w:rPr>
          <w:rFonts w:ascii="宋体" w:hAnsi="宋体"/>
          <w:b/>
          <w:color w:val="auto"/>
          <w:sz w:val="30"/>
          <w:szCs w:val="30"/>
        </w:rPr>
      </w:pPr>
      <w:r>
        <w:rPr>
          <w:rFonts w:hint="eastAsia" w:ascii="宋体" w:hAnsi="宋体"/>
          <w:b/>
          <w:color w:val="auto"/>
          <w:sz w:val="30"/>
          <w:szCs w:val="30"/>
        </w:rPr>
        <w:t>九．其它事项</w:t>
      </w:r>
    </w:p>
    <w:p w14:paraId="7FACADD1">
      <w:pPr>
        <w:spacing w:line="360" w:lineRule="auto"/>
        <w:ind w:firstLine="480" w:firstLineChars="200"/>
        <w:rPr>
          <w:rFonts w:ascii="宋体" w:hAnsi="宋体"/>
          <w:b/>
          <w:bCs/>
          <w:color w:val="auto"/>
          <w:sz w:val="24"/>
        </w:rPr>
      </w:pPr>
      <w:r>
        <w:rPr>
          <w:rFonts w:hint="eastAsia" w:ascii="宋体" w:hAnsi="宋体"/>
          <w:color w:val="auto"/>
          <w:sz w:val="24"/>
        </w:rPr>
        <w:t>成交供应商确定后，成交供应商无正当理由拖延或拒签合同的，或未能按照规定的时间提供履约担保，采购人有权取消其成交资格，并按评审顺序重新确定成交供应商。同时报请监督机构予以通报，禁止其进入采购市场，并没收其保证金。给采购人造成损失超过磋商保证金额的，还应当对超过部分予以赔偿，并依法承担相应法律责任。</w:t>
      </w:r>
    </w:p>
    <w:p w14:paraId="7CB16707">
      <w:pPr>
        <w:spacing w:line="360" w:lineRule="auto"/>
        <w:jc w:val="center"/>
        <w:outlineLvl w:val="0"/>
        <w:rPr>
          <w:rFonts w:ascii="宋体" w:hAnsi="宋体"/>
          <w:b/>
          <w:bCs/>
          <w:color w:val="auto"/>
          <w:sz w:val="24"/>
        </w:rPr>
        <w:sectPr>
          <w:headerReference r:id="rId9" w:type="default"/>
          <w:footerReference r:id="rId10" w:type="default"/>
          <w:pgSz w:w="11906" w:h="16838"/>
          <w:pgMar w:top="1304" w:right="1418" w:bottom="1304" w:left="1418" w:header="851" w:footer="992" w:gutter="0"/>
          <w:pgNumType w:start="1"/>
          <w:cols w:space="720" w:num="1"/>
          <w:docGrid w:type="lines" w:linePitch="312" w:charSpace="0"/>
        </w:sectPr>
      </w:pPr>
    </w:p>
    <w:p w14:paraId="7B75F5E3">
      <w:pPr>
        <w:spacing w:line="360" w:lineRule="auto"/>
        <w:jc w:val="center"/>
        <w:outlineLvl w:val="0"/>
        <w:rPr>
          <w:rFonts w:ascii="宋体" w:hAnsi="宋体"/>
          <w:color w:val="auto"/>
          <w:sz w:val="32"/>
          <w:szCs w:val="32"/>
        </w:rPr>
      </w:pPr>
      <w:bookmarkStart w:id="18" w:name="_Toc18374"/>
      <w:r>
        <w:rPr>
          <w:rFonts w:hint="eastAsia" w:ascii="宋体" w:hAnsi="宋体"/>
          <w:b/>
          <w:bCs/>
          <w:color w:val="auto"/>
          <w:sz w:val="32"/>
          <w:szCs w:val="32"/>
        </w:rPr>
        <w:t xml:space="preserve">第三章 </w:t>
      </w:r>
      <w:bookmarkEnd w:id="18"/>
      <w:r>
        <w:rPr>
          <w:rFonts w:hint="eastAsia" w:ascii="宋体" w:hAnsi="宋体"/>
          <w:b/>
          <w:bCs/>
          <w:color w:val="auto"/>
          <w:sz w:val="32"/>
          <w:szCs w:val="32"/>
        </w:rPr>
        <w:t>服务要求及内容</w:t>
      </w:r>
    </w:p>
    <w:p w14:paraId="4816ABE3">
      <w:pPr>
        <w:spacing w:line="360" w:lineRule="auto"/>
        <w:rPr>
          <w:rFonts w:ascii="宋体" w:hAnsi="宋体" w:cs="宋体"/>
          <w:b/>
          <w:bCs/>
          <w:color w:val="auto"/>
          <w:sz w:val="24"/>
        </w:rPr>
      </w:pPr>
      <w:r>
        <w:rPr>
          <w:rFonts w:hint="eastAsia" w:ascii="宋体" w:hAnsi="宋体" w:cs="宋体"/>
          <w:b/>
          <w:color w:val="auto"/>
          <w:sz w:val="28"/>
          <w:szCs w:val="28"/>
        </w:rPr>
        <w:t>一、</w:t>
      </w:r>
      <w:r>
        <w:rPr>
          <w:rFonts w:hint="eastAsia" w:ascii="宋体" w:hAnsi="宋体" w:cs="宋体"/>
          <w:b/>
          <w:bCs/>
          <w:color w:val="auto"/>
          <w:sz w:val="24"/>
        </w:rPr>
        <w:t>招标要求</w:t>
      </w:r>
    </w:p>
    <w:p w14:paraId="682D6C0B">
      <w:pPr>
        <w:spacing w:line="360" w:lineRule="auto"/>
        <w:rPr>
          <w:rFonts w:hint="eastAsia" w:ascii="宋体" w:hAnsi="宋体" w:eastAsia="宋体" w:cs="宋体"/>
          <w:color w:val="auto"/>
          <w:sz w:val="24"/>
          <w:lang w:eastAsia="zh-CN"/>
        </w:rPr>
      </w:pPr>
      <w:r>
        <w:rPr>
          <w:rFonts w:hint="eastAsia" w:ascii="宋体" w:hAnsi="宋体" w:cs="宋体"/>
          <w:color w:val="auto"/>
          <w:sz w:val="24"/>
        </w:rPr>
        <w:t>1.项目名称：</w:t>
      </w:r>
      <w:r>
        <w:rPr>
          <w:rFonts w:hint="eastAsia" w:ascii="宋体" w:hAnsi="宋体" w:cs="宋体"/>
          <w:color w:val="auto"/>
          <w:sz w:val="24"/>
          <w:lang w:eastAsia="zh-CN"/>
        </w:rPr>
        <w:t>陕西警察学院2026年度信息系统等保测评服务项目</w:t>
      </w:r>
    </w:p>
    <w:p w14:paraId="29FAE664">
      <w:pPr>
        <w:spacing w:line="360" w:lineRule="auto"/>
        <w:rPr>
          <w:rFonts w:ascii="宋体" w:hAnsi="宋体" w:cs="宋体"/>
          <w:color w:val="auto"/>
          <w:sz w:val="24"/>
        </w:rPr>
      </w:pPr>
      <w:r>
        <w:rPr>
          <w:rFonts w:hint="eastAsia" w:ascii="宋体" w:hAnsi="宋体" w:cs="宋体"/>
          <w:color w:val="auto"/>
          <w:sz w:val="24"/>
        </w:rPr>
        <w:t>2.服务期：合同签订后，在采购单位同意进场实施后的60个自然日内交付</w:t>
      </w:r>
    </w:p>
    <w:p w14:paraId="32B17762">
      <w:pPr>
        <w:spacing w:line="360" w:lineRule="auto"/>
        <w:rPr>
          <w:rFonts w:ascii="宋体" w:hAnsi="宋体" w:cs="宋体"/>
          <w:color w:val="auto"/>
          <w:sz w:val="24"/>
        </w:rPr>
      </w:pPr>
      <w:r>
        <w:rPr>
          <w:rFonts w:hint="eastAsia" w:ascii="宋体" w:hAnsi="宋体" w:cs="宋体"/>
          <w:color w:val="auto"/>
          <w:sz w:val="24"/>
        </w:rPr>
        <w:t>3.服务地点：采购人指定地点</w:t>
      </w:r>
    </w:p>
    <w:p w14:paraId="3673F011">
      <w:pPr>
        <w:spacing w:line="360" w:lineRule="auto"/>
        <w:rPr>
          <w:rFonts w:ascii="宋体" w:hAnsi="宋体" w:cs="宋体"/>
          <w:b/>
          <w:color w:val="auto"/>
          <w:sz w:val="28"/>
          <w:szCs w:val="28"/>
        </w:rPr>
      </w:pPr>
      <w:r>
        <w:rPr>
          <w:rFonts w:hint="eastAsia" w:ascii="宋体" w:hAnsi="宋体" w:cs="宋体"/>
          <w:b/>
          <w:bCs/>
          <w:color w:val="auto"/>
          <w:sz w:val="24"/>
        </w:rPr>
        <w:t>二、服务内容</w:t>
      </w:r>
    </w:p>
    <w:p w14:paraId="0A3E9AC4">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为保障陕西警察学院的重要网络安全运行，落实《中华人民共和国网络安全法》《信息安全等级保护管理办法》等国家法律法规要求，结合我单位的实际情况，现对网站站群管理系统（三级）、学工系统（二级）、网络教学平台（二级）开展等级保护测评服务工作。</w:t>
      </w:r>
    </w:p>
    <w:p w14:paraId="38C539A6">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服务总体要求：</w:t>
      </w:r>
    </w:p>
    <w:p w14:paraId="4B3BD59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测评服务要求：依据《基本要求》（GB/T 22239-2019）、测评要求》（GB/T 28448-2019）和《测评过程指南》（GB/T 28449-2018）等国家关于网络安全等级保护2.0的相关标准和规范要求，为陕西警察学院提供相应级别信息系统等级保护测评实施工作，包括安全物理环境、安全通信网络、安全区域边界、安全计算环境、安全管理中心测评，以及安全管理制度、安全管理机构、安全管理人员、安全建设管理、安全运维管理测评。</w:t>
      </w:r>
    </w:p>
    <w:p w14:paraId="29CC08F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 xml:space="preserve">渗透测试服务要求：服务商的渗透测试工程师要模拟恶意黑客的攻击方法，来对我单位计算机网络的安全性进行检测评估。对系统和网络进行非破坏性质的攻击性测试，尝试侵入系统，获取系统控制权并将入侵的过程和细节产生报告，由此证实系统所存在的安全威胁和风险，及时提示开发人员修复安全漏洞，提醒安全管理员完善安全策略，提升系统安全防护能力，为保证本次项目渗透的质量，参与本项目的项目经理需要参与过测评机构能力验证（应用安全渗透测试），且结果为满意。 </w:t>
      </w:r>
    </w:p>
    <w:p w14:paraId="384948DE">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安全需求分析及设计服务要求：为保障陕西警察学院重要信息系统的安全防护能力，服务商需对其信息系统提供安全需求分析，并且能对陕西警察学院的信息系统做安全方案设计，提出有针对性的安全规划方案。</w:t>
      </w:r>
    </w:p>
    <w:p w14:paraId="14F51286">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应急响应及应急处理要求：服务商在测评项目结束后，要提供至少一年的信息安全应急处理保障。一旦被测系统出现紧急重大安全事件，收到陕西警察学院的服务请求，测评单位工程师在 3 小时内到达用户现场，提供服务。</w:t>
      </w:r>
    </w:p>
    <w:p w14:paraId="0EC03CA6">
      <w:pPr>
        <w:spacing w:line="360" w:lineRule="auto"/>
        <w:jc w:val="center"/>
        <w:outlineLvl w:val="0"/>
        <w:rPr>
          <w:rFonts w:ascii="宋体" w:hAnsi="宋体" w:cs="宋体"/>
          <w:color w:val="auto"/>
          <w:sz w:val="24"/>
        </w:rPr>
        <w:sectPr>
          <w:pgSz w:w="11906" w:h="16838"/>
          <w:pgMar w:top="1304" w:right="1418" w:bottom="1304" w:left="1418" w:header="851" w:footer="992" w:gutter="0"/>
          <w:cols w:space="720" w:num="1"/>
          <w:docGrid w:type="lines" w:linePitch="312" w:charSpace="0"/>
        </w:sectPr>
      </w:pPr>
      <w:r>
        <w:rPr>
          <w:rFonts w:hint="eastAsia" w:ascii="宋体" w:hAnsi="宋体" w:cs="宋体"/>
          <w:color w:val="auto"/>
          <w:sz w:val="24"/>
        </w:rPr>
        <w:t xml:space="preserve">  安全咨询服务：服务商在测评项目结束后，要提供至少一年的安全咨询服务，包括</w:t>
      </w:r>
    </w:p>
    <w:p w14:paraId="3382A2F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但不限于安全技术咨询、安全整改建设咨询、管理制度及国家法规等，服务商需提供咨询建议和方案建议。</w:t>
      </w:r>
    </w:p>
    <w:p w14:paraId="1F7FEA78">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安全培训服务：服务商需提供网络安全培训服务 2 次，培训内容包括网络安全意识、网络安全技术、网络安全政策法规等。</w:t>
      </w:r>
    </w:p>
    <w:p w14:paraId="4B832AD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重保服务：根据陕西警察学院的实际需要，在重大节日活动、重要会议召开前等关键时间点提供专业漏洞扫描服务不少于 4 次。</w:t>
      </w:r>
    </w:p>
    <w:p w14:paraId="4A220825">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服务商须服从陕西警察学院的统一协调，且必须在项目实施期间由服务商派驻有丰富实施经验的信息安全等级保护测评中级及以上测评师为项目实施团队主要负责人和核心成员，全程参与项目实施。</w:t>
      </w:r>
    </w:p>
    <w:p w14:paraId="1BD56B41">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服务商须提供完善的测评实施方案和计划、测评方案，经我单位审核通过后实施，并完成我单位对安全管理制度的补充完善和整理工作，配合对我单位信息系统进行整改测评服务。</w:t>
      </w:r>
    </w:p>
    <w:p w14:paraId="45BA8B34">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服务商须与我单位签订项目合同、保密协议和现场评测授权书、风险预判告知书，核实驻场测评师资质与投标时对本项目配备的测评师是否一致。确因工作调配需更换测评师，需提前 10 个工作日向我信息部门负责人员书面报备，并提供更换测评师资质证明。</w:t>
      </w:r>
    </w:p>
    <w:p w14:paraId="1696D77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测评结束后，服务方需免费提供整改咨询服务和免费质保服务，并提供为期一年的售后服务，就本项目成果中的具体内容提供解释，提供信息系统等级保护相关工作的技术支持和咨询服务，以帮助陕西警察学院提高安全防护能力。</w:t>
      </w:r>
    </w:p>
    <w:p w14:paraId="6643907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网络与信息安全信息通报服务要求：服务商需要在测评结束后，提供至少的一年网络信息安全通报服务，要与我单位建立完善的通报和沟通机制，及时按照国家标准提供对应服务。</w:t>
      </w:r>
    </w:p>
    <w:p w14:paraId="01C2D943">
      <w:pPr>
        <w:spacing w:line="360" w:lineRule="auto"/>
        <w:ind w:firstLine="480" w:firstLineChars="200"/>
        <w:jc w:val="left"/>
        <w:outlineLvl w:val="0"/>
        <w:rPr>
          <w:rFonts w:ascii="宋体" w:hAnsi="宋体" w:cs="宋体"/>
          <w:color w:val="auto"/>
          <w:sz w:val="24"/>
        </w:rPr>
        <w:sectPr>
          <w:pgSz w:w="11906" w:h="16838"/>
          <w:pgMar w:top="1304" w:right="1418" w:bottom="1304" w:left="1418" w:header="851" w:footer="992" w:gutter="0"/>
          <w:cols w:space="720" w:num="1"/>
          <w:docGrid w:type="lines" w:linePitch="312" w:charSpace="0"/>
        </w:sectPr>
      </w:pPr>
      <w:r>
        <w:rPr>
          <w:rFonts w:hint="eastAsia" w:ascii="宋体" w:hAnsi="宋体" w:cs="宋体"/>
          <w:color w:val="auto"/>
          <w:sz w:val="24"/>
        </w:rPr>
        <w:t>实施流程及工作内容要求：信息安全等级保护测评工作的流程如下图所示，在开展信息安全等级保护测评工作过程中要求严格遵循如下流程：</w:t>
      </w:r>
    </w:p>
    <w:p w14:paraId="0B0451EA">
      <w:pPr>
        <w:adjustRightInd w:val="0"/>
        <w:snapToGrid w:val="0"/>
        <w:spacing w:line="360" w:lineRule="auto"/>
        <w:ind w:firstLine="480" w:firstLineChars="200"/>
        <w:rPr>
          <w:rFonts w:ascii="宋体" w:hAnsi="宋体" w:cs="宋体"/>
          <w:color w:val="auto"/>
          <w:sz w:val="24"/>
        </w:rPr>
      </w:pPr>
      <w:bookmarkStart w:id="19" w:name="OLE_LINK135"/>
      <w:r>
        <w:rPr>
          <w:rFonts w:hint="eastAsia" w:ascii="宋体" w:hAnsi="宋体" w:cs="宋体"/>
          <w:color w:val="auto"/>
          <w:sz w:val="24"/>
        </w:rPr>
        <w:drawing>
          <wp:inline distT="0" distB="0" distL="114300" distR="114300">
            <wp:extent cx="5543550" cy="8124825"/>
            <wp:effectExtent l="0" t="0" r="0" b="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16"/>
                    <a:stretch>
                      <a:fillRect/>
                    </a:stretch>
                  </pic:blipFill>
                  <pic:spPr>
                    <a:xfrm>
                      <a:off x="0" y="0"/>
                      <a:ext cx="5543550" cy="8124825"/>
                    </a:xfrm>
                    <a:prstGeom prst="rect">
                      <a:avLst/>
                    </a:prstGeom>
                    <a:noFill/>
                    <a:ln>
                      <a:noFill/>
                    </a:ln>
                  </pic:spPr>
                </pic:pic>
              </a:graphicData>
            </a:graphic>
          </wp:inline>
        </w:drawing>
      </w:r>
      <w:bookmarkEnd w:id="19"/>
      <w:r>
        <w:rPr>
          <w:rFonts w:hint="eastAsia" w:ascii="宋体" w:hAnsi="宋体" w:cs="宋体"/>
          <w:color w:val="auto"/>
          <w:sz w:val="24"/>
        </w:rPr>
        <w:t>①测评准备活动</w:t>
      </w:r>
    </w:p>
    <w:p w14:paraId="5511FB7F">
      <w:pPr>
        <w:spacing w:line="360" w:lineRule="auto"/>
        <w:jc w:val="center"/>
        <w:outlineLvl w:val="0"/>
        <w:rPr>
          <w:rFonts w:ascii="宋体" w:hAnsi="宋体" w:cs="宋体"/>
          <w:color w:val="auto"/>
          <w:sz w:val="24"/>
        </w:rPr>
        <w:sectPr>
          <w:pgSz w:w="11906" w:h="16838"/>
          <w:pgMar w:top="1304" w:right="1418" w:bottom="1304" w:left="1418" w:header="851" w:footer="992" w:gutter="0"/>
          <w:cols w:space="720" w:num="1"/>
          <w:docGrid w:type="lines" w:linePitch="312" w:charSpace="0"/>
        </w:sectPr>
      </w:pPr>
      <w:r>
        <w:rPr>
          <w:rFonts w:hint="eastAsia" w:ascii="宋体" w:hAnsi="宋体" w:cs="宋体"/>
          <w:color w:val="auto"/>
          <w:sz w:val="24"/>
        </w:rPr>
        <w:t>本活动是开展等级测评工作的前提和基础，是整个等级测评过程有效性的保</w:t>
      </w:r>
    </w:p>
    <w:p w14:paraId="06BE1BAC">
      <w:pPr>
        <w:adjustRightInd w:val="0"/>
        <w:snapToGrid w:val="0"/>
        <w:spacing w:line="360" w:lineRule="auto"/>
        <w:rPr>
          <w:rFonts w:ascii="宋体" w:hAnsi="宋体" w:cs="宋体"/>
          <w:color w:val="auto"/>
          <w:sz w:val="24"/>
        </w:rPr>
      </w:pPr>
      <w:r>
        <w:rPr>
          <w:rFonts w:hint="eastAsia" w:ascii="宋体" w:hAnsi="宋体" w:cs="宋体"/>
          <w:color w:val="auto"/>
          <w:sz w:val="24"/>
        </w:rPr>
        <w:t>证。测评准备工作是否充分直接关系到后续工作能否顺利开展。本活动的主要任务是掌握被测评系统的详细情况，准备测评工具，为编制测评方案做好准备。</w:t>
      </w:r>
    </w:p>
    <w:p w14:paraId="06B1EFD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②方案编制活动</w:t>
      </w:r>
    </w:p>
    <w:p w14:paraId="1F2A03B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本活动是开展等级测评工作的关键活动，为现场测评提供最基本的文档和指导方案。本活动的主要任务是确定与被测评信息系统相适应的测评对象、测评指标及测评内容等，并根据需要开发测评指导书，形成测评方案。</w:t>
      </w:r>
    </w:p>
    <w:p w14:paraId="6535D20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③现场测评活动</w:t>
      </w:r>
    </w:p>
    <w:p w14:paraId="13F00A9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本活动是开展等级测评工作的核心活动。本活动的主要任务是按照测评方案的总体要求，严格执行测评指导书，分步实施所有测评项目，包括单位测评和整体测评两个方面，以了解系统的真实保护情况，获取足够证据，发现系统存在的安全问题。</w:t>
      </w:r>
    </w:p>
    <w:p w14:paraId="46D31C7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④分析与报告编制活动</w:t>
      </w:r>
    </w:p>
    <w:p w14:paraId="74AD8E4D">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本活动是给出等级测评工作结果的活动，是总结被测系统整体安全保护能力的综合评价活动。本活动的主要任务是根据现场测评结果和行标的有关要求，通过单项测评结果判定、单元测评结果判定、整体测评和风险分析等方法，找出整个系统的安全保护现状与相应等级的保护要求之间的差距，并分析这些差距导致被测评系统面临的风险，提出整改意见并配合被测评单位完成整改，从而给出等级测评结论，形成测评报告文本。</w:t>
      </w:r>
    </w:p>
    <w:p w14:paraId="2D13D2D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测评指标：</w:t>
      </w:r>
    </w:p>
    <w:p w14:paraId="4349AFC4">
      <w:pPr>
        <w:spacing w:line="360" w:lineRule="auto"/>
        <w:ind w:firstLine="480" w:firstLineChars="200"/>
        <w:jc w:val="left"/>
        <w:outlineLvl w:val="0"/>
        <w:rPr>
          <w:rFonts w:ascii="宋体" w:hAnsi="宋体" w:cs="宋体"/>
          <w:color w:val="auto"/>
          <w:sz w:val="24"/>
        </w:rPr>
      </w:pPr>
      <w:r>
        <w:rPr>
          <w:rFonts w:hint="eastAsia" w:ascii="宋体" w:hAnsi="宋体" w:cs="宋体"/>
          <w:color w:val="auto"/>
          <w:sz w:val="24"/>
        </w:rPr>
        <w:t>二级要求指标：</w:t>
      </w:r>
    </w:p>
    <w:p w14:paraId="4505B522">
      <w:pPr>
        <w:spacing w:line="360" w:lineRule="auto"/>
        <w:ind w:firstLine="480" w:firstLineChars="200"/>
        <w:jc w:val="left"/>
        <w:outlineLvl w:val="0"/>
        <w:rPr>
          <w:rFonts w:ascii="宋体" w:hAnsi="宋体" w:cs="宋体"/>
          <w:color w:val="auto"/>
          <w:sz w:val="24"/>
        </w:rPr>
      </w:pPr>
    </w:p>
    <w:tbl>
      <w:tblPr>
        <w:tblStyle w:val="28"/>
        <w:tblW w:w="90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8"/>
        <w:gridCol w:w="1918"/>
        <w:gridCol w:w="6067"/>
      </w:tblGrid>
      <w:tr w14:paraId="00647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Align w:val="center"/>
          </w:tcPr>
          <w:p w14:paraId="71B34262">
            <w:pPr>
              <w:adjustRightInd w:val="0"/>
              <w:snapToGrid w:val="0"/>
              <w:spacing w:line="360" w:lineRule="auto"/>
              <w:jc w:val="center"/>
              <w:rPr>
                <w:rFonts w:ascii="宋体" w:hAnsi="宋体" w:cs="宋体"/>
                <w:color w:val="auto"/>
                <w:sz w:val="24"/>
              </w:rPr>
            </w:pPr>
            <w:r>
              <w:rPr>
                <w:rFonts w:hint="eastAsia" w:ascii="宋体" w:hAnsi="宋体" w:cs="宋体"/>
                <w:color w:val="auto"/>
                <w:sz w:val="24"/>
              </w:rPr>
              <w:t>安全</w:t>
            </w:r>
          </w:p>
          <w:p w14:paraId="59D5FB6A">
            <w:pPr>
              <w:adjustRightInd w:val="0"/>
              <w:snapToGrid w:val="0"/>
              <w:spacing w:line="360" w:lineRule="auto"/>
              <w:jc w:val="center"/>
              <w:rPr>
                <w:rFonts w:ascii="宋体" w:hAnsi="宋体" w:cs="宋体"/>
                <w:color w:val="auto"/>
                <w:sz w:val="24"/>
              </w:rPr>
            </w:pPr>
            <w:r>
              <w:rPr>
                <w:rFonts w:hint="eastAsia" w:ascii="宋体" w:hAnsi="宋体" w:cs="宋体"/>
                <w:color w:val="auto"/>
                <w:sz w:val="24"/>
              </w:rPr>
              <w:t>层面</w:t>
            </w:r>
          </w:p>
        </w:tc>
        <w:tc>
          <w:tcPr>
            <w:tcW w:w="1918" w:type="dxa"/>
            <w:vAlign w:val="center"/>
          </w:tcPr>
          <w:p w14:paraId="4A51669E">
            <w:pPr>
              <w:adjustRightInd w:val="0"/>
              <w:snapToGrid w:val="0"/>
              <w:spacing w:line="360" w:lineRule="auto"/>
              <w:jc w:val="center"/>
              <w:rPr>
                <w:rFonts w:ascii="宋体" w:hAnsi="宋体" w:cs="宋体"/>
                <w:color w:val="auto"/>
                <w:sz w:val="24"/>
              </w:rPr>
            </w:pPr>
            <w:r>
              <w:rPr>
                <w:rFonts w:hint="eastAsia" w:ascii="宋体" w:hAnsi="宋体" w:cs="宋体"/>
                <w:color w:val="auto"/>
                <w:sz w:val="24"/>
              </w:rPr>
              <w:t>安全控制点</w:t>
            </w:r>
          </w:p>
        </w:tc>
        <w:tc>
          <w:tcPr>
            <w:tcW w:w="6067" w:type="dxa"/>
            <w:vAlign w:val="center"/>
          </w:tcPr>
          <w:p w14:paraId="4F45319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测评指标（2.0）</w:t>
            </w:r>
          </w:p>
        </w:tc>
      </w:tr>
      <w:tr w14:paraId="4BA28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restart"/>
            <w:vAlign w:val="center"/>
          </w:tcPr>
          <w:p w14:paraId="759484E5">
            <w:pPr>
              <w:adjustRightInd w:val="0"/>
              <w:snapToGrid w:val="0"/>
              <w:spacing w:line="360" w:lineRule="auto"/>
              <w:jc w:val="center"/>
              <w:rPr>
                <w:rFonts w:ascii="宋体" w:hAnsi="宋体" w:cs="宋体"/>
                <w:color w:val="auto"/>
                <w:sz w:val="24"/>
              </w:rPr>
            </w:pPr>
            <w:r>
              <w:rPr>
                <w:rFonts w:hint="eastAsia" w:ascii="宋体" w:hAnsi="宋体" w:cs="宋体"/>
                <w:color w:val="auto"/>
                <w:sz w:val="24"/>
              </w:rPr>
              <w:t>安全物理环境</w:t>
            </w:r>
          </w:p>
        </w:tc>
        <w:tc>
          <w:tcPr>
            <w:tcW w:w="1918" w:type="dxa"/>
            <w:vMerge w:val="restart"/>
            <w:vAlign w:val="center"/>
          </w:tcPr>
          <w:p w14:paraId="56761B73">
            <w:pPr>
              <w:adjustRightInd w:val="0"/>
              <w:snapToGrid w:val="0"/>
              <w:spacing w:line="360" w:lineRule="auto"/>
              <w:rPr>
                <w:rFonts w:ascii="宋体" w:hAnsi="宋体" w:cs="宋体"/>
                <w:color w:val="auto"/>
                <w:sz w:val="24"/>
              </w:rPr>
            </w:pPr>
            <w:r>
              <w:rPr>
                <w:rFonts w:hint="eastAsia" w:ascii="宋体" w:hAnsi="宋体" w:cs="宋体"/>
                <w:color w:val="auto"/>
                <w:sz w:val="24"/>
              </w:rPr>
              <w:t>物理位置选择</w:t>
            </w:r>
          </w:p>
        </w:tc>
        <w:tc>
          <w:tcPr>
            <w:tcW w:w="6067" w:type="dxa"/>
            <w:vAlign w:val="center"/>
          </w:tcPr>
          <w:p w14:paraId="2C0D01E8">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a)机房场地应选择在具有防震、防风和防雨等能力的建筑内；</w:t>
            </w:r>
          </w:p>
        </w:tc>
      </w:tr>
      <w:tr w14:paraId="66074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69F6B489">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28262ACD">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7AC5A531">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b)机房场地应避免设在建筑物的顶层或地下室，否则应加强防水和防潮措施。</w:t>
            </w:r>
          </w:p>
        </w:tc>
      </w:tr>
      <w:tr w14:paraId="57228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7019F377">
            <w:pPr>
              <w:adjustRightInd w:val="0"/>
              <w:snapToGrid w:val="0"/>
              <w:spacing w:line="360" w:lineRule="auto"/>
              <w:ind w:firstLine="480" w:firstLineChars="200"/>
              <w:jc w:val="center"/>
              <w:rPr>
                <w:rFonts w:ascii="宋体" w:hAnsi="宋体" w:cs="宋体"/>
                <w:color w:val="auto"/>
                <w:sz w:val="24"/>
              </w:rPr>
            </w:pPr>
          </w:p>
        </w:tc>
        <w:tc>
          <w:tcPr>
            <w:tcW w:w="1918" w:type="dxa"/>
            <w:noWrap/>
            <w:vAlign w:val="center"/>
          </w:tcPr>
          <w:p w14:paraId="7BEFC41B">
            <w:pPr>
              <w:adjustRightInd w:val="0"/>
              <w:snapToGrid w:val="0"/>
              <w:spacing w:line="360" w:lineRule="auto"/>
              <w:rPr>
                <w:rFonts w:ascii="宋体" w:hAnsi="宋体" w:cs="宋体"/>
                <w:color w:val="auto"/>
                <w:sz w:val="24"/>
              </w:rPr>
            </w:pPr>
            <w:r>
              <w:rPr>
                <w:rFonts w:hint="eastAsia" w:ascii="宋体" w:hAnsi="宋体" w:cs="宋体"/>
                <w:color w:val="auto"/>
                <w:sz w:val="24"/>
              </w:rPr>
              <w:t>物理访问控制</w:t>
            </w:r>
          </w:p>
        </w:tc>
        <w:tc>
          <w:tcPr>
            <w:tcW w:w="6067" w:type="dxa"/>
            <w:vAlign w:val="center"/>
          </w:tcPr>
          <w:p w14:paraId="63F99B61">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a)机房出入口应安排专人值守或配置电子门禁系统，控制、鉴别和记录进入的人员。</w:t>
            </w:r>
          </w:p>
        </w:tc>
      </w:tr>
      <w:tr w14:paraId="20D53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11594A88">
            <w:pPr>
              <w:adjustRightInd w:val="0"/>
              <w:snapToGrid w:val="0"/>
              <w:spacing w:line="360" w:lineRule="auto"/>
              <w:ind w:firstLine="480" w:firstLineChars="200"/>
              <w:jc w:val="center"/>
              <w:rPr>
                <w:rFonts w:ascii="宋体" w:hAnsi="宋体" w:cs="宋体"/>
                <w:color w:val="auto"/>
                <w:sz w:val="24"/>
              </w:rPr>
            </w:pPr>
          </w:p>
        </w:tc>
        <w:tc>
          <w:tcPr>
            <w:tcW w:w="1918" w:type="dxa"/>
            <w:vMerge w:val="restart"/>
            <w:noWrap/>
            <w:vAlign w:val="center"/>
          </w:tcPr>
          <w:p w14:paraId="07206F23">
            <w:pPr>
              <w:adjustRightInd w:val="0"/>
              <w:snapToGrid w:val="0"/>
              <w:spacing w:line="360" w:lineRule="auto"/>
              <w:rPr>
                <w:rFonts w:ascii="宋体" w:hAnsi="宋体" w:cs="宋体"/>
                <w:color w:val="auto"/>
                <w:sz w:val="24"/>
              </w:rPr>
            </w:pPr>
            <w:r>
              <w:rPr>
                <w:rFonts w:hint="eastAsia" w:ascii="宋体" w:hAnsi="宋体" w:cs="宋体"/>
                <w:color w:val="auto"/>
                <w:sz w:val="24"/>
              </w:rPr>
              <w:t>防盗窃和防破坏</w:t>
            </w:r>
          </w:p>
        </w:tc>
        <w:tc>
          <w:tcPr>
            <w:tcW w:w="6067" w:type="dxa"/>
            <w:vAlign w:val="center"/>
          </w:tcPr>
          <w:p w14:paraId="7E99B63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a)应将设备或主要部件进行固定，并设置明显的不易除去的标记；</w:t>
            </w:r>
          </w:p>
        </w:tc>
      </w:tr>
      <w:tr w14:paraId="57FD3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2DBAD91E">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55F23751">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4F7258E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b)应将通信线缆铺设在隐蔽处。</w:t>
            </w:r>
          </w:p>
        </w:tc>
      </w:tr>
      <w:tr w14:paraId="6B696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4C9EA45C">
            <w:pPr>
              <w:adjustRightInd w:val="0"/>
              <w:snapToGrid w:val="0"/>
              <w:spacing w:line="360" w:lineRule="auto"/>
              <w:ind w:firstLine="480" w:firstLineChars="200"/>
              <w:jc w:val="center"/>
              <w:rPr>
                <w:rFonts w:ascii="宋体" w:hAnsi="宋体" w:cs="宋体"/>
                <w:color w:val="auto"/>
                <w:sz w:val="24"/>
              </w:rPr>
            </w:pPr>
          </w:p>
        </w:tc>
        <w:tc>
          <w:tcPr>
            <w:tcW w:w="1918" w:type="dxa"/>
            <w:noWrap/>
            <w:vAlign w:val="center"/>
          </w:tcPr>
          <w:p w14:paraId="1E49D2A4">
            <w:pPr>
              <w:adjustRightInd w:val="0"/>
              <w:snapToGrid w:val="0"/>
              <w:spacing w:line="360" w:lineRule="auto"/>
              <w:rPr>
                <w:rFonts w:ascii="宋体" w:hAnsi="宋体" w:cs="宋体"/>
                <w:color w:val="auto"/>
                <w:sz w:val="24"/>
              </w:rPr>
            </w:pPr>
            <w:r>
              <w:rPr>
                <w:rFonts w:hint="eastAsia" w:ascii="宋体" w:hAnsi="宋体" w:cs="宋体"/>
                <w:color w:val="auto"/>
                <w:sz w:val="24"/>
              </w:rPr>
              <w:t>防雷击</w:t>
            </w:r>
          </w:p>
        </w:tc>
        <w:tc>
          <w:tcPr>
            <w:tcW w:w="6067" w:type="dxa"/>
            <w:vAlign w:val="center"/>
          </w:tcPr>
          <w:p w14:paraId="1D20429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a)应将各类机柜、设施和设备等通过接地系统安全接地。</w:t>
            </w:r>
          </w:p>
        </w:tc>
      </w:tr>
      <w:tr w14:paraId="05D9D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190F62ED">
            <w:pPr>
              <w:adjustRightInd w:val="0"/>
              <w:snapToGrid w:val="0"/>
              <w:spacing w:line="360" w:lineRule="auto"/>
              <w:ind w:firstLine="480" w:firstLineChars="200"/>
              <w:jc w:val="center"/>
              <w:rPr>
                <w:rFonts w:ascii="宋体" w:hAnsi="宋体" w:cs="宋体"/>
                <w:color w:val="auto"/>
                <w:sz w:val="24"/>
              </w:rPr>
            </w:pPr>
          </w:p>
        </w:tc>
        <w:tc>
          <w:tcPr>
            <w:tcW w:w="1918" w:type="dxa"/>
            <w:vMerge w:val="restart"/>
            <w:noWrap/>
            <w:vAlign w:val="center"/>
          </w:tcPr>
          <w:p w14:paraId="005D8983">
            <w:pPr>
              <w:adjustRightInd w:val="0"/>
              <w:snapToGrid w:val="0"/>
              <w:spacing w:line="360" w:lineRule="auto"/>
              <w:rPr>
                <w:rFonts w:ascii="宋体" w:hAnsi="宋体" w:cs="宋体"/>
                <w:color w:val="auto"/>
                <w:sz w:val="24"/>
              </w:rPr>
            </w:pPr>
            <w:r>
              <w:rPr>
                <w:rFonts w:hint="eastAsia" w:ascii="宋体" w:hAnsi="宋体" w:cs="宋体"/>
                <w:color w:val="auto"/>
                <w:sz w:val="24"/>
              </w:rPr>
              <w:t>防火</w:t>
            </w:r>
          </w:p>
        </w:tc>
        <w:tc>
          <w:tcPr>
            <w:tcW w:w="6067" w:type="dxa"/>
            <w:vAlign w:val="center"/>
          </w:tcPr>
          <w:p w14:paraId="19E90E36">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a)机房应设置火灾自动消防系统，能够自动检测火情、自动报警，并自动灭火；</w:t>
            </w:r>
          </w:p>
        </w:tc>
      </w:tr>
      <w:tr w14:paraId="1E9FF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7FA831E9">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6509F36D">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4414C5EC">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b)机房及相关的工作房间和辅助房应采用具有耐火等级的建筑材料。</w:t>
            </w:r>
          </w:p>
        </w:tc>
      </w:tr>
      <w:tr w14:paraId="51AA9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065954DD">
            <w:pPr>
              <w:adjustRightInd w:val="0"/>
              <w:snapToGrid w:val="0"/>
              <w:spacing w:line="360" w:lineRule="auto"/>
              <w:ind w:firstLine="480" w:firstLineChars="200"/>
              <w:jc w:val="center"/>
              <w:rPr>
                <w:rFonts w:ascii="宋体" w:hAnsi="宋体" w:cs="宋体"/>
                <w:color w:val="auto"/>
                <w:sz w:val="24"/>
              </w:rPr>
            </w:pPr>
          </w:p>
        </w:tc>
        <w:tc>
          <w:tcPr>
            <w:tcW w:w="1918" w:type="dxa"/>
            <w:vMerge w:val="restart"/>
            <w:noWrap/>
            <w:vAlign w:val="center"/>
          </w:tcPr>
          <w:p w14:paraId="4D20A56A">
            <w:pPr>
              <w:adjustRightInd w:val="0"/>
              <w:snapToGrid w:val="0"/>
              <w:spacing w:line="360" w:lineRule="auto"/>
              <w:rPr>
                <w:rFonts w:ascii="宋体" w:hAnsi="宋体" w:cs="宋体"/>
                <w:color w:val="auto"/>
                <w:sz w:val="24"/>
              </w:rPr>
            </w:pPr>
            <w:r>
              <w:rPr>
                <w:rFonts w:hint="eastAsia" w:ascii="宋体" w:hAnsi="宋体" w:cs="宋体"/>
                <w:color w:val="auto"/>
                <w:sz w:val="24"/>
              </w:rPr>
              <w:t>防水防潮</w:t>
            </w:r>
          </w:p>
        </w:tc>
        <w:tc>
          <w:tcPr>
            <w:tcW w:w="6067" w:type="dxa"/>
            <w:vAlign w:val="center"/>
          </w:tcPr>
          <w:p w14:paraId="5D707296">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a)应采取措施防止雨水通过机房窗口、屋顶和墙壁渗透；</w:t>
            </w:r>
          </w:p>
        </w:tc>
      </w:tr>
      <w:tr w14:paraId="6F714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19887F09">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483D3E59">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6BDCABB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b)应采取措施防止机房内水蒸气结露和地下积水的转移与渗透。</w:t>
            </w:r>
          </w:p>
        </w:tc>
      </w:tr>
      <w:tr w14:paraId="19608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487BED0D">
            <w:pPr>
              <w:adjustRightInd w:val="0"/>
              <w:snapToGrid w:val="0"/>
              <w:spacing w:line="360" w:lineRule="auto"/>
              <w:ind w:firstLine="480" w:firstLineChars="200"/>
              <w:jc w:val="center"/>
              <w:rPr>
                <w:rFonts w:ascii="宋体" w:hAnsi="宋体" w:cs="宋体"/>
                <w:color w:val="auto"/>
                <w:sz w:val="24"/>
              </w:rPr>
            </w:pPr>
          </w:p>
        </w:tc>
        <w:tc>
          <w:tcPr>
            <w:tcW w:w="1918" w:type="dxa"/>
            <w:noWrap/>
            <w:vAlign w:val="center"/>
          </w:tcPr>
          <w:p w14:paraId="6AE25C2A">
            <w:pPr>
              <w:adjustRightInd w:val="0"/>
              <w:snapToGrid w:val="0"/>
              <w:spacing w:line="360" w:lineRule="auto"/>
              <w:rPr>
                <w:rFonts w:ascii="宋体" w:hAnsi="宋体" w:cs="宋体"/>
                <w:color w:val="auto"/>
                <w:sz w:val="24"/>
              </w:rPr>
            </w:pPr>
            <w:r>
              <w:rPr>
                <w:rFonts w:hint="eastAsia" w:ascii="宋体" w:hAnsi="宋体" w:cs="宋体"/>
                <w:color w:val="auto"/>
                <w:sz w:val="24"/>
              </w:rPr>
              <w:t>防静电</w:t>
            </w:r>
          </w:p>
        </w:tc>
        <w:tc>
          <w:tcPr>
            <w:tcW w:w="6067" w:type="dxa"/>
            <w:vAlign w:val="center"/>
          </w:tcPr>
          <w:p w14:paraId="29CF325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a)应采用防静电地板并采用必要的接地防静电措施。</w:t>
            </w:r>
          </w:p>
        </w:tc>
      </w:tr>
      <w:tr w14:paraId="73730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668108C0">
            <w:pPr>
              <w:adjustRightInd w:val="0"/>
              <w:snapToGrid w:val="0"/>
              <w:spacing w:line="360" w:lineRule="auto"/>
              <w:ind w:firstLine="480" w:firstLineChars="200"/>
              <w:jc w:val="center"/>
              <w:rPr>
                <w:rFonts w:ascii="宋体" w:hAnsi="宋体" w:cs="宋体"/>
                <w:color w:val="auto"/>
                <w:sz w:val="24"/>
              </w:rPr>
            </w:pPr>
          </w:p>
        </w:tc>
        <w:tc>
          <w:tcPr>
            <w:tcW w:w="1918" w:type="dxa"/>
            <w:noWrap/>
            <w:vAlign w:val="center"/>
          </w:tcPr>
          <w:p w14:paraId="5CF5666D">
            <w:pPr>
              <w:adjustRightInd w:val="0"/>
              <w:snapToGrid w:val="0"/>
              <w:spacing w:line="360" w:lineRule="auto"/>
              <w:rPr>
                <w:rFonts w:ascii="宋体" w:hAnsi="宋体" w:cs="宋体"/>
                <w:color w:val="auto"/>
                <w:sz w:val="24"/>
              </w:rPr>
            </w:pPr>
            <w:r>
              <w:rPr>
                <w:rFonts w:hint="eastAsia" w:ascii="宋体" w:hAnsi="宋体" w:cs="宋体"/>
                <w:color w:val="auto"/>
                <w:sz w:val="24"/>
              </w:rPr>
              <w:t>温湿度控制</w:t>
            </w:r>
          </w:p>
        </w:tc>
        <w:tc>
          <w:tcPr>
            <w:tcW w:w="6067" w:type="dxa"/>
            <w:vAlign w:val="center"/>
          </w:tcPr>
          <w:p w14:paraId="18C7DC66">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a)应设置温湿度自动调节设施，使机房温湿度的变化在设备运行所允许的范围之内。</w:t>
            </w:r>
          </w:p>
        </w:tc>
      </w:tr>
      <w:tr w14:paraId="3221A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369CD69C">
            <w:pPr>
              <w:adjustRightInd w:val="0"/>
              <w:snapToGrid w:val="0"/>
              <w:spacing w:line="360" w:lineRule="auto"/>
              <w:ind w:firstLine="480" w:firstLineChars="200"/>
              <w:jc w:val="center"/>
              <w:rPr>
                <w:rFonts w:ascii="宋体" w:hAnsi="宋体" w:cs="宋体"/>
                <w:color w:val="auto"/>
                <w:sz w:val="24"/>
              </w:rPr>
            </w:pPr>
          </w:p>
        </w:tc>
        <w:tc>
          <w:tcPr>
            <w:tcW w:w="1918" w:type="dxa"/>
            <w:vMerge w:val="restart"/>
            <w:noWrap/>
            <w:vAlign w:val="center"/>
          </w:tcPr>
          <w:p w14:paraId="5E450A8E">
            <w:pPr>
              <w:adjustRightInd w:val="0"/>
              <w:snapToGrid w:val="0"/>
              <w:spacing w:line="360" w:lineRule="auto"/>
              <w:rPr>
                <w:rFonts w:ascii="宋体" w:hAnsi="宋体" w:cs="宋体"/>
                <w:color w:val="auto"/>
                <w:sz w:val="24"/>
              </w:rPr>
            </w:pPr>
            <w:r>
              <w:rPr>
                <w:rFonts w:hint="eastAsia" w:ascii="宋体" w:hAnsi="宋体" w:cs="宋体"/>
                <w:color w:val="auto"/>
                <w:sz w:val="24"/>
              </w:rPr>
              <w:t>电力供应</w:t>
            </w:r>
          </w:p>
        </w:tc>
        <w:tc>
          <w:tcPr>
            <w:tcW w:w="6067" w:type="dxa"/>
            <w:vAlign w:val="center"/>
          </w:tcPr>
          <w:p w14:paraId="698B3A3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a)应在机房供电线路上配置稳压器和过电压防护设备；</w:t>
            </w:r>
          </w:p>
        </w:tc>
      </w:tr>
      <w:tr w14:paraId="73882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4646A214">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6701D2AB">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70B07BC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b)应提供短期的备用电力供应，至少满足设备在断电情况下的正常运行要求。</w:t>
            </w:r>
          </w:p>
        </w:tc>
      </w:tr>
      <w:tr w14:paraId="5F39D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33587AD1">
            <w:pPr>
              <w:adjustRightInd w:val="0"/>
              <w:snapToGrid w:val="0"/>
              <w:spacing w:line="360" w:lineRule="auto"/>
              <w:ind w:firstLine="480" w:firstLineChars="200"/>
              <w:jc w:val="center"/>
              <w:rPr>
                <w:rFonts w:ascii="宋体" w:hAnsi="宋体" w:cs="宋体"/>
                <w:color w:val="auto"/>
                <w:sz w:val="24"/>
              </w:rPr>
            </w:pPr>
          </w:p>
        </w:tc>
        <w:tc>
          <w:tcPr>
            <w:tcW w:w="1918" w:type="dxa"/>
            <w:noWrap/>
            <w:vAlign w:val="center"/>
          </w:tcPr>
          <w:p w14:paraId="4B0863FD">
            <w:pPr>
              <w:adjustRightInd w:val="0"/>
              <w:snapToGrid w:val="0"/>
              <w:spacing w:line="360" w:lineRule="auto"/>
              <w:rPr>
                <w:rFonts w:ascii="宋体" w:hAnsi="宋体" w:cs="宋体"/>
                <w:color w:val="auto"/>
                <w:sz w:val="24"/>
              </w:rPr>
            </w:pPr>
            <w:r>
              <w:rPr>
                <w:rFonts w:hint="eastAsia" w:ascii="宋体" w:hAnsi="宋体" w:cs="宋体"/>
                <w:color w:val="auto"/>
                <w:sz w:val="24"/>
              </w:rPr>
              <w:t>电磁防护</w:t>
            </w:r>
          </w:p>
        </w:tc>
        <w:tc>
          <w:tcPr>
            <w:tcW w:w="6067" w:type="dxa"/>
            <w:vAlign w:val="center"/>
          </w:tcPr>
          <w:p w14:paraId="72826981">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a)电源线和通信线缆应隔离铺设，避免互相干扰。</w:t>
            </w:r>
          </w:p>
        </w:tc>
      </w:tr>
      <w:tr w14:paraId="3DC22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restart"/>
            <w:vAlign w:val="center"/>
          </w:tcPr>
          <w:p w14:paraId="20B0A60D">
            <w:pPr>
              <w:adjustRightInd w:val="0"/>
              <w:snapToGrid w:val="0"/>
              <w:spacing w:line="360" w:lineRule="auto"/>
              <w:jc w:val="center"/>
              <w:rPr>
                <w:rFonts w:ascii="宋体" w:hAnsi="宋体" w:cs="宋体"/>
                <w:color w:val="auto"/>
                <w:sz w:val="24"/>
              </w:rPr>
            </w:pPr>
            <w:r>
              <w:rPr>
                <w:rFonts w:hint="eastAsia" w:ascii="宋体" w:hAnsi="宋体" w:cs="宋体"/>
                <w:color w:val="auto"/>
                <w:sz w:val="24"/>
              </w:rPr>
              <w:t>安全通信网络</w:t>
            </w:r>
          </w:p>
        </w:tc>
        <w:tc>
          <w:tcPr>
            <w:tcW w:w="1918" w:type="dxa"/>
            <w:vMerge w:val="restart"/>
            <w:noWrap/>
            <w:vAlign w:val="center"/>
          </w:tcPr>
          <w:p w14:paraId="36040199">
            <w:pPr>
              <w:adjustRightInd w:val="0"/>
              <w:snapToGrid w:val="0"/>
              <w:spacing w:line="360" w:lineRule="auto"/>
              <w:rPr>
                <w:rFonts w:ascii="宋体" w:hAnsi="宋体" w:cs="宋体"/>
                <w:color w:val="auto"/>
                <w:sz w:val="24"/>
              </w:rPr>
            </w:pPr>
            <w:r>
              <w:rPr>
                <w:rFonts w:hint="eastAsia" w:ascii="宋体" w:hAnsi="宋体" w:cs="宋体"/>
                <w:color w:val="auto"/>
                <w:sz w:val="24"/>
              </w:rPr>
              <w:t>网络架构</w:t>
            </w:r>
          </w:p>
        </w:tc>
        <w:tc>
          <w:tcPr>
            <w:tcW w:w="6067" w:type="dxa"/>
            <w:vAlign w:val="center"/>
          </w:tcPr>
          <w:p w14:paraId="2326D7C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a)应划分不同的网络区域，并按照方便管理和控制的原则为各个网络区域分配地址；</w:t>
            </w:r>
          </w:p>
        </w:tc>
      </w:tr>
      <w:tr w14:paraId="626A4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645AFBD8">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301BB713">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1EED06AD">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b)应避免将重要网络区域部署在边界处，重要网络区域与其他网络区域之间应采取可靠的技术隔离手段。</w:t>
            </w:r>
          </w:p>
        </w:tc>
      </w:tr>
      <w:tr w14:paraId="10B55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2F1EFBDA">
            <w:pPr>
              <w:adjustRightInd w:val="0"/>
              <w:snapToGrid w:val="0"/>
              <w:spacing w:line="360" w:lineRule="auto"/>
              <w:ind w:firstLine="480" w:firstLineChars="200"/>
              <w:jc w:val="center"/>
              <w:rPr>
                <w:rFonts w:ascii="宋体" w:hAnsi="宋体" w:cs="宋体"/>
                <w:color w:val="auto"/>
                <w:sz w:val="24"/>
              </w:rPr>
            </w:pPr>
          </w:p>
        </w:tc>
        <w:tc>
          <w:tcPr>
            <w:tcW w:w="1918" w:type="dxa"/>
            <w:noWrap/>
            <w:vAlign w:val="center"/>
          </w:tcPr>
          <w:p w14:paraId="1F820250">
            <w:pPr>
              <w:adjustRightInd w:val="0"/>
              <w:snapToGrid w:val="0"/>
              <w:spacing w:line="360" w:lineRule="auto"/>
              <w:rPr>
                <w:rFonts w:ascii="宋体" w:hAnsi="宋体" w:cs="宋体"/>
                <w:color w:val="auto"/>
                <w:sz w:val="24"/>
              </w:rPr>
            </w:pPr>
            <w:r>
              <w:rPr>
                <w:rFonts w:hint="eastAsia" w:ascii="宋体" w:hAnsi="宋体" w:cs="宋体"/>
                <w:color w:val="auto"/>
                <w:sz w:val="24"/>
              </w:rPr>
              <w:t>通信传输</w:t>
            </w:r>
          </w:p>
        </w:tc>
        <w:tc>
          <w:tcPr>
            <w:tcW w:w="6067" w:type="dxa"/>
            <w:vAlign w:val="center"/>
          </w:tcPr>
          <w:p w14:paraId="3BB1376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a)应采用校验技术保证通信过程中数据的完整性。</w:t>
            </w:r>
          </w:p>
        </w:tc>
      </w:tr>
      <w:tr w14:paraId="1FAEA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continue"/>
            <w:vAlign w:val="center"/>
          </w:tcPr>
          <w:p w14:paraId="4C8400DC">
            <w:pPr>
              <w:adjustRightInd w:val="0"/>
              <w:snapToGrid w:val="0"/>
              <w:spacing w:line="360" w:lineRule="auto"/>
              <w:ind w:firstLine="480" w:firstLineChars="200"/>
              <w:jc w:val="center"/>
              <w:rPr>
                <w:rFonts w:ascii="宋体" w:hAnsi="宋体" w:cs="宋体"/>
                <w:color w:val="auto"/>
                <w:sz w:val="24"/>
              </w:rPr>
            </w:pPr>
          </w:p>
        </w:tc>
        <w:tc>
          <w:tcPr>
            <w:tcW w:w="1918" w:type="dxa"/>
            <w:noWrap/>
            <w:vAlign w:val="center"/>
          </w:tcPr>
          <w:p w14:paraId="49EE1996">
            <w:pPr>
              <w:adjustRightInd w:val="0"/>
              <w:snapToGrid w:val="0"/>
              <w:spacing w:line="360" w:lineRule="auto"/>
              <w:rPr>
                <w:rFonts w:ascii="宋体" w:hAnsi="宋体" w:cs="宋体"/>
                <w:color w:val="auto"/>
                <w:sz w:val="24"/>
              </w:rPr>
            </w:pPr>
            <w:r>
              <w:rPr>
                <w:rFonts w:hint="eastAsia" w:ascii="宋体" w:hAnsi="宋体" w:cs="宋体"/>
                <w:color w:val="auto"/>
                <w:sz w:val="24"/>
              </w:rPr>
              <w:t>可信验证</w:t>
            </w:r>
          </w:p>
        </w:tc>
        <w:tc>
          <w:tcPr>
            <w:tcW w:w="6067" w:type="dxa"/>
            <w:vAlign w:val="center"/>
          </w:tcPr>
          <w:p w14:paraId="65C6D9F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a)可基于可信根对通信设备的系统引导程序、系统程序、重要配置参数和通信应用程序等进行可信验证，并在检测到其可信性受到破坏后进行报警，并将验证结果形成审计记录送至安全管理中心。</w:t>
            </w:r>
          </w:p>
        </w:tc>
      </w:tr>
      <w:tr w14:paraId="18BBA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restart"/>
            <w:vAlign w:val="center"/>
          </w:tcPr>
          <w:p w14:paraId="0DEC8916">
            <w:pPr>
              <w:adjustRightInd w:val="0"/>
              <w:snapToGrid w:val="0"/>
              <w:spacing w:line="360" w:lineRule="auto"/>
              <w:jc w:val="center"/>
              <w:rPr>
                <w:rFonts w:ascii="宋体" w:hAnsi="宋体" w:cs="宋体"/>
                <w:color w:val="auto"/>
                <w:sz w:val="24"/>
              </w:rPr>
            </w:pPr>
            <w:r>
              <w:rPr>
                <w:rFonts w:hint="eastAsia" w:ascii="宋体" w:hAnsi="宋体" w:cs="宋体"/>
                <w:color w:val="auto"/>
                <w:sz w:val="24"/>
              </w:rPr>
              <w:t>安全区域边界</w:t>
            </w:r>
          </w:p>
        </w:tc>
        <w:tc>
          <w:tcPr>
            <w:tcW w:w="1918" w:type="dxa"/>
            <w:noWrap/>
            <w:vAlign w:val="center"/>
          </w:tcPr>
          <w:p w14:paraId="04BCB4C2">
            <w:pPr>
              <w:adjustRightInd w:val="0"/>
              <w:snapToGrid w:val="0"/>
              <w:spacing w:line="360" w:lineRule="auto"/>
              <w:rPr>
                <w:rFonts w:ascii="宋体" w:hAnsi="宋体" w:cs="宋体"/>
                <w:color w:val="auto"/>
                <w:sz w:val="24"/>
              </w:rPr>
            </w:pPr>
            <w:r>
              <w:rPr>
                <w:rFonts w:hint="eastAsia" w:ascii="宋体" w:hAnsi="宋体" w:cs="宋体"/>
                <w:color w:val="auto"/>
                <w:sz w:val="24"/>
              </w:rPr>
              <w:t>边界防护</w:t>
            </w:r>
          </w:p>
        </w:tc>
        <w:tc>
          <w:tcPr>
            <w:tcW w:w="6067" w:type="dxa"/>
            <w:vAlign w:val="center"/>
          </w:tcPr>
          <w:p w14:paraId="647F411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a)应保证跨越边界的访问和数据流通过边界设备提供的受控接口进行通信。</w:t>
            </w:r>
          </w:p>
        </w:tc>
      </w:tr>
      <w:tr w14:paraId="13204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continue"/>
            <w:vAlign w:val="center"/>
          </w:tcPr>
          <w:p w14:paraId="44FFE1EE">
            <w:pPr>
              <w:adjustRightInd w:val="0"/>
              <w:snapToGrid w:val="0"/>
              <w:spacing w:line="360" w:lineRule="auto"/>
              <w:ind w:firstLine="480" w:firstLineChars="200"/>
              <w:jc w:val="center"/>
              <w:rPr>
                <w:rFonts w:ascii="宋体" w:hAnsi="宋体" w:cs="宋体"/>
                <w:color w:val="auto"/>
                <w:sz w:val="24"/>
              </w:rPr>
            </w:pPr>
          </w:p>
        </w:tc>
        <w:tc>
          <w:tcPr>
            <w:tcW w:w="1918" w:type="dxa"/>
            <w:vMerge w:val="restart"/>
            <w:noWrap/>
            <w:vAlign w:val="center"/>
          </w:tcPr>
          <w:p w14:paraId="107F1FAC">
            <w:pPr>
              <w:adjustRightInd w:val="0"/>
              <w:snapToGrid w:val="0"/>
              <w:spacing w:line="360" w:lineRule="auto"/>
              <w:rPr>
                <w:rFonts w:ascii="宋体" w:hAnsi="宋体" w:cs="宋体"/>
                <w:color w:val="auto"/>
                <w:sz w:val="24"/>
              </w:rPr>
            </w:pPr>
            <w:r>
              <w:rPr>
                <w:rFonts w:hint="eastAsia" w:ascii="宋体" w:hAnsi="宋体" w:cs="宋体"/>
                <w:color w:val="auto"/>
                <w:sz w:val="24"/>
              </w:rPr>
              <w:t>访问控制</w:t>
            </w:r>
          </w:p>
        </w:tc>
        <w:tc>
          <w:tcPr>
            <w:tcW w:w="6067" w:type="dxa"/>
            <w:vAlign w:val="center"/>
          </w:tcPr>
          <w:p w14:paraId="7CF2CBE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a)应在网络边界或区域之间访问控制策略设置访问控制规则，默认情况下除允许通信外受控接口拒绝所有通信；</w:t>
            </w:r>
          </w:p>
        </w:tc>
      </w:tr>
      <w:tr w14:paraId="4E80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27EC601A">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561B6ADA">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790AEF3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b)应删除多余或无效的访问控制规则，优化访问控制列表，并保证访问控制规则数量最小化；</w:t>
            </w:r>
          </w:p>
        </w:tc>
      </w:tr>
      <w:tr w14:paraId="7526D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57BE8EB2">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7AF092D9">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0C1AEE15">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c）应对源地址、目标地址、源端口、目的端口和协议等进行检查，以允许/拒绝数据包进出；</w:t>
            </w:r>
          </w:p>
        </w:tc>
      </w:tr>
      <w:tr w14:paraId="71D5A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7E29527A">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69CBAC2F">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0D4E384E">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d)应能根据会话状态信息为进出数据流提供明确的允许/拒绝访问的能力。</w:t>
            </w:r>
          </w:p>
        </w:tc>
      </w:tr>
      <w:tr w14:paraId="4FECE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27C62DA1">
            <w:pPr>
              <w:adjustRightInd w:val="0"/>
              <w:snapToGrid w:val="0"/>
              <w:spacing w:line="360" w:lineRule="auto"/>
              <w:ind w:firstLine="480" w:firstLineChars="200"/>
              <w:jc w:val="center"/>
              <w:rPr>
                <w:rFonts w:ascii="宋体" w:hAnsi="宋体" w:cs="宋体"/>
                <w:color w:val="auto"/>
                <w:sz w:val="24"/>
              </w:rPr>
            </w:pPr>
          </w:p>
        </w:tc>
        <w:tc>
          <w:tcPr>
            <w:tcW w:w="1918" w:type="dxa"/>
            <w:noWrap/>
            <w:vAlign w:val="center"/>
          </w:tcPr>
          <w:p w14:paraId="5FB11282">
            <w:pPr>
              <w:adjustRightInd w:val="0"/>
              <w:snapToGrid w:val="0"/>
              <w:spacing w:line="360" w:lineRule="auto"/>
              <w:rPr>
                <w:rFonts w:ascii="宋体" w:hAnsi="宋体" w:cs="宋体"/>
                <w:color w:val="auto"/>
                <w:sz w:val="24"/>
              </w:rPr>
            </w:pPr>
            <w:r>
              <w:rPr>
                <w:rFonts w:hint="eastAsia" w:ascii="宋体" w:hAnsi="宋体" w:cs="宋体"/>
                <w:color w:val="auto"/>
                <w:sz w:val="24"/>
              </w:rPr>
              <w:t>入侵防范</w:t>
            </w:r>
          </w:p>
        </w:tc>
        <w:tc>
          <w:tcPr>
            <w:tcW w:w="6067" w:type="dxa"/>
            <w:vAlign w:val="center"/>
          </w:tcPr>
          <w:p w14:paraId="2C3A8148">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a）应在关键网络节点处监视网络攻击行为。</w:t>
            </w:r>
          </w:p>
        </w:tc>
      </w:tr>
      <w:tr w14:paraId="22312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650EC209">
            <w:pPr>
              <w:adjustRightInd w:val="0"/>
              <w:snapToGrid w:val="0"/>
              <w:spacing w:line="360" w:lineRule="auto"/>
              <w:ind w:firstLine="480" w:firstLineChars="200"/>
              <w:jc w:val="center"/>
              <w:rPr>
                <w:rFonts w:ascii="宋体" w:hAnsi="宋体" w:cs="宋体"/>
                <w:color w:val="auto"/>
                <w:sz w:val="24"/>
              </w:rPr>
            </w:pPr>
          </w:p>
        </w:tc>
        <w:tc>
          <w:tcPr>
            <w:tcW w:w="1918" w:type="dxa"/>
            <w:noWrap/>
            <w:vAlign w:val="center"/>
          </w:tcPr>
          <w:p w14:paraId="2AF5624E">
            <w:pPr>
              <w:adjustRightInd w:val="0"/>
              <w:snapToGrid w:val="0"/>
              <w:spacing w:line="360" w:lineRule="auto"/>
              <w:rPr>
                <w:rFonts w:ascii="宋体" w:hAnsi="宋体" w:cs="宋体"/>
                <w:color w:val="auto"/>
                <w:sz w:val="24"/>
              </w:rPr>
            </w:pPr>
            <w:r>
              <w:rPr>
                <w:rFonts w:hint="eastAsia" w:ascii="宋体" w:hAnsi="宋体" w:cs="宋体"/>
                <w:color w:val="auto"/>
                <w:sz w:val="24"/>
              </w:rPr>
              <w:t>恶意代码防范</w:t>
            </w:r>
          </w:p>
        </w:tc>
        <w:tc>
          <w:tcPr>
            <w:tcW w:w="6067" w:type="dxa"/>
            <w:vAlign w:val="center"/>
          </w:tcPr>
          <w:p w14:paraId="7FB21D8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 应在关键网络节点处对恶意代码进行检测和清除，并维护恶意代码防护机制的升级和更新。</w:t>
            </w:r>
          </w:p>
        </w:tc>
      </w:tr>
      <w:tr w14:paraId="7AB09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continue"/>
            <w:vAlign w:val="center"/>
          </w:tcPr>
          <w:p w14:paraId="4CE5F370">
            <w:pPr>
              <w:adjustRightInd w:val="0"/>
              <w:snapToGrid w:val="0"/>
              <w:spacing w:line="360" w:lineRule="auto"/>
              <w:ind w:firstLine="480" w:firstLineChars="200"/>
              <w:jc w:val="center"/>
              <w:rPr>
                <w:rFonts w:ascii="宋体" w:hAnsi="宋体" w:cs="宋体"/>
                <w:color w:val="auto"/>
                <w:sz w:val="24"/>
              </w:rPr>
            </w:pPr>
          </w:p>
        </w:tc>
        <w:tc>
          <w:tcPr>
            <w:tcW w:w="1918" w:type="dxa"/>
            <w:vMerge w:val="restart"/>
            <w:noWrap/>
            <w:vAlign w:val="center"/>
          </w:tcPr>
          <w:p w14:paraId="62A5D337">
            <w:pPr>
              <w:adjustRightInd w:val="0"/>
              <w:snapToGrid w:val="0"/>
              <w:spacing w:line="360" w:lineRule="auto"/>
              <w:rPr>
                <w:rFonts w:ascii="宋体" w:hAnsi="宋体" w:cs="宋体"/>
                <w:color w:val="auto"/>
                <w:sz w:val="24"/>
              </w:rPr>
            </w:pPr>
            <w:r>
              <w:rPr>
                <w:rFonts w:hint="eastAsia" w:ascii="宋体" w:hAnsi="宋体" w:cs="宋体"/>
                <w:color w:val="auto"/>
                <w:sz w:val="24"/>
              </w:rPr>
              <w:t>安全审计</w:t>
            </w:r>
          </w:p>
        </w:tc>
        <w:tc>
          <w:tcPr>
            <w:tcW w:w="6067" w:type="dxa"/>
            <w:vAlign w:val="center"/>
          </w:tcPr>
          <w:p w14:paraId="5FD8C0A6">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 应在网络边界，重要网络节点进行安全审计，审计覆盖到每个用户，对重要的用户行为和重要安全事件进行审计；</w:t>
            </w:r>
          </w:p>
        </w:tc>
      </w:tr>
      <w:tr w14:paraId="749C7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20349B95">
            <w:pPr>
              <w:adjustRightInd w:val="0"/>
              <w:snapToGrid w:val="0"/>
              <w:spacing w:line="360" w:lineRule="auto"/>
              <w:ind w:firstLine="480" w:firstLineChars="200"/>
              <w:jc w:val="center"/>
              <w:rPr>
                <w:rFonts w:ascii="宋体" w:hAnsi="宋体" w:cs="宋体"/>
                <w:color w:val="auto"/>
                <w:sz w:val="24"/>
              </w:rPr>
            </w:pPr>
          </w:p>
        </w:tc>
        <w:tc>
          <w:tcPr>
            <w:tcW w:w="1918" w:type="dxa"/>
            <w:vMerge w:val="continue"/>
            <w:shd w:val="clear" w:color="auto" w:fill="auto"/>
            <w:vAlign w:val="center"/>
          </w:tcPr>
          <w:p w14:paraId="1CA3C42E">
            <w:pPr>
              <w:adjustRightInd w:val="0"/>
              <w:snapToGrid w:val="0"/>
              <w:spacing w:line="360" w:lineRule="auto"/>
              <w:ind w:firstLine="480" w:firstLineChars="200"/>
              <w:jc w:val="center"/>
              <w:rPr>
                <w:rFonts w:ascii="宋体" w:hAnsi="宋体" w:cs="宋体"/>
                <w:color w:val="auto"/>
                <w:sz w:val="24"/>
              </w:rPr>
            </w:pPr>
          </w:p>
        </w:tc>
        <w:tc>
          <w:tcPr>
            <w:tcW w:w="6067" w:type="dxa"/>
            <w:shd w:val="clear" w:color="000000" w:fill="FFFFFF"/>
            <w:vAlign w:val="center"/>
          </w:tcPr>
          <w:p w14:paraId="738E6EB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 审计记录应包括事件的日期和时间、用户、事件类型、事件是否成功及其他与审计相关的信息；</w:t>
            </w:r>
          </w:p>
        </w:tc>
      </w:tr>
      <w:tr w14:paraId="45F99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5BD7D388">
            <w:pPr>
              <w:adjustRightInd w:val="0"/>
              <w:snapToGrid w:val="0"/>
              <w:spacing w:line="360" w:lineRule="auto"/>
              <w:ind w:firstLine="480" w:firstLineChars="200"/>
              <w:jc w:val="center"/>
              <w:rPr>
                <w:rFonts w:ascii="宋体" w:hAnsi="宋体" w:cs="宋体"/>
                <w:color w:val="auto"/>
                <w:sz w:val="24"/>
              </w:rPr>
            </w:pPr>
          </w:p>
        </w:tc>
        <w:tc>
          <w:tcPr>
            <w:tcW w:w="1918" w:type="dxa"/>
            <w:vMerge w:val="continue"/>
            <w:shd w:val="clear" w:color="auto" w:fill="auto"/>
            <w:vAlign w:val="center"/>
          </w:tcPr>
          <w:p w14:paraId="4F830934">
            <w:pPr>
              <w:adjustRightInd w:val="0"/>
              <w:snapToGrid w:val="0"/>
              <w:spacing w:line="360" w:lineRule="auto"/>
              <w:ind w:firstLine="480" w:firstLineChars="200"/>
              <w:jc w:val="center"/>
              <w:rPr>
                <w:rFonts w:ascii="宋体" w:hAnsi="宋体" w:cs="宋体"/>
                <w:color w:val="auto"/>
                <w:sz w:val="24"/>
              </w:rPr>
            </w:pPr>
          </w:p>
        </w:tc>
        <w:tc>
          <w:tcPr>
            <w:tcW w:w="6067" w:type="dxa"/>
            <w:shd w:val="clear" w:color="000000" w:fill="FFFFFF"/>
            <w:vAlign w:val="center"/>
          </w:tcPr>
          <w:p w14:paraId="455B4A2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c）应对审计记录进行保护，定期备份，避免受到未预期的删除、修改或覆盖等。</w:t>
            </w:r>
          </w:p>
        </w:tc>
      </w:tr>
      <w:tr w14:paraId="5DF20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continue"/>
            <w:shd w:val="clear" w:color="auto" w:fill="auto"/>
            <w:vAlign w:val="center"/>
          </w:tcPr>
          <w:p w14:paraId="4873D89C">
            <w:pPr>
              <w:adjustRightInd w:val="0"/>
              <w:snapToGrid w:val="0"/>
              <w:spacing w:line="360" w:lineRule="auto"/>
              <w:ind w:firstLine="480" w:firstLineChars="200"/>
              <w:jc w:val="center"/>
              <w:rPr>
                <w:rFonts w:ascii="宋体" w:hAnsi="宋体" w:cs="宋体"/>
                <w:color w:val="auto"/>
                <w:sz w:val="24"/>
              </w:rPr>
            </w:pPr>
          </w:p>
        </w:tc>
        <w:tc>
          <w:tcPr>
            <w:tcW w:w="1918" w:type="dxa"/>
            <w:shd w:val="clear" w:color="auto" w:fill="auto"/>
            <w:noWrap/>
            <w:vAlign w:val="center"/>
          </w:tcPr>
          <w:p w14:paraId="35107B1F">
            <w:pPr>
              <w:adjustRightInd w:val="0"/>
              <w:snapToGrid w:val="0"/>
              <w:spacing w:line="360" w:lineRule="auto"/>
              <w:rPr>
                <w:rFonts w:ascii="宋体" w:hAnsi="宋体" w:cs="宋体"/>
                <w:color w:val="auto"/>
                <w:sz w:val="24"/>
              </w:rPr>
            </w:pPr>
            <w:r>
              <w:rPr>
                <w:rFonts w:hint="eastAsia" w:ascii="宋体" w:hAnsi="宋体" w:cs="宋体"/>
                <w:color w:val="auto"/>
                <w:sz w:val="24"/>
              </w:rPr>
              <w:t>可信验证</w:t>
            </w:r>
          </w:p>
        </w:tc>
        <w:tc>
          <w:tcPr>
            <w:tcW w:w="6067" w:type="dxa"/>
            <w:shd w:val="clear" w:color="000000" w:fill="FFFFFF"/>
            <w:vAlign w:val="center"/>
          </w:tcPr>
          <w:p w14:paraId="66E21D2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a)可基于可信根对边界设备的系统引导程序、系统程序、重要配置参数和通信应用程序等进行可信验证，并在检测到其可信性受到破坏后进行报警，并将验证结果形成审计记录送至安全管理中心。</w:t>
            </w:r>
          </w:p>
        </w:tc>
      </w:tr>
      <w:tr w14:paraId="58138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restart"/>
            <w:shd w:val="clear" w:color="auto" w:fill="auto"/>
            <w:vAlign w:val="center"/>
          </w:tcPr>
          <w:p w14:paraId="24374FCA">
            <w:pPr>
              <w:adjustRightInd w:val="0"/>
              <w:snapToGrid w:val="0"/>
              <w:spacing w:line="360" w:lineRule="auto"/>
              <w:jc w:val="center"/>
              <w:rPr>
                <w:rFonts w:ascii="宋体" w:hAnsi="宋体" w:cs="宋体"/>
                <w:color w:val="auto"/>
                <w:sz w:val="24"/>
              </w:rPr>
            </w:pPr>
            <w:r>
              <w:rPr>
                <w:rFonts w:hint="eastAsia" w:ascii="宋体" w:hAnsi="宋体" w:cs="宋体"/>
                <w:color w:val="auto"/>
                <w:sz w:val="24"/>
              </w:rPr>
              <w:t>安全计算环境</w:t>
            </w:r>
          </w:p>
        </w:tc>
        <w:tc>
          <w:tcPr>
            <w:tcW w:w="1918" w:type="dxa"/>
            <w:vMerge w:val="restart"/>
            <w:shd w:val="clear" w:color="auto" w:fill="auto"/>
            <w:noWrap/>
            <w:vAlign w:val="center"/>
          </w:tcPr>
          <w:p w14:paraId="7E9BDEE7">
            <w:pPr>
              <w:adjustRightInd w:val="0"/>
              <w:snapToGrid w:val="0"/>
              <w:spacing w:line="360" w:lineRule="auto"/>
              <w:rPr>
                <w:rFonts w:ascii="宋体" w:hAnsi="宋体" w:cs="宋体"/>
                <w:color w:val="auto"/>
                <w:sz w:val="24"/>
              </w:rPr>
            </w:pPr>
            <w:r>
              <w:rPr>
                <w:rFonts w:hint="eastAsia" w:ascii="宋体" w:hAnsi="宋体" w:cs="宋体"/>
                <w:color w:val="auto"/>
                <w:sz w:val="24"/>
              </w:rPr>
              <w:t>身份鉴别</w:t>
            </w:r>
          </w:p>
        </w:tc>
        <w:tc>
          <w:tcPr>
            <w:tcW w:w="6067" w:type="dxa"/>
            <w:shd w:val="clear" w:color="000000" w:fill="FFFFFF"/>
            <w:vAlign w:val="center"/>
          </w:tcPr>
          <w:p w14:paraId="584CF34E">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a)应对登录的用户进行身份标识和鉴别，身份标识具有唯一性，身份鉴别信息具有复杂度要求并定期更换；</w:t>
            </w:r>
          </w:p>
        </w:tc>
      </w:tr>
      <w:tr w14:paraId="3E9AB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continue"/>
            <w:shd w:val="clear" w:color="auto" w:fill="auto"/>
            <w:vAlign w:val="center"/>
          </w:tcPr>
          <w:p w14:paraId="28EA588C">
            <w:pPr>
              <w:adjustRightInd w:val="0"/>
              <w:snapToGrid w:val="0"/>
              <w:spacing w:line="360" w:lineRule="auto"/>
              <w:ind w:firstLine="480" w:firstLineChars="200"/>
              <w:jc w:val="center"/>
              <w:rPr>
                <w:rFonts w:ascii="宋体" w:hAnsi="宋体" w:cs="宋体"/>
                <w:color w:val="auto"/>
                <w:sz w:val="24"/>
              </w:rPr>
            </w:pPr>
          </w:p>
        </w:tc>
        <w:tc>
          <w:tcPr>
            <w:tcW w:w="1918" w:type="dxa"/>
            <w:vMerge w:val="continue"/>
            <w:shd w:val="clear" w:color="auto" w:fill="auto"/>
            <w:vAlign w:val="center"/>
          </w:tcPr>
          <w:p w14:paraId="0C4A17CA">
            <w:pPr>
              <w:adjustRightInd w:val="0"/>
              <w:snapToGrid w:val="0"/>
              <w:spacing w:line="360" w:lineRule="auto"/>
              <w:ind w:firstLine="480" w:firstLineChars="200"/>
              <w:jc w:val="center"/>
              <w:rPr>
                <w:rFonts w:ascii="宋体" w:hAnsi="宋体" w:cs="宋体"/>
                <w:color w:val="auto"/>
                <w:sz w:val="24"/>
              </w:rPr>
            </w:pPr>
          </w:p>
        </w:tc>
        <w:tc>
          <w:tcPr>
            <w:tcW w:w="6067" w:type="dxa"/>
            <w:shd w:val="clear" w:color="000000" w:fill="FFFFFF"/>
            <w:vAlign w:val="center"/>
          </w:tcPr>
          <w:p w14:paraId="1D7EBC5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b)应具有登录失败处理功能，应配置并启用结束会话、限制非法登陆次数和当登录连接超时自动退出等相关措施；</w:t>
            </w:r>
          </w:p>
        </w:tc>
      </w:tr>
      <w:tr w14:paraId="05042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128FFA81">
            <w:pPr>
              <w:adjustRightInd w:val="0"/>
              <w:snapToGrid w:val="0"/>
              <w:spacing w:line="360" w:lineRule="auto"/>
              <w:ind w:firstLine="480" w:firstLineChars="200"/>
              <w:jc w:val="center"/>
              <w:rPr>
                <w:rFonts w:ascii="宋体" w:hAnsi="宋体" w:cs="宋体"/>
                <w:color w:val="auto"/>
                <w:sz w:val="24"/>
              </w:rPr>
            </w:pPr>
          </w:p>
        </w:tc>
        <w:tc>
          <w:tcPr>
            <w:tcW w:w="1918" w:type="dxa"/>
            <w:vMerge w:val="continue"/>
            <w:shd w:val="clear" w:color="auto" w:fill="auto"/>
            <w:vAlign w:val="center"/>
          </w:tcPr>
          <w:p w14:paraId="128F2658">
            <w:pPr>
              <w:adjustRightInd w:val="0"/>
              <w:snapToGrid w:val="0"/>
              <w:spacing w:line="360" w:lineRule="auto"/>
              <w:ind w:firstLine="480" w:firstLineChars="200"/>
              <w:jc w:val="center"/>
              <w:rPr>
                <w:rFonts w:ascii="宋体" w:hAnsi="宋体" w:cs="宋体"/>
                <w:color w:val="auto"/>
                <w:sz w:val="24"/>
              </w:rPr>
            </w:pPr>
          </w:p>
        </w:tc>
        <w:tc>
          <w:tcPr>
            <w:tcW w:w="6067" w:type="dxa"/>
            <w:shd w:val="clear" w:color="000000" w:fill="FFFFFF"/>
            <w:vAlign w:val="center"/>
          </w:tcPr>
          <w:p w14:paraId="087A8BD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c)当进行远程管理时，应采取必要的措施防止鉴别信息在网络传输过程中被窃听。</w:t>
            </w:r>
          </w:p>
        </w:tc>
      </w:tr>
      <w:tr w14:paraId="64C4B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7F3932FD">
            <w:pPr>
              <w:adjustRightInd w:val="0"/>
              <w:snapToGrid w:val="0"/>
              <w:spacing w:line="360" w:lineRule="auto"/>
              <w:ind w:firstLine="480" w:firstLineChars="200"/>
              <w:jc w:val="center"/>
              <w:rPr>
                <w:rFonts w:ascii="宋体" w:hAnsi="宋体" w:cs="宋体"/>
                <w:color w:val="auto"/>
                <w:sz w:val="24"/>
              </w:rPr>
            </w:pPr>
          </w:p>
        </w:tc>
        <w:tc>
          <w:tcPr>
            <w:tcW w:w="1918" w:type="dxa"/>
            <w:vMerge w:val="restart"/>
            <w:shd w:val="clear" w:color="auto" w:fill="auto"/>
            <w:noWrap/>
            <w:vAlign w:val="center"/>
          </w:tcPr>
          <w:p w14:paraId="32F91DAB">
            <w:pPr>
              <w:adjustRightInd w:val="0"/>
              <w:snapToGrid w:val="0"/>
              <w:spacing w:line="360" w:lineRule="auto"/>
              <w:rPr>
                <w:rFonts w:ascii="宋体" w:hAnsi="宋体" w:cs="宋体"/>
                <w:color w:val="auto"/>
                <w:sz w:val="24"/>
              </w:rPr>
            </w:pPr>
            <w:r>
              <w:rPr>
                <w:rFonts w:hint="eastAsia" w:ascii="宋体" w:hAnsi="宋体" w:cs="宋体"/>
                <w:color w:val="auto"/>
                <w:sz w:val="24"/>
              </w:rPr>
              <w:t>访问控制</w:t>
            </w:r>
          </w:p>
        </w:tc>
        <w:tc>
          <w:tcPr>
            <w:tcW w:w="6067" w:type="dxa"/>
            <w:shd w:val="clear" w:color="000000" w:fill="FFFFFF"/>
            <w:vAlign w:val="center"/>
          </w:tcPr>
          <w:p w14:paraId="0203E17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a)应对登录的用户分配账户和权限；</w:t>
            </w:r>
          </w:p>
        </w:tc>
      </w:tr>
      <w:tr w14:paraId="1DB25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29907F20">
            <w:pPr>
              <w:adjustRightInd w:val="0"/>
              <w:snapToGrid w:val="0"/>
              <w:spacing w:line="360" w:lineRule="auto"/>
              <w:ind w:firstLine="480" w:firstLineChars="200"/>
              <w:jc w:val="left"/>
              <w:rPr>
                <w:rFonts w:ascii="宋体" w:hAnsi="宋体" w:cs="宋体"/>
                <w:color w:val="auto"/>
                <w:sz w:val="24"/>
              </w:rPr>
            </w:pPr>
          </w:p>
        </w:tc>
        <w:tc>
          <w:tcPr>
            <w:tcW w:w="1918" w:type="dxa"/>
            <w:vMerge w:val="continue"/>
            <w:shd w:val="clear" w:color="auto" w:fill="auto"/>
            <w:vAlign w:val="center"/>
          </w:tcPr>
          <w:p w14:paraId="1600896B">
            <w:pPr>
              <w:adjustRightInd w:val="0"/>
              <w:snapToGrid w:val="0"/>
              <w:spacing w:line="360" w:lineRule="auto"/>
              <w:ind w:firstLine="480" w:firstLineChars="200"/>
              <w:jc w:val="left"/>
              <w:rPr>
                <w:rFonts w:ascii="宋体" w:hAnsi="宋体" w:cs="宋体"/>
                <w:color w:val="auto"/>
                <w:sz w:val="24"/>
              </w:rPr>
            </w:pPr>
          </w:p>
        </w:tc>
        <w:tc>
          <w:tcPr>
            <w:tcW w:w="6067" w:type="dxa"/>
            <w:shd w:val="clear" w:color="000000" w:fill="FFFFFF"/>
            <w:vAlign w:val="center"/>
          </w:tcPr>
          <w:p w14:paraId="26A41188">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b)应重命名或删除默认账户，修改默认账户的默认口令；</w:t>
            </w:r>
          </w:p>
        </w:tc>
      </w:tr>
      <w:tr w14:paraId="111F6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11DA1DA4">
            <w:pPr>
              <w:adjustRightInd w:val="0"/>
              <w:snapToGrid w:val="0"/>
              <w:spacing w:line="360" w:lineRule="auto"/>
              <w:ind w:firstLine="480" w:firstLineChars="200"/>
              <w:jc w:val="left"/>
              <w:rPr>
                <w:rFonts w:ascii="宋体" w:hAnsi="宋体" w:cs="宋体"/>
                <w:color w:val="auto"/>
                <w:sz w:val="24"/>
              </w:rPr>
            </w:pPr>
          </w:p>
        </w:tc>
        <w:tc>
          <w:tcPr>
            <w:tcW w:w="1918" w:type="dxa"/>
            <w:vMerge w:val="continue"/>
            <w:shd w:val="clear" w:color="auto" w:fill="auto"/>
            <w:vAlign w:val="center"/>
          </w:tcPr>
          <w:p w14:paraId="002279DF">
            <w:pPr>
              <w:adjustRightInd w:val="0"/>
              <w:snapToGrid w:val="0"/>
              <w:spacing w:line="360" w:lineRule="auto"/>
              <w:ind w:firstLine="480" w:firstLineChars="200"/>
              <w:jc w:val="left"/>
              <w:rPr>
                <w:rFonts w:ascii="宋体" w:hAnsi="宋体" w:cs="宋体"/>
                <w:color w:val="auto"/>
                <w:sz w:val="24"/>
              </w:rPr>
            </w:pPr>
          </w:p>
        </w:tc>
        <w:tc>
          <w:tcPr>
            <w:tcW w:w="6067" w:type="dxa"/>
            <w:shd w:val="clear" w:color="000000" w:fill="FFFFFF"/>
            <w:vAlign w:val="center"/>
          </w:tcPr>
          <w:p w14:paraId="777752A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c)应及时删除或停用多余的、过期的账户，避免共享账户的存在；</w:t>
            </w:r>
          </w:p>
        </w:tc>
      </w:tr>
      <w:tr w14:paraId="0B26B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7F507C05">
            <w:pPr>
              <w:adjustRightInd w:val="0"/>
              <w:snapToGrid w:val="0"/>
              <w:spacing w:line="360" w:lineRule="auto"/>
              <w:ind w:firstLine="480" w:firstLineChars="200"/>
              <w:jc w:val="left"/>
              <w:rPr>
                <w:rFonts w:ascii="宋体" w:hAnsi="宋体" w:cs="宋体"/>
                <w:color w:val="auto"/>
                <w:sz w:val="24"/>
              </w:rPr>
            </w:pPr>
          </w:p>
        </w:tc>
        <w:tc>
          <w:tcPr>
            <w:tcW w:w="1918" w:type="dxa"/>
            <w:vMerge w:val="continue"/>
            <w:shd w:val="clear" w:color="auto" w:fill="auto"/>
            <w:vAlign w:val="center"/>
          </w:tcPr>
          <w:p w14:paraId="42D51F8A">
            <w:pPr>
              <w:adjustRightInd w:val="0"/>
              <w:snapToGrid w:val="0"/>
              <w:spacing w:line="360" w:lineRule="auto"/>
              <w:ind w:firstLine="480" w:firstLineChars="200"/>
              <w:jc w:val="left"/>
              <w:rPr>
                <w:rFonts w:ascii="宋体" w:hAnsi="宋体" w:cs="宋体"/>
                <w:color w:val="auto"/>
                <w:sz w:val="24"/>
              </w:rPr>
            </w:pPr>
          </w:p>
        </w:tc>
        <w:tc>
          <w:tcPr>
            <w:tcW w:w="6067" w:type="dxa"/>
            <w:shd w:val="clear" w:color="000000" w:fill="FFFFFF"/>
            <w:vAlign w:val="center"/>
          </w:tcPr>
          <w:p w14:paraId="78D1978E">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d)应授予管理用户所需的最小权限，实现管理用户的权限分离。</w:t>
            </w:r>
          </w:p>
        </w:tc>
      </w:tr>
      <w:tr w14:paraId="24631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3E700408">
            <w:pPr>
              <w:adjustRightInd w:val="0"/>
              <w:snapToGrid w:val="0"/>
              <w:spacing w:line="360" w:lineRule="auto"/>
              <w:ind w:firstLine="480" w:firstLineChars="200"/>
              <w:jc w:val="left"/>
              <w:rPr>
                <w:rFonts w:ascii="宋体" w:hAnsi="宋体" w:cs="宋体"/>
                <w:color w:val="auto"/>
                <w:sz w:val="24"/>
              </w:rPr>
            </w:pPr>
          </w:p>
        </w:tc>
        <w:tc>
          <w:tcPr>
            <w:tcW w:w="1918" w:type="dxa"/>
            <w:vMerge w:val="restart"/>
            <w:shd w:val="clear" w:color="auto" w:fill="auto"/>
            <w:noWrap/>
            <w:vAlign w:val="center"/>
          </w:tcPr>
          <w:p w14:paraId="66EDB52F">
            <w:pPr>
              <w:adjustRightInd w:val="0"/>
              <w:snapToGrid w:val="0"/>
              <w:spacing w:line="360" w:lineRule="auto"/>
              <w:jc w:val="left"/>
              <w:rPr>
                <w:rFonts w:ascii="宋体" w:hAnsi="宋体" w:cs="宋体"/>
                <w:color w:val="auto"/>
                <w:sz w:val="24"/>
              </w:rPr>
            </w:pPr>
            <w:r>
              <w:rPr>
                <w:rFonts w:hint="eastAsia" w:ascii="宋体" w:hAnsi="宋体" w:cs="宋体"/>
                <w:color w:val="auto"/>
                <w:sz w:val="24"/>
              </w:rPr>
              <w:t>安全审计</w:t>
            </w:r>
          </w:p>
        </w:tc>
        <w:tc>
          <w:tcPr>
            <w:tcW w:w="6067" w:type="dxa"/>
            <w:shd w:val="clear" w:color="000000" w:fill="FFFFFF"/>
            <w:vAlign w:val="center"/>
          </w:tcPr>
          <w:p w14:paraId="364C979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a)应提供安全审计功能，审计覆盖到每个用户，对重要的用户行为和重要安全事件进行审计；</w:t>
            </w:r>
          </w:p>
        </w:tc>
      </w:tr>
      <w:tr w14:paraId="1C51F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571C1D97">
            <w:pPr>
              <w:adjustRightInd w:val="0"/>
              <w:snapToGrid w:val="0"/>
              <w:spacing w:line="360" w:lineRule="auto"/>
              <w:ind w:firstLine="480" w:firstLineChars="200"/>
              <w:jc w:val="left"/>
              <w:rPr>
                <w:rFonts w:ascii="宋体" w:hAnsi="宋体" w:cs="宋体"/>
                <w:color w:val="auto"/>
                <w:sz w:val="24"/>
              </w:rPr>
            </w:pPr>
          </w:p>
        </w:tc>
        <w:tc>
          <w:tcPr>
            <w:tcW w:w="1918" w:type="dxa"/>
            <w:vMerge w:val="continue"/>
            <w:vAlign w:val="center"/>
          </w:tcPr>
          <w:p w14:paraId="3C6A1CA8">
            <w:pPr>
              <w:adjustRightInd w:val="0"/>
              <w:snapToGrid w:val="0"/>
              <w:spacing w:line="360" w:lineRule="auto"/>
              <w:ind w:firstLine="480" w:firstLineChars="200"/>
              <w:jc w:val="left"/>
              <w:rPr>
                <w:rFonts w:ascii="宋体" w:hAnsi="宋体" w:cs="宋体"/>
                <w:color w:val="auto"/>
                <w:sz w:val="24"/>
              </w:rPr>
            </w:pPr>
          </w:p>
        </w:tc>
        <w:tc>
          <w:tcPr>
            <w:tcW w:w="6067" w:type="dxa"/>
            <w:vAlign w:val="center"/>
          </w:tcPr>
          <w:p w14:paraId="6F11CDA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b)审计记录应包括事件的日期和时间、用户、事件类型、事件是否成功及其他与审计相关的信息；</w:t>
            </w:r>
          </w:p>
        </w:tc>
      </w:tr>
      <w:tr w14:paraId="538E9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13B655DE">
            <w:pPr>
              <w:adjustRightInd w:val="0"/>
              <w:snapToGrid w:val="0"/>
              <w:spacing w:line="360" w:lineRule="auto"/>
              <w:ind w:firstLine="480" w:firstLineChars="200"/>
              <w:jc w:val="left"/>
              <w:rPr>
                <w:rFonts w:ascii="宋体" w:hAnsi="宋体" w:cs="宋体"/>
                <w:color w:val="auto"/>
                <w:sz w:val="24"/>
              </w:rPr>
            </w:pPr>
          </w:p>
        </w:tc>
        <w:tc>
          <w:tcPr>
            <w:tcW w:w="1918" w:type="dxa"/>
            <w:vMerge w:val="continue"/>
            <w:vAlign w:val="center"/>
          </w:tcPr>
          <w:p w14:paraId="52D74E8D">
            <w:pPr>
              <w:adjustRightInd w:val="0"/>
              <w:snapToGrid w:val="0"/>
              <w:spacing w:line="360" w:lineRule="auto"/>
              <w:ind w:firstLine="480" w:firstLineChars="200"/>
              <w:jc w:val="left"/>
              <w:rPr>
                <w:rFonts w:ascii="宋体" w:hAnsi="宋体" w:cs="宋体"/>
                <w:color w:val="auto"/>
                <w:sz w:val="24"/>
              </w:rPr>
            </w:pPr>
          </w:p>
        </w:tc>
        <w:tc>
          <w:tcPr>
            <w:tcW w:w="6067" w:type="dxa"/>
            <w:vAlign w:val="center"/>
          </w:tcPr>
          <w:p w14:paraId="08C82F8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c)应对审计记录进行保护，定期备份，避免受到未预期的删除、修改或覆盖等。</w:t>
            </w:r>
          </w:p>
        </w:tc>
      </w:tr>
      <w:tr w14:paraId="7543D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5888DCCD">
            <w:pPr>
              <w:adjustRightInd w:val="0"/>
              <w:snapToGrid w:val="0"/>
              <w:spacing w:line="360" w:lineRule="auto"/>
              <w:ind w:firstLine="480" w:firstLineChars="200"/>
              <w:jc w:val="left"/>
              <w:rPr>
                <w:rFonts w:ascii="宋体" w:hAnsi="宋体" w:cs="宋体"/>
                <w:color w:val="auto"/>
                <w:sz w:val="24"/>
              </w:rPr>
            </w:pPr>
          </w:p>
        </w:tc>
        <w:tc>
          <w:tcPr>
            <w:tcW w:w="1918" w:type="dxa"/>
            <w:vMerge w:val="restart"/>
            <w:noWrap/>
            <w:vAlign w:val="center"/>
          </w:tcPr>
          <w:p w14:paraId="20BF4CE7">
            <w:pPr>
              <w:adjustRightInd w:val="0"/>
              <w:snapToGrid w:val="0"/>
              <w:spacing w:line="360" w:lineRule="auto"/>
              <w:jc w:val="left"/>
              <w:rPr>
                <w:rFonts w:ascii="宋体" w:hAnsi="宋体" w:cs="宋体"/>
                <w:color w:val="auto"/>
                <w:sz w:val="24"/>
              </w:rPr>
            </w:pPr>
            <w:r>
              <w:rPr>
                <w:rFonts w:hint="eastAsia" w:ascii="宋体" w:hAnsi="宋体" w:cs="宋体"/>
                <w:color w:val="auto"/>
                <w:sz w:val="24"/>
              </w:rPr>
              <w:t>入侵防范</w:t>
            </w:r>
          </w:p>
        </w:tc>
        <w:tc>
          <w:tcPr>
            <w:tcW w:w="6067" w:type="dxa"/>
            <w:vAlign w:val="center"/>
          </w:tcPr>
          <w:p w14:paraId="3568E486">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a)应遵循最小安装的原则，仅安装需要的组件和应用程序；</w:t>
            </w:r>
          </w:p>
        </w:tc>
      </w:tr>
      <w:tr w14:paraId="39FDC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4B4AE556">
            <w:pPr>
              <w:adjustRightInd w:val="0"/>
              <w:snapToGrid w:val="0"/>
              <w:spacing w:line="360" w:lineRule="auto"/>
              <w:ind w:firstLine="480" w:firstLineChars="200"/>
              <w:jc w:val="left"/>
              <w:rPr>
                <w:rFonts w:ascii="宋体" w:hAnsi="宋体" w:cs="宋体"/>
                <w:color w:val="auto"/>
                <w:sz w:val="24"/>
              </w:rPr>
            </w:pPr>
          </w:p>
        </w:tc>
        <w:tc>
          <w:tcPr>
            <w:tcW w:w="1918" w:type="dxa"/>
            <w:vMerge w:val="continue"/>
            <w:vAlign w:val="center"/>
          </w:tcPr>
          <w:p w14:paraId="77D50FB6">
            <w:pPr>
              <w:adjustRightInd w:val="0"/>
              <w:snapToGrid w:val="0"/>
              <w:spacing w:line="360" w:lineRule="auto"/>
              <w:ind w:firstLine="480" w:firstLineChars="200"/>
              <w:jc w:val="left"/>
              <w:rPr>
                <w:rFonts w:ascii="宋体" w:hAnsi="宋体" w:cs="宋体"/>
                <w:color w:val="auto"/>
                <w:sz w:val="24"/>
              </w:rPr>
            </w:pPr>
          </w:p>
        </w:tc>
        <w:tc>
          <w:tcPr>
            <w:tcW w:w="6067" w:type="dxa"/>
            <w:vAlign w:val="center"/>
          </w:tcPr>
          <w:p w14:paraId="70BF2E41">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b)应关闭不需要的系统服务、默认共享和高危端口；</w:t>
            </w:r>
          </w:p>
        </w:tc>
      </w:tr>
      <w:tr w14:paraId="60790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0520BBD5">
            <w:pPr>
              <w:adjustRightInd w:val="0"/>
              <w:snapToGrid w:val="0"/>
              <w:spacing w:line="360" w:lineRule="auto"/>
              <w:ind w:firstLine="480" w:firstLineChars="200"/>
              <w:jc w:val="left"/>
              <w:rPr>
                <w:rFonts w:ascii="宋体" w:hAnsi="宋体" w:cs="宋体"/>
                <w:color w:val="auto"/>
                <w:sz w:val="24"/>
              </w:rPr>
            </w:pPr>
          </w:p>
        </w:tc>
        <w:tc>
          <w:tcPr>
            <w:tcW w:w="1918" w:type="dxa"/>
            <w:vMerge w:val="continue"/>
            <w:vAlign w:val="center"/>
          </w:tcPr>
          <w:p w14:paraId="7142474A">
            <w:pPr>
              <w:adjustRightInd w:val="0"/>
              <w:snapToGrid w:val="0"/>
              <w:spacing w:line="360" w:lineRule="auto"/>
              <w:ind w:firstLine="480" w:firstLineChars="200"/>
              <w:jc w:val="left"/>
              <w:rPr>
                <w:rFonts w:ascii="宋体" w:hAnsi="宋体" w:cs="宋体"/>
                <w:color w:val="auto"/>
                <w:sz w:val="24"/>
              </w:rPr>
            </w:pPr>
          </w:p>
        </w:tc>
        <w:tc>
          <w:tcPr>
            <w:tcW w:w="6067" w:type="dxa"/>
            <w:vAlign w:val="center"/>
          </w:tcPr>
          <w:p w14:paraId="7A063A08">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c)应通过设定终端接入方式或网络地址范围对通过网络进行管理的管理终端进行限制；</w:t>
            </w:r>
          </w:p>
        </w:tc>
      </w:tr>
      <w:tr w14:paraId="15CB6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5114777A">
            <w:pPr>
              <w:adjustRightInd w:val="0"/>
              <w:snapToGrid w:val="0"/>
              <w:spacing w:line="360" w:lineRule="auto"/>
              <w:ind w:firstLine="480" w:firstLineChars="200"/>
              <w:jc w:val="left"/>
              <w:rPr>
                <w:rFonts w:ascii="宋体" w:hAnsi="宋体" w:cs="宋体"/>
                <w:color w:val="auto"/>
                <w:sz w:val="24"/>
              </w:rPr>
            </w:pPr>
          </w:p>
        </w:tc>
        <w:tc>
          <w:tcPr>
            <w:tcW w:w="1918" w:type="dxa"/>
            <w:vMerge w:val="continue"/>
            <w:vAlign w:val="center"/>
          </w:tcPr>
          <w:p w14:paraId="584B7532">
            <w:pPr>
              <w:adjustRightInd w:val="0"/>
              <w:snapToGrid w:val="0"/>
              <w:spacing w:line="360" w:lineRule="auto"/>
              <w:ind w:firstLine="480" w:firstLineChars="200"/>
              <w:jc w:val="left"/>
              <w:rPr>
                <w:rFonts w:ascii="宋体" w:hAnsi="宋体" w:cs="宋体"/>
                <w:color w:val="auto"/>
                <w:sz w:val="24"/>
              </w:rPr>
            </w:pPr>
          </w:p>
        </w:tc>
        <w:tc>
          <w:tcPr>
            <w:tcW w:w="6067" w:type="dxa"/>
            <w:vAlign w:val="center"/>
          </w:tcPr>
          <w:p w14:paraId="3C40ABD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d)应提供数据有效性检验功能，保证通过人机接口输入或通过通信接口输入的内容符合系统设定要求。</w:t>
            </w:r>
          </w:p>
        </w:tc>
      </w:tr>
      <w:tr w14:paraId="0D62D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1F7AFAAE">
            <w:pPr>
              <w:adjustRightInd w:val="0"/>
              <w:snapToGrid w:val="0"/>
              <w:spacing w:line="360" w:lineRule="auto"/>
              <w:ind w:firstLine="480" w:firstLineChars="200"/>
              <w:jc w:val="left"/>
              <w:rPr>
                <w:rFonts w:ascii="宋体" w:hAnsi="宋体" w:cs="宋体"/>
                <w:color w:val="auto"/>
                <w:sz w:val="24"/>
              </w:rPr>
            </w:pPr>
          </w:p>
        </w:tc>
        <w:tc>
          <w:tcPr>
            <w:tcW w:w="1918" w:type="dxa"/>
            <w:vMerge w:val="continue"/>
            <w:vAlign w:val="center"/>
          </w:tcPr>
          <w:p w14:paraId="7BBD49EF">
            <w:pPr>
              <w:adjustRightInd w:val="0"/>
              <w:snapToGrid w:val="0"/>
              <w:spacing w:line="360" w:lineRule="auto"/>
              <w:ind w:firstLine="480" w:firstLineChars="200"/>
              <w:jc w:val="left"/>
              <w:rPr>
                <w:rFonts w:ascii="宋体" w:hAnsi="宋体" w:cs="宋体"/>
                <w:color w:val="auto"/>
                <w:sz w:val="24"/>
              </w:rPr>
            </w:pPr>
          </w:p>
        </w:tc>
        <w:tc>
          <w:tcPr>
            <w:tcW w:w="6067" w:type="dxa"/>
            <w:vAlign w:val="center"/>
          </w:tcPr>
          <w:p w14:paraId="78BA535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e)应能发现可能存在的已知漏洞，并在经过充分测试评估后，及时修补漏洞。</w:t>
            </w:r>
          </w:p>
        </w:tc>
      </w:tr>
      <w:tr w14:paraId="3CDB5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0011FC08">
            <w:pPr>
              <w:adjustRightInd w:val="0"/>
              <w:snapToGrid w:val="0"/>
              <w:spacing w:line="360" w:lineRule="auto"/>
              <w:ind w:firstLine="480" w:firstLineChars="200"/>
              <w:jc w:val="left"/>
              <w:rPr>
                <w:rFonts w:ascii="宋体" w:hAnsi="宋体" w:cs="宋体"/>
                <w:color w:val="auto"/>
                <w:sz w:val="24"/>
              </w:rPr>
            </w:pPr>
          </w:p>
        </w:tc>
        <w:tc>
          <w:tcPr>
            <w:tcW w:w="1918" w:type="dxa"/>
            <w:noWrap/>
            <w:vAlign w:val="center"/>
          </w:tcPr>
          <w:p w14:paraId="032556E0">
            <w:pPr>
              <w:adjustRightInd w:val="0"/>
              <w:snapToGrid w:val="0"/>
              <w:spacing w:line="360" w:lineRule="auto"/>
              <w:jc w:val="center"/>
              <w:rPr>
                <w:rFonts w:ascii="宋体" w:hAnsi="宋体" w:cs="宋体"/>
                <w:color w:val="auto"/>
                <w:sz w:val="24"/>
              </w:rPr>
            </w:pPr>
            <w:r>
              <w:rPr>
                <w:rFonts w:hint="eastAsia" w:ascii="宋体" w:hAnsi="宋体" w:cs="宋体"/>
                <w:color w:val="auto"/>
                <w:sz w:val="24"/>
              </w:rPr>
              <w:t>恶意代码防范</w:t>
            </w:r>
          </w:p>
        </w:tc>
        <w:tc>
          <w:tcPr>
            <w:tcW w:w="6067" w:type="dxa"/>
            <w:vAlign w:val="center"/>
          </w:tcPr>
          <w:p w14:paraId="3F75A0C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a)应安装方恶意代码软件或配置具有相应功能的软件，并及时更新防恶意代码软件版本和恶意代码库。</w:t>
            </w:r>
          </w:p>
        </w:tc>
      </w:tr>
      <w:tr w14:paraId="708E2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continue"/>
            <w:vAlign w:val="center"/>
          </w:tcPr>
          <w:p w14:paraId="0EF59F7B">
            <w:pPr>
              <w:adjustRightInd w:val="0"/>
              <w:snapToGrid w:val="0"/>
              <w:spacing w:line="360" w:lineRule="auto"/>
              <w:ind w:firstLine="480" w:firstLineChars="200"/>
              <w:jc w:val="left"/>
              <w:rPr>
                <w:rFonts w:ascii="宋体" w:hAnsi="宋体" w:cs="宋体"/>
                <w:color w:val="auto"/>
                <w:sz w:val="24"/>
              </w:rPr>
            </w:pPr>
          </w:p>
        </w:tc>
        <w:tc>
          <w:tcPr>
            <w:tcW w:w="1918" w:type="dxa"/>
            <w:noWrap/>
            <w:vAlign w:val="center"/>
          </w:tcPr>
          <w:p w14:paraId="64A9DECB">
            <w:pPr>
              <w:adjustRightInd w:val="0"/>
              <w:snapToGrid w:val="0"/>
              <w:spacing w:line="360" w:lineRule="auto"/>
              <w:jc w:val="left"/>
              <w:rPr>
                <w:rFonts w:ascii="宋体" w:hAnsi="宋体" w:cs="宋体"/>
                <w:color w:val="auto"/>
                <w:sz w:val="24"/>
              </w:rPr>
            </w:pPr>
            <w:r>
              <w:rPr>
                <w:rFonts w:hint="eastAsia" w:ascii="宋体" w:hAnsi="宋体" w:cs="宋体"/>
                <w:color w:val="auto"/>
                <w:sz w:val="24"/>
              </w:rPr>
              <w:t>可信验证</w:t>
            </w:r>
          </w:p>
        </w:tc>
        <w:tc>
          <w:tcPr>
            <w:tcW w:w="6067" w:type="dxa"/>
            <w:vAlign w:val="center"/>
          </w:tcPr>
          <w:p w14:paraId="0FED877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a)可基于可信根对计算设备的系统引导程序、系统程序、重要配置参数和通信应用程序等进行可信验证，并在检测到其可信性受到破坏后进行报警，并将验证结果形成审计记录送至安全管理中心。</w:t>
            </w:r>
          </w:p>
        </w:tc>
      </w:tr>
      <w:tr w14:paraId="3064F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2E7F727C">
            <w:pPr>
              <w:adjustRightInd w:val="0"/>
              <w:snapToGrid w:val="0"/>
              <w:spacing w:line="360" w:lineRule="auto"/>
              <w:ind w:firstLine="480" w:firstLineChars="200"/>
              <w:jc w:val="left"/>
              <w:rPr>
                <w:rFonts w:ascii="宋体" w:hAnsi="宋体" w:cs="宋体"/>
                <w:color w:val="auto"/>
                <w:sz w:val="24"/>
              </w:rPr>
            </w:pPr>
          </w:p>
        </w:tc>
        <w:tc>
          <w:tcPr>
            <w:tcW w:w="1918" w:type="dxa"/>
            <w:noWrap/>
            <w:vAlign w:val="center"/>
          </w:tcPr>
          <w:p w14:paraId="43EEC8C1">
            <w:pPr>
              <w:adjustRightInd w:val="0"/>
              <w:snapToGrid w:val="0"/>
              <w:spacing w:line="360" w:lineRule="auto"/>
              <w:jc w:val="left"/>
              <w:rPr>
                <w:rFonts w:ascii="宋体" w:hAnsi="宋体" w:cs="宋体"/>
                <w:color w:val="auto"/>
                <w:sz w:val="24"/>
              </w:rPr>
            </w:pPr>
            <w:r>
              <w:rPr>
                <w:rFonts w:hint="eastAsia" w:ascii="宋体" w:hAnsi="宋体" w:cs="宋体"/>
                <w:color w:val="auto"/>
                <w:sz w:val="24"/>
              </w:rPr>
              <w:t>数据完整性</w:t>
            </w:r>
          </w:p>
        </w:tc>
        <w:tc>
          <w:tcPr>
            <w:tcW w:w="6067" w:type="dxa"/>
            <w:vAlign w:val="center"/>
          </w:tcPr>
          <w:p w14:paraId="7888802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a)应采用校验技术保证重要数据在传输过程中的完整性。</w:t>
            </w:r>
          </w:p>
        </w:tc>
      </w:tr>
      <w:tr w14:paraId="66232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3E5EDC9C">
            <w:pPr>
              <w:adjustRightInd w:val="0"/>
              <w:snapToGrid w:val="0"/>
              <w:spacing w:line="360" w:lineRule="auto"/>
              <w:ind w:firstLine="480" w:firstLineChars="200"/>
              <w:jc w:val="left"/>
              <w:rPr>
                <w:rFonts w:ascii="宋体" w:hAnsi="宋体" w:cs="宋体"/>
                <w:color w:val="auto"/>
                <w:sz w:val="24"/>
              </w:rPr>
            </w:pPr>
          </w:p>
        </w:tc>
        <w:tc>
          <w:tcPr>
            <w:tcW w:w="1918" w:type="dxa"/>
            <w:vMerge w:val="restart"/>
            <w:noWrap/>
            <w:vAlign w:val="center"/>
          </w:tcPr>
          <w:p w14:paraId="3B3B5014">
            <w:pPr>
              <w:adjustRightInd w:val="0"/>
              <w:snapToGrid w:val="0"/>
              <w:spacing w:line="360" w:lineRule="auto"/>
              <w:jc w:val="center"/>
              <w:rPr>
                <w:rFonts w:ascii="宋体" w:hAnsi="宋体" w:cs="宋体"/>
                <w:color w:val="auto"/>
                <w:sz w:val="24"/>
              </w:rPr>
            </w:pPr>
            <w:r>
              <w:rPr>
                <w:rFonts w:hint="eastAsia" w:ascii="宋体" w:hAnsi="宋体" w:cs="宋体"/>
                <w:color w:val="auto"/>
                <w:sz w:val="24"/>
              </w:rPr>
              <w:t>数据备份和恢复</w:t>
            </w:r>
          </w:p>
        </w:tc>
        <w:tc>
          <w:tcPr>
            <w:tcW w:w="6067" w:type="dxa"/>
            <w:vAlign w:val="center"/>
          </w:tcPr>
          <w:p w14:paraId="1DCFB41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a)应提供重要数据的本地数据备份与恢复功能；</w:t>
            </w:r>
          </w:p>
        </w:tc>
      </w:tr>
      <w:tr w14:paraId="4F4EE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7E99D51B">
            <w:pPr>
              <w:adjustRightInd w:val="0"/>
              <w:snapToGrid w:val="0"/>
              <w:spacing w:line="360" w:lineRule="auto"/>
              <w:ind w:firstLine="480" w:firstLineChars="200"/>
              <w:jc w:val="left"/>
              <w:rPr>
                <w:rFonts w:ascii="宋体" w:hAnsi="宋体" w:cs="宋体"/>
                <w:color w:val="auto"/>
                <w:sz w:val="24"/>
              </w:rPr>
            </w:pPr>
          </w:p>
        </w:tc>
        <w:tc>
          <w:tcPr>
            <w:tcW w:w="1918" w:type="dxa"/>
            <w:vMerge w:val="continue"/>
            <w:vAlign w:val="center"/>
          </w:tcPr>
          <w:p w14:paraId="57823BCB">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4AD977E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b)应提供异地数据备份功能，利用通信网络将重要数据定时批量传送至备用场地。</w:t>
            </w:r>
          </w:p>
        </w:tc>
      </w:tr>
      <w:tr w14:paraId="07A6D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541F3BE1">
            <w:pPr>
              <w:adjustRightInd w:val="0"/>
              <w:snapToGrid w:val="0"/>
              <w:spacing w:line="360" w:lineRule="auto"/>
              <w:ind w:firstLine="480" w:firstLineChars="200"/>
              <w:jc w:val="left"/>
              <w:rPr>
                <w:rFonts w:ascii="宋体" w:hAnsi="宋体" w:cs="宋体"/>
                <w:color w:val="auto"/>
                <w:sz w:val="24"/>
              </w:rPr>
            </w:pPr>
          </w:p>
        </w:tc>
        <w:tc>
          <w:tcPr>
            <w:tcW w:w="1918" w:type="dxa"/>
            <w:noWrap/>
            <w:vAlign w:val="center"/>
          </w:tcPr>
          <w:p w14:paraId="1FD1FD34">
            <w:pPr>
              <w:adjustRightInd w:val="0"/>
              <w:snapToGrid w:val="0"/>
              <w:spacing w:line="360" w:lineRule="auto"/>
              <w:rPr>
                <w:rFonts w:ascii="宋体" w:hAnsi="宋体" w:cs="宋体"/>
                <w:color w:val="auto"/>
                <w:sz w:val="24"/>
              </w:rPr>
            </w:pPr>
            <w:r>
              <w:rPr>
                <w:rFonts w:hint="eastAsia" w:ascii="宋体" w:hAnsi="宋体" w:cs="宋体"/>
                <w:color w:val="auto"/>
                <w:sz w:val="24"/>
              </w:rPr>
              <w:t>剩余信息保护</w:t>
            </w:r>
          </w:p>
        </w:tc>
        <w:tc>
          <w:tcPr>
            <w:tcW w:w="6067" w:type="dxa"/>
            <w:vAlign w:val="center"/>
          </w:tcPr>
          <w:p w14:paraId="164FCF4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a)应保证鉴别信息所在的存储空间被释放或重新分配前得到完全清除。</w:t>
            </w:r>
          </w:p>
        </w:tc>
      </w:tr>
      <w:tr w14:paraId="0BAE5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1BA24F5E">
            <w:pPr>
              <w:adjustRightInd w:val="0"/>
              <w:snapToGrid w:val="0"/>
              <w:spacing w:line="360" w:lineRule="auto"/>
              <w:ind w:firstLine="480" w:firstLineChars="200"/>
              <w:jc w:val="left"/>
              <w:rPr>
                <w:rFonts w:ascii="宋体" w:hAnsi="宋体" w:cs="宋体"/>
                <w:color w:val="auto"/>
                <w:sz w:val="24"/>
              </w:rPr>
            </w:pPr>
          </w:p>
        </w:tc>
        <w:tc>
          <w:tcPr>
            <w:tcW w:w="1918" w:type="dxa"/>
            <w:vMerge w:val="restart"/>
            <w:vAlign w:val="center"/>
          </w:tcPr>
          <w:p w14:paraId="242C81FF">
            <w:pPr>
              <w:adjustRightInd w:val="0"/>
              <w:snapToGrid w:val="0"/>
              <w:spacing w:line="360" w:lineRule="auto"/>
              <w:rPr>
                <w:rFonts w:ascii="宋体" w:hAnsi="宋体" w:cs="宋体"/>
                <w:color w:val="auto"/>
                <w:sz w:val="24"/>
              </w:rPr>
            </w:pPr>
            <w:r>
              <w:rPr>
                <w:rFonts w:hint="eastAsia" w:ascii="宋体" w:hAnsi="宋体" w:cs="宋体"/>
                <w:color w:val="auto"/>
                <w:sz w:val="24"/>
              </w:rPr>
              <w:t>个人信息保护</w:t>
            </w:r>
          </w:p>
        </w:tc>
        <w:tc>
          <w:tcPr>
            <w:tcW w:w="6067" w:type="dxa"/>
            <w:vAlign w:val="center"/>
          </w:tcPr>
          <w:p w14:paraId="2B549D6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a)应仅采集和保存业务必需的用户个人信息；</w:t>
            </w:r>
          </w:p>
        </w:tc>
      </w:tr>
      <w:tr w14:paraId="1FD03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716DA8DE">
            <w:pPr>
              <w:adjustRightInd w:val="0"/>
              <w:snapToGrid w:val="0"/>
              <w:spacing w:line="360" w:lineRule="auto"/>
              <w:ind w:firstLine="480" w:firstLineChars="200"/>
              <w:jc w:val="left"/>
              <w:rPr>
                <w:rFonts w:ascii="宋体" w:hAnsi="宋体" w:cs="宋体"/>
                <w:color w:val="auto"/>
                <w:sz w:val="24"/>
              </w:rPr>
            </w:pPr>
          </w:p>
        </w:tc>
        <w:tc>
          <w:tcPr>
            <w:tcW w:w="1918" w:type="dxa"/>
            <w:vMerge w:val="continue"/>
            <w:vAlign w:val="center"/>
          </w:tcPr>
          <w:p w14:paraId="705B3EA4">
            <w:pPr>
              <w:adjustRightInd w:val="0"/>
              <w:snapToGrid w:val="0"/>
              <w:spacing w:line="360" w:lineRule="auto"/>
              <w:ind w:firstLine="480" w:firstLineChars="200"/>
              <w:jc w:val="left"/>
              <w:rPr>
                <w:rFonts w:ascii="宋体" w:hAnsi="宋体" w:cs="宋体"/>
                <w:color w:val="auto"/>
                <w:sz w:val="24"/>
              </w:rPr>
            </w:pPr>
          </w:p>
        </w:tc>
        <w:tc>
          <w:tcPr>
            <w:tcW w:w="6067" w:type="dxa"/>
            <w:vAlign w:val="center"/>
          </w:tcPr>
          <w:p w14:paraId="1713AA9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b)应禁止未授权访问和非法使用用户个人信息。</w:t>
            </w:r>
          </w:p>
        </w:tc>
      </w:tr>
      <w:tr w14:paraId="3C48F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restart"/>
            <w:vAlign w:val="center"/>
          </w:tcPr>
          <w:p w14:paraId="0FD4A736">
            <w:pPr>
              <w:adjustRightInd w:val="0"/>
              <w:snapToGrid w:val="0"/>
              <w:spacing w:line="360" w:lineRule="auto"/>
              <w:jc w:val="center"/>
              <w:rPr>
                <w:rFonts w:ascii="宋体" w:hAnsi="宋体" w:cs="宋体"/>
                <w:color w:val="auto"/>
                <w:sz w:val="24"/>
              </w:rPr>
            </w:pPr>
            <w:r>
              <w:rPr>
                <w:rFonts w:hint="eastAsia" w:ascii="宋体" w:hAnsi="宋体" w:cs="宋体"/>
                <w:color w:val="auto"/>
                <w:sz w:val="24"/>
              </w:rPr>
              <w:t>安全管理中心</w:t>
            </w:r>
          </w:p>
        </w:tc>
        <w:tc>
          <w:tcPr>
            <w:tcW w:w="1918" w:type="dxa"/>
            <w:vMerge w:val="restart"/>
            <w:vAlign w:val="center"/>
          </w:tcPr>
          <w:p w14:paraId="6DB1C5D1">
            <w:pPr>
              <w:adjustRightInd w:val="0"/>
              <w:snapToGrid w:val="0"/>
              <w:spacing w:line="360" w:lineRule="auto"/>
              <w:rPr>
                <w:rFonts w:ascii="宋体" w:hAnsi="宋体" w:cs="宋体"/>
                <w:color w:val="auto"/>
                <w:sz w:val="24"/>
              </w:rPr>
            </w:pPr>
            <w:r>
              <w:rPr>
                <w:rFonts w:hint="eastAsia" w:ascii="宋体" w:hAnsi="宋体" w:cs="宋体"/>
                <w:color w:val="auto"/>
                <w:sz w:val="24"/>
              </w:rPr>
              <w:t>系统管理</w:t>
            </w:r>
          </w:p>
        </w:tc>
        <w:tc>
          <w:tcPr>
            <w:tcW w:w="6067" w:type="dxa"/>
            <w:vAlign w:val="center"/>
          </w:tcPr>
          <w:p w14:paraId="6ACACE15">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a)应对系统管理员进行身份鉴别，只允许其通过特定的命令或操作界面进行系统管理操作，并对这些操作进行审计；</w:t>
            </w:r>
          </w:p>
        </w:tc>
      </w:tr>
      <w:tr w14:paraId="0238A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continue"/>
            <w:vAlign w:val="center"/>
          </w:tcPr>
          <w:p w14:paraId="72AE3CB7">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39AE9763">
            <w:pPr>
              <w:adjustRightInd w:val="0"/>
              <w:snapToGrid w:val="0"/>
              <w:spacing w:line="360" w:lineRule="auto"/>
              <w:ind w:firstLine="218" w:firstLineChars="91"/>
              <w:jc w:val="center"/>
              <w:rPr>
                <w:rFonts w:ascii="宋体" w:hAnsi="宋体" w:cs="宋体"/>
                <w:color w:val="auto"/>
                <w:sz w:val="24"/>
              </w:rPr>
            </w:pPr>
          </w:p>
        </w:tc>
        <w:tc>
          <w:tcPr>
            <w:tcW w:w="6067" w:type="dxa"/>
            <w:vAlign w:val="center"/>
          </w:tcPr>
          <w:p w14:paraId="7A1EA6A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b）应通过系统管理员对系统的资源和运行进行配置、控制和管理，包括用户身份、资源配置、系统加载和启动、系统运行的异常处理、数据和设备的备份与恢复等。</w:t>
            </w:r>
          </w:p>
        </w:tc>
      </w:tr>
      <w:tr w14:paraId="1B3BF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continue"/>
            <w:vAlign w:val="center"/>
          </w:tcPr>
          <w:p w14:paraId="5F672BD6">
            <w:pPr>
              <w:adjustRightInd w:val="0"/>
              <w:snapToGrid w:val="0"/>
              <w:spacing w:line="360" w:lineRule="auto"/>
              <w:ind w:firstLine="480" w:firstLineChars="200"/>
              <w:jc w:val="center"/>
              <w:rPr>
                <w:rFonts w:ascii="宋体" w:hAnsi="宋体" w:cs="宋体"/>
                <w:color w:val="auto"/>
                <w:sz w:val="24"/>
              </w:rPr>
            </w:pPr>
          </w:p>
        </w:tc>
        <w:tc>
          <w:tcPr>
            <w:tcW w:w="1918" w:type="dxa"/>
            <w:vMerge w:val="restart"/>
            <w:vAlign w:val="center"/>
          </w:tcPr>
          <w:p w14:paraId="255125DD">
            <w:pPr>
              <w:adjustRightInd w:val="0"/>
              <w:snapToGrid w:val="0"/>
              <w:spacing w:line="360" w:lineRule="auto"/>
              <w:rPr>
                <w:rFonts w:ascii="宋体" w:hAnsi="宋体" w:cs="宋体"/>
                <w:color w:val="auto"/>
                <w:sz w:val="24"/>
              </w:rPr>
            </w:pPr>
            <w:r>
              <w:rPr>
                <w:rFonts w:hint="eastAsia" w:ascii="宋体" w:hAnsi="宋体" w:cs="宋体"/>
                <w:color w:val="auto"/>
                <w:sz w:val="24"/>
              </w:rPr>
              <w:t>审计管理</w:t>
            </w:r>
          </w:p>
        </w:tc>
        <w:tc>
          <w:tcPr>
            <w:tcW w:w="6067" w:type="dxa"/>
            <w:vAlign w:val="center"/>
          </w:tcPr>
          <w:p w14:paraId="38A1C28C">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 应对安全审计员进行身份鉴别，只允许通过特定的命令或操作界面进行安全审计操作，并对这些操作进行审计；</w:t>
            </w:r>
          </w:p>
        </w:tc>
      </w:tr>
      <w:tr w14:paraId="6AB0B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continue"/>
            <w:vAlign w:val="center"/>
          </w:tcPr>
          <w:p w14:paraId="37F9D585">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635AEE1F">
            <w:pPr>
              <w:adjustRightInd w:val="0"/>
              <w:snapToGrid w:val="0"/>
              <w:spacing w:line="360" w:lineRule="auto"/>
              <w:ind w:firstLine="218" w:firstLineChars="91"/>
              <w:jc w:val="center"/>
              <w:rPr>
                <w:rFonts w:ascii="宋体" w:hAnsi="宋体" w:cs="宋体"/>
                <w:color w:val="auto"/>
                <w:sz w:val="24"/>
              </w:rPr>
            </w:pPr>
          </w:p>
        </w:tc>
        <w:tc>
          <w:tcPr>
            <w:tcW w:w="6067" w:type="dxa"/>
            <w:vAlign w:val="center"/>
          </w:tcPr>
          <w:p w14:paraId="3A23FD75">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b)应通过安全审计员对审计记录进行分析，并根据分析结果进行处理，包括根据安全审计策略对审计记录进行存储、管理和查询。</w:t>
            </w:r>
          </w:p>
        </w:tc>
      </w:tr>
      <w:tr w14:paraId="7F617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restart"/>
            <w:vAlign w:val="center"/>
          </w:tcPr>
          <w:p w14:paraId="69CA757B">
            <w:pPr>
              <w:adjustRightInd w:val="0"/>
              <w:snapToGrid w:val="0"/>
              <w:spacing w:line="360" w:lineRule="auto"/>
              <w:jc w:val="center"/>
              <w:rPr>
                <w:rFonts w:ascii="宋体" w:hAnsi="宋体" w:cs="宋体"/>
                <w:color w:val="auto"/>
                <w:sz w:val="24"/>
              </w:rPr>
            </w:pPr>
            <w:r>
              <w:rPr>
                <w:rFonts w:hint="eastAsia" w:ascii="宋体" w:hAnsi="宋体" w:cs="宋体"/>
                <w:color w:val="auto"/>
                <w:sz w:val="24"/>
              </w:rPr>
              <w:t>安全管理制度</w:t>
            </w:r>
          </w:p>
        </w:tc>
        <w:tc>
          <w:tcPr>
            <w:tcW w:w="1918" w:type="dxa"/>
            <w:vAlign w:val="center"/>
          </w:tcPr>
          <w:p w14:paraId="1F89D46C">
            <w:pPr>
              <w:adjustRightInd w:val="0"/>
              <w:snapToGrid w:val="0"/>
              <w:spacing w:line="360" w:lineRule="auto"/>
              <w:rPr>
                <w:rFonts w:ascii="宋体" w:hAnsi="宋体" w:cs="宋体"/>
                <w:color w:val="auto"/>
                <w:sz w:val="24"/>
              </w:rPr>
            </w:pPr>
            <w:r>
              <w:rPr>
                <w:rFonts w:hint="eastAsia" w:ascii="宋体" w:hAnsi="宋体" w:cs="宋体"/>
                <w:color w:val="auto"/>
                <w:sz w:val="24"/>
              </w:rPr>
              <w:t>安全策略</w:t>
            </w:r>
          </w:p>
        </w:tc>
        <w:tc>
          <w:tcPr>
            <w:tcW w:w="6067" w:type="dxa"/>
            <w:vAlign w:val="center"/>
          </w:tcPr>
          <w:p w14:paraId="31C0AD48">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a）应制定网络安全工作的总体方针和安全策略，阐明机构安全工作的总体目标、范围、原则和安全框架等。</w:t>
            </w:r>
          </w:p>
        </w:tc>
      </w:tr>
      <w:tr w14:paraId="24D9B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31A49635">
            <w:pPr>
              <w:adjustRightInd w:val="0"/>
              <w:snapToGrid w:val="0"/>
              <w:spacing w:line="360" w:lineRule="auto"/>
              <w:ind w:firstLine="480" w:firstLineChars="200"/>
              <w:jc w:val="center"/>
              <w:rPr>
                <w:rFonts w:ascii="宋体" w:hAnsi="宋体" w:cs="宋体"/>
                <w:color w:val="auto"/>
                <w:sz w:val="24"/>
              </w:rPr>
            </w:pPr>
          </w:p>
        </w:tc>
        <w:tc>
          <w:tcPr>
            <w:tcW w:w="1918" w:type="dxa"/>
            <w:vMerge w:val="restart"/>
            <w:vAlign w:val="center"/>
          </w:tcPr>
          <w:p w14:paraId="31BF17DB">
            <w:pPr>
              <w:adjustRightInd w:val="0"/>
              <w:snapToGrid w:val="0"/>
              <w:spacing w:line="360" w:lineRule="auto"/>
              <w:rPr>
                <w:rFonts w:ascii="宋体" w:hAnsi="宋体" w:cs="宋体"/>
                <w:color w:val="auto"/>
                <w:sz w:val="24"/>
              </w:rPr>
            </w:pPr>
            <w:r>
              <w:rPr>
                <w:rFonts w:hint="eastAsia" w:ascii="宋体" w:hAnsi="宋体" w:cs="宋体"/>
                <w:color w:val="auto"/>
                <w:sz w:val="24"/>
              </w:rPr>
              <w:t>管理制度</w:t>
            </w:r>
          </w:p>
        </w:tc>
        <w:tc>
          <w:tcPr>
            <w:tcW w:w="6067" w:type="dxa"/>
            <w:vAlign w:val="center"/>
          </w:tcPr>
          <w:p w14:paraId="309CDD7E">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a）应对安全管理活动中的主要管理内容建立安全管理制度；</w:t>
            </w:r>
          </w:p>
        </w:tc>
      </w:tr>
      <w:tr w14:paraId="01D4A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0E03723F">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03B24766">
            <w:pPr>
              <w:adjustRightInd w:val="0"/>
              <w:snapToGrid w:val="0"/>
              <w:spacing w:line="360" w:lineRule="auto"/>
              <w:ind w:firstLine="218" w:firstLineChars="91"/>
              <w:jc w:val="center"/>
              <w:rPr>
                <w:rFonts w:ascii="宋体" w:hAnsi="宋体" w:cs="宋体"/>
                <w:color w:val="auto"/>
                <w:sz w:val="24"/>
              </w:rPr>
            </w:pPr>
          </w:p>
        </w:tc>
        <w:tc>
          <w:tcPr>
            <w:tcW w:w="6067" w:type="dxa"/>
            <w:vAlign w:val="center"/>
          </w:tcPr>
          <w:p w14:paraId="6EE967A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b）应对管理人员或操作人员执行的日常管理操作建立操作规程。</w:t>
            </w:r>
          </w:p>
        </w:tc>
      </w:tr>
      <w:tr w14:paraId="32886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616EB438">
            <w:pPr>
              <w:adjustRightInd w:val="0"/>
              <w:snapToGrid w:val="0"/>
              <w:spacing w:line="360" w:lineRule="auto"/>
              <w:ind w:firstLine="480" w:firstLineChars="200"/>
              <w:jc w:val="center"/>
              <w:rPr>
                <w:rFonts w:ascii="宋体" w:hAnsi="宋体" w:cs="宋体"/>
                <w:color w:val="auto"/>
                <w:sz w:val="24"/>
              </w:rPr>
            </w:pPr>
          </w:p>
        </w:tc>
        <w:tc>
          <w:tcPr>
            <w:tcW w:w="1918" w:type="dxa"/>
            <w:vMerge w:val="restart"/>
            <w:vAlign w:val="center"/>
          </w:tcPr>
          <w:p w14:paraId="04EA62ED">
            <w:pPr>
              <w:adjustRightInd w:val="0"/>
              <w:snapToGrid w:val="0"/>
              <w:spacing w:line="360" w:lineRule="auto"/>
              <w:rPr>
                <w:rFonts w:ascii="宋体" w:hAnsi="宋体" w:cs="宋体"/>
                <w:color w:val="auto"/>
                <w:sz w:val="24"/>
              </w:rPr>
            </w:pPr>
            <w:r>
              <w:rPr>
                <w:rFonts w:hint="eastAsia" w:ascii="宋体" w:hAnsi="宋体" w:cs="宋体"/>
                <w:color w:val="auto"/>
                <w:sz w:val="24"/>
              </w:rPr>
              <w:t>制定和发布</w:t>
            </w:r>
          </w:p>
        </w:tc>
        <w:tc>
          <w:tcPr>
            <w:tcW w:w="6067" w:type="dxa"/>
            <w:vAlign w:val="center"/>
          </w:tcPr>
          <w:p w14:paraId="5659D02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a）应指定或授权专门的部门或人员负责安全管理制度的制定；</w:t>
            </w:r>
          </w:p>
        </w:tc>
      </w:tr>
      <w:tr w14:paraId="7E026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3828205E">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4F233252">
            <w:pPr>
              <w:adjustRightInd w:val="0"/>
              <w:snapToGrid w:val="0"/>
              <w:spacing w:line="360" w:lineRule="auto"/>
              <w:ind w:firstLine="218" w:firstLineChars="91"/>
              <w:jc w:val="center"/>
              <w:rPr>
                <w:rFonts w:ascii="宋体" w:hAnsi="宋体" w:cs="宋体"/>
                <w:color w:val="auto"/>
                <w:sz w:val="24"/>
              </w:rPr>
            </w:pPr>
          </w:p>
        </w:tc>
        <w:tc>
          <w:tcPr>
            <w:tcW w:w="6067" w:type="dxa"/>
            <w:vAlign w:val="center"/>
          </w:tcPr>
          <w:p w14:paraId="2490749C">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d）安全管理制度应通过正式、有效的方式发布，并进行版本控制。</w:t>
            </w:r>
          </w:p>
        </w:tc>
      </w:tr>
      <w:tr w14:paraId="3FA56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continue"/>
            <w:vAlign w:val="center"/>
          </w:tcPr>
          <w:p w14:paraId="69BCE9C5">
            <w:pPr>
              <w:adjustRightInd w:val="0"/>
              <w:snapToGrid w:val="0"/>
              <w:spacing w:line="360" w:lineRule="auto"/>
              <w:ind w:firstLine="480" w:firstLineChars="200"/>
              <w:jc w:val="center"/>
              <w:rPr>
                <w:rFonts w:ascii="宋体" w:hAnsi="宋体" w:cs="宋体"/>
                <w:color w:val="auto"/>
                <w:sz w:val="24"/>
              </w:rPr>
            </w:pPr>
          </w:p>
        </w:tc>
        <w:tc>
          <w:tcPr>
            <w:tcW w:w="1918" w:type="dxa"/>
            <w:vAlign w:val="center"/>
          </w:tcPr>
          <w:p w14:paraId="7F0C4432">
            <w:pPr>
              <w:adjustRightInd w:val="0"/>
              <w:snapToGrid w:val="0"/>
              <w:spacing w:line="360" w:lineRule="auto"/>
              <w:rPr>
                <w:rFonts w:ascii="宋体" w:hAnsi="宋体" w:cs="宋体"/>
                <w:color w:val="auto"/>
                <w:sz w:val="24"/>
              </w:rPr>
            </w:pPr>
            <w:r>
              <w:rPr>
                <w:rFonts w:hint="eastAsia" w:ascii="宋体" w:hAnsi="宋体" w:cs="宋体"/>
                <w:color w:val="auto"/>
                <w:sz w:val="24"/>
              </w:rPr>
              <w:t>评审和修订</w:t>
            </w:r>
          </w:p>
        </w:tc>
        <w:tc>
          <w:tcPr>
            <w:tcW w:w="6067" w:type="dxa"/>
            <w:vAlign w:val="center"/>
          </w:tcPr>
          <w:p w14:paraId="0477BA3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a）应定期对安全管理制度的合理性和适用性进行论证和审定，对存在不足需要改进的安全管理制度进行修订。</w:t>
            </w:r>
          </w:p>
        </w:tc>
      </w:tr>
      <w:tr w14:paraId="22E9C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restart"/>
            <w:vAlign w:val="center"/>
          </w:tcPr>
          <w:p w14:paraId="0CCEE21E">
            <w:pPr>
              <w:adjustRightInd w:val="0"/>
              <w:snapToGrid w:val="0"/>
              <w:spacing w:line="360" w:lineRule="auto"/>
              <w:jc w:val="center"/>
              <w:rPr>
                <w:rFonts w:ascii="宋体" w:hAnsi="宋体" w:cs="宋体"/>
                <w:color w:val="auto"/>
                <w:sz w:val="24"/>
              </w:rPr>
            </w:pPr>
            <w:r>
              <w:rPr>
                <w:rFonts w:hint="eastAsia" w:ascii="宋体" w:hAnsi="宋体" w:cs="宋体"/>
                <w:color w:val="auto"/>
                <w:sz w:val="24"/>
              </w:rPr>
              <w:t>安全管理机构</w:t>
            </w:r>
          </w:p>
        </w:tc>
        <w:tc>
          <w:tcPr>
            <w:tcW w:w="1918" w:type="dxa"/>
            <w:vMerge w:val="restart"/>
            <w:vAlign w:val="center"/>
          </w:tcPr>
          <w:p w14:paraId="273FC255">
            <w:pPr>
              <w:adjustRightInd w:val="0"/>
              <w:snapToGrid w:val="0"/>
              <w:spacing w:line="360" w:lineRule="auto"/>
              <w:rPr>
                <w:rFonts w:ascii="宋体" w:hAnsi="宋体" w:cs="宋体"/>
                <w:color w:val="auto"/>
                <w:sz w:val="24"/>
              </w:rPr>
            </w:pPr>
            <w:r>
              <w:rPr>
                <w:rFonts w:hint="eastAsia" w:ascii="宋体" w:hAnsi="宋体" w:cs="宋体"/>
                <w:color w:val="auto"/>
                <w:sz w:val="24"/>
              </w:rPr>
              <w:t>岗位设置</w:t>
            </w:r>
          </w:p>
        </w:tc>
        <w:tc>
          <w:tcPr>
            <w:tcW w:w="6067" w:type="dxa"/>
            <w:vAlign w:val="center"/>
          </w:tcPr>
          <w:p w14:paraId="4E691A3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 xml:space="preserve">a）应设立网络安全管理工作的职能部门，设立安全主管、安全管理各个方面的负责人岗位，并定义各负责人的职责； </w:t>
            </w:r>
          </w:p>
        </w:tc>
      </w:tr>
      <w:tr w14:paraId="46616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521AADDE">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4A7388EF">
            <w:pPr>
              <w:adjustRightInd w:val="0"/>
              <w:snapToGrid w:val="0"/>
              <w:spacing w:line="360" w:lineRule="auto"/>
              <w:ind w:firstLine="218" w:firstLineChars="91"/>
              <w:jc w:val="center"/>
              <w:rPr>
                <w:rFonts w:ascii="宋体" w:hAnsi="宋体" w:cs="宋体"/>
                <w:color w:val="auto"/>
                <w:sz w:val="24"/>
              </w:rPr>
            </w:pPr>
          </w:p>
        </w:tc>
        <w:tc>
          <w:tcPr>
            <w:tcW w:w="6067" w:type="dxa"/>
            <w:vAlign w:val="center"/>
          </w:tcPr>
          <w:p w14:paraId="246E44A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b）应设立系统管理员、审计管理员和安全管理员等岗位，并定义部门及各个工作岗位的职责。</w:t>
            </w:r>
          </w:p>
        </w:tc>
      </w:tr>
      <w:tr w14:paraId="5B4A4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4D98D220">
            <w:pPr>
              <w:adjustRightInd w:val="0"/>
              <w:snapToGrid w:val="0"/>
              <w:spacing w:line="360" w:lineRule="auto"/>
              <w:ind w:firstLine="480" w:firstLineChars="200"/>
              <w:jc w:val="center"/>
              <w:rPr>
                <w:rFonts w:ascii="宋体" w:hAnsi="宋体" w:cs="宋体"/>
                <w:color w:val="auto"/>
                <w:sz w:val="24"/>
              </w:rPr>
            </w:pPr>
          </w:p>
        </w:tc>
        <w:tc>
          <w:tcPr>
            <w:tcW w:w="1918" w:type="dxa"/>
            <w:vAlign w:val="center"/>
          </w:tcPr>
          <w:p w14:paraId="3C3617E4">
            <w:pPr>
              <w:adjustRightInd w:val="0"/>
              <w:snapToGrid w:val="0"/>
              <w:spacing w:line="360" w:lineRule="auto"/>
              <w:rPr>
                <w:rFonts w:ascii="宋体" w:hAnsi="宋体" w:cs="宋体"/>
                <w:color w:val="auto"/>
                <w:sz w:val="24"/>
              </w:rPr>
            </w:pPr>
            <w:r>
              <w:rPr>
                <w:rFonts w:hint="eastAsia" w:ascii="宋体" w:hAnsi="宋体" w:cs="宋体"/>
                <w:color w:val="auto"/>
                <w:sz w:val="24"/>
              </w:rPr>
              <w:t>人员配备</w:t>
            </w:r>
          </w:p>
        </w:tc>
        <w:tc>
          <w:tcPr>
            <w:tcW w:w="6067" w:type="dxa"/>
            <w:vAlign w:val="center"/>
          </w:tcPr>
          <w:p w14:paraId="7B4D867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a）应配备一定数量的系统管理员、审计管理员、安全管理员等。</w:t>
            </w:r>
          </w:p>
        </w:tc>
      </w:tr>
      <w:tr w14:paraId="14282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2A68F603">
            <w:pPr>
              <w:adjustRightInd w:val="0"/>
              <w:snapToGrid w:val="0"/>
              <w:spacing w:line="360" w:lineRule="auto"/>
              <w:ind w:firstLine="480" w:firstLineChars="200"/>
              <w:jc w:val="left"/>
              <w:rPr>
                <w:rFonts w:ascii="宋体" w:hAnsi="宋体" w:cs="宋体"/>
                <w:color w:val="auto"/>
                <w:sz w:val="24"/>
              </w:rPr>
            </w:pPr>
          </w:p>
        </w:tc>
        <w:tc>
          <w:tcPr>
            <w:tcW w:w="1918" w:type="dxa"/>
            <w:vMerge w:val="restart"/>
            <w:vAlign w:val="center"/>
          </w:tcPr>
          <w:p w14:paraId="7F579031">
            <w:pPr>
              <w:adjustRightInd w:val="0"/>
              <w:snapToGrid w:val="0"/>
              <w:spacing w:line="360" w:lineRule="auto"/>
              <w:jc w:val="left"/>
              <w:rPr>
                <w:rFonts w:ascii="宋体" w:hAnsi="宋体" w:cs="宋体"/>
                <w:color w:val="auto"/>
                <w:sz w:val="24"/>
              </w:rPr>
            </w:pPr>
            <w:r>
              <w:rPr>
                <w:rFonts w:hint="eastAsia" w:ascii="宋体" w:hAnsi="宋体" w:cs="宋体"/>
                <w:color w:val="auto"/>
                <w:sz w:val="24"/>
              </w:rPr>
              <w:t>授权和审批</w:t>
            </w:r>
          </w:p>
        </w:tc>
        <w:tc>
          <w:tcPr>
            <w:tcW w:w="6067" w:type="dxa"/>
            <w:vAlign w:val="center"/>
          </w:tcPr>
          <w:p w14:paraId="3600D3B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a）应根据各个部门和岗位的职责明确授权审批事项、审批部门和批准人等；</w:t>
            </w:r>
          </w:p>
        </w:tc>
      </w:tr>
      <w:tr w14:paraId="21852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2FA239A6">
            <w:pPr>
              <w:adjustRightInd w:val="0"/>
              <w:snapToGrid w:val="0"/>
              <w:spacing w:line="360" w:lineRule="auto"/>
              <w:ind w:firstLine="480" w:firstLineChars="200"/>
              <w:jc w:val="left"/>
              <w:rPr>
                <w:rFonts w:ascii="宋体" w:hAnsi="宋体" w:cs="宋体"/>
                <w:color w:val="auto"/>
                <w:sz w:val="24"/>
              </w:rPr>
            </w:pPr>
          </w:p>
        </w:tc>
        <w:tc>
          <w:tcPr>
            <w:tcW w:w="1918" w:type="dxa"/>
            <w:vMerge w:val="continue"/>
            <w:vAlign w:val="center"/>
          </w:tcPr>
          <w:p w14:paraId="1E8FDA62">
            <w:pPr>
              <w:adjustRightInd w:val="0"/>
              <w:snapToGrid w:val="0"/>
              <w:spacing w:line="360" w:lineRule="auto"/>
              <w:ind w:firstLine="480" w:firstLineChars="200"/>
              <w:jc w:val="left"/>
              <w:rPr>
                <w:rFonts w:ascii="宋体" w:hAnsi="宋体" w:cs="宋体"/>
                <w:color w:val="auto"/>
                <w:sz w:val="24"/>
              </w:rPr>
            </w:pPr>
          </w:p>
        </w:tc>
        <w:tc>
          <w:tcPr>
            <w:tcW w:w="6067" w:type="dxa"/>
            <w:vAlign w:val="center"/>
          </w:tcPr>
          <w:p w14:paraId="3A85EF0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b）应针对系统变更、重要操作、物理访问和系统接入等事项执行审批过程。</w:t>
            </w:r>
          </w:p>
        </w:tc>
      </w:tr>
      <w:tr w14:paraId="223CD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continue"/>
            <w:vAlign w:val="center"/>
          </w:tcPr>
          <w:p w14:paraId="668B5A9F">
            <w:pPr>
              <w:adjustRightInd w:val="0"/>
              <w:snapToGrid w:val="0"/>
              <w:spacing w:line="360" w:lineRule="auto"/>
              <w:ind w:firstLine="480" w:firstLineChars="200"/>
              <w:jc w:val="left"/>
              <w:rPr>
                <w:rFonts w:ascii="宋体" w:hAnsi="宋体" w:cs="宋体"/>
                <w:color w:val="auto"/>
                <w:sz w:val="24"/>
              </w:rPr>
            </w:pPr>
          </w:p>
        </w:tc>
        <w:tc>
          <w:tcPr>
            <w:tcW w:w="1918" w:type="dxa"/>
            <w:vMerge w:val="restart"/>
            <w:vAlign w:val="center"/>
          </w:tcPr>
          <w:p w14:paraId="69054B06">
            <w:pPr>
              <w:adjustRightInd w:val="0"/>
              <w:snapToGrid w:val="0"/>
              <w:spacing w:line="360" w:lineRule="auto"/>
              <w:jc w:val="left"/>
              <w:rPr>
                <w:rFonts w:ascii="宋体" w:hAnsi="宋体" w:cs="宋体"/>
                <w:color w:val="auto"/>
                <w:sz w:val="24"/>
              </w:rPr>
            </w:pPr>
            <w:r>
              <w:rPr>
                <w:rFonts w:hint="eastAsia" w:ascii="宋体" w:hAnsi="宋体" w:cs="宋体"/>
                <w:color w:val="auto"/>
                <w:sz w:val="24"/>
              </w:rPr>
              <w:t>沟通和合作</w:t>
            </w:r>
          </w:p>
        </w:tc>
        <w:tc>
          <w:tcPr>
            <w:tcW w:w="6067" w:type="dxa"/>
            <w:vAlign w:val="center"/>
          </w:tcPr>
          <w:p w14:paraId="39D774A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 xml:space="preserve">a）应加强各类管理人员、组织内部机构和网络安全管理部门之间的合作与沟通，定期召开协调会议，共同协作处理信息安全问题； </w:t>
            </w:r>
          </w:p>
        </w:tc>
      </w:tr>
      <w:tr w14:paraId="44EC1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006DCF26">
            <w:pPr>
              <w:adjustRightInd w:val="0"/>
              <w:snapToGrid w:val="0"/>
              <w:spacing w:line="360" w:lineRule="auto"/>
              <w:ind w:firstLine="480" w:firstLineChars="200"/>
              <w:jc w:val="left"/>
              <w:rPr>
                <w:rFonts w:ascii="宋体" w:hAnsi="宋体" w:cs="宋体"/>
                <w:color w:val="auto"/>
                <w:sz w:val="24"/>
              </w:rPr>
            </w:pPr>
          </w:p>
        </w:tc>
        <w:tc>
          <w:tcPr>
            <w:tcW w:w="1918" w:type="dxa"/>
            <w:vMerge w:val="continue"/>
            <w:vAlign w:val="center"/>
          </w:tcPr>
          <w:p w14:paraId="2869485A">
            <w:pPr>
              <w:adjustRightInd w:val="0"/>
              <w:snapToGrid w:val="0"/>
              <w:spacing w:line="360" w:lineRule="auto"/>
              <w:ind w:firstLine="480" w:firstLineChars="200"/>
              <w:jc w:val="left"/>
              <w:rPr>
                <w:rFonts w:ascii="宋体" w:hAnsi="宋体" w:cs="宋体"/>
                <w:color w:val="auto"/>
                <w:sz w:val="24"/>
              </w:rPr>
            </w:pPr>
          </w:p>
        </w:tc>
        <w:tc>
          <w:tcPr>
            <w:tcW w:w="6067" w:type="dxa"/>
            <w:vAlign w:val="center"/>
          </w:tcPr>
          <w:p w14:paraId="1F189A78">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b）应加强与网络安全职能部门、各类供应商、业界专家及安全组织的合作与沟通；</w:t>
            </w:r>
          </w:p>
        </w:tc>
      </w:tr>
      <w:tr w14:paraId="4AA03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7589D66E">
            <w:pPr>
              <w:adjustRightInd w:val="0"/>
              <w:snapToGrid w:val="0"/>
              <w:spacing w:line="360" w:lineRule="auto"/>
              <w:ind w:firstLine="480" w:firstLineChars="200"/>
              <w:jc w:val="left"/>
              <w:rPr>
                <w:rFonts w:ascii="宋体" w:hAnsi="宋体" w:cs="宋体"/>
                <w:color w:val="auto"/>
                <w:sz w:val="24"/>
              </w:rPr>
            </w:pPr>
          </w:p>
        </w:tc>
        <w:tc>
          <w:tcPr>
            <w:tcW w:w="1918" w:type="dxa"/>
            <w:vMerge w:val="continue"/>
            <w:vAlign w:val="center"/>
          </w:tcPr>
          <w:p w14:paraId="3AA2C93B">
            <w:pPr>
              <w:adjustRightInd w:val="0"/>
              <w:snapToGrid w:val="0"/>
              <w:spacing w:line="360" w:lineRule="auto"/>
              <w:ind w:firstLine="480" w:firstLineChars="200"/>
              <w:jc w:val="left"/>
              <w:rPr>
                <w:rFonts w:ascii="宋体" w:hAnsi="宋体" w:cs="宋体"/>
                <w:color w:val="auto"/>
                <w:sz w:val="24"/>
              </w:rPr>
            </w:pPr>
          </w:p>
        </w:tc>
        <w:tc>
          <w:tcPr>
            <w:tcW w:w="6067" w:type="dxa"/>
            <w:vAlign w:val="center"/>
          </w:tcPr>
          <w:p w14:paraId="0D20B0B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c）应建立外联单位联系列表，包括外联单位名称、合作内容、联系人和联系方式等信息。</w:t>
            </w:r>
          </w:p>
        </w:tc>
      </w:tr>
      <w:tr w14:paraId="4C91E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2D3B0B83">
            <w:pPr>
              <w:adjustRightInd w:val="0"/>
              <w:snapToGrid w:val="0"/>
              <w:spacing w:line="360" w:lineRule="auto"/>
              <w:ind w:firstLine="480" w:firstLineChars="200"/>
              <w:jc w:val="left"/>
              <w:rPr>
                <w:rFonts w:ascii="宋体" w:hAnsi="宋体" w:cs="宋体"/>
                <w:color w:val="auto"/>
                <w:sz w:val="24"/>
              </w:rPr>
            </w:pPr>
          </w:p>
        </w:tc>
        <w:tc>
          <w:tcPr>
            <w:tcW w:w="1918" w:type="dxa"/>
            <w:vAlign w:val="center"/>
          </w:tcPr>
          <w:p w14:paraId="1C6201EF">
            <w:pPr>
              <w:adjustRightInd w:val="0"/>
              <w:snapToGrid w:val="0"/>
              <w:spacing w:line="360" w:lineRule="auto"/>
              <w:jc w:val="left"/>
              <w:rPr>
                <w:rFonts w:ascii="宋体" w:hAnsi="宋体" w:cs="宋体"/>
                <w:color w:val="auto"/>
                <w:sz w:val="24"/>
              </w:rPr>
            </w:pPr>
            <w:r>
              <w:rPr>
                <w:rFonts w:hint="eastAsia" w:ascii="宋体" w:hAnsi="宋体" w:cs="宋体"/>
                <w:color w:val="auto"/>
                <w:sz w:val="24"/>
              </w:rPr>
              <w:t>审核和检查</w:t>
            </w:r>
          </w:p>
        </w:tc>
        <w:tc>
          <w:tcPr>
            <w:tcW w:w="6067" w:type="dxa"/>
            <w:vAlign w:val="center"/>
          </w:tcPr>
          <w:p w14:paraId="183BBA5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a）应定期进行常规安全检查，检查内容包括系统日常运行、系统漏洞和数据备份等情况。</w:t>
            </w:r>
          </w:p>
        </w:tc>
      </w:tr>
      <w:tr w14:paraId="76F0E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restart"/>
            <w:vAlign w:val="center"/>
          </w:tcPr>
          <w:p w14:paraId="5C39710D">
            <w:pPr>
              <w:adjustRightInd w:val="0"/>
              <w:snapToGrid w:val="0"/>
              <w:spacing w:line="360" w:lineRule="auto"/>
              <w:jc w:val="center"/>
              <w:rPr>
                <w:rFonts w:ascii="宋体" w:hAnsi="宋体" w:cs="宋体"/>
                <w:color w:val="auto"/>
                <w:sz w:val="24"/>
              </w:rPr>
            </w:pPr>
            <w:r>
              <w:rPr>
                <w:rFonts w:hint="eastAsia" w:ascii="宋体" w:hAnsi="宋体" w:cs="宋体"/>
                <w:color w:val="auto"/>
                <w:sz w:val="24"/>
              </w:rPr>
              <w:t>安全管理人员</w:t>
            </w:r>
          </w:p>
        </w:tc>
        <w:tc>
          <w:tcPr>
            <w:tcW w:w="1918" w:type="dxa"/>
            <w:vMerge w:val="restart"/>
            <w:vAlign w:val="center"/>
          </w:tcPr>
          <w:p w14:paraId="510E81DF">
            <w:pPr>
              <w:adjustRightInd w:val="0"/>
              <w:snapToGrid w:val="0"/>
              <w:spacing w:line="360" w:lineRule="auto"/>
              <w:jc w:val="left"/>
              <w:rPr>
                <w:rFonts w:ascii="宋体" w:hAnsi="宋体" w:cs="宋体"/>
                <w:color w:val="auto"/>
                <w:sz w:val="24"/>
              </w:rPr>
            </w:pPr>
            <w:r>
              <w:rPr>
                <w:rFonts w:hint="eastAsia" w:ascii="宋体" w:hAnsi="宋体" w:cs="宋体"/>
                <w:color w:val="auto"/>
                <w:sz w:val="24"/>
              </w:rPr>
              <w:t>人员录用</w:t>
            </w:r>
          </w:p>
        </w:tc>
        <w:tc>
          <w:tcPr>
            <w:tcW w:w="6067" w:type="dxa"/>
            <w:vAlign w:val="center"/>
          </w:tcPr>
          <w:p w14:paraId="428FE7E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a）应指定或授权专门的部门或人员负责人员录用；</w:t>
            </w:r>
          </w:p>
        </w:tc>
      </w:tr>
      <w:tr w14:paraId="1DFFA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1F3E4C9B">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4A2F8642">
            <w:pPr>
              <w:adjustRightInd w:val="0"/>
              <w:snapToGrid w:val="0"/>
              <w:spacing w:line="360" w:lineRule="auto"/>
              <w:ind w:firstLine="480" w:firstLineChars="200"/>
              <w:jc w:val="left"/>
              <w:rPr>
                <w:rFonts w:ascii="宋体" w:hAnsi="宋体" w:cs="宋体"/>
                <w:color w:val="auto"/>
                <w:sz w:val="24"/>
              </w:rPr>
            </w:pPr>
          </w:p>
        </w:tc>
        <w:tc>
          <w:tcPr>
            <w:tcW w:w="6067" w:type="dxa"/>
            <w:vAlign w:val="center"/>
          </w:tcPr>
          <w:p w14:paraId="71A16DA5">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b）应对被录用人的身份、安全背景、专业资格或资质等进行审查。</w:t>
            </w:r>
          </w:p>
        </w:tc>
      </w:tr>
      <w:tr w14:paraId="010FF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1B844BE2">
            <w:pPr>
              <w:adjustRightInd w:val="0"/>
              <w:snapToGrid w:val="0"/>
              <w:spacing w:line="360" w:lineRule="auto"/>
              <w:ind w:firstLine="480" w:firstLineChars="200"/>
              <w:jc w:val="center"/>
              <w:rPr>
                <w:rFonts w:ascii="宋体" w:hAnsi="宋体" w:cs="宋体"/>
                <w:color w:val="auto"/>
                <w:sz w:val="24"/>
              </w:rPr>
            </w:pPr>
          </w:p>
        </w:tc>
        <w:tc>
          <w:tcPr>
            <w:tcW w:w="1918" w:type="dxa"/>
            <w:vAlign w:val="center"/>
          </w:tcPr>
          <w:p w14:paraId="04645588">
            <w:pPr>
              <w:adjustRightInd w:val="0"/>
              <w:snapToGrid w:val="0"/>
              <w:spacing w:line="360" w:lineRule="auto"/>
              <w:jc w:val="left"/>
              <w:rPr>
                <w:rFonts w:ascii="宋体" w:hAnsi="宋体" w:cs="宋体"/>
                <w:color w:val="auto"/>
                <w:sz w:val="24"/>
              </w:rPr>
            </w:pPr>
            <w:r>
              <w:rPr>
                <w:rFonts w:hint="eastAsia" w:ascii="宋体" w:hAnsi="宋体" w:cs="宋体"/>
                <w:color w:val="auto"/>
                <w:sz w:val="24"/>
              </w:rPr>
              <w:t>人员离岗</w:t>
            </w:r>
          </w:p>
        </w:tc>
        <w:tc>
          <w:tcPr>
            <w:tcW w:w="6067" w:type="dxa"/>
            <w:vAlign w:val="center"/>
          </w:tcPr>
          <w:p w14:paraId="78529A5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a）应及时终止离岗人员的所有访问权限，取回各种身份证件、钥匙、徽章等以及机构提供的软硬件设备。</w:t>
            </w:r>
          </w:p>
        </w:tc>
      </w:tr>
      <w:tr w14:paraId="07E12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480D0515">
            <w:pPr>
              <w:adjustRightInd w:val="0"/>
              <w:snapToGrid w:val="0"/>
              <w:spacing w:line="360" w:lineRule="auto"/>
              <w:ind w:firstLine="480" w:firstLineChars="200"/>
              <w:jc w:val="center"/>
              <w:rPr>
                <w:rFonts w:ascii="宋体" w:hAnsi="宋体" w:cs="宋体"/>
                <w:color w:val="auto"/>
                <w:sz w:val="24"/>
              </w:rPr>
            </w:pPr>
          </w:p>
        </w:tc>
        <w:tc>
          <w:tcPr>
            <w:tcW w:w="1918" w:type="dxa"/>
            <w:vAlign w:val="center"/>
          </w:tcPr>
          <w:p w14:paraId="7BD33627">
            <w:pPr>
              <w:adjustRightInd w:val="0"/>
              <w:snapToGrid w:val="0"/>
              <w:spacing w:line="360" w:lineRule="auto"/>
              <w:rPr>
                <w:rFonts w:ascii="宋体" w:hAnsi="宋体" w:cs="宋体"/>
                <w:color w:val="auto"/>
                <w:sz w:val="24"/>
              </w:rPr>
            </w:pPr>
            <w:r>
              <w:rPr>
                <w:rFonts w:hint="eastAsia" w:ascii="宋体" w:hAnsi="宋体" w:cs="宋体"/>
                <w:color w:val="auto"/>
                <w:sz w:val="24"/>
              </w:rPr>
              <w:t>安全意识教育和培训</w:t>
            </w:r>
          </w:p>
        </w:tc>
        <w:tc>
          <w:tcPr>
            <w:tcW w:w="6067" w:type="dxa"/>
            <w:vAlign w:val="center"/>
          </w:tcPr>
          <w:p w14:paraId="66B6B4B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a）应对各类人员进行安全意识教育和岗位技能培训，并告知相关的安全责任和惩戒措施。</w:t>
            </w:r>
          </w:p>
        </w:tc>
      </w:tr>
      <w:tr w14:paraId="476A6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0313D597">
            <w:pPr>
              <w:adjustRightInd w:val="0"/>
              <w:snapToGrid w:val="0"/>
              <w:spacing w:line="360" w:lineRule="auto"/>
              <w:ind w:firstLine="480" w:firstLineChars="200"/>
              <w:jc w:val="center"/>
              <w:rPr>
                <w:rFonts w:ascii="宋体" w:hAnsi="宋体" w:cs="宋体"/>
                <w:color w:val="auto"/>
                <w:sz w:val="24"/>
              </w:rPr>
            </w:pPr>
          </w:p>
        </w:tc>
        <w:tc>
          <w:tcPr>
            <w:tcW w:w="1918" w:type="dxa"/>
            <w:vMerge w:val="restart"/>
            <w:vAlign w:val="center"/>
          </w:tcPr>
          <w:p w14:paraId="099171B4">
            <w:pPr>
              <w:adjustRightInd w:val="0"/>
              <w:snapToGrid w:val="0"/>
              <w:spacing w:line="360" w:lineRule="auto"/>
              <w:rPr>
                <w:rFonts w:ascii="宋体" w:hAnsi="宋体" w:cs="宋体"/>
                <w:color w:val="auto"/>
                <w:sz w:val="24"/>
              </w:rPr>
            </w:pPr>
            <w:r>
              <w:rPr>
                <w:rFonts w:hint="eastAsia" w:ascii="宋体" w:hAnsi="宋体" w:cs="宋体"/>
                <w:color w:val="auto"/>
                <w:sz w:val="24"/>
              </w:rPr>
              <w:t>外部人员</w:t>
            </w:r>
          </w:p>
          <w:p w14:paraId="4A10B573">
            <w:pPr>
              <w:adjustRightInd w:val="0"/>
              <w:snapToGrid w:val="0"/>
              <w:spacing w:line="360" w:lineRule="auto"/>
              <w:rPr>
                <w:rFonts w:ascii="宋体" w:hAnsi="宋体" w:cs="宋体"/>
                <w:color w:val="auto"/>
                <w:sz w:val="24"/>
              </w:rPr>
            </w:pPr>
            <w:r>
              <w:rPr>
                <w:rFonts w:hint="eastAsia" w:ascii="宋体" w:hAnsi="宋体" w:cs="宋体"/>
                <w:color w:val="auto"/>
                <w:sz w:val="24"/>
              </w:rPr>
              <w:t>访问管理</w:t>
            </w:r>
          </w:p>
        </w:tc>
        <w:tc>
          <w:tcPr>
            <w:tcW w:w="6067" w:type="dxa"/>
            <w:vAlign w:val="center"/>
          </w:tcPr>
          <w:p w14:paraId="24812E68">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a）应在外部人员物理访问受控区域前先提出书面申请，批准后由专人全程陪同，并登记备案；</w:t>
            </w:r>
          </w:p>
        </w:tc>
      </w:tr>
      <w:tr w14:paraId="63490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continue"/>
            <w:vAlign w:val="center"/>
          </w:tcPr>
          <w:p w14:paraId="773CCC27">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3484ADAE">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62A3EB3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b）应在外部人员接入受控网络访问系统前先提出书面申请，批准后由专人开设账户，分配权限，并登记备案；</w:t>
            </w:r>
          </w:p>
        </w:tc>
      </w:tr>
      <w:tr w14:paraId="5FBAF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5238F11B">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31549E5A">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353BB91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 外部人员离场后应及时清除其所有的访问权限。</w:t>
            </w:r>
          </w:p>
        </w:tc>
      </w:tr>
      <w:tr w14:paraId="69D32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restart"/>
            <w:vAlign w:val="center"/>
          </w:tcPr>
          <w:p w14:paraId="3D57C560">
            <w:pPr>
              <w:adjustRightInd w:val="0"/>
              <w:snapToGrid w:val="0"/>
              <w:spacing w:line="360" w:lineRule="auto"/>
              <w:jc w:val="center"/>
              <w:rPr>
                <w:rFonts w:ascii="宋体" w:hAnsi="宋体" w:cs="宋体"/>
                <w:color w:val="auto"/>
                <w:sz w:val="24"/>
              </w:rPr>
            </w:pPr>
            <w:r>
              <w:rPr>
                <w:rFonts w:hint="eastAsia" w:ascii="宋体" w:hAnsi="宋体" w:cs="宋体"/>
                <w:color w:val="auto"/>
                <w:sz w:val="24"/>
              </w:rPr>
              <w:t>安全建设管理</w:t>
            </w:r>
          </w:p>
        </w:tc>
        <w:tc>
          <w:tcPr>
            <w:tcW w:w="1918" w:type="dxa"/>
            <w:vMerge w:val="restart"/>
            <w:vAlign w:val="center"/>
          </w:tcPr>
          <w:p w14:paraId="1784435B">
            <w:pPr>
              <w:adjustRightInd w:val="0"/>
              <w:snapToGrid w:val="0"/>
              <w:spacing w:line="360" w:lineRule="auto"/>
              <w:rPr>
                <w:rFonts w:ascii="宋体" w:hAnsi="宋体" w:cs="宋体"/>
                <w:color w:val="auto"/>
                <w:sz w:val="24"/>
              </w:rPr>
            </w:pPr>
            <w:r>
              <w:rPr>
                <w:rFonts w:hint="eastAsia" w:ascii="宋体" w:hAnsi="宋体" w:cs="宋体"/>
                <w:color w:val="auto"/>
                <w:sz w:val="24"/>
              </w:rPr>
              <w:t>定级和备案</w:t>
            </w:r>
          </w:p>
        </w:tc>
        <w:tc>
          <w:tcPr>
            <w:tcW w:w="6067" w:type="dxa"/>
            <w:vAlign w:val="center"/>
          </w:tcPr>
          <w:p w14:paraId="4028FDB5">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a）应以书面的形式说明保护对象的安全保护等级及确定安全保护等级的方法和理由；</w:t>
            </w:r>
          </w:p>
        </w:tc>
      </w:tr>
      <w:tr w14:paraId="56DEC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581FAF47">
            <w:pPr>
              <w:adjustRightInd w:val="0"/>
              <w:snapToGrid w:val="0"/>
              <w:spacing w:line="360" w:lineRule="auto"/>
              <w:ind w:firstLine="480" w:firstLineChars="200"/>
              <w:jc w:val="left"/>
              <w:rPr>
                <w:rFonts w:ascii="宋体" w:hAnsi="宋体" w:cs="宋体"/>
                <w:color w:val="auto"/>
                <w:sz w:val="24"/>
              </w:rPr>
            </w:pPr>
          </w:p>
        </w:tc>
        <w:tc>
          <w:tcPr>
            <w:tcW w:w="1918" w:type="dxa"/>
            <w:vMerge w:val="continue"/>
            <w:vAlign w:val="center"/>
          </w:tcPr>
          <w:p w14:paraId="40C7791C">
            <w:pPr>
              <w:adjustRightInd w:val="0"/>
              <w:snapToGrid w:val="0"/>
              <w:spacing w:line="360" w:lineRule="auto"/>
              <w:ind w:firstLine="480" w:firstLineChars="200"/>
              <w:jc w:val="left"/>
              <w:rPr>
                <w:rFonts w:ascii="宋体" w:hAnsi="宋体" w:cs="宋体"/>
                <w:color w:val="auto"/>
                <w:sz w:val="24"/>
              </w:rPr>
            </w:pPr>
          </w:p>
        </w:tc>
        <w:tc>
          <w:tcPr>
            <w:tcW w:w="6067" w:type="dxa"/>
            <w:vAlign w:val="center"/>
          </w:tcPr>
          <w:p w14:paraId="7B2FA8D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b）应组织相关部门和有关安全技术专家对信息系统定级结果的合理性和正确性进行论证和审定；</w:t>
            </w:r>
          </w:p>
        </w:tc>
      </w:tr>
      <w:tr w14:paraId="7534D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12A675A6">
            <w:pPr>
              <w:adjustRightInd w:val="0"/>
              <w:snapToGrid w:val="0"/>
              <w:spacing w:line="360" w:lineRule="auto"/>
              <w:ind w:firstLine="480" w:firstLineChars="200"/>
              <w:jc w:val="left"/>
              <w:rPr>
                <w:rFonts w:ascii="宋体" w:hAnsi="宋体" w:cs="宋体"/>
                <w:color w:val="auto"/>
                <w:sz w:val="24"/>
              </w:rPr>
            </w:pPr>
          </w:p>
        </w:tc>
        <w:tc>
          <w:tcPr>
            <w:tcW w:w="1918" w:type="dxa"/>
            <w:vMerge w:val="continue"/>
            <w:vAlign w:val="center"/>
          </w:tcPr>
          <w:p w14:paraId="3EDCCD19">
            <w:pPr>
              <w:adjustRightInd w:val="0"/>
              <w:snapToGrid w:val="0"/>
              <w:spacing w:line="360" w:lineRule="auto"/>
              <w:ind w:firstLine="480" w:firstLineChars="200"/>
              <w:jc w:val="left"/>
              <w:rPr>
                <w:rFonts w:ascii="宋体" w:hAnsi="宋体" w:cs="宋体"/>
                <w:color w:val="auto"/>
                <w:sz w:val="24"/>
              </w:rPr>
            </w:pPr>
          </w:p>
        </w:tc>
        <w:tc>
          <w:tcPr>
            <w:tcW w:w="6067" w:type="dxa"/>
            <w:vAlign w:val="center"/>
          </w:tcPr>
          <w:p w14:paraId="6407A27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c）应保证定级结果经过相关部门的批准；</w:t>
            </w:r>
          </w:p>
        </w:tc>
      </w:tr>
      <w:tr w14:paraId="3FBDA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1E22A5E3">
            <w:pPr>
              <w:adjustRightInd w:val="0"/>
              <w:snapToGrid w:val="0"/>
              <w:spacing w:line="360" w:lineRule="auto"/>
              <w:ind w:firstLine="480" w:firstLineChars="200"/>
              <w:jc w:val="left"/>
              <w:rPr>
                <w:rFonts w:ascii="宋体" w:hAnsi="宋体" w:cs="宋体"/>
                <w:color w:val="auto"/>
                <w:sz w:val="24"/>
              </w:rPr>
            </w:pPr>
          </w:p>
        </w:tc>
        <w:tc>
          <w:tcPr>
            <w:tcW w:w="1918" w:type="dxa"/>
            <w:vMerge w:val="continue"/>
            <w:vAlign w:val="center"/>
          </w:tcPr>
          <w:p w14:paraId="553165A6">
            <w:pPr>
              <w:adjustRightInd w:val="0"/>
              <w:snapToGrid w:val="0"/>
              <w:spacing w:line="360" w:lineRule="auto"/>
              <w:ind w:firstLine="480" w:firstLineChars="200"/>
              <w:jc w:val="left"/>
              <w:rPr>
                <w:rFonts w:ascii="宋体" w:hAnsi="宋体" w:cs="宋体"/>
                <w:color w:val="auto"/>
                <w:sz w:val="24"/>
              </w:rPr>
            </w:pPr>
          </w:p>
        </w:tc>
        <w:tc>
          <w:tcPr>
            <w:tcW w:w="6067" w:type="dxa"/>
            <w:vAlign w:val="center"/>
          </w:tcPr>
          <w:p w14:paraId="11FB0C8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d)应将备案材料报主管部门和公安机关备案。</w:t>
            </w:r>
          </w:p>
        </w:tc>
      </w:tr>
      <w:tr w14:paraId="2815D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6E822098">
            <w:pPr>
              <w:adjustRightInd w:val="0"/>
              <w:snapToGrid w:val="0"/>
              <w:spacing w:line="360" w:lineRule="auto"/>
              <w:ind w:firstLine="480" w:firstLineChars="200"/>
              <w:jc w:val="left"/>
              <w:rPr>
                <w:rFonts w:ascii="宋体" w:hAnsi="宋体" w:cs="宋体"/>
                <w:color w:val="auto"/>
                <w:sz w:val="24"/>
              </w:rPr>
            </w:pPr>
          </w:p>
        </w:tc>
        <w:tc>
          <w:tcPr>
            <w:tcW w:w="1918" w:type="dxa"/>
            <w:vMerge w:val="restart"/>
            <w:shd w:val="clear" w:color="auto" w:fill="auto"/>
            <w:vAlign w:val="center"/>
          </w:tcPr>
          <w:p w14:paraId="7DBE1E3C">
            <w:pPr>
              <w:adjustRightInd w:val="0"/>
              <w:snapToGrid w:val="0"/>
              <w:spacing w:line="360" w:lineRule="auto"/>
              <w:jc w:val="left"/>
              <w:rPr>
                <w:rFonts w:ascii="宋体" w:hAnsi="宋体" w:cs="宋体"/>
                <w:color w:val="auto"/>
                <w:sz w:val="24"/>
              </w:rPr>
            </w:pPr>
            <w:r>
              <w:rPr>
                <w:rFonts w:hint="eastAsia" w:ascii="宋体" w:hAnsi="宋体" w:cs="宋体"/>
                <w:color w:val="auto"/>
                <w:sz w:val="24"/>
              </w:rPr>
              <w:t>安全方案设计</w:t>
            </w:r>
          </w:p>
        </w:tc>
        <w:tc>
          <w:tcPr>
            <w:tcW w:w="6067" w:type="dxa"/>
            <w:shd w:val="clear" w:color="000000" w:fill="FFFFFF"/>
            <w:vAlign w:val="center"/>
          </w:tcPr>
          <w:p w14:paraId="7BDBDF5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a）应根据安全保护等级选择基本安全措施，依据风险分析的结果补充和调整安全措施；</w:t>
            </w:r>
          </w:p>
        </w:tc>
      </w:tr>
      <w:tr w14:paraId="0CBFD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4524DBB4">
            <w:pPr>
              <w:adjustRightInd w:val="0"/>
              <w:snapToGrid w:val="0"/>
              <w:spacing w:line="360" w:lineRule="auto"/>
              <w:ind w:firstLine="480" w:firstLineChars="200"/>
              <w:jc w:val="left"/>
              <w:rPr>
                <w:rFonts w:ascii="宋体" w:hAnsi="宋体" w:cs="宋体"/>
                <w:color w:val="auto"/>
                <w:sz w:val="24"/>
              </w:rPr>
            </w:pPr>
          </w:p>
        </w:tc>
        <w:tc>
          <w:tcPr>
            <w:tcW w:w="1918" w:type="dxa"/>
            <w:vMerge w:val="continue"/>
            <w:shd w:val="clear" w:color="auto" w:fill="auto"/>
            <w:vAlign w:val="center"/>
          </w:tcPr>
          <w:p w14:paraId="0750A005">
            <w:pPr>
              <w:adjustRightInd w:val="0"/>
              <w:snapToGrid w:val="0"/>
              <w:spacing w:line="360" w:lineRule="auto"/>
              <w:ind w:firstLine="480" w:firstLineChars="200"/>
              <w:jc w:val="left"/>
              <w:rPr>
                <w:rFonts w:ascii="宋体" w:hAnsi="宋体" w:cs="宋体"/>
                <w:color w:val="auto"/>
                <w:sz w:val="24"/>
              </w:rPr>
            </w:pPr>
          </w:p>
        </w:tc>
        <w:tc>
          <w:tcPr>
            <w:tcW w:w="6067" w:type="dxa"/>
            <w:shd w:val="clear" w:color="000000" w:fill="FFFFFF"/>
            <w:vAlign w:val="center"/>
          </w:tcPr>
          <w:p w14:paraId="3A1D122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b）应根据保护对象的安全保护等级进行安全方案设计；</w:t>
            </w:r>
          </w:p>
        </w:tc>
      </w:tr>
      <w:tr w14:paraId="2CEF9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continue"/>
            <w:shd w:val="clear" w:color="auto" w:fill="auto"/>
            <w:vAlign w:val="center"/>
          </w:tcPr>
          <w:p w14:paraId="2F6E824E">
            <w:pPr>
              <w:adjustRightInd w:val="0"/>
              <w:snapToGrid w:val="0"/>
              <w:spacing w:line="360" w:lineRule="auto"/>
              <w:ind w:firstLine="480" w:firstLineChars="200"/>
              <w:jc w:val="left"/>
              <w:rPr>
                <w:rFonts w:ascii="宋体" w:hAnsi="宋体" w:cs="宋体"/>
                <w:color w:val="auto"/>
                <w:sz w:val="24"/>
              </w:rPr>
            </w:pPr>
          </w:p>
        </w:tc>
        <w:tc>
          <w:tcPr>
            <w:tcW w:w="1918" w:type="dxa"/>
            <w:vMerge w:val="continue"/>
            <w:shd w:val="clear" w:color="auto" w:fill="auto"/>
            <w:vAlign w:val="center"/>
          </w:tcPr>
          <w:p w14:paraId="67809C52">
            <w:pPr>
              <w:adjustRightInd w:val="0"/>
              <w:snapToGrid w:val="0"/>
              <w:spacing w:line="360" w:lineRule="auto"/>
              <w:ind w:firstLine="480" w:firstLineChars="200"/>
              <w:jc w:val="left"/>
              <w:rPr>
                <w:rFonts w:ascii="宋体" w:hAnsi="宋体" w:cs="宋体"/>
                <w:color w:val="auto"/>
                <w:sz w:val="24"/>
              </w:rPr>
            </w:pPr>
          </w:p>
        </w:tc>
        <w:tc>
          <w:tcPr>
            <w:tcW w:w="6067" w:type="dxa"/>
            <w:shd w:val="clear" w:color="000000" w:fill="FFFFFF"/>
            <w:vAlign w:val="center"/>
          </w:tcPr>
          <w:p w14:paraId="7A90C9F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c）应组织相关部门和有关安全专家对安全方案的合理性和正确性进行论证和审定，经过批准后才能正式实施。</w:t>
            </w:r>
          </w:p>
        </w:tc>
      </w:tr>
      <w:tr w14:paraId="00687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43DDAB13">
            <w:pPr>
              <w:adjustRightInd w:val="0"/>
              <w:snapToGrid w:val="0"/>
              <w:spacing w:line="360" w:lineRule="auto"/>
              <w:ind w:firstLine="480" w:firstLineChars="200"/>
              <w:jc w:val="left"/>
              <w:rPr>
                <w:rFonts w:ascii="宋体" w:hAnsi="宋体" w:cs="宋体"/>
                <w:color w:val="auto"/>
                <w:sz w:val="24"/>
              </w:rPr>
            </w:pPr>
          </w:p>
        </w:tc>
        <w:tc>
          <w:tcPr>
            <w:tcW w:w="1918" w:type="dxa"/>
            <w:vMerge w:val="restart"/>
            <w:shd w:val="clear" w:color="auto" w:fill="auto"/>
            <w:vAlign w:val="center"/>
          </w:tcPr>
          <w:p w14:paraId="1829E16E">
            <w:pPr>
              <w:adjustRightInd w:val="0"/>
              <w:snapToGrid w:val="0"/>
              <w:spacing w:line="360" w:lineRule="auto"/>
              <w:jc w:val="left"/>
              <w:rPr>
                <w:rFonts w:ascii="宋体" w:hAnsi="宋体" w:cs="宋体"/>
                <w:color w:val="auto"/>
                <w:sz w:val="24"/>
              </w:rPr>
            </w:pPr>
            <w:r>
              <w:rPr>
                <w:rFonts w:hint="eastAsia" w:ascii="宋体" w:hAnsi="宋体" w:cs="宋体"/>
                <w:color w:val="auto"/>
                <w:sz w:val="24"/>
              </w:rPr>
              <w:t>产品采购和使用</w:t>
            </w:r>
          </w:p>
        </w:tc>
        <w:tc>
          <w:tcPr>
            <w:tcW w:w="6067" w:type="dxa"/>
            <w:shd w:val="clear" w:color="000000" w:fill="FFFFFF"/>
            <w:vAlign w:val="center"/>
          </w:tcPr>
          <w:p w14:paraId="7DE0B52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a）应确保网络安全产品的采购和使用符合国家的有关规定；</w:t>
            </w:r>
          </w:p>
        </w:tc>
      </w:tr>
      <w:tr w14:paraId="40BC7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012A7091">
            <w:pPr>
              <w:adjustRightInd w:val="0"/>
              <w:snapToGrid w:val="0"/>
              <w:spacing w:line="360" w:lineRule="auto"/>
              <w:ind w:firstLine="480" w:firstLineChars="200"/>
              <w:jc w:val="left"/>
              <w:rPr>
                <w:rFonts w:ascii="宋体" w:hAnsi="宋体" w:cs="宋体"/>
                <w:color w:val="auto"/>
                <w:sz w:val="24"/>
              </w:rPr>
            </w:pPr>
          </w:p>
        </w:tc>
        <w:tc>
          <w:tcPr>
            <w:tcW w:w="1918" w:type="dxa"/>
            <w:vMerge w:val="continue"/>
            <w:shd w:val="clear" w:color="auto" w:fill="auto"/>
            <w:vAlign w:val="center"/>
          </w:tcPr>
          <w:p w14:paraId="686FEE02">
            <w:pPr>
              <w:adjustRightInd w:val="0"/>
              <w:snapToGrid w:val="0"/>
              <w:spacing w:line="360" w:lineRule="auto"/>
              <w:ind w:firstLine="480" w:firstLineChars="200"/>
              <w:jc w:val="left"/>
              <w:rPr>
                <w:rFonts w:ascii="宋体" w:hAnsi="宋体" w:cs="宋体"/>
                <w:color w:val="auto"/>
                <w:sz w:val="24"/>
              </w:rPr>
            </w:pPr>
          </w:p>
        </w:tc>
        <w:tc>
          <w:tcPr>
            <w:tcW w:w="6067" w:type="dxa"/>
            <w:shd w:val="clear" w:color="000000" w:fill="FFFFFF"/>
            <w:vAlign w:val="center"/>
          </w:tcPr>
          <w:p w14:paraId="3D3AC8D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b）应确保密码产品与服务的采购和使用符合国家密码主管部门的要求。</w:t>
            </w:r>
          </w:p>
        </w:tc>
      </w:tr>
      <w:tr w14:paraId="534E5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2FEEFEF4">
            <w:pPr>
              <w:adjustRightInd w:val="0"/>
              <w:snapToGrid w:val="0"/>
              <w:spacing w:line="360" w:lineRule="auto"/>
              <w:ind w:firstLine="480" w:firstLineChars="200"/>
              <w:jc w:val="left"/>
              <w:rPr>
                <w:rFonts w:ascii="宋体" w:hAnsi="宋体" w:cs="宋体"/>
                <w:color w:val="auto"/>
                <w:sz w:val="24"/>
              </w:rPr>
            </w:pPr>
          </w:p>
        </w:tc>
        <w:tc>
          <w:tcPr>
            <w:tcW w:w="1918" w:type="dxa"/>
            <w:vMerge w:val="restart"/>
            <w:shd w:val="clear" w:color="auto" w:fill="auto"/>
            <w:vAlign w:val="center"/>
          </w:tcPr>
          <w:p w14:paraId="7DB1727E">
            <w:pPr>
              <w:adjustRightInd w:val="0"/>
              <w:snapToGrid w:val="0"/>
              <w:spacing w:line="360" w:lineRule="auto"/>
              <w:jc w:val="left"/>
              <w:rPr>
                <w:rFonts w:ascii="宋体" w:hAnsi="宋体" w:cs="宋体"/>
                <w:color w:val="auto"/>
                <w:sz w:val="24"/>
              </w:rPr>
            </w:pPr>
            <w:r>
              <w:rPr>
                <w:rFonts w:hint="eastAsia" w:ascii="宋体" w:hAnsi="宋体" w:cs="宋体"/>
                <w:color w:val="auto"/>
                <w:sz w:val="24"/>
              </w:rPr>
              <w:t>自行软件开发</w:t>
            </w:r>
          </w:p>
        </w:tc>
        <w:tc>
          <w:tcPr>
            <w:tcW w:w="6067" w:type="dxa"/>
            <w:shd w:val="clear" w:color="000000" w:fill="FFFFFF"/>
            <w:vAlign w:val="center"/>
          </w:tcPr>
          <w:p w14:paraId="444CD1D5">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a）应将开发环境与实际运行环境物理分开，测试数据和测试结果受到控制；</w:t>
            </w:r>
          </w:p>
        </w:tc>
      </w:tr>
      <w:tr w14:paraId="6A844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41175702">
            <w:pPr>
              <w:adjustRightInd w:val="0"/>
              <w:snapToGrid w:val="0"/>
              <w:spacing w:line="360" w:lineRule="auto"/>
              <w:ind w:firstLine="480" w:firstLineChars="200"/>
              <w:jc w:val="left"/>
              <w:rPr>
                <w:rFonts w:ascii="宋体" w:hAnsi="宋体" w:cs="宋体"/>
                <w:color w:val="auto"/>
                <w:sz w:val="24"/>
              </w:rPr>
            </w:pPr>
          </w:p>
        </w:tc>
        <w:tc>
          <w:tcPr>
            <w:tcW w:w="1918" w:type="dxa"/>
            <w:vMerge w:val="continue"/>
            <w:shd w:val="clear" w:color="auto" w:fill="auto"/>
            <w:vAlign w:val="center"/>
          </w:tcPr>
          <w:p w14:paraId="7E05DC81">
            <w:pPr>
              <w:adjustRightInd w:val="0"/>
              <w:snapToGrid w:val="0"/>
              <w:spacing w:line="360" w:lineRule="auto"/>
              <w:ind w:firstLine="480" w:firstLineChars="200"/>
              <w:jc w:val="left"/>
              <w:rPr>
                <w:rFonts w:ascii="宋体" w:hAnsi="宋体" w:cs="宋体"/>
                <w:color w:val="auto"/>
                <w:sz w:val="24"/>
              </w:rPr>
            </w:pPr>
          </w:p>
        </w:tc>
        <w:tc>
          <w:tcPr>
            <w:tcW w:w="6067" w:type="dxa"/>
            <w:shd w:val="clear" w:color="000000" w:fill="FFFFFF"/>
            <w:vAlign w:val="center"/>
          </w:tcPr>
          <w:p w14:paraId="3B40417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b）应在软件开发过程中对安全性进行测试，在软件安装前对可能存在的恶意代码进行检测。</w:t>
            </w:r>
          </w:p>
        </w:tc>
      </w:tr>
      <w:tr w14:paraId="7B115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18088F3D">
            <w:pPr>
              <w:adjustRightInd w:val="0"/>
              <w:snapToGrid w:val="0"/>
              <w:spacing w:line="360" w:lineRule="auto"/>
              <w:ind w:firstLine="480" w:firstLineChars="200"/>
              <w:jc w:val="left"/>
              <w:rPr>
                <w:rFonts w:ascii="宋体" w:hAnsi="宋体" w:cs="宋体"/>
                <w:color w:val="auto"/>
                <w:sz w:val="24"/>
              </w:rPr>
            </w:pPr>
          </w:p>
        </w:tc>
        <w:tc>
          <w:tcPr>
            <w:tcW w:w="1918" w:type="dxa"/>
            <w:vMerge w:val="restart"/>
            <w:shd w:val="clear" w:color="auto" w:fill="auto"/>
            <w:vAlign w:val="center"/>
          </w:tcPr>
          <w:p w14:paraId="73A2A636">
            <w:pPr>
              <w:adjustRightInd w:val="0"/>
              <w:snapToGrid w:val="0"/>
              <w:spacing w:line="360" w:lineRule="auto"/>
              <w:jc w:val="left"/>
              <w:rPr>
                <w:rFonts w:ascii="宋体" w:hAnsi="宋体" w:cs="宋体"/>
                <w:color w:val="auto"/>
                <w:sz w:val="24"/>
              </w:rPr>
            </w:pPr>
            <w:r>
              <w:rPr>
                <w:rFonts w:hint="eastAsia" w:ascii="宋体" w:hAnsi="宋体" w:cs="宋体"/>
                <w:color w:val="auto"/>
                <w:sz w:val="24"/>
              </w:rPr>
              <w:t>外包软件开发</w:t>
            </w:r>
          </w:p>
        </w:tc>
        <w:tc>
          <w:tcPr>
            <w:tcW w:w="6067" w:type="dxa"/>
            <w:shd w:val="clear" w:color="000000" w:fill="FFFFFF"/>
            <w:vAlign w:val="center"/>
          </w:tcPr>
          <w:p w14:paraId="72CDA14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a）应在软件交付前检测其中可能存在的恶意代码；</w:t>
            </w:r>
          </w:p>
        </w:tc>
      </w:tr>
      <w:tr w14:paraId="26143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16B96874">
            <w:pPr>
              <w:adjustRightInd w:val="0"/>
              <w:snapToGrid w:val="0"/>
              <w:spacing w:line="360" w:lineRule="auto"/>
              <w:ind w:firstLine="480" w:firstLineChars="200"/>
              <w:jc w:val="left"/>
              <w:rPr>
                <w:rFonts w:ascii="宋体" w:hAnsi="宋体" w:cs="宋体"/>
                <w:color w:val="auto"/>
                <w:sz w:val="24"/>
              </w:rPr>
            </w:pPr>
          </w:p>
        </w:tc>
        <w:tc>
          <w:tcPr>
            <w:tcW w:w="1918" w:type="dxa"/>
            <w:vMerge w:val="continue"/>
            <w:shd w:val="clear" w:color="auto" w:fill="auto"/>
            <w:vAlign w:val="center"/>
          </w:tcPr>
          <w:p w14:paraId="4BAF808B">
            <w:pPr>
              <w:adjustRightInd w:val="0"/>
              <w:snapToGrid w:val="0"/>
              <w:spacing w:line="360" w:lineRule="auto"/>
              <w:ind w:firstLine="480" w:firstLineChars="200"/>
              <w:jc w:val="left"/>
              <w:rPr>
                <w:rFonts w:ascii="宋体" w:hAnsi="宋体" w:cs="宋体"/>
                <w:color w:val="auto"/>
                <w:sz w:val="24"/>
              </w:rPr>
            </w:pPr>
          </w:p>
        </w:tc>
        <w:tc>
          <w:tcPr>
            <w:tcW w:w="6067" w:type="dxa"/>
            <w:shd w:val="clear" w:color="000000" w:fill="FFFFFF"/>
            <w:vAlign w:val="center"/>
          </w:tcPr>
          <w:p w14:paraId="514FF6C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b）应保证开发单位提供软件设计文档和使用指南。</w:t>
            </w:r>
          </w:p>
        </w:tc>
      </w:tr>
      <w:tr w14:paraId="45567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24900ECF">
            <w:pPr>
              <w:adjustRightInd w:val="0"/>
              <w:snapToGrid w:val="0"/>
              <w:spacing w:line="360" w:lineRule="auto"/>
              <w:ind w:firstLine="480" w:firstLineChars="200"/>
              <w:jc w:val="left"/>
              <w:rPr>
                <w:rFonts w:ascii="宋体" w:hAnsi="宋体" w:cs="宋体"/>
                <w:color w:val="auto"/>
                <w:sz w:val="24"/>
              </w:rPr>
            </w:pPr>
          </w:p>
        </w:tc>
        <w:tc>
          <w:tcPr>
            <w:tcW w:w="1918" w:type="dxa"/>
            <w:vMerge w:val="restart"/>
            <w:shd w:val="clear" w:color="auto" w:fill="auto"/>
            <w:vAlign w:val="center"/>
          </w:tcPr>
          <w:p w14:paraId="4CECD605">
            <w:pPr>
              <w:adjustRightInd w:val="0"/>
              <w:snapToGrid w:val="0"/>
              <w:spacing w:line="360" w:lineRule="auto"/>
              <w:jc w:val="left"/>
              <w:rPr>
                <w:rFonts w:ascii="宋体" w:hAnsi="宋体" w:cs="宋体"/>
                <w:color w:val="auto"/>
                <w:sz w:val="24"/>
              </w:rPr>
            </w:pPr>
            <w:r>
              <w:rPr>
                <w:rFonts w:hint="eastAsia" w:ascii="宋体" w:hAnsi="宋体" w:cs="宋体"/>
                <w:color w:val="auto"/>
                <w:sz w:val="24"/>
              </w:rPr>
              <w:t>工程实施</w:t>
            </w:r>
          </w:p>
        </w:tc>
        <w:tc>
          <w:tcPr>
            <w:tcW w:w="6067" w:type="dxa"/>
            <w:shd w:val="clear" w:color="000000" w:fill="FFFFFF"/>
            <w:vAlign w:val="center"/>
          </w:tcPr>
          <w:p w14:paraId="4F49ED8C">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a）应指定或授权专门的部门或人员负责工程实施过程的管理；</w:t>
            </w:r>
          </w:p>
        </w:tc>
      </w:tr>
      <w:tr w14:paraId="56433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4E8C064D">
            <w:pPr>
              <w:adjustRightInd w:val="0"/>
              <w:snapToGrid w:val="0"/>
              <w:spacing w:line="360" w:lineRule="auto"/>
              <w:ind w:firstLine="480" w:firstLineChars="200"/>
              <w:jc w:val="left"/>
              <w:rPr>
                <w:rFonts w:ascii="宋体" w:hAnsi="宋体" w:cs="宋体"/>
                <w:color w:val="auto"/>
                <w:sz w:val="24"/>
              </w:rPr>
            </w:pPr>
          </w:p>
        </w:tc>
        <w:tc>
          <w:tcPr>
            <w:tcW w:w="1918" w:type="dxa"/>
            <w:vMerge w:val="continue"/>
            <w:shd w:val="clear" w:color="auto" w:fill="auto"/>
            <w:vAlign w:val="center"/>
          </w:tcPr>
          <w:p w14:paraId="1FEBA1D7">
            <w:pPr>
              <w:adjustRightInd w:val="0"/>
              <w:snapToGrid w:val="0"/>
              <w:spacing w:line="360" w:lineRule="auto"/>
              <w:ind w:firstLine="480" w:firstLineChars="200"/>
              <w:jc w:val="left"/>
              <w:rPr>
                <w:rFonts w:ascii="宋体" w:hAnsi="宋体" w:cs="宋体"/>
                <w:color w:val="auto"/>
                <w:sz w:val="24"/>
              </w:rPr>
            </w:pPr>
          </w:p>
        </w:tc>
        <w:tc>
          <w:tcPr>
            <w:tcW w:w="6067" w:type="dxa"/>
            <w:shd w:val="clear" w:color="000000" w:fill="FFFFFF"/>
            <w:vAlign w:val="center"/>
          </w:tcPr>
          <w:p w14:paraId="57959AF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b）应制定安全工程实施方案控制工程实施过程。</w:t>
            </w:r>
          </w:p>
        </w:tc>
      </w:tr>
      <w:tr w14:paraId="31CE4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37C583B3">
            <w:pPr>
              <w:adjustRightInd w:val="0"/>
              <w:snapToGrid w:val="0"/>
              <w:spacing w:line="360" w:lineRule="auto"/>
              <w:ind w:firstLine="480" w:firstLineChars="200"/>
              <w:jc w:val="left"/>
              <w:rPr>
                <w:rFonts w:ascii="宋体" w:hAnsi="宋体" w:cs="宋体"/>
                <w:color w:val="auto"/>
                <w:sz w:val="24"/>
              </w:rPr>
            </w:pPr>
          </w:p>
        </w:tc>
        <w:tc>
          <w:tcPr>
            <w:tcW w:w="1918" w:type="dxa"/>
            <w:vMerge w:val="restart"/>
            <w:shd w:val="clear" w:color="auto" w:fill="auto"/>
            <w:vAlign w:val="center"/>
          </w:tcPr>
          <w:p w14:paraId="1836EF96">
            <w:pPr>
              <w:adjustRightInd w:val="0"/>
              <w:snapToGrid w:val="0"/>
              <w:spacing w:line="360" w:lineRule="auto"/>
              <w:jc w:val="left"/>
              <w:rPr>
                <w:rFonts w:ascii="宋体" w:hAnsi="宋体" w:cs="宋体"/>
                <w:color w:val="auto"/>
                <w:sz w:val="24"/>
              </w:rPr>
            </w:pPr>
            <w:r>
              <w:rPr>
                <w:rFonts w:hint="eastAsia" w:ascii="宋体" w:hAnsi="宋体" w:cs="宋体"/>
                <w:color w:val="auto"/>
                <w:sz w:val="24"/>
              </w:rPr>
              <w:t>测试验收</w:t>
            </w:r>
          </w:p>
        </w:tc>
        <w:tc>
          <w:tcPr>
            <w:tcW w:w="6067" w:type="dxa"/>
            <w:shd w:val="clear" w:color="000000" w:fill="FFFFFF"/>
            <w:vAlign w:val="center"/>
          </w:tcPr>
          <w:p w14:paraId="290CF64E">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a）应制订测试验收方案，并依据测试验收方案实施测试验收，形成测试验收报告；</w:t>
            </w:r>
          </w:p>
        </w:tc>
      </w:tr>
      <w:tr w14:paraId="75890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418E1D4E">
            <w:pPr>
              <w:adjustRightInd w:val="0"/>
              <w:snapToGrid w:val="0"/>
              <w:spacing w:line="360" w:lineRule="auto"/>
              <w:ind w:firstLine="480" w:firstLineChars="200"/>
              <w:jc w:val="left"/>
              <w:rPr>
                <w:rFonts w:ascii="宋体" w:hAnsi="宋体" w:cs="宋体"/>
                <w:color w:val="auto"/>
                <w:sz w:val="24"/>
              </w:rPr>
            </w:pPr>
          </w:p>
        </w:tc>
        <w:tc>
          <w:tcPr>
            <w:tcW w:w="1918" w:type="dxa"/>
            <w:vMerge w:val="continue"/>
            <w:shd w:val="clear" w:color="auto" w:fill="auto"/>
            <w:vAlign w:val="center"/>
          </w:tcPr>
          <w:p w14:paraId="732B9332">
            <w:pPr>
              <w:adjustRightInd w:val="0"/>
              <w:snapToGrid w:val="0"/>
              <w:spacing w:line="360" w:lineRule="auto"/>
              <w:ind w:firstLine="480" w:firstLineChars="200"/>
              <w:jc w:val="left"/>
              <w:rPr>
                <w:rFonts w:ascii="宋体" w:hAnsi="宋体" w:cs="宋体"/>
                <w:color w:val="auto"/>
                <w:sz w:val="24"/>
              </w:rPr>
            </w:pPr>
          </w:p>
        </w:tc>
        <w:tc>
          <w:tcPr>
            <w:tcW w:w="6067" w:type="dxa"/>
            <w:shd w:val="clear" w:color="000000" w:fill="FFFFFF"/>
            <w:vAlign w:val="center"/>
          </w:tcPr>
          <w:p w14:paraId="4E94CA0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b）应进行上线前的安全性测试，并出具安全测试报告。</w:t>
            </w:r>
          </w:p>
        </w:tc>
      </w:tr>
      <w:tr w14:paraId="6787F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55BA9060">
            <w:pPr>
              <w:adjustRightInd w:val="0"/>
              <w:snapToGrid w:val="0"/>
              <w:spacing w:line="360" w:lineRule="auto"/>
              <w:ind w:firstLine="480" w:firstLineChars="200"/>
              <w:jc w:val="left"/>
              <w:rPr>
                <w:rFonts w:ascii="宋体" w:hAnsi="宋体" w:cs="宋体"/>
                <w:color w:val="auto"/>
                <w:sz w:val="24"/>
              </w:rPr>
            </w:pPr>
          </w:p>
        </w:tc>
        <w:tc>
          <w:tcPr>
            <w:tcW w:w="1918" w:type="dxa"/>
            <w:vMerge w:val="restart"/>
            <w:shd w:val="clear" w:color="auto" w:fill="auto"/>
            <w:vAlign w:val="center"/>
          </w:tcPr>
          <w:p w14:paraId="0B673B26">
            <w:pPr>
              <w:adjustRightInd w:val="0"/>
              <w:snapToGrid w:val="0"/>
              <w:spacing w:line="360" w:lineRule="auto"/>
              <w:jc w:val="left"/>
              <w:rPr>
                <w:rFonts w:ascii="宋体" w:hAnsi="宋体" w:cs="宋体"/>
                <w:color w:val="auto"/>
                <w:sz w:val="24"/>
              </w:rPr>
            </w:pPr>
            <w:r>
              <w:rPr>
                <w:rFonts w:hint="eastAsia" w:ascii="宋体" w:hAnsi="宋体" w:cs="宋体"/>
                <w:color w:val="auto"/>
                <w:sz w:val="24"/>
              </w:rPr>
              <w:t>系统交付</w:t>
            </w:r>
          </w:p>
        </w:tc>
        <w:tc>
          <w:tcPr>
            <w:tcW w:w="6067" w:type="dxa"/>
            <w:shd w:val="clear" w:color="000000" w:fill="FFFFFF"/>
            <w:vAlign w:val="center"/>
          </w:tcPr>
          <w:p w14:paraId="1753EE1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a）应制定交付清单，并根据交付清单对所交接的设备、软件和文档等进行清点；</w:t>
            </w:r>
          </w:p>
        </w:tc>
      </w:tr>
      <w:tr w14:paraId="164E2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5C10A786">
            <w:pPr>
              <w:adjustRightInd w:val="0"/>
              <w:snapToGrid w:val="0"/>
              <w:spacing w:line="360" w:lineRule="auto"/>
              <w:ind w:firstLine="480" w:firstLineChars="200"/>
              <w:jc w:val="left"/>
              <w:rPr>
                <w:rFonts w:ascii="宋体" w:hAnsi="宋体" w:cs="宋体"/>
                <w:color w:val="auto"/>
                <w:sz w:val="24"/>
              </w:rPr>
            </w:pPr>
          </w:p>
        </w:tc>
        <w:tc>
          <w:tcPr>
            <w:tcW w:w="1918" w:type="dxa"/>
            <w:vMerge w:val="continue"/>
            <w:shd w:val="clear" w:color="auto" w:fill="auto"/>
            <w:vAlign w:val="center"/>
          </w:tcPr>
          <w:p w14:paraId="18377ABC">
            <w:pPr>
              <w:adjustRightInd w:val="0"/>
              <w:snapToGrid w:val="0"/>
              <w:spacing w:line="360" w:lineRule="auto"/>
              <w:ind w:firstLine="480" w:firstLineChars="200"/>
              <w:jc w:val="left"/>
              <w:rPr>
                <w:rFonts w:ascii="宋体" w:hAnsi="宋体" w:cs="宋体"/>
                <w:color w:val="auto"/>
                <w:sz w:val="24"/>
              </w:rPr>
            </w:pPr>
          </w:p>
        </w:tc>
        <w:tc>
          <w:tcPr>
            <w:tcW w:w="6067" w:type="dxa"/>
            <w:shd w:val="clear" w:color="000000" w:fill="FFFFFF"/>
            <w:vAlign w:val="center"/>
          </w:tcPr>
          <w:p w14:paraId="48076CE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b）应对负责系统运行维护的技术人员进行相应的技能培训；</w:t>
            </w:r>
          </w:p>
        </w:tc>
      </w:tr>
      <w:tr w14:paraId="3CC36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641162F2">
            <w:pPr>
              <w:adjustRightInd w:val="0"/>
              <w:snapToGrid w:val="0"/>
              <w:spacing w:line="360" w:lineRule="auto"/>
              <w:ind w:firstLine="480" w:firstLineChars="200"/>
              <w:jc w:val="left"/>
              <w:rPr>
                <w:rFonts w:ascii="宋体" w:hAnsi="宋体" w:cs="宋体"/>
                <w:color w:val="auto"/>
                <w:sz w:val="24"/>
              </w:rPr>
            </w:pPr>
          </w:p>
        </w:tc>
        <w:tc>
          <w:tcPr>
            <w:tcW w:w="1918" w:type="dxa"/>
            <w:vMerge w:val="continue"/>
            <w:shd w:val="clear" w:color="auto" w:fill="auto"/>
            <w:vAlign w:val="center"/>
          </w:tcPr>
          <w:p w14:paraId="3F4060C8">
            <w:pPr>
              <w:adjustRightInd w:val="0"/>
              <w:snapToGrid w:val="0"/>
              <w:spacing w:line="360" w:lineRule="auto"/>
              <w:ind w:firstLine="480" w:firstLineChars="200"/>
              <w:jc w:val="left"/>
              <w:rPr>
                <w:rFonts w:ascii="宋体" w:hAnsi="宋体" w:cs="宋体"/>
                <w:color w:val="auto"/>
                <w:sz w:val="24"/>
              </w:rPr>
            </w:pPr>
          </w:p>
        </w:tc>
        <w:tc>
          <w:tcPr>
            <w:tcW w:w="6067" w:type="dxa"/>
            <w:shd w:val="clear" w:color="000000" w:fill="FFFFFF"/>
            <w:vAlign w:val="center"/>
          </w:tcPr>
          <w:p w14:paraId="29129E31">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c）应提供系统建设过程文档和运行维护文档。</w:t>
            </w:r>
          </w:p>
        </w:tc>
      </w:tr>
      <w:tr w14:paraId="70557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34EDA012">
            <w:pPr>
              <w:adjustRightInd w:val="0"/>
              <w:snapToGrid w:val="0"/>
              <w:spacing w:line="360" w:lineRule="auto"/>
              <w:ind w:firstLine="480" w:firstLineChars="200"/>
              <w:jc w:val="left"/>
              <w:rPr>
                <w:rFonts w:ascii="宋体" w:hAnsi="宋体" w:cs="宋体"/>
                <w:color w:val="auto"/>
                <w:sz w:val="24"/>
              </w:rPr>
            </w:pPr>
          </w:p>
        </w:tc>
        <w:tc>
          <w:tcPr>
            <w:tcW w:w="1918" w:type="dxa"/>
            <w:vMerge w:val="restart"/>
            <w:shd w:val="clear" w:color="auto" w:fill="auto"/>
            <w:vAlign w:val="center"/>
          </w:tcPr>
          <w:p w14:paraId="501A90D5">
            <w:pPr>
              <w:adjustRightInd w:val="0"/>
              <w:snapToGrid w:val="0"/>
              <w:spacing w:line="360" w:lineRule="auto"/>
              <w:jc w:val="left"/>
              <w:rPr>
                <w:rFonts w:ascii="宋体" w:hAnsi="宋体" w:cs="宋体"/>
                <w:color w:val="auto"/>
                <w:sz w:val="24"/>
              </w:rPr>
            </w:pPr>
            <w:r>
              <w:rPr>
                <w:rFonts w:hint="eastAsia" w:ascii="宋体" w:hAnsi="宋体" w:cs="宋体"/>
                <w:color w:val="auto"/>
                <w:sz w:val="24"/>
              </w:rPr>
              <w:t>等级测评</w:t>
            </w:r>
          </w:p>
        </w:tc>
        <w:tc>
          <w:tcPr>
            <w:tcW w:w="6067" w:type="dxa"/>
            <w:shd w:val="clear" w:color="000000" w:fill="FFFFFF"/>
            <w:vAlign w:val="center"/>
          </w:tcPr>
          <w:p w14:paraId="08BACEFD">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a）应定期进行等级测评，发现不符合相应等级保护标准要求的及时整改；</w:t>
            </w:r>
          </w:p>
        </w:tc>
      </w:tr>
      <w:tr w14:paraId="07D20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269CD153">
            <w:pPr>
              <w:adjustRightInd w:val="0"/>
              <w:snapToGrid w:val="0"/>
              <w:spacing w:line="360" w:lineRule="auto"/>
              <w:ind w:firstLine="480" w:firstLineChars="200"/>
              <w:jc w:val="left"/>
              <w:rPr>
                <w:rFonts w:ascii="宋体" w:hAnsi="宋体" w:cs="宋体"/>
                <w:color w:val="auto"/>
                <w:sz w:val="24"/>
              </w:rPr>
            </w:pPr>
          </w:p>
        </w:tc>
        <w:tc>
          <w:tcPr>
            <w:tcW w:w="1918" w:type="dxa"/>
            <w:vMerge w:val="continue"/>
            <w:shd w:val="clear" w:color="auto" w:fill="auto"/>
            <w:vAlign w:val="center"/>
          </w:tcPr>
          <w:p w14:paraId="6474FA73">
            <w:pPr>
              <w:adjustRightInd w:val="0"/>
              <w:snapToGrid w:val="0"/>
              <w:spacing w:line="360" w:lineRule="auto"/>
              <w:ind w:firstLine="480" w:firstLineChars="200"/>
              <w:jc w:val="left"/>
              <w:rPr>
                <w:rFonts w:ascii="宋体" w:hAnsi="宋体" w:cs="宋体"/>
                <w:color w:val="auto"/>
                <w:sz w:val="24"/>
              </w:rPr>
            </w:pPr>
          </w:p>
        </w:tc>
        <w:tc>
          <w:tcPr>
            <w:tcW w:w="6067" w:type="dxa"/>
            <w:shd w:val="clear" w:color="000000" w:fill="FFFFFF"/>
            <w:vAlign w:val="center"/>
          </w:tcPr>
          <w:p w14:paraId="56021E2C">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b）在发生重大变更或级别发生时进行等级测评；</w:t>
            </w:r>
          </w:p>
        </w:tc>
      </w:tr>
      <w:tr w14:paraId="66F3F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030624FD">
            <w:pPr>
              <w:adjustRightInd w:val="0"/>
              <w:snapToGrid w:val="0"/>
              <w:spacing w:line="360" w:lineRule="auto"/>
              <w:ind w:firstLine="480" w:firstLineChars="200"/>
              <w:jc w:val="left"/>
              <w:rPr>
                <w:rFonts w:ascii="宋体" w:hAnsi="宋体" w:cs="宋体"/>
                <w:color w:val="auto"/>
                <w:sz w:val="24"/>
              </w:rPr>
            </w:pPr>
          </w:p>
        </w:tc>
        <w:tc>
          <w:tcPr>
            <w:tcW w:w="1918" w:type="dxa"/>
            <w:vMerge w:val="continue"/>
            <w:shd w:val="clear" w:color="auto" w:fill="auto"/>
            <w:vAlign w:val="center"/>
          </w:tcPr>
          <w:p w14:paraId="4677A480">
            <w:pPr>
              <w:adjustRightInd w:val="0"/>
              <w:snapToGrid w:val="0"/>
              <w:spacing w:line="360" w:lineRule="auto"/>
              <w:ind w:firstLine="480" w:firstLineChars="200"/>
              <w:jc w:val="left"/>
              <w:rPr>
                <w:rFonts w:ascii="宋体" w:hAnsi="宋体" w:cs="宋体"/>
                <w:color w:val="auto"/>
                <w:sz w:val="24"/>
              </w:rPr>
            </w:pPr>
          </w:p>
        </w:tc>
        <w:tc>
          <w:tcPr>
            <w:tcW w:w="6067" w:type="dxa"/>
            <w:shd w:val="clear" w:color="000000" w:fill="FFFFFF"/>
            <w:vAlign w:val="center"/>
          </w:tcPr>
          <w:p w14:paraId="1DD24B54">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c）应确保测评机构的选择符合国家相关规定。</w:t>
            </w:r>
          </w:p>
        </w:tc>
      </w:tr>
      <w:tr w14:paraId="0FCFA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3225851F">
            <w:pPr>
              <w:adjustRightInd w:val="0"/>
              <w:snapToGrid w:val="0"/>
              <w:spacing w:line="360" w:lineRule="auto"/>
              <w:ind w:firstLine="480" w:firstLineChars="200"/>
              <w:jc w:val="left"/>
              <w:rPr>
                <w:rFonts w:ascii="宋体" w:hAnsi="宋体" w:cs="宋体"/>
                <w:color w:val="auto"/>
                <w:sz w:val="24"/>
              </w:rPr>
            </w:pPr>
          </w:p>
        </w:tc>
        <w:tc>
          <w:tcPr>
            <w:tcW w:w="1918" w:type="dxa"/>
            <w:vMerge w:val="restart"/>
            <w:shd w:val="clear" w:color="auto" w:fill="auto"/>
            <w:vAlign w:val="center"/>
          </w:tcPr>
          <w:p w14:paraId="4199B7AD">
            <w:pPr>
              <w:adjustRightInd w:val="0"/>
              <w:snapToGrid w:val="0"/>
              <w:spacing w:line="360" w:lineRule="auto"/>
              <w:jc w:val="left"/>
              <w:rPr>
                <w:rFonts w:ascii="宋体" w:hAnsi="宋体" w:cs="宋体"/>
                <w:color w:val="auto"/>
                <w:sz w:val="24"/>
              </w:rPr>
            </w:pPr>
            <w:r>
              <w:rPr>
                <w:rFonts w:hint="eastAsia" w:ascii="宋体" w:hAnsi="宋体" w:cs="宋体"/>
                <w:color w:val="auto"/>
                <w:sz w:val="24"/>
              </w:rPr>
              <w:t>服务供应商管理</w:t>
            </w:r>
          </w:p>
        </w:tc>
        <w:tc>
          <w:tcPr>
            <w:tcW w:w="6067" w:type="dxa"/>
            <w:shd w:val="clear" w:color="000000" w:fill="FFFFFF"/>
            <w:vAlign w:val="center"/>
          </w:tcPr>
          <w:p w14:paraId="0D25D61D">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a）应确保服务供应商的选择符合国家的有关标准；</w:t>
            </w:r>
          </w:p>
        </w:tc>
      </w:tr>
      <w:tr w14:paraId="79E62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shd w:val="clear" w:color="auto" w:fill="auto"/>
            <w:vAlign w:val="center"/>
          </w:tcPr>
          <w:p w14:paraId="4B866DBE">
            <w:pPr>
              <w:adjustRightInd w:val="0"/>
              <w:snapToGrid w:val="0"/>
              <w:spacing w:line="360" w:lineRule="auto"/>
              <w:ind w:firstLine="480" w:firstLineChars="200"/>
              <w:jc w:val="left"/>
              <w:rPr>
                <w:rFonts w:ascii="宋体" w:hAnsi="宋体" w:cs="宋体"/>
                <w:color w:val="auto"/>
                <w:sz w:val="24"/>
              </w:rPr>
            </w:pPr>
          </w:p>
        </w:tc>
        <w:tc>
          <w:tcPr>
            <w:tcW w:w="1918" w:type="dxa"/>
            <w:vMerge w:val="continue"/>
            <w:shd w:val="clear" w:color="auto" w:fill="auto"/>
            <w:vAlign w:val="center"/>
          </w:tcPr>
          <w:p w14:paraId="1815494C">
            <w:pPr>
              <w:adjustRightInd w:val="0"/>
              <w:snapToGrid w:val="0"/>
              <w:spacing w:line="360" w:lineRule="auto"/>
              <w:ind w:firstLine="480" w:firstLineChars="200"/>
              <w:jc w:val="left"/>
              <w:rPr>
                <w:rFonts w:ascii="宋体" w:hAnsi="宋体" w:cs="宋体"/>
                <w:color w:val="auto"/>
                <w:sz w:val="24"/>
              </w:rPr>
            </w:pPr>
          </w:p>
        </w:tc>
        <w:tc>
          <w:tcPr>
            <w:tcW w:w="6067" w:type="dxa"/>
            <w:shd w:val="clear" w:color="000000" w:fill="FFFFFF"/>
            <w:vAlign w:val="center"/>
          </w:tcPr>
          <w:p w14:paraId="37890E24">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b）应与选定的服务供应商签订相关协议，明确整个服务供应链各方需履行的网络安全相关义务。</w:t>
            </w:r>
          </w:p>
        </w:tc>
      </w:tr>
      <w:tr w14:paraId="51973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restart"/>
            <w:shd w:val="clear" w:color="auto" w:fill="auto"/>
            <w:vAlign w:val="center"/>
          </w:tcPr>
          <w:p w14:paraId="1AF88C36">
            <w:pPr>
              <w:adjustRightInd w:val="0"/>
              <w:snapToGrid w:val="0"/>
              <w:spacing w:line="360" w:lineRule="auto"/>
              <w:jc w:val="center"/>
              <w:rPr>
                <w:rFonts w:ascii="宋体" w:hAnsi="宋体" w:cs="宋体"/>
                <w:color w:val="auto"/>
                <w:sz w:val="24"/>
              </w:rPr>
            </w:pPr>
            <w:r>
              <w:rPr>
                <w:rFonts w:hint="eastAsia" w:ascii="宋体" w:hAnsi="宋体" w:cs="宋体"/>
                <w:color w:val="auto"/>
                <w:sz w:val="24"/>
              </w:rPr>
              <w:t>安全运维管理</w:t>
            </w:r>
          </w:p>
        </w:tc>
        <w:tc>
          <w:tcPr>
            <w:tcW w:w="1918" w:type="dxa"/>
            <w:vMerge w:val="restart"/>
            <w:shd w:val="clear" w:color="auto" w:fill="auto"/>
            <w:vAlign w:val="center"/>
          </w:tcPr>
          <w:p w14:paraId="0865670F">
            <w:pPr>
              <w:adjustRightInd w:val="0"/>
              <w:snapToGrid w:val="0"/>
              <w:spacing w:line="360" w:lineRule="auto"/>
              <w:rPr>
                <w:rFonts w:ascii="宋体" w:hAnsi="宋体" w:cs="宋体"/>
                <w:color w:val="auto"/>
                <w:sz w:val="24"/>
              </w:rPr>
            </w:pPr>
            <w:r>
              <w:rPr>
                <w:rFonts w:hint="eastAsia" w:ascii="宋体" w:hAnsi="宋体" w:cs="宋体"/>
                <w:color w:val="auto"/>
                <w:sz w:val="24"/>
              </w:rPr>
              <w:t>环境管理</w:t>
            </w:r>
          </w:p>
        </w:tc>
        <w:tc>
          <w:tcPr>
            <w:tcW w:w="6067" w:type="dxa"/>
            <w:shd w:val="clear" w:color="000000" w:fill="FFFFFF"/>
            <w:vAlign w:val="center"/>
          </w:tcPr>
          <w:p w14:paraId="4F922FC5">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a）应指定专门的部门或人员负责机房安全，对机房出入进行管理，定期对机房供配电、空调、温湿度控制、消防等设施进行维护管理；</w:t>
            </w:r>
          </w:p>
        </w:tc>
      </w:tr>
      <w:tr w14:paraId="7B09A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25EA98B1">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3EFB5171">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36C40005">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b）应对机房的安全管理作出规定，包括物理访问，物品进出和环境安全等；</w:t>
            </w:r>
          </w:p>
        </w:tc>
      </w:tr>
      <w:tr w14:paraId="40EDA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238CAA3E">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76F32B71">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5317195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c）应不在重要区域接待来访人员，不随意放置包含敏感信息的纸质文件和移动介质等。</w:t>
            </w:r>
          </w:p>
        </w:tc>
      </w:tr>
      <w:tr w14:paraId="7B93E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15E4363F">
            <w:pPr>
              <w:adjustRightInd w:val="0"/>
              <w:snapToGrid w:val="0"/>
              <w:spacing w:line="360" w:lineRule="auto"/>
              <w:ind w:firstLine="480" w:firstLineChars="200"/>
              <w:jc w:val="center"/>
              <w:rPr>
                <w:rFonts w:ascii="宋体" w:hAnsi="宋体" w:cs="宋体"/>
                <w:color w:val="auto"/>
                <w:sz w:val="24"/>
              </w:rPr>
            </w:pPr>
          </w:p>
        </w:tc>
        <w:tc>
          <w:tcPr>
            <w:tcW w:w="1918" w:type="dxa"/>
            <w:vAlign w:val="center"/>
          </w:tcPr>
          <w:p w14:paraId="42B8F968">
            <w:pPr>
              <w:adjustRightInd w:val="0"/>
              <w:snapToGrid w:val="0"/>
              <w:spacing w:line="360" w:lineRule="auto"/>
              <w:rPr>
                <w:rFonts w:ascii="宋体" w:hAnsi="宋体" w:cs="宋体"/>
                <w:color w:val="auto"/>
                <w:sz w:val="24"/>
              </w:rPr>
            </w:pPr>
            <w:r>
              <w:rPr>
                <w:rFonts w:hint="eastAsia" w:ascii="宋体" w:hAnsi="宋体" w:cs="宋体"/>
                <w:color w:val="auto"/>
                <w:sz w:val="24"/>
              </w:rPr>
              <w:t>资产管理</w:t>
            </w:r>
          </w:p>
        </w:tc>
        <w:tc>
          <w:tcPr>
            <w:tcW w:w="6067" w:type="dxa"/>
            <w:vAlign w:val="center"/>
          </w:tcPr>
          <w:p w14:paraId="32EBD476">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a）应编制并保存与保护对象相关的资产清单，包括资产责任部门、重要程度和所处位置等内容。</w:t>
            </w:r>
          </w:p>
        </w:tc>
      </w:tr>
      <w:tr w14:paraId="4AFC5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continue"/>
            <w:vAlign w:val="center"/>
          </w:tcPr>
          <w:p w14:paraId="3B2A5268">
            <w:pPr>
              <w:adjustRightInd w:val="0"/>
              <w:snapToGrid w:val="0"/>
              <w:spacing w:line="360" w:lineRule="auto"/>
              <w:ind w:firstLine="480" w:firstLineChars="200"/>
              <w:jc w:val="center"/>
              <w:rPr>
                <w:rFonts w:ascii="宋体" w:hAnsi="宋体" w:cs="宋体"/>
                <w:color w:val="auto"/>
                <w:sz w:val="24"/>
              </w:rPr>
            </w:pPr>
          </w:p>
        </w:tc>
        <w:tc>
          <w:tcPr>
            <w:tcW w:w="1918" w:type="dxa"/>
            <w:vMerge w:val="restart"/>
            <w:vAlign w:val="center"/>
          </w:tcPr>
          <w:p w14:paraId="24FAC66B">
            <w:pPr>
              <w:adjustRightInd w:val="0"/>
              <w:snapToGrid w:val="0"/>
              <w:spacing w:line="360" w:lineRule="auto"/>
              <w:rPr>
                <w:rFonts w:ascii="宋体" w:hAnsi="宋体" w:cs="宋体"/>
                <w:color w:val="auto"/>
                <w:sz w:val="24"/>
              </w:rPr>
            </w:pPr>
            <w:r>
              <w:rPr>
                <w:rFonts w:hint="eastAsia" w:ascii="宋体" w:hAnsi="宋体" w:cs="宋体"/>
                <w:color w:val="auto"/>
                <w:sz w:val="24"/>
              </w:rPr>
              <w:t>介质管理</w:t>
            </w:r>
          </w:p>
        </w:tc>
        <w:tc>
          <w:tcPr>
            <w:tcW w:w="6067" w:type="dxa"/>
            <w:vAlign w:val="center"/>
          </w:tcPr>
          <w:p w14:paraId="74A6264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a）应确保介质存放在安全的环境中，对各类介质进行控制和保护，实行存储环境专人管理并根据存档介质的目录清单定期盘点；</w:t>
            </w:r>
          </w:p>
        </w:tc>
      </w:tr>
      <w:tr w14:paraId="20F67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continue"/>
            <w:vAlign w:val="center"/>
          </w:tcPr>
          <w:p w14:paraId="10CF3D30">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59C43A47">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71A38005">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b）应对介质在物理传输过程中的人员选择、打包、交付等情况进行控制，对介质归档和查询等进行登记记录。</w:t>
            </w:r>
          </w:p>
        </w:tc>
      </w:tr>
      <w:tr w14:paraId="7F880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2F3731BE">
            <w:pPr>
              <w:adjustRightInd w:val="0"/>
              <w:snapToGrid w:val="0"/>
              <w:spacing w:line="360" w:lineRule="auto"/>
              <w:ind w:firstLine="480" w:firstLineChars="200"/>
              <w:jc w:val="center"/>
              <w:rPr>
                <w:rFonts w:ascii="宋体" w:hAnsi="宋体" w:cs="宋体"/>
                <w:color w:val="auto"/>
                <w:sz w:val="24"/>
              </w:rPr>
            </w:pPr>
          </w:p>
        </w:tc>
        <w:tc>
          <w:tcPr>
            <w:tcW w:w="1918" w:type="dxa"/>
            <w:vMerge w:val="restart"/>
            <w:vAlign w:val="center"/>
          </w:tcPr>
          <w:p w14:paraId="6A505497">
            <w:pPr>
              <w:adjustRightInd w:val="0"/>
              <w:snapToGrid w:val="0"/>
              <w:spacing w:line="360" w:lineRule="auto"/>
              <w:jc w:val="center"/>
              <w:rPr>
                <w:rFonts w:ascii="宋体" w:hAnsi="宋体" w:cs="宋体"/>
                <w:color w:val="auto"/>
                <w:sz w:val="24"/>
              </w:rPr>
            </w:pPr>
            <w:r>
              <w:rPr>
                <w:rFonts w:hint="eastAsia" w:ascii="宋体" w:hAnsi="宋体" w:cs="宋体"/>
                <w:color w:val="auto"/>
                <w:sz w:val="24"/>
              </w:rPr>
              <w:t>设备维护管理</w:t>
            </w:r>
          </w:p>
        </w:tc>
        <w:tc>
          <w:tcPr>
            <w:tcW w:w="6067" w:type="dxa"/>
            <w:vAlign w:val="center"/>
          </w:tcPr>
          <w:p w14:paraId="5876FD9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a）应对各种设备（包括备份和冗余设备）、线路等指定专门的部门或人员定期进行维护管理；</w:t>
            </w:r>
          </w:p>
        </w:tc>
      </w:tr>
      <w:tr w14:paraId="66E2A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continue"/>
            <w:vAlign w:val="center"/>
          </w:tcPr>
          <w:p w14:paraId="64698FDB">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18C9DD20">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4A957476">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b）应对配套设施、软硬件维护管理作出规定，包括明确维护人员的责任、维修和服务的审批、维修过程的监督控制等。</w:t>
            </w:r>
          </w:p>
        </w:tc>
      </w:tr>
      <w:tr w14:paraId="28072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continue"/>
            <w:vAlign w:val="center"/>
          </w:tcPr>
          <w:p w14:paraId="24E2BB7E">
            <w:pPr>
              <w:adjustRightInd w:val="0"/>
              <w:snapToGrid w:val="0"/>
              <w:spacing w:line="360" w:lineRule="auto"/>
              <w:ind w:firstLine="480" w:firstLineChars="200"/>
              <w:jc w:val="center"/>
              <w:rPr>
                <w:rFonts w:ascii="宋体" w:hAnsi="宋体" w:cs="宋体"/>
                <w:color w:val="auto"/>
                <w:sz w:val="24"/>
              </w:rPr>
            </w:pPr>
          </w:p>
        </w:tc>
        <w:tc>
          <w:tcPr>
            <w:tcW w:w="1918" w:type="dxa"/>
            <w:vAlign w:val="center"/>
          </w:tcPr>
          <w:p w14:paraId="79030FAB">
            <w:pPr>
              <w:adjustRightInd w:val="0"/>
              <w:snapToGrid w:val="0"/>
              <w:spacing w:line="360" w:lineRule="auto"/>
              <w:jc w:val="center"/>
              <w:rPr>
                <w:rFonts w:ascii="宋体" w:hAnsi="宋体" w:cs="宋体"/>
                <w:color w:val="auto"/>
                <w:sz w:val="24"/>
              </w:rPr>
            </w:pPr>
            <w:r>
              <w:rPr>
                <w:rFonts w:hint="eastAsia" w:ascii="宋体" w:hAnsi="宋体" w:cs="宋体"/>
                <w:color w:val="auto"/>
                <w:sz w:val="24"/>
              </w:rPr>
              <w:t>漏洞和风险管理</w:t>
            </w:r>
          </w:p>
        </w:tc>
        <w:tc>
          <w:tcPr>
            <w:tcW w:w="6067" w:type="dxa"/>
            <w:vAlign w:val="center"/>
          </w:tcPr>
          <w:p w14:paraId="3A7AC70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a）应采取必要的措施识别安全漏洞和隐患，对发现的安全漏洞和隐患及时进行修补或评估可能的影响后进行修补。</w:t>
            </w:r>
          </w:p>
        </w:tc>
      </w:tr>
      <w:tr w14:paraId="63C08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6A6F3D35">
            <w:pPr>
              <w:adjustRightInd w:val="0"/>
              <w:snapToGrid w:val="0"/>
              <w:spacing w:line="360" w:lineRule="auto"/>
              <w:ind w:firstLine="480" w:firstLineChars="200"/>
              <w:jc w:val="center"/>
              <w:rPr>
                <w:rFonts w:ascii="宋体" w:hAnsi="宋体" w:cs="宋体"/>
                <w:color w:val="auto"/>
                <w:sz w:val="24"/>
              </w:rPr>
            </w:pPr>
          </w:p>
        </w:tc>
        <w:tc>
          <w:tcPr>
            <w:tcW w:w="1918" w:type="dxa"/>
            <w:vMerge w:val="restart"/>
            <w:vAlign w:val="center"/>
          </w:tcPr>
          <w:p w14:paraId="1112C1D1">
            <w:pPr>
              <w:adjustRightInd w:val="0"/>
              <w:snapToGrid w:val="0"/>
              <w:spacing w:line="360" w:lineRule="auto"/>
              <w:rPr>
                <w:rFonts w:ascii="宋体" w:hAnsi="宋体" w:cs="宋体"/>
                <w:color w:val="auto"/>
                <w:sz w:val="24"/>
              </w:rPr>
            </w:pPr>
          </w:p>
          <w:p w14:paraId="59E6A0C3">
            <w:pPr>
              <w:adjustRightInd w:val="0"/>
              <w:snapToGrid w:val="0"/>
              <w:spacing w:line="360" w:lineRule="auto"/>
              <w:jc w:val="center"/>
              <w:rPr>
                <w:rFonts w:ascii="宋体" w:hAnsi="宋体" w:cs="宋体"/>
                <w:color w:val="auto"/>
                <w:sz w:val="24"/>
              </w:rPr>
            </w:pPr>
            <w:r>
              <w:rPr>
                <w:rFonts w:hint="eastAsia" w:ascii="宋体" w:hAnsi="宋体" w:cs="宋体"/>
                <w:color w:val="auto"/>
                <w:sz w:val="24"/>
              </w:rPr>
              <w:t>网络和系统</w:t>
            </w:r>
          </w:p>
          <w:p w14:paraId="30956EAB">
            <w:pPr>
              <w:adjustRightInd w:val="0"/>
              <w:snapToGrid w:val="0"/>
              <w:spacing w:line="360" w:lineRule="auto"/>
              <w:jc w:val="center"/>
              <w:rPr>
                <w:rFonts w:ascii="宋体" w:hAnsi="宋体" w:cs="宋体"/>
                <w:color w:val="auto"/>
                <w:sz w:val="24"/>
              </w:rPr>
            </w:pPr>
            <w:r>
              <w:rPr>
                <w:rFonts w:hint="eastAsia" w:ascii="宋体" w:hAnsi="宋体" w:cs="宋体"/>
                <w:color w:val="auto"/>
                <w:sz w:val="24"/>
              </w:rPr>
              <w:t>安全管理</w:t>
            </w:r>
          </w:p>
        </w:tc>
        <w:tc>
          <w:tcPr>
            <w:tcW w:w="6067" w:type="dxa"/>
            <w:vAlign w:val="center"/>
          </w:tcPr>
          <w:p w14:paraId="1E033C35">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a）应划分不同的管理员角色进行网络和系统的运维管理，明确各个角色的责任和权限；</w:t>
            </w:r>
          </w:p>
        </w:tc>
      </w:tr>
      <w:tr w14:paraId="72695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42813218">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12077B4D">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48C16B01">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b）应指定专门的部门或人员进行账户管理，对账户申请，建立账户、删除账户等进行控制；</w:t>
            </w:r>
          </w:p>
        </w:tc>
      </w:tr>
      <w:tr w14:paraId="72530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continue"/>
            <w:vAlign w:val="center"/>
          </w:tcPr>
          <w:p w14:paraId="76085FC6">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35B36EC6">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5184F0E6">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c）应建立网络和系统安全管理制度，对安全策略、账户管理、配置管理、日志管理、日常操作、升级与打补丁、口令更新周期等方面作出规定；</w:t>
            </w:r>
          </w:p>
        </w:tc>
      </w:tr>
      <w:tr w14:paraId="62E91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47203794">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0EB43648">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64FA780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d）应制定重要设备的配置和操作手册，依据操作手册对设备进行安全配置和优化配置等；</w:t>
            </w:r>
          </w:p>
        </w:tc>
      </w:tr>
      <w:tr w14:paraId="5F44F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763032B2">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196BC030">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45D3654E">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e）应详细记录运维操作日志，包括日常巡检工作，运行维护记录、参数的设置和修改的内容。</w:t>
            </w:r>
          </w:p>
        </w:tc>
      </w:tr>
      <w:tr w14:paraId="102B0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56896FA2">
            <w:pPr>
              <w:adjustRightInd w:val="0"/>
              <w:snapToGrid w:val="0"/>
              <w:spacing w:line="360" w:lineRule="auto"/>
              <w:ind w:firstLine="480" w:firstLineChars="200"/>
              <w:jc w:val="center"/>
              <w:rPr>
                <w:rFonts w:ascii="宋体" w:hAnsi="宋体" w:cs="宋体"/>
                <w:color w:val="auto"/>
                <w:sz w:val="24"/>
              </w:rPr>
            </w:pPr>
          </w:p>
        </w:tc>
        <w:tc>
          <w:tcPr>
            <w:tcW w:w="1918" w:type="dxa"/>
            <w:vMerge w:val="restart"/>
            <w:vAlign w:val="center"/>
          </w:tcPr>
          <w:p w14:paraId="2341967F">
            <w:pPr>
              <w:adjustRightInd w:val="0"/>
              <w:snapToGrid w:val="0"/>
              <w:spacing w:line="360" w:lineRule="auto"/>
              <w:rPr>
                <w:rFonts w:ascii="宋体" w:hAnsi="宋体" w:cs="宋体"/>
                <w:color w:val="auto"/>
                <w:sz w:val="24"/>
              </w:rPr>
            </w:pPr>
            <w:r>
              <w:rPr>
                <w:rFonts w:hint="eastAsia" w:ascii="宋体" w:hAnsi="宋体" w:cs="宋体"/>
                <w:color w:val="auto"/>
                <w:sz w:val="24"/>
              </w:rPr>
              <w:t>恶意代码防范管理</w:t>
            </w:r>
          </w:p>
        </w:tc>
        <w:tc>
          <w:tcPr>
            <w:tcW w:w="6067" w:type="dxa"/>
            <w:vAlign w:val="center"/>
          </w:tcPr>
          <w:p w14:paraId="5589B44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a）应提高所有用户的防恶意代码意识，对外来计算机或存储设备接入系统前进行恶意代码检查等；</w:t>
            </w:r>
          </w:p>
        </w:tc>
      </w:tr>
      <w:tr w14:paraId="55297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continue"/>
            <w:vAlign w:val="center"/>
          </w:tcPr>
          <w:p w14:paraId="14062F8B">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7B9A558D">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6031E39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b）应对防恶意代码防范要求作出规定，包括防恶意代码软件的授权使用、恶意代码库升级、恶意代码的定期查杀等；</w:t>
            </w:r>
          </w:p>
        </w:tc>
      </w:tr>
      <w:tr w14:paraId="2A54E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0B6E3E39">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56140BCF">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27B1BB0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c）应定期检查恶意代码库的升级情况，对截获的恶意代码进行及时分析处理。</w:t>
            </w:r>
          </w:p>
        </w:tc>
      </w:tr>
      <w:tr w14:paraId="76F71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continue"/>
            <w:vAlign w:val="center"/>
          </w:tcPr>
          <w:p w14:paraId="4F91C3DB">
            <w:pPr>
              <w:adjustRightInd w:val="0"/>
              <w:snapToGrid w:val="0"/>
              <w:spacing w:line="360" w:lineRule="auto"/>
              <w:ind w:firstLine="480" w:firstLineChars="200"/>
              <w:jc w:val="center"/>
              <w:rPr>
                <w:rFonts w:ascii="宋体" w:hAnsi="宋体" w:cs="宋体"/>
                <w:color w:val="auto"/>
                <w:sz w:val="24"/>
              </w:rPr>
            </w:pPr>
          </w:p>
        </w:tc>
        <w:tc>
          <w:tcPr>
            <w:tcW w:w="1918" w:type="dxa"/>
            <w:vAlign w:val="center"/>
          </w:tcPr>
          <w:p w14:paraId="34A089AA">
            <w:pPr>
              <w:adjustRightInd w:val="0"/>
              <w:snapToGrid w:val="0"/>
              <w:spacing w:line="360" w:lineRule="auto"/>
              <w:rPr>
                <w:rFonts w:ascii="宋体" w:hAnsi="宋体" w:cs="宋体"/>
                <w:color w:val="auto"/>
                <w:sz w:val="24"/>
              </w:rPr>
            </w:pPr>
            <w:r>
              <w:rPr>
                <w:rFonts w:hint="eastAsia" w:ascii="宋体" w:hAnsi="宋体" w:cs="宋体"/>
                <w:color w:val="auto"/>
                <w:sz w:val="24"/>
              </w:rPr>
              <w:t>配置管理</w:t>
            </w:r>
          </w:p>
        </w:tc>
        <w:tc>
          <w:tcPr>
            <w:tcW w:w="6067" w:type="dxa"/>
            <w:vAlign w:val="center"/>
          </w:tcPr>
          <w:p w14:paraId="1A9B21F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a）应记录和保存基本配置信息，包括网络拓扑结构、各个设备安装的软件组件、软件组件的版本和补丁信息、各个设备或软件组件的配置参数等。</w:t>
            </w:r>
          </w:p>
        </w:tc>
      </w:tr>
      <w:tr w14:paraId="41835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560AA1CD">
            <w:pPr>
              <w:adjustRightInd w:val="0"/>
              <w:snapToGrid w:val="0"/>
              <w:spacing w:line="360" w:lineRule="auto"/>
              <w:ind w:firstLine="480" w:firstLineChars="200"/>
              <w:jc w:val="center"/>
              <w:rPr>
                <w:rFonts w:ascii="宋体" w:hAnsi="宋体" w:cs="宋体"/>
                <w:color w:val="auto"/>
                <w:sz w:val="24"/>
              </w:rPr>
            </w:pPr>
          </w:p>
        </w:tc>
        <w:tc>
          <w:tcPr>
            <w:tcW w:w="1918" w:type="dxa"/>
            <w:vMerge w:val="restart"/>
            <w:vAlign w:val="center"/>
          </w:tcPr>
          <w:p w14:paraId="101FC3E1">
            <w:pPr>
              <w:adjustRightInd w:val="0"/>
              <w:snapToGrid w:val="0"/>
              <w:spacing w:line="360" w:lineRule="auto"/>
              <w:rPr>
                <w:rFonts w:ascii="宋体" w:hAnsi="宋体" w:cs="宋体"/>
                <w:color w:val="auto"/>
                <w:sz w:val="24"/>
              </w:rPr>
            </w:pPr>
            <w:r>
              <w:rPr>
                <w:rFonts w:hint="eastAsia" w:ascii="宋体" w:hAnsi="宋体" w:cs="宋体"/>
                <w:color w:val="auto"/>
                <w:sz w:val="24"/>
              </w:rPr>
              <w:t>密码管理</w:t>
            </w:r>
          </w:p>
        </w:tc>
        <w:tc>
          <w:tcPr>
            <w:tcW w:w="6067" w:type="dxa"/>
            <w:vAlign w:val="center"/>
          </w:tcPr>
          <w:p w14:paraId="557A677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 xml:space="preserve">a）应遵循密码相关的国家标准和行业标准； </w:t>
            </w:r>
          </w:p>
        </w:tc>
      </w:tr>
      <w:tr w14:paraId="40CB7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13D838FB">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12E5AFE2">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5E36BBF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b）应使用国家密码管理局认证核准的密码技术和产品。</w:t>
            </w:r>
          </w:p>
        </w:tc>
      </w:tr>
      <w:tr w14:paraId="5F1FE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75C1F4CA">
            <w:pPr>
              <w:adjustRightInd w:val="0"/>
              <w:snapToGrid w:val="0"/>
              <w:spacing w:line="360" w:lineRule="auto"/>
              <w:ind w:firstLine="480" w:firstLineChars="200"/>
              <w:jc w:val="center"/>
              <w:rPr>
                <w:rFonts w:ascii="宋体" w:hAnsi="宋体" w:cs="宋体"/>
                <w:color w:val="auto"/>
                <w:sz w:val="24"/>
              </w:rPr>
            </w:pPr>
          </w:p>
        </w:tc>
        <w:tc>
          <w:tcPr>
            <w:tcW w:w="1918" w:type="dxa"/>
            <w:vAlign w:val="center"/>
          </w:tcPr>
          <w:p w14:paraId="0BB2A045">
            <w:pPr>
              <w:adjustRightInd w:val="0"/>
              <w:snapToGrid w:val="0"/>
              <w:spacing w:line="360" w:lineRule="auto"/>
              <w:rPr>
                <w:rFonts w:ascii="宋体" w:hAnsi="宋体" w:cs="宋体"/>
                <w:color w:val="auto"/>
                <w:sz w:val="24"/>
              </w:rPr>
            </w:pPr>
            <w:r>
              <w:rPr>
                <w:rFonts w:hint="eastAsia" w:ascii="宋体" w:hAnsi="宋体" w:cs="宋体"/>
                <w:color w:val="auto"/>
                <w:sz w:val="24"/>
              </w:rPr>
              <w:t>变更管理</w:t>
            </w:r>
          </w:p>
        </w:tc>
        <w:tc>
          <w:tcPr>
            <w:tcW w:w="6067" w:type="dxa"/>
            <w:vAlign w:val="center"/>
          </w:tcPr>
          <w:p w14:paraId="47FC218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a）应明确认变更需求，变更前根据变更需求制定变更方案、变更方案经过评审、审批后方可实施。</w:t>
            </w:r>
          </w:p>
        </w:tc>
      </w:tr>
      <w:tr w14:paraId="2E450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61CD0716">
            <w:pPr>
              <w:adjustRightInd w:val="0"/>
              <w:snapToGrid w:val="0"/>
              <w:spacing w:line="360" w:lineRule="auto"/>
              <w:ind w:firstLine="480" w:firstLineChars="200"/>
              <w:jc w:val="center"/>
              <w:rPr>
                <w:rFonts w:ascii="宋体" w:hAnsi="宋体" w:cs="宋体"/>
                <w:color w:val="auto"/>
                <w:sz w:val="24"/>
              </w:rPr>
            </w:pPr>
          </w:p>
        </w:tc>
        <w:tc>
          <w:tcPr>
            <w:tcW w:w="1918" w:type="dxa"/>
            <w:vMerge w:val="restart"/>
            <w:vAlign w:val="center"/>
          </w:tcPr>
          <w:p w14:paraId="089E9942">
            <w:pPr>
              <w:adjustRightInd w:val="0"/>
              <w:snapToGrid w:val="0"/>
              <w:spacing w:line="360" w:lineRule="auto"/>
              <w:jc w:val="center"/>
              <w:rPr>
                <w:rFonts w:ascii="宋体" w:hAnsi="宋体" w:cs="宋体"/>
                <w:color w:val="auto"/>
                <w:sz w:val="24"/>
              </w:rPr>
            </w:pPr>
            <w:r>
              <w:rPr>
                <w:rFonts w:hint="eastAsia" w:ascii="宋体" w:hAnsi="宋体" w:cs="宋体"/>
                <w:color w:val="auto"/>
                <w:sz w:val="24"/>
              </w:rPr>
              <w:t>备份与恢复管理</w:t>
            </w:r>
          </w:p>
        </w:tc>
        <w:tc>
          <w:tcPr>
            <w:tcW w:w="6067" w:type="dxa"/>
            <w:vAlign w:val="center"/>
          </w:tcPr>
          <w:p w14:paraId="74A1FDF1">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a）应识别需要定期备份的重要业务信息、系统数据及软件系统等；</w:t>
            </w:r>
          </w:p>
        </w:tc>
      </w:tr>
      <w:tr w14:paraId="2CD35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1171949E">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248E313D">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465A9DFD">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b）应规定备份信息的备份方式、备份频度、存储介质和保存期等；</w:t>
            </w:r>
          </w:p>
        </w:tc>
      </w:tr>
      <w:tr w14:paraId="343B7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continue"/>
            <w:vAlign w:val="center"/>
          </w:tcPr>
          <w:p w14:paraId="1D978B7F">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7BFC020C">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425D9F9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c）应根据数据的重要性和数据对系统运行的影响，制定数据的备份策略和恢复策略，备份程序和恢复程序。</w:t>
            </w:r>
          </w:p>
        </w:tc>
      </w:tr>
      <w:tr w14:paraId="799F5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1094841D">
            <w:pPr>
              <w:adjustRightInd w:val="0"/>
              <w:snapToGrid w:val="0"/>
              <w:spacing w:line="360" w:lineRule="auto"/>
              <w:ind w:firstLine="480" w:firstLineChars="200"/>
              <w:jc w:val="center"/>
              <w:rPr>
                <w:rFonts w:ascii="宋体" w:hAnsi="宋体" w:cs="宋体"/>
                <w:color w:val="auto"/>
                <w:sz w:val="24"/>
              </w:rPr>
            </w:pPr>
          </w:p>
        </w:tc>
        <w:tc>
          <w:tcPr>
            <w:tcW w:w="1918" w:type="dxa"/>
            <w:vMerge w:val="restart"/>
            <w:vAlign w:val="center"/>
          </w:tcPr>
          <w:p w14:paraId="0D1BF797">
            <w:pPr>
              <w:adjustRightInd w:val="0"/>
              <w:snapToGrid w:val="0"/>
              <w:spacing w:line="360" w:lineRule="auto"/>
              <w:rPr>
                <w:rFonts w:ascii="宋体" w:hAnsi="宋体" w:cs="宋体"/>
                <w:color w:val="auto"/>
                <w:sz w:val="24"/>
              </w:rPr>
            </w:pPr>
            <w:r>
              <w:rPr>
                <w:rFonts w:hint="eastAsia" w:ascii="宋体" w:hAnsi="宋体" w:cs="宋体"/>
                <w:color w:val="auto"/>
                <w:sz w:val="24"/>
              </w:rPr>
              <w:t>安全事件处置</w:t>
            </w:r>
          </w:p>
        </w:tc>
        <w:tc>
          <w:tcPr>
            <w:tcW w:w="6067" w:type="dxa"/>
            <w:vAlign w:val="center"/>
          </w:tcPr>
          <w:p w14:paraId="5D91873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a）应及时向安全管理部门报告所发现的安全弱点和可疑事件；</w:t>
            </w:r>
          </w:p>
        </w:tc>
      </w:tr>
      <w:tr w14:paraId="56A8C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continue"/>
            <w:vAlign w:val="center"/>
          </w:tcPr>
          <w:p w14:paraId="77EC16A0">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3639D9A2">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506F44B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b）应制定安全事件报告和处置管理制度，明确不同安全事件的报告、处置和响应流程，规定安全事件的现场处理、事件报告和后期恢复的管理职责等；</w:t>
            </w:r>
          </w:p>
        </w:tc>
      </w:tr>
      <w:tr w14:paraId="30960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8" w:type="dxa"/>
            <w:vMerge w:val="continue"/>
            <w:vAlign w:val="center"/>
          </w:tcPr>
          <w:p w14:paraId="0BA49401">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2D3950A4">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6AB1C39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c）应在安全事件和响应处理过程中，分析和鉴定事件产生的原因，收集证据，记录处理过程，总结经验教训。</w:t>
            </w:r>
          </w:p>
        </w:tc>
      </w:tr>
      <w:tr w14:paraId="3E458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42A1F88E">
            <w:pPr>
              <w:adjustRightInd w:val="0"/>
              <w:snapToGrid w:val="0"/>
              <w:spacing w:line="360" w:lineRule="auto"/>
              <w:ind w:firstLine="480" w:firstLineChars="200"/>
              <w:jc w:val="center"/>
              <w:rPr>
                <w:rFonts w:ascii="宋体" w:hAnsi="宋体" w:cs="宋体"/>
                <w:color w:val="auto"/>
                <w:sz w:val="24"/>
              </w:rPr>
            </w:pPr>
          </w:p>
        </w:tc>
        <w:tc>
          <w:tcPr>
            <w:tcW w:w="1918" w:type="dxa"/>
            <w:vMerge w:val="restart"/>
            <w:vAlign w:val="center"/>
          </w:tcPr>
          <w:p w14:paraId="2A80308D">
            <w:pPr>
              <w:adjustRightInd w:val="0"/>
              <w:snapToGrid w:val="0"/>
              <w:spacing w:line="360" w:lineRule="auto"/>
              <w:rPr>
                <w:rFonts w:ascii="宋体" w:hAnsi="宋体" w:cs="宋体"/>
                <w:color w:val="auto"/>
                <w:sz w:val="24"/>
              </w:rPr>
            </w:pPr>
            <w:r>
              <w:rPr>
                <w:rFonts w:hint="eastAsia" w:ascii="宋体" w:hAnsi="宋体" w:cs="宋体"/>
                <w:color w:val="auto"/>
                <w:sz w:val="24"/>
              </w:rPr>
              <w:t>应急预案管理</w:t>
            </w:r>
          </w:p>
        </w:tc>
        <w:tc>
          <w:tcPr>
            <w:tcW w:w="6067" w:type="dxa"/>
            <w:vAlign w:val="center"/>
          </w:tcPr>
          <w:p w14:paraId="1060D235">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a）应制定重要事件的应急预案，包括应急处理流程、系统恢复流程等内容；</w:t>
            </w:r>
          </w:p>
        </w:tc>
      </w:tr>
      <w:tr w14:paraId="42C00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45767F46">
            <w:pPr>
              <w:adjustRightInd w:val="0"/>
              <w:snapToGrid w:val="0"/>
              <w:spacing w:line="360" w:lineRule="auto"/>
              <w:ind w:firstLine="480" w:firstLineChars="200"/>
              <w:jc w:val="center"/>
              <w:rPr>
                <w:rFonts w:ascii="宋体" w:hAnsi="宋体" w:cs="宋体"/>
                <w:color w:val="auto"/>
                <w:sz w:val="24"/>
              </w:rPr>
            </w:pPr>
          </w:p>
        </w:tc>
        <w:tc>
          <w:tcPr>
            <w:tcW w:w="1918" w:type="dxa"/>
            <w:vMerge w:val="continue"/>
            <w:vAlign w:val="center"/>
          </w:tcPr>
          <w:p w14:paraId="654DEC8A">
            <w:pPr>
              <w:adjustRightInd w:val="0"/>
              <w:snapToGrid w:val="0"/>
              <w:spacing w:line="360" w:lineRule="auto"/>
              <w:ind w:firstLine="480" w:firstLineChars="200"/>
              <w:jc w:val="center"/>
              <w:rPr>
                <w:rFonts w:ascii="宋体" w:hAnsi="宋体" w:cs="宋体"/>
                <w:color w:val="auto"/>
                <w:sz w:val="24"/>
              </w:rPr>
            </w:pPr>
          </w:p>
        </w:tc>
        <w:tc>
          <w:tcPr>
            <w:tcW w:w="6067" w:type="dxa"/>
            <w:vAlign w:val="center"/>
          </w:tcPr>
          <w:p w14:paraId="650F452E">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b）应定期对系统相关的人员进行应急预案培训，并进行应急预案的演练。</w:t>
            </w:r>
          </w:p>
        </w:tc>
      </w:tr>
      <w:tr w14:paraId="7944D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30EB7A4A">
            <w:pPr>
              <w:adjustRightInd w:val="0"/>
              <w:snapToGrid w:val="0"/>
              <w:spacing w:line="360" w:lineRule="auto"/>
              <w:ind w:firstLine="480" w:firstLineChars="200"/>
              <w:jc w:val="center"/>
              <w:rPr>
                <w:rFonts w:ascii="宋体" w:hAnsi="宋体" w:cs="宋体"/>
                <w:color w:val="auto"/>
                <w:sz w:val="24"/>
              </w:rPr>
            </w:pPr>
          </w:p>
        </w:tc>
        <w:tc>
          <w:tcPr>
            <w:tcW w:w="1918" w:type="dxa"/>
            <w:vMerge w:val="restart"/>
            <w:vAlign w:val="center"/>
          </w:tcPr>
          <w:p w14:paraId="4D09B63E">
            <w:pPr>
              <w:adjustRightInd w:val="0"/>
              <w:snapToGrid w:val="0"/>
              <w:spacing w:line="360" w:lineRule="auto"/>
              <w:rPr>
                <w:rFonts w:ascii="宋体" w:hAnsi="宋体" w:cs="宋体"/>
                <w:color w:val="auto"/>
                <w:sz w:val="24"/>
              </w:rPr>
            </w:pPr>
            <w:r>
              <w:rPr>
                <w:rFonts w:hint="eastAsia" w:ascii="宋体" w:hAnsi="宋体" w:cs="宋体"/>
                <w:color w:val="auto"/>
                <w:sz w:val="24"/>
              </w:rPr>
              <w:t>外包运维管理</w:t>
            </w:r>
          </w:p>
        </w:tc>
        <w:tc>
          <w:tcPr>
            <w:tcW w:w="6067" w:type="dxa"/>
            <w:vAlign w:val="center"/>
          </w:tcPr>
          <w:p w14:paraId="21D6FB2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a）应确保外包运维服务商的选择符合国家有关规定；</w:t>
            </w:r>
          </w:p>
        </w:tc>
      </w:tr>
      <w:tr w14:paraId="7AFCA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28" w:type="dxa"/>
            <w:vMerge w:val="continue"/>
            <w:vAlign w:val="center"/>
          </w:tcPr>
          <w:p w14:paraId="0F291B01">
            <w:pPr>
              <w:adjustRightInd w:val="0"/>
              <w:snapToGrid w:val="0"/>
              <w:spacing w:line="360" w:lineRule="auto"/>
              <w:ind w:firstLine="480" w:firstLineChars="200"/>
              <w:rPr>
                <w:rFonts w:ascii="宋体" w:hAnsi="宋体" w:cs="宋体"/>
                <w:color w:val="auto"/>
                <w:sz w:val="24"/>
              </w:rPr>
            </w:pPr>
          </w:p>
        </w:tc>
        <w:tc>
          <w:tcPr>
            <w:tcW w:w="1918" w:type="dxa"/>
            <w:vMerge w:val="continue"/>
            <w:vAlign w:val="center"/>
          </w:tcPr>
          <w:p w14:paraId="3FA31968">
            <w:pPr>
              <w:adjustRightInd w:val="0"/>
              <w:snapToGrid w:val="0"/>
              <w:spacing w:line="360" w:lineRule="auto"/>
              <w:ind w:firstLine="480" w:firstLineChars="200"/>
              <w:rPr>
                <w:rFonts w:ascii="宋体" w:hAnsi="宋体" w:cs="宋体"/>
                <w:color w:val="auto"/>
                <w:sz w:val="24"/>
              </w:rPr>
            </w:pPr>
          </w:p>
        </w:tc>
        <w:tc>
          <w:tcPr>
            <w:tcW w:w="6067" w:type="dxa"/>
            <w:vAlign w:val="center"/>
          </w:tcPr>
          <w:p w14:paraId="66374D3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b）应与选定的外包运维服务商签订相关的协议，明确约定外包运维的范围、工作内容。</w:t>
            </w:r>
          </w:p>
        </w:tc>
      </w:tr>
    </w:tbl>
    <w:p w14:paraId="102321DF">
      <w:pPr>
        <w:spacing w:line="360" w:lineRule="auto"/>
        <w:ind w:firstLine="480" w:firstLineChars="200"/>
        <w:jc w:val="left"/>
        <w:outlineLvl w:val="0"/>
        <w:rPr>
          <w:rFonts w:ascii="宋体" w:hAnsi="宋体" w:cs="宋体"/>
          <w:color w:val="auto"/>
          <w:sz w:val="24"/>
        </w:rPr>
        <w:sectPr>
          <w:pgSz w:w="11906" w:h="16838"/>
          <w:pgMar w:top="1304" w:right="1418" w:bottom="1304" w:left="1418" w:header="851" w:footer="992" w:gutter="0"/>
          <w:cols w:space="720" w:num="1"/>
          <w:docGrid w:type="lines" w:linePitch="312" w:charSpace="0"/>
        </w:sectPr>
      </w:pPr>
    </w:p>
    <w:p w14:paraId="0AE8AFF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三级要求指标：</w:t>
      </w:r>
    </w:p>
    <w:tbl>
      <w:tblPr>
        <w:tblStyle w:val="28"/>
        <w:tblW w:w="8802" w:type="dxa"/>
        <w:tblInd w:w="2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1917"/>
        <w:gridCol w:w="6083"/>
      </w:tblGrid>
      <w:tr w14:paraId="19BDF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shd w:val="clear" w:color="000000" w:fill="D9D9D9"/>
            <w:vAlign w:val="center"/>
          </w:tcPr>
          <w:p w14:paraId="6E36E9B1">
            <w:pPr>
              <w:adjustRightInd w:val="0"/>
              <w:snapToGrid w:val="0"/>
              <w:spacing w:line="360" w:lineRule="auto"/>
              <w:jc w:val="center"/>
              <w:rPr>
                <w:rFonts w:ascii="宋体" w:hAnsi="宋体" w:cs="宋体"/>
                <w:color w:val="auto"/>
                <w:sz w:val="24"/>
              </w:rPr>
            </w:pPr>
            <w:r>
              <w:rPr>
                <w:rFonts w:hint="eastAsia" w:ascii="宋体" w:hAnsi="宋体" w:cs="宋体"/>
                <w:color w:val="auto"/>
                <w:sz w:val="24"/>
              </w:rPr>
              <w:t>安全层面</w:t>
            </w:r>
          </w:p>
        </w:tc>
        <w:tc>
          <w:tcPr>
            <w:tcW w:w="1917" w:type="dxa"/>
            <w:shd w:val="clear" w:color="000000" w:fill="D9D9D9"/>
            <w:vAlign w:val="center"/>
          </w:tcPr>
          <w:p w14:paraId="1043D713">
            <w:pPr>
              <w:adjustRightInd w:val="0"/>
              <w:snapToGrid w:val="0"/>
              <w:spacing w:line="360" w:lineRule="auto"/>
              <w:jc w:val="center"/>
              <w:rPr>
                <w:rFonts w:ascii="宋体" w:hAnsi="宋体" w:cs="宋体"/>
                <w:color w:val="auto"/>
                <w:sz w:val="24"/>
              </w:rPr>
            </w:pPr>
            <w:r>
              <w:rPr>
                <w:rFonts w:hint="eastAsia" w:ascii="宋体" w:hAnsi="宋体" w:cs="宋体"/>
                <w:color w:val="auto"/>
                <w:sz w:val="24"/>
              </w:rPr>
              <w:t>安全控制点</w:t>
            </w:r>
          </w:p>
        </w:tc>
        <w:tc>
          <w:tcPr>
            <w:tcW w:w="6083" w:type="dxa"/>
            <w:shd w:val="clear" w:color="000000" w:fill="D9D9D9"/>
            <w:vAlign w:val="center"/>
          </w:tcPr>
          <w:p w14:paraId="208E679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测评指标（2.0）</w:t>
            </w:r>
          </w:p>
        </w:tc>
      </w:tr>
      <w:tr w14:paraId="08A93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restart"/>
            <w:vAlign w:val="center"/>
          </w:tcPr>
          <w:p w14:paraId="35FE1CFF">
            <w:pPr>
              <w:adjustRightInd w:val="0"/>
              <w:snapToGrid w:val="0"/>
              <w:spacing w:line="360" w:lineRule="auto"/>
              <w:jc w:val="center"/>
              <w:rPr>
                <w:rFonts w:ascii="宋体" w:hAnsi="宋体" w:cs="宋体"/>
                <w:color w:val="auto"/>
                <w:sz w:val="24"/>
              </w:rPr>
            </w:pPr>
            <w:r>
              <w:rPr>
                <w:rFonts w:hint="eastAsia" w:ascii="宋体" w:hAnsi="宋体" w:cs="宋体"/>
                <w:color w:val="auto"/>
                <w:sz w:val="24"/>
              </w:rPr>
              <w:t>安全物理环境</w:t>
            </w:r>
          </w:p>
        </w:tc>
        <w:tc>
          <w:tcPr>
            <w:tcW w:w="1917" w:type="dxa"/>
            <w:vMerge w:val="restart"/>
            <w:vAlign w:val="center"/>
          </w:tcPr>
          <w:p w14:paraId="43BC30B1">
            <w:pPr>
              <w:adjustRightInd w:val="0"/>
              <w:snapToGrid w:val="0"/>
              <w:spacing w:line="360" w:lineRule="auto"/>
              <w:rPr>
                <w:rFonts w:ascii="宋体" w:hAnsi="宋体" w:cs="宋体"/>
                <w:color w:val="auto"/>
                <w:sz w:val="24"/>
              </w:rPr>
            </w:pPr>
            <w:r>
              <w:rPr>
                <w:rFonts w:hint="eastAsia" w:ascii="宋体" w:hAnsi="宋体" w:cs="宋体"/>
                <w:color w:val="auto"/>
                <w:sz w:val="24"/>
              </w:rPr>
              <w:t>物理位置选择</w:t>
            </w:r>
          </w:p>
        </w:tc>
        <w:tc>
          <w:tcPr>
            <w:tcW w:w="6083" w:type="dxa"/>
          </w:tcPr>
          <w:p w14:paraId="1ED537FD">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a)机房和办公场地应选择在具有防震、防风和防雨等能力的建筑内；</w:t>
            </w:r>
          </w:p>
        </w:tc>
      </w:tr>
      <w:tr w14:paraId="787D7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0961CC0C">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19FF25DB">
            <w:pPr>
              <w:adjustRightInd w:val="0"/>
              <w:snapToGrid w:val="0"/>
              <w:spacing w:line="360" w:lineRule="auto"/>
              <w:ind w:firstLine="480" w:firstLineChars="200"/>
              <w:jc w:val="center"/>
              <w:rPr>
                <w:rFonts w:ascii="宋体" w:hAnsi="宋体" w:cs="宋体"/>
                <w:color w:val="auto"/>
                <w:sz w:val="24"/>
              </w:rPr>
            </w:pPr>
          </w:p>
        </w:tc>
        <w:tc>
          <w:tcPr>
            <w:tcW w:w="6083" w:type="dxa"/>
          </w:tcPr>
          <w:p w14:paraId="2A8B001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b)机房场地应避免设在建筑物的高层或地下室，否则应加强防水和防潮措施。</w:t>
            </w:r>
          </w:p>
        </w:tc>
      </w:tr>
      <w:tr w14:paraId="62720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68FD44BC">
            <w:pPr>
              <w:adjustRightInd w:val="0"/>
              <w:snapToGrid w:val="0"/>
              <w:spacing w:line="360" w:lineRule="auto"/>
              <w:ind w:firstLine="480" w:firstLineChars="200"/>
              <w:jc w:val="center"/>
              <w:rPr>
                <w:rFonts w:ascii="宋体" w:hAnsi="宋体" w:cs="宋体"/>
                <w:color w:val="auto"/>
                <w:sz w:val="24"/>
              </w:rPr>
            </w:pPr>
          </w:p>
        </w:tc>
        <w:tc>
          <w:tcPr>
            <w:tcW w:w="1917" w:type="dxa"/>
            <w:vAlign w:val="center"/>
          </w:tcPr>
          <w:p w14:paraId="6349E6FE">
            <w:pPr>
              <w:adjustRightInd w:val="0"/>
              <w:snapToGrid w:val="0"/>
              <w:spacing w:line="360" w:lineRule="auto"/>
              <w:rPr>
                <w:rFonts w:ascii="宋体" w:hAnsi="宋体" w:cs="宋体"/>
                <w:color w:val="auto"/>
                <w:sz w:val="24"/>
              </w:rPr>
            </w:pPr>
            <w:r>
              <w:rPr>
                <w:rFonts w:hint="eastAsia" w:ascii="宋体" w:hAnsi="宋体" w:cs="宋体"/>
                <w:color w:val="auto"/>
                <w:sz w:val="24"/>
              </w:rPr>
              <w:t>物理访问控制</w:t>
            </w:r>
          </w:p>
        </w:tc>
        <w:tc>
          <w:tcPr>
            <w:tcW w:w="6083" w:type="dxa"/>
          </w:tcPr>
          <w:p w14:paraId="64D5996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a)机房出入口应配置电子门禁系统，控制、鉴别和记录进入的人员。</w:t>
            </w:r>
          </w:p>
        </w:tc>
      </w:tr>
      <w:tr w14:paraId="12D19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2E328AA7">
            <w:pPr>
              <w:adjustRightInd w:val="0"/>
              <w:snapToGrid w:val="0"/>
              <w:spacing w:line="360" w:lineRule="auto"/>
              <w:ind w:firstLine="480" w:firstLineChars="200"/>
              <w:jc w:val="center"/>
              <w:rPr>
                <w:rFonts w:ascii="宋体" w:hAnsi="宋体" w:cs="宋体"/>
                <w:color w:val="auto"/>
                <w:sz w:val="24"/>
              </w:rPr>
            </w:pPr>
          </w:p>
        </w:tc>
        <w:tc>
          <w:tcPr>
            <w:tcW w:w="1917" w:type="dxa"/>
            <w:vMerge w:val="restart"/>
            <w:vAlign w:val="center"/>
          </w:tcPr>
          <w:p w14:paraId="75DDAB7C">
            <w:pPr>
              <w:adjustRightInd w:val="0"/>
              <w:snapToGrid w:val="0"/>
              <w:spacing w:line="360" w:lineRule="auto"/>
              <w:jc w:val="center"/>
              <w:rPr>
                <w:rFonts w:ascii="宋体" w:hAnsi="宋体" w:cs="宋体"/>
                <w:color w:val="auto"/>
                <w:sz w:val="24"/>
              </w:rPr>
            </w:pPr>
            <w:r>
              <w:rPr>
                <w:rFonts w:hint="eastAsia" w:ascii="宋体" w:hAnsi="宋体" w:cs="宋体"/>
                <w:color w:val="auto"/>
                <w:sz w:val="24"/>
              </w:rPr>
              <w:t>防盗窃和防破坏</w:t>
            </w:r>
          </w:p>
        </w:tc>
        <w:tc>
          <w:tcPr>
            <w:tcW w:w="6083" w:type="dxa"/>
          </w:tcPr>
          <w:p w14:paraId="27D3631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a)应将设备或主要部件进行固定，并设置明显的不易除去的标识；</w:t>
            </w:r>
          </w:p>
        </w:tc>
      </w:tr>
      <w:tr w14:paraId="7B513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58D2BEA4">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0ABB2286">
            <w:pPr>
              <w:adjustRightInd w:val="0"/>
              <w:snapToGrid w:val="0"/>
              <w:spacing w:line="360" w:lineRule="auto"/>
              <w:ind w:firstLine="480" w:firstLineChars="200"/>
              <w:jc w:val="center"/>
              <w:rPr>
                <w:rFonts w:ascii="宋体" w:hAnsi="宋体" w:cs="宋体"/>
                <w:color w:val="auto"/>
                <w:sz w:val="24"/>
              </w:rPr>
            </w:pPr>
          </w:p>
        </w:tc>
        <w:tc>
          <w:tcPr>
            <w:tcW w:w="6083" w:type="dxa"/>
          </w:tcPr>
          <w:p w14:paraId="35F8720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b)应将通信线缆铺设在隐蔽安全处；</w:t>
            </w:r>
          </w:p>
        </w:tc>
      </w:tr>
      <w:tr w14:paraId="1CFB8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057C4DB1">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64ECE958">
            <w:pPr>
              <w:adjustRightInd w:val="0"/>
              <w:snapToGrid w:val="0"/>
              <w:spacing w:line="360" w:lineRule="auto"/>
              <w:ind w:firstLine="480" w:firstLineChars="200"/>
              <w:jc w:val="center"/>
              <w:rPr>
                <w:rFonts w:ascii="宋体" w:hAnsi="宋体" w:cs="宋体"/>
                <w:color w:val="auto"/>
                <w:sz w:val="24"/>
              </w:rPr>
            </w:pPr>
          </w:p>
        </w:tc>
        <w:tc>
          <w:tcPr>
            <w:tcW w:w="6083" w:type="dxa"/>
          </w:tcPr>
          <w:p w14:paraId="074EC90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c)应设置机房防盗报警系统或设置有专人值守的视频监控系统。</w:t>
            </w:r>
          </w:p>
        </w:tc>
      </w:tr>
      <w:tr w14:paraId="1D6CD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26326B1B">
            <w:pPr>
              <w:adjustRightInd w:val="0"/>
              <w:snapToGrid w:val="0"/>
              <w:spacing w:line="360" w:lineRule="auto"/>
              <w:ind w:firstLine="480" w:firstLineChars="200"/>
              <w:jc w:val="center"/>
              <w:rPr>
                <w:rFonts w:ascii="宋体" w:hAnsi="宋体" w:cs="宋体"/>
                <w:color w:val="auto"/>
                <w:sz w:val="24"/>
              </w:rPr>
            </w:pPr>
          </w:p>
        </w:tc>
        <w:tc>
          <w:tcPr>
            <w:tcW w:w="1917" w:type="dxa"/>
            <w:vMerge w:val="restart"/>
            <w:vAlign w:val="center"/>
          </w:tcPr>
          <w:p w14:paraId="429D8087">
            <w:pPr>
              <w:adjustRightInd w:val="0"/>
              <w:snapToGrid w:val="0"/>
              <w:spacing w:line="360" w:lineRule="auto"/>
              <w:rPr>
                <w:rFonts w:ascii="宋体" w:hAnsi="宋体" w:cs="宋体"/>
                <w:color w:val="auto"/>
                <w:sz w:val="24"/>
              </w:rPr>
            </w:pPr>
            <w:r>
              <w:rPr>
                <w:rFonts w:hint="eastAsia" w:ascii="宋体" w:hAnsi="宋体" w:cs="宋体"/>
                <w:color w:val="auto"/>
                <w:sz w:val="24"/>
              </w:rPr>
              <w:t>防雷击</w:t>
            </w:r>
          </w:p>
        </w:tc>
        <w:tc>
          <w:tcPr>
            <w:tcW w:w="6083" w:type="dxa"/>
          </w:tcPr>
          <w:p w14:paraId="34F9717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a)应将各类机柜、设施和设备等通过接地系统安全接地；</w:t>
            </w:r>
          </w:p>
        </w:tc>
      </w:tr>
      <w:tr w14:paraId="17A86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6A21DACB">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790C3707">
            <w:pPr>
              <w:adjustRightInd w:val="0"/>
              <w:snapToGrid w:val="0"/>
              <w:spacing w:line="360" w:lineRule="auto"/>
              <w:ind w:firstLine="480" w:firstLineChars="200"/>
              <w:jc w:val="center"/>
              <w:rPr>
                <w:rFonts w:ascii="宋体" w:hAnsi="宋体" w:cs="宋体"/>
                <w:color w:val="auto"/>
                <w:sz w:val="24"/>
              </w:rPr>
            </w:pPr>
          </w:p>
        </w:tc>
        <w:tc>
          <w:tcPr>
            <w:tcW w:w="6083" w:type="dxa"/>
          </w:tcPr>
          <w:p w14:paraId="288E675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b)应采取措施防止感应雷，例如设置防雷保安器或过压保护装置等。</w:t>
            </w:r>
          </w:p>
        </w:tc>
      </w:tr>
      <w:tr w14:paraId="0B776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562AFFC2">
            <w:pPr>
              <w:adjustRightInd w:val="0"/>
              <w:snapToGrid w:val="0"/>
              <w:spacing w:line="360" w:lineRule="auto"/>
              <w:ind w:firstLine="480" w:firstLineChars="200"/>
              <w:jc w:val="center"/>
              <w:rPr>
                <w:rFonts w:ascii="宋体" w:hAnsi="宋体" w:cs="宋体"/>
                <w:color w:val="auto"/>
                <w:sz w:val="24"/>
              </w:rPr>
            </w:pPr>
          </w:p>
        </w:tc>
        <w:tc>
          <w:tcPr>
            <w:tcW w:w="1917" w:type="dxa"/>
            <w:vMerge w:val="restart"/>
            <w:vAlign w:val="center"/>
          </w:tcPr>
          <w:p w14:paraId="15B4B6C7">
            <w:pPr>
              <w:adjustRightInd w:val="0"/>
              <w:snapToGrid w:val="0"/>
              <w:spacing w:line="360" w:lineRule="auto"/>
              <w:rPr>
                <w:rFonts w:ascii="宋体" w:hAnsi="宋体" w:cs="宋体"/>
                <w:color w:val="auto"/>
                <w:sz w:val="24"/>
              </w:rPr>
            </w:pPr>
            <w:r>
              <w:rPr>
                <w:rFonts w:hint="eastAsia" w:ascii="宋体" w:hAnsi="宋体" w:cs="宋体"/>
                <w:color w:val="auto"/>
                <w:sz w:val="24"/>
              </w:rPr>
              <w:t>防火</w:t>
            </w:r>
          </w:p>
        </w:tc>
        <w:tc>
          <w:tcPr>
            <w:tcW w:w="6083" w:type="dxa"/>
          </w:tcPr>
          <w:p w14:paraId="52D0117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a)机房应设置火灾自动消防系统，能够自动检测火情、自动报警，并自动灭火；</w:t>
            </w:r>
          </w:p>
        </w:tc>
      </w:tr>
      <w:tr w14:paraId="087D7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0199290C">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61A95E95">
            <w:pPr>
              <w:adjustRightInd w:val="0"/>
              <w:snapToGrid w:val="0"/>
              <w:spacing w:line="360" w:lineRule="auto"/>
              <w:ind w:firstLine="480" w:firstLineChars="200"/>
              <w:jc w:val="center"/>
              <w:rPr>
                <w:rFonts w:ascii="宋体" w:hAnsi="宋体" w:cs="宋体"/>
                <w:color w:val="auto"/>
                <w:sz w:val="24"/>
              </w:rPr>
            </w:pPr>
          </w:p>
        </w:tc>
        <w:tc>
          <w:tcPr>
            <w:tcW w:w="6083" w:type="dxa"/>
          </w:tcPr>
          <w:p w14:paraId="1B0AA4B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b)机房及相关的工作房间和辅助房应采用具有耐火等级的建筑材料；</w:t>
            </w:r>
          </w:p>
        </w:tc>
      </w:tr>
      <w:tr w14:paraId="7783A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31D56A0C">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27BEACFE">
            <w:pPr>
              <w:adjustRightInd w:val="0"/>
              <w:snapToGrid w:val="0"/>
              <w:spacing w:line="360" w:lineRule="auto"/>
              <w:ind w:firstLine="480" w:firstLineChars="200"/>
              <w:jc w:val="center"/>
              <w:rPr>
                <w:rFonts w:ascii="宋体" w:hAnsi="宋体" w:cs="宋体"/>
                <w:color w:val="auto"/>
                <w:sz w:val="24"/>
              </w:rPr>
            </w:pPr>
          </w:p>
        </w:tc>
        <w:tc>
          <w:tcPr>
            <w:tcW w:w="6083" w:type="dxa"/>
          </w:tcPr>
          <w:p w14:paraId="4DBE4454">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c)应对机房划分区域进行管理，区域和区域之间设置隔离防火措施。</w:t>
            </w:r>
          </w:p>
        </w:tc>
      </w:tr>
      <w:tr w14:paraId="31A24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0862145E">
            <w:pPr>
              <w:adjustRightInd w:val="0"/>
              <w:snapToGrid w:val="0"/>
              <w:spacing w:line="360" w:lineRule="auto"/>
              <w:ind w:firstLine="480" w:firstLineChars="200"/>
              <w:jc w:val="center"/>
              <w:rPr>
                <w:rFonts w:ascii="宋体" w:hAnsi="宋体" w:cs="宋体"/>
                <w:color w:val="auto"/>
                <w:sz w:val="24"/>
              </w:rPr>
            </w:pPr>
          </w:p>
        </w:tc>
        <w:tc>
          <w:tcPr>
            <w:tcW w:w="1917" w:type="dxa"/>
            <w:vMerge w:val="restart"/>
            <w:vAlign w:val="center"/>
          </w:tcPr>
          <w:p w14:paraId="1A52EB4B">
            <w:pPr>
              <w:adjustRightInd w:val="0"/>
              <w:snapToGrid w:val="0"/>
              <w:spacing w:line="360" w:lineRule="auto"/>
              <w:rPr>
                <w:rFonts w:ascii="宋体" w:hAnsi="宋体" w:cs="宋体"/>
                <w:color w:val="auto"/>
                <w:sz w:val="24"/>
              </w:rPr>
            </w:pPr>
            <w:r>
              <w:rPr>
                <w:rFonts w:hint="eastAsia" w:ascii="宋体" w:hAnsi="宋体" w:cs="宋体"/>
                <w:color w:val="auto"/>
                <w:sz w:val="24"/>
              </w:rPr>
              <w:t>防水防潮</w:t>
            </w:r>
          </w:p>
        </w:tc>
        <w:tc>
          <w:tcPr>
            <w:tcW w:w="6083" w:type="dxa"/>
          </w:tcPr>
          <w:p w14:paraId="7E4D521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a)应采取措施防止雨水通过机房窗户、屋顶和墙壁渗透；</w:t>
            </w:r>
          </w:p>
        </w:tc>
      </w:tr>
      <w:tr w14:paraId="7B84F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70C3133F">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14B4A19C">
            <w:pPr>
              <w:adjustRightInd w:val="0"/>
              <w:snapToGrid w:val="0"/>
              <w:spacing w:line="360" w:lineRule="auto"/>
              <w:ind w:firstLine="480" w:firstLineChars="200"/>
              <w:jc w:val="center"/>
              <w:rPr>
                <w:rFonts w:ascii="宋体" w:hAnsi="宋体" w:cs="宋体"/>
                <w:color w:val="auto"/>
                <w:sz w:val="24"/>
              </w:rPr>
            </w:pPr>
          </w:p>
        </w:tc>
        <w:tc>
          <w:tcPr>
            <w:tcW w:w="6083" w:type="dxa"/>
          </w:tcPr>
          <w:p w14:paraId="53320A96">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b)应采取措施防止机房内水蒸气结露和地下积水的转移与渗透；</w:t>
            </w:r>
          </w:p>
        </w:tc>
      </w:tr>
      <w:tr w14:paraId="6305B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7E0F4395">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26A6B9A6">
            <w:pPr>
              <w:adjustRightInd w:val="0"/>
              <w:snapToGrid w:val="0"/>
              <w:spacing w:line="360" w:lineRule="auto"/>
              <w:ind w:firstLine="480" w:firstLineChars="200"/>
              <w:jc w:val="center"/>
              <w:rPr>
                <w:rFonts w:ascii="宋体" w:hAnsi="宋体" w:cs="宋体"/>
                <w:color w:val="auto"/>
                <w:sz w:val="24"/>
              </w:rPr>
            </w:pPr>
          </w:p>
        </w:tc>
        <w:tc>
          <w:tcPr>
            <w:tcW w:w="6083" w:type="dxa"/>
          </w:tcPr>
          <w:p w14:paraId="0F20754E">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c)应安装对水敏感的检测仪表或元件，对机房进行防水检测和报警。</w:t>
            </w:r>
          </w:p>
        </w:tc>
      </w:tr>
      <w:tr w14:paraId="435BF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3AC5B9A5">
            <w:pPr>
              <w:adjustRightInd w:val="0"/>
              <w:snapToGrid w:val="0"/>
              <w:spacing w:line="360" w:lineRule="auto"/>
              <w:ind w:firstLine="480" w:firstLineChars="200"/>
              <w:jc w:val="center"/>
              <w:rPr>
                <w:rFonts w:ascii="宋体" w:hAnsi="宋体" w:cs="宋体"/>
                <w:color w:val="auto"/>
                <w:sz w:val="24"/>
              </w:rPr>
            </w:pPr>
          </w:p>
        </w:tc>
        <w:tc>
          <w:tcPr>
            <w:tcW w:w="1917" w:type="dxa"/>
            <w:vMerge w:val="restart"/>
            <w:vAlign w:val="center"/>
          </w:tcPr>
          <w:p w14:paraId="19E6CBB9">
            <w:pPr>
              <w:adjustRightInd w:val="0"/>
              <w:snapToGrid w:val="0"/>
              <w:spacing w:line="360" w:lineRule="auto"/>
              <w:rPr>
                <w:rFonts w:ascii="宋体" w:hAnsi="宋体" w:cs="宋体"/>
                <w:color w:val="auto"/>
                <w:sz w:val="24"/>
              </w:rPr>
            </w:pPr>
            <w:r>
              <w:rPr>
                <w:rFonts w:hint="eastAsia" w:ascii="宋体" w:hAnsi="宋体" w:cs="宋体"/>
                <w:color w:val="auto"/>
                <w:sz w:val="24"/>
              </w:rPr>
              <w:t>防静电</w:t>
            </w:r>
          </w:p>
        </w:tc>
        <w:tc>
          <w:tcPr>
            <w:tcW w:w="6083" w:type="dxa"/>
          </w:tcPr>
          <w:p w14:paraId="1F7B929D">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a)应采用防静电地板或地面并采用必要的接地防静电措施；</w:t>
            </w:r>
          </w:p>
        </w:tc>
      </w:tr>
      <w:tr w14:paraId="4BA39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1321131D">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159A66C3">
            <w:pPr>
              <w:adjustRightInd w:val="0"/>
              <w:snapToGrid w:val="0"/>
              <w:spacing w:line="360" w:lineRule="auto"/>
              <w:ind w:firstLine="480" w:firstLineChars="200"/>
              <w:jc w:val="center"/>
              <w:rPr>
                <w:rFonts w:ascii="宋体" w:hAnsi="宋体" w:cs="宋体"/>
                <w:color w:val="auto"/>
                <w:sz w:val="24"/>
              </w:rPr>
            </w:pPr>
          </w:p>
        </w:tc>
        <w:tc>
          <w:tcPr>
            <w:tcW w:w="6083" w:type="dxa"/>
          </w:tcPr>
          <w:p w14:paraId="4F7B5E0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b)应采取措施防止静电的产生，例如采用静电消除器、佩戴防静电手环等。</w:t>
            </w:r>
          </w:p>
        </w:tc>
      </w:tr>
      <w:tr w14:paraId="27C9D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802" w:type="dxa"/>
            <w:vMerge w:val="continue"/>
            <w:vAlign w:val="center"/>
          </w:tcPr>
          <w:p w14:paraId="179F666B">
            <w:pPr>
              <w:adjustRightInd w:val="0"/>
              <w:snapToGrid w:val="0"/>
              <w:spacing w:line="360" w:lineRule="auto"/>
              <w:ind w:firstLine="480" w:firstLineChars="200"/>
              <w:jc w:val="center"/>
              <w:rPr>
                <w:rFonts w:ascii="宋体" w:hAnsi="宋体" w:cs="宋体"/>
                <w:color w:val="auto"/>
                <w:sz w:val="24"/>
              </w:rPr>
            </w:pPr>
          </w:p>
        </w:tc>
        <w:tc>
          <w:tcPr>
            <w:tcW w:w="1917" w:type="dxa"/>
            <w:vAlign w:val="center"/>
          </w:tcPr>
          <w:p w14:paraId="5ED169A7">
            <w:pPr>
              <w:adjustRightInd w:val="0"/>
              <w:snapToGrid w:val="0"/>
              <w:spacing w:line="360" w:lineRule="auto"/>
              <w:rPr>
                <w:rFonts w:ascii="宋体" w:hAnsi="宋体" w:cs="宋体"/>
                <w:color w:val="auto"/>
                <w:sz w:val="24"/>
              </w:rPr>
            </w:pPr>
            <w:r>
              <w:rPr>
                <w:rFonts w:hint="eastAsia" w:ascii="宋体" w:hAnsi="宋体" w:cs="宋体"/>
                <w:color w:val="auto"/>
                <w:sz w:val="24"/>
              </w:rPr>
              <w:t>温湿度控制</w:t>
            </w:r>
          </w:p>
        </w:tc>
        <w:tc>
          <w:tcPr>
            <w:tcW w:w="6083" w:type="dxa"/>
          </w:tcPr>
          <w:p w14:paraId="7EB5D855">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a)应设置温湿度自动调节设施，使机房温湿度的变化在设备运行所允许的范围之内。</w:t>
            </w:r>
          </w:p>
        </w:tc>
      </w:tr>
      <w:tr w14:paraId="2B3A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0AC48D9C">
            <w:pPr>
              <w:adjustRightInd w:val="0"/>
              <w:snapToGrid w:val="0"/>
              <w:spacing w:line="360" w:lineRule="auto"/>
              <w:ind w:firstLine="480" w:firstLineChars="200"/>
              <w:jc w:val="center"/>
              <w:rPr>
                <w:rFonts w:ascii="宋体" w:hAnsi="宋体" w:cs="宋体"/>
                <w:color w:val="auto"/>
                <w:sz w:val="24"/>
              </w:rPr>
            </w:pPr>
          </w:p>
        </w:tc>
        <w:tc>
          <w:tcPr>
            <w:tcW w:w="1917" w:type="dxa"/>
            <w:vMerge w:val="restart"/>
            <w:vAlign w:val="center"/>
          </w:tcPr>
          <w:p w14:paraId="12562030">
            <w:pPr>
              <w:adjustRightInd w:val="0"/>
              <w:snapToGrid w:val="0"/>
              <w:spacing w:line="360" w:lineRule="auto"/>
              <w:rPr>
                <w:rFonts w:ascii="宋体" w:hAnsi="宋体" w:cs="宋体"/>
                <w:color w:val="auto"/>
                <w:sz w:val="24"/>
              </w:rPr>
            </w:pPr>
            <w:r>
              <w:rPr>
                <w:rFonts w:hint="eastAsia" w:ascii="宋体" w:hAnsi="宋体" w:cs="宋体"/>
                <w:color w:val="auto"/>
                <w:sz w:val="24"/>
              </w:rPr>
              <w:t>电力供应</w:t>
            </w:r>
          </w:p>
        </w:tc>
        <w:tc>
          <w:tcPr>
            <w:tcW w:w="6083" w:type="dxa"/>
          </w:tcPr>
          <w:p w14:paraId="230C88E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a)应在机房供电线路上配置稳压器和过电压防护设备；</w:t>
            </w:r>
          </w:p>
        </w:tc>
      </w:tr>
      <w:tr w14:paraId="74050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5372298D">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76D6DFCF">
            <w:pPr>
              <w:adjustRightInd w:val="0"/>
              <w:snapToGrid w:val="0"/>
              <w:spacing w:line="360" w:lineRule="auto"/>
              <w:ind w:firstLine="480" w:firstLineChars="200"/>
              <w:jc w:val="center"/>
              <w:rPr>
                <w:rFonts w:ascii="宋体" w:hAnsi="宋体" w:cs="宋体"/>
                <w:color w:val="auto"/>
                <w:sz w:val="24"/>
              </w:rPr>
            </w:pPr>
          </w:p>
        </w:tc>
        <w:tc>
          <w:tcPr>
            <w:tcW w:w="6083" w:type="dxa"/>
          </w:tcPr>
          <w:p w14:paraId="42EBB034">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b)应提供短期的备用电力供应，至少满足设备在断电情况下的正常运行要求；</w:t>
            </w:r>
          </w:p>
        </w:tc>
      </w:tr>
      <w:tr w14:paraId="34BAC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519E71AE">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3279D74E">
            <w:pPr>
              <w:adjustRightInd w:val="0"/>
              <w:snapToGrid w:val="0"/>
              <w:spacing w:line="360" w:lineRule="auto"/>
              <w:ind w:firstLine="480" w:firstLineChars="200"/>
              <w:jc w:val="center"/>
              <w:rPr>
                <w:rFonts w:ascii="宋体" w:hAnsi="宋体" w:cs="宋体"/>
                <w:color w:val="auto"/>
                <w:sz w:val="24"/>
              </w:rPr>
            </w:pPr>
          </w:p>
        </w:tc>
        <w:tc>
          <w:tcPr>
            <w:tcW w:w="6083" w:type="dxa"/>
          </w:tcPr>
          <w:p w14:paraId="79E7A0A4">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c)应设置冗余或并行的电力电缆线路为计算机系统供电。</w:t>
            </w:r>
          </w:p>
        </w:tc>
      </w:tr>
      <w:tr w14:paraId="7A66D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1575F612">
            <w:pPr>
              <w:adjustRightInd w:val="0"/>
              <w:snapToGrid w:val="0"/>
              <w:spacing w:line="360" w:lineRule="auto"/>
              <w:ind w:firstLine="480" w:firstLineChars="200"/>
              <w:jc w:val="center"/>
              <w:rPr>
                <w:rFonts w:ascii="宋体" w:hAnsi="宋体" w:cs="宋体"/>
                <w:color w:val="auto"/>
                <w:sz w:val="24"/>
              </w:rPr>
            </w:pPr>
          </w:p>
        </w:tc>
        <w:tc>
          <w:tcPr>
            <w:tcW w:w="1917" w:type="dxa"/>
            <w:vMerge w:val="restart"/>
            <w:vAlign w:val="center"/>
          </w:tcPr>
          <w:p w14:paraId="386C9B47">
            <w:pPr>
              <w:adjustRightInd w:val="0"/>
              <w:snapToGrid w:val="0"/>
              <w:spacing w:line="360" w:lineRule="auto"/>
              <w:rPr>
                <w:rFonts w:ascii="宋体" w:hAnsi="宋体" w:cs="宋体"/>
                <w:color w:val="auto"/>
                <w:sz w:val="24"/>
              </w:rPr>
            </w:pPr>
            <w:r>
              <w:rPr>
                <w:rFonts w:hint="eastAsia" w:ascii="宋体" w:hAnsi="宋体" w:cs="宋体"/>
                <w:color w:val="auto"/>
                <w:sz w:val="24"/>
              </w:rPr>
              <w:t>电磁防护</w:t>
            </w:r>
          </w:p>
        </w:tc>
        <w:tc>
          <w:tcPr>
            <w:tcW w:w="6083" w:type="dxa"/>
          </w:tcPr>
          <w:p w14:paraId="12E5BA2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a)电源线和通信线缆应隔离铺设，避免互相干扰；</w:t>
            </w:r>
          </w:p>
        </w:tc>
      </w:tr>
      <w:tr w14:paraId="46E08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4C0D3BF4">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035C9A72">
            <w:pPr>
              <w:adjustRightInd w:val="0"/>
              <w:snapToGrid w:val="0"/>
              <w:spacing w:line="360" w:lineRule="auto"/>
              <w:ind w:firstLine="480" w:firstLineChars="200"/>
              <w:jc w:val="center"/>
              <w:rPr>
                <w:rFonts w:ascii="宋体" w:hAnsi="宋体" w:cs="宋体"/>
                <w:color w:val="auto"/>
                <w:sz w:val="24"/>
              </w:rPr>
            </w:pPr>
          </w:p>
        </w:tc>
        <w:tc>
          <w:tcPr>
            <w:tcW w:w="6083" w:type="dxa"/>
          </w:tcPr>
          <w:p w14:paraId="66A518A1">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b)应对关键设备实施电磁屏蔽。</w:t>
            </w:r>
          </w:p>
        </w:tc>
      </w:tr>
      <w:tr w14:paraId="66CDC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restart"/>
            <w:vAlign w:val="center"/>
          </w:tcPr>
          <w:p w14:paraId="19B6F50B">
            <w:pPr>
              <w:adjustRightInd w:val="0"/>
              <w:snapToGrid w:val="0"/>
              <w:spacing w:line="360" w:lineRule="auto"/>
              <w:jc w:val="center"/>
              <w:rPr>
                <w:rFonts w:ascii="宋体" w:hAnsi="宋体" w:cs="宋体"/>
                <w:color w:val="auto"/>
                <w:sz w:val="24"/>
              </w:rPr>
            </w:pPr>
            <w:r>
              <w:rPr>
                <w:rFonts w:hint="eastAsia" w:ascii="宋体" w:hAnsi="宋体" w:cs="宋体"/>
                <w:color w:val="auto"/>
                <w:sz w:val="24"/>
              </w:rPr>
              <w:t>安全通信网络</w:t>
            </w:r>
          </w:p>
        </w:tc>
        <w:tc>
          <w:tcPr>
            <w:tcW w:w="1917" w:type="dxa"/>
            <w:vMerge w:val="restart"/>
            <w:vAlign w:val="center"/>
          </w:tcPr>
          <w:p w14:paraId="1E0B403C">
            <w:pPr>
              <w:adjustRightInd w:val="0"/>
              <w:snapToGrid w:val="0"/>
              <w:spacing w:line="360" w:lineRule="auto"/>
              <w:rPr>
                <w:rFonts w:ascii="宋体" w:hAnsi="宋体" w:cs="宋体"/>
                <w:color w:val="auto"/>
                <w:sz w:val="24"/>
              </w:rPr>
            </w:pPr>
            <w:r>
              <w:rPr>
                <w:rFonts w:hint="eastAsia" w:ascii="宋体" w:hAnsi="宋体" w:cs="宋体"/>
                <w:color w:val="auto"/>
                <w:sz w:val="24"/>
              </w:rPr>
              <w:t>网络架构</w:t>
            </w:r>
          </w:p>
        </w:tc>
        <w:tc>
          <w:tcPr>
            <w:tcW w:w="6083" w:type="dxa"/>
          </w:tcPr>
          <w:p w14:paraId="59AC69D4">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a)应保证网络设备的业务处理能力满足业务高峰期需要；</w:t>
            </w:r>
          </w:p>
        </w:tc>
      </w:tr>
      <w:tr w14:paraId="01165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677C1D10">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0A7B228F">
            <w:pPr>
              <w:adjustRightInd w:val="0"/>
              <w:snapToGrid w:val="0"/>
              <w:spacing w:line="360" w:lineRule="auto"/>
              <w:ind w:firstLine="480" w:firstLineChars="200"/>
              <w:jc w:val="center"/>
              <w:rPr>
                <w:rFonts w:ascii="宋体" w:hAnsi="宋体" w:cs="宋体"/>
                <w:color w:val="auto"/>
                <w:sz w:val="24"/>
              </w:rPr>
            </w:pPr>
          </w:p>
        </w:tc>
        <w:tc>
          <w:tcPr>
            <w:tcW w:w="6083" w:type="dxa"/>
          </w:tcPr>
          <w:p w14:paraId="2B41BE0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b)应保证网络各个部分的带宽满足业务高峰期需要；</w:t>
            </w:r>
          </w:p>
        </w:tc>
      </w:tr>
      <w:tr w14:paraId="5245A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340D2CDE">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205A4140">
            <w:pPr>
              <w:adjustRightInd w:val="0"/>
              <w:snapToGrid w:val="0"/>
              <w:spacing w:line="360" w:lineRule="auto"/>
              <w:ind w:firstLine="480" w:firstLineChars="200"/>
              <w:jc w:val="center"/>
              <w:rPr>
                <w:rFonts w:ascii="宋体" w:hAnsi="宋体" w:cs="宋体"/>
                <w:color w:val="auto"/>
                <w:sz w:val="24"/>
              </w:rPr>
            </w:pPr>
          </w:p>
        </w:tc>
        <w:tc>
          <w:tcPr>
            <w:tcW w:w="6083" w:type="dxa"/>
          </w:tcPr>
          <w:p w14:paraId="07E32874">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c)应划分不同的网络区域，并按照方便管理和控制的原则为各网络区域分配地址；</w:t>
            </w:r>
          </w:p>
        </w:tc>
      </w:tr>
      <w:tr w14:paraId="6FD80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43D794D4">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00EA2BA9">
            <w:pPr>
              <w:adjustRightInd w:val="0"/>
              <w:snapToGrid w:val="0"/>
              <w:spacing w:line="360" w:lineRule="auto"/>
              <w:ind w:firstLine="480" w:firstLineChars="200"/>
              <w:jc w:val="center"/>
              <w:rPr>
                <w:rFonts w:ascii="宋体" w:hAnsi="宋体" w:cs="宋体"/>
                <w:color w:val="auto"/>
                <w:sz w:val="24"/>
              </w:rPr>
            </w:pPr>
          </w:p>
        </w:tc>
        <w:tc>
          <w:tcPr>
            <w:tcW w:w="6083" w:type="dxa"/>
          </w:tcPr>
          <w:p w14:paraId="7FC3321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 xml:space="preserve">d)应避免将重要网络区域部署在边界处，重要网络区域与其他网络区域之间应采取可靠的技术隔离手段； </w:t>
            </w:r>
          </w:p>
        </w:tc>
      </w:tr>
      <w:tr w14:paraId="1EF87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316F7C95">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3B702219">
            <w:pPr>
              <w:adjustRightInd w:val="0"/>
              <w:snapToGrid w:val="0"/>
              <w:spacing w:line="360" w:lineRule="auto"/>
              <w:ind w:firstLine="480" w:firstLineChars="200"/>
              <w:jc w:val="center"/>
              <w:rPr>
                <w:rFonts w:ascii="宋体" w:hAnsi="宋体" w:cs="宋体"/>
                <w:color w:val="auto"/>
                <w:sz w:val="24"/>
              </w:rPr>
            </w:pPr>
          </w:p>
        </w:tc>
        <w:tc>
          <w:tcPr>
            <w:tcW w:w="6083" w:type="dxa"/>
          </w:tcPr>
          <w:p w14:paraId="27CC2A6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e)应提供通信线路、关键网络设备和关键计算设备的硬件冗余，保证系统的可用性。</w:t>
            </w:r>
          </w:p>
        </w:tc>
      </w:tr>
      <w:tr w14:paraId="78A5D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7A696043">
            <w:pPr>
              <w:adjustRightInd w:val="0"/>
              <w:snapToGrid w:val="0"/>
              <w:spacing w:line="360" w:lineRule="auto"/>
              <w:ind w:firstLine="480" w:firstLineChars="200"/>
              <w:jc w:val="center"/>
              <w:rPr>
                <w:rFonts w:ascii="宋体" w:hAnsi="宋体" w:cs="宋体"/>
                <w:color w:val="auto"/>
                <w:sz w:val="24"/>
              </w:rPr>
            </w:pPr>
          </w:p>
        </w:tc>
        <w:tc>
          <w:tcPr>
            <w:tcW w:w="1917" w:type="dxa"/>
            <w:vMerge w:val="restart"/>
            <w:vAlign w:val="center"/>
          </w:tcPr>
          <w:p w14:paraId="1B4E60BC">
            <w:pPr>
              <w:adjustRightInd w:val="0"/>
              <w:snapToGrid w:val="0"/>
              <w:spacing w:line="360" w:lineRule="auto"/>
              <w:rPr>
                <w:rFonts w:ascii="宋体" w:hAnsi="宋体" w:cs="宋体"/>
                <w:color w:val="auto"/>
                <w:sz w:val="24"/>
              </w:rPr>
            </w:pPr>
            <w:r>
              <w:rPr>
                <w:rFonts w:hint="eastAsia" w:ascii="宋体" w:hAnsi="宋体" w:cs="宋体"/>
                <w:color w:val="auto"/>
                <w:sz w:val="24"/>
              </w:rPr>
              <w:t>通信传输</w:t>
            </w:r>
          </w:p>
        </w:tc>
        <w:tc>
          <w:tcPr>
            <w:tcW w:w="6083" w:type="dxa"/>
          </w:tcPr>
          <w:p w14:paraId="33AF356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a)应采用校验技术或密码技术保证通信过程中数据的完整性；</w:t>
            </w:r>
          </w:p>
        </w:tc>
      </w:tr>
      <w:tr w14:paraId="3113C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4E594C84">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0AC15ADC">
            <w:pPr>
              <w:adjustRightInd w:val="0"/>
              <w:snapToGrid w:val="0"/>
              <w:spacing w:line="360" w:lineRule="auto"/>
              <w:ind w:firstLine="480" w:firstLineChars="200"/>
              <w:jc w:val="center"/>
              <w:rPr>
                <w:rFonts w:ascii="宋体" w:hAnsi="宋体" w:cs="宋体"/>
                <w:color w:val="auto"/>
                <w:sz w:val="24"/>
              </w:rPr>
            </w:pPr>
          </w:p>
        </w:tc>
        <w:tc>
          <w:tcPr>
            <w:tcW w:w="6083" w:type="dxa"/>
          </w:tcPr>
          <w:p w14:paraId="7F7A460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b)应采用密码技术保证通信过程中数据的保密性。</w:t>
            </w:r>
          </w:p>
        </w:tc>
      </w:tr>
      <w:tr w14:paraId="093EC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802" w:type="dxa"/>
            <w:vMerge w:val="continue"/>
            <w:vAlign w:val="center"/>
          </w:tcPr>
          <w:p w14:paraId="2C0E2608">
            <w:pPr>
              <w:adjustRightInd w:val="0"/>
              <w:snapToGrid w:val="0"/>
              <w:spacing w:line="360" w:lineRule="auto"/>
              <w:ind w:firstLine="480" w:firstLineChars="200"/>
              <w:jc w:val="center"/>
              <w:rPr>
                <w:rFonts w:ascii="宋体" w:hAnsi="宋体" w:cs="宋体"/>
                <w:color w:val="auto"/>
                <w:sz w:val="24"/>
              </w:rPr>
            </w:pPr>
          </w:p>
        </w:tc>
        <w:tc>
          <w:tcPr>
            <w:tcW w:w="1917" w:type="dxa"/>
            <w:vAlign w:val="center"/>
          </w:tcPr>
          <w:p w14:paraId="452E948C">
            <w:pPr>
              <w:adjustRightInd w:val="0"/>
              <w:snapToGrid w:val="0"/>
              <w:spacing w:line="360" w:lineRule="auto"/>
              <w:rPr>
                <w:rFonts w:ascii="宋体" w:hAnsi="宋体" w:cs="宋体"/>
                <w:color w:val="auto"/>
                <w:sz w:val="24"/>
              </w:rPr>
            </w:pPr>
            <w:r>
              <w:rPr>
                <w:rFonts w:hint="eastAsia" w:ascii="宋体" w:hAnsi="宋体" w:cs="宋体"/>
                <w:color w:val="auto"/>
                <w:sz w:val="24"/>
              </w:rPr>
              <w:t>可信验证</w:t>
            </w:r>
          </w:p>
        </w:tc>
        <w:tc>
          <w:tcPr>
            <w:tcW w:w="6083" w:type="dxa"/>
          </w:tcPr>
          <w:p w14:paraId="72DD9F9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可基于可信根对通信设备的系统引导程序、系统程序、重要配置参数和通信应用程序等进行可信验证，并在应用程序的关键执行环节进行动态可信验证，在监测到其可信性受到破坏后进行报警，并将验证结果形成审计记录送至安全管理中心。</w:t>
            </w:r>
          </w:p>
        </w:tc>
      </w:tr>
      <w:tr w14:paraId="2B57E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restart"/>
            <w:vAlign w:val="center"/>
          </w:tcPr>
          <w:p w14:paraId="3500C5FC">
            <w:pPr>
              <w:adjustRightInd w:val="0"/>
              <w:snapToGrid w:val="0"/>
              <w:spacing w:line="360" w:lineRule="auto"/>
              <w:jc w:val="center"/>
              <w:rPr>
                <w:rFonts w:ascii="宋体" w:hAnsi="宋体" w:cs="宋体"/>
                <w:color w:val="auto"/>
                <w:sz w:val="24"/>
              </w:rPr>
            </w:pPr>
            <w:r>
              <w:rPr>
                <w:rFonts w:hint="eastAsia" w:ascii="宋体" w:hAnsi="宋体" w:cs="宋体"/>
                <w:color w:val="auto"/>
                <w:sz w:val="24"/>
              </w:rPr>
              <w:t>安全区域边界</w:t>
            </w:r>
          </w:p>
        </w:tc>
        <w:tc>
          <w:tcPr>
            <w:tcW w:w="1917" w:type="dxa"/>
            <w:vMerge w:val="restart"/>
            <w:vAlign w:val="center"/>
          </w:tcPr>
          <w:p w14:paraId="47407AF4">
            <w:pPr>
              <w:adjustRightInd w:val="0"/>
              <w:snapToGrid w:val="0"/>
              <w:spacing w:line="360" w:lineRule="auto"/>
              <w:rPr>
                <w:rFonts w:ascii="宋体" w:hAnsi="宋体" w:cs="宋体"/>
                <w:color w:val="auto"/>
                <w:sz w:val="24"/>
              </w:rPr>
            </w:pPr>
            <w:r>
              <w:rPr>
                <w:rFonts w:hint="eastAsia" w:ascii="宋体" w:hAnsi="宋体" w:cs="宋体"/>
                <w:color w:val="auto"/>
                <w:sz w:val="24"/>
              </w:rPr>
              <w:t>边界防护</w:t>
            </w:r>
          </w:p>
        </w:tc>
        <w:tc>
          <w:tcPr>
            <w:tcW w:w="6083" w:type="dxa"/>
          </w:tcPr>
          <w:p w14:paraId="444657F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a)应保证跨越边界的访问和数据流通过边界设备提供的受控接口进行通信；</w:t>
            </w:r>
          </w:p>
        </w:tc>
      </w:tr>
      <w:tr w14:paraId="670CA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68110A4B">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170EE06F">
            <w:pPr>
              <w:adjustRightInd w:val="0"/>
              <w:snapToGrid w:val="0"/>
              <w:spacing w:line="360" w:lineRule="auto"/>
              <w:ind w:firstLine="480" w:firstLineChars="200"/>
              <w:jc w:val="center"/>
              <w:rPr>
                <w:rFonts w:ascii="宋体" w:hAnsi="宋体" w:cs="宋体"/>
                <w:color w:val="auto"/>
                <w:sz w:val="24"/>
              </w:rPr>
            </w:pPr>
          </w:p>
        </w:tc>
        <w:tc>
          <w:tcPr>
            <w:tcW w:w="6083" w:type="dxa"/>
          </w:tcPr>
          <w:p w14:paraId="6EEDBF5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b)应能够对非授权设备私自联到内部网络的行为进行检测或限制；</w:t>
            </w:r>
          </w:p>
        </w:tc>
      </w:tr>
      <w:tr w14:paraId="6A8A4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7C03D2CC">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21F086CF">
            <w:pPr>
              <w:adjustRightInd w:val="0"/>
              <w:snapToGrid w:val="0"/>
              <w:spacing w:line="360" w:lineRule="auto"/>
              <w:ind w:firstLine="480" w:firstLineChars="200"/>
              <w:jc w:val="center"/>
              <w:rPr>
                <w:rFonts w:ascii="宋体" w:hAnsi="宋体" w:cs="宋体"/>
                <w:color w:val="auto"/>
                <w:sz w:val="24"/>
              </w:rPr>
            </w:pPr>
          </w:p>
        </w:tc>
        <w:tc>
          <w:tcPr>
            <w:tcW w:w="6083" w:type="dxa"/>
          </w:tcPr>
          <w:p w14:paraId="16D2B4C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c)应能够对内部用户非授权联到外部网络的行为进行检查或限制；</w:t>
            </w:r>
          </w:p>
        </w:tc>
      </w:tr>
      <w:tr w14:paraId="40DA4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1C323B11">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602E5CAC">
            <w:pPr>
              <w:adjustRightInd w:val="0"/>
              <w:snapToGrid w:val="0"/>
              <w:spacing w:line="360" w:lineRule="auto"/>
              <w:ind w:firstLine="480" w:firstLineChars="200"/>
              <w:jc w:val="center"/>
              <w:rPr>
                <w:rFonts w:ascii="宋体" w:hAnsi="宋体" w:cs="宋体"/>
                <w:color w:val="auto"/>
                <w:sz w:val="24"/>
              </w:rPr>
            </w:pPr>
          </w:p>
        </w:tc>
        <w:tc>
          <w:tcPr>
            <w:tcW w:w="6083" w:type="dxa"/>
          </w:tcPr>
          <w:p w14:paraId="1BBB5208">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d)应限制无线网络的使用，保证无线网络通过受控的边界设备接入内部网络。</w:t>
            </w:r>
          </w:p>
        </w:tc>
      </w:tr>
      <w:tr w14:paraId="22350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68C7F505">
            <w:pPr>
              <w:adjustRightInd w:val="0"/>
              <w:snapToGrid w:val="0"/>
              <w:spacing w:line="360" w:lineRule="auto"/>
              <w:ind w:firstLine="480" w:firstLineChars="200"/>
              <w:jc w:val="center"/>
              <w:rPr>
                <w:rFonts w:ascii="宋体" w:hAnsi="宋体" w:cs="宋体"/>
                <w:color w:val="auto"/>
                <w:sz w:val="24"/>
              </w:rPr>
            </w:pPr>
          </w:p>
        </w:tc>
        <w:tc>
          <w:tcPr>
            <w:tcW w:w="1917" w:type="dxa"/>
            <w:vMerge w:val="restart"/>
            <w:vAlign w:val="center"/>
          </w:tcPr>
          <w:p w14:paraId="3DF1C199">
            <w:pPr>
              <w:adjustRightInd w:val="0"/>
              <w:snapToGrid w:val="0"/>
              <w:spacing w:line="360" w:lineRule="auto"/>
              <w:rPr>
                <w:rFonts w:ascii="宋体" w:hAnsi="宋体" w:cs="宋体"/>
                <w:color w:val="auto"/>
                <w:sz w:val="24"/>
              </w:rPr>
            </w:pPr>
            <w:r>
              <w:rPr>
                <w:rFonts w:hint="eastAsia" w:ascii="宋体" w:hAnsi="宋体" w:cs="宋体"/>
                <w:color w:val="auto"/>
                <w:sz w:val="24"/>
              </w:rPr>
              <w:t>访问控制</w:t>
            </w:r>
          </w:p>
        </w:tc>
        <w:tc>
          <w:tcPr>
            <w:tcW w:w="6083" w:type="dxa"/>
          </w:tcPr>
          <w:p w14:paraId="374A52F6">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a)应在网络边界或区域之间根据访问控制策略设置访问控制规则，默认情况下除允许通信外受控接口拒绝所有通信；</w:t>
            </w:r>
          </w:p>
        </w:tc>
      </w:tr>
      <w:tr w14:paraId="6DB8B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2DEA5B78">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1CFDA7D5">
            <w:pPr>
              <w:adjustRightInd w:val="0"/>
              <w:snapToGrid w:val="0"/>
              <w:spacing w:line="360" w:lineRule="auto"/>
              <w:ind w:firstLine="480" w:firstLineChars="200"/>
              <w:jc w:val="center"/>
              <w:rPr>
                <w:rFonts w:ascii="宋体" w:hAnsi="宋体" w:cs="宋体"/>
                <w:color w:val="auto"/>
                <w:sz w:val="24"/>
              </w:rPr>
            </w:pPr>
          </w:p>
        </w:tc>
        <w:tc>
          <w:tcPr>
            <w:tcW w:w="6083" w:type="dxa"/>
          </w:tcPr>
          <w:p w14:paraId="44D2D58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b)应删除多余或无效的控制规则，优化访问控制列表，并保证访问控制规则数量最小化；</w:t>
            </w:r>
          </w:p>
        </w:tc>
      </w:tr>
      <w:tr w14:paraId="09C77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461E1788">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757410CA">
            <w:pPr>
              <w:adjustRightInd w:val="0"/>
              <w:snapToGrid w:val="0"/>
              <w:spacing w:line="360" w:lineRule="auto"/>
              <w:ind w:firstLine="480" w:firstLineChars="200"/>
              <w:jc w:val="center"/>
              <w:rPr>
                <w:rFonts w:ascii="宋体" w:hAnsi="宋体" w:cs="宋体"/>
                <w:color w:val="auto"/>
                <w:sz w:val="24"/>
              </w:rPr>
            </w:pPr>
          </w:p>
        </w:tc>
        <w:tc>
          <w:tcPr>
            <w:tcW w:w="6083" w:type="dxa"/>
          </w:tcPr>
          <w:p w14:paraId="48F70FE8">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c)应对源地址、目的地址、源端口、目的端口和协议等进行检查，以允许/拒绝数据包进出；</w:t>
            </w:r>
          </w:p>
        </w:tc>
      </w:tr>
      <w:tr w14:paraId="75966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67E82DB2">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54742153">
            <w:pPr>
              <w:adjustRightInd w:val="0"/>
              <w:snapToGrid w:val="0"/>
              <w:spacing w:line="360" w:lineRule="auto"/>
              <w:ind w:firstLine="480" w:firstLineChars="200"/>
              <w:jc w:val="center"/>
              <w:rPr>
                <w:rFonts w:ascii="宋体" w:hAnsi="宋体" w:cs="宋体"/>
                <w:color w:val="auto"/>
                <w:sz w:val="24"/>
              </w:rPr>
            </w:pPr>
          </w:p>
        </w:tc>
        <w:tc>
          <w:tcPr>
            <w:tcW w:w="6083" w:type="dxa"/>
          </w:tcPr>
          <w:p w14:paraId="58E46BE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d)应能根据会话状态信息为进出数据流提供明确的允许/拒绝访问的能力；</w:t>
            </w:r>
          </w:p>
        </w:tc>
      </w:tr>
      <w:tr w14:paraId="1A962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2F9D4E86">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051D71A4">
            <w:pPr>
              <w:adjustRightInd w:val="0"/>
              <w:snapToGrid w:val="0"/>
              <w:spacing w:line="360" w:lineRule="auto"/>
              <w:ind w:firstLine="480" w:firstLineChars="200"/>
              <w:jc w:val="center"/>
              <w:rPr>
                <w:rFonts w:ascii="宋体" w:hAnsi="宋体" w:cs="宋体"/>
                <w:color w:val="auto"/>
                <w:sz w:val="24"/>
              </w:rPr>
            </w:pPr>
          </w:p>
        </w:tc>
        <w:tc>
          <w:tcPr>
            <w:tcW w:w="6083" w:type="dxa"/>
          </w:tcPr>
          <w:p w14:paraId="3102DED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e)应对进出网络的数据流实现基于应用协议和应用内容的访问控制。</w:t>
            </w:r>
          </w:p>
        </w:tc>
      </w:tr>
      <w:tr w14:paraId="1D74F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234E25B6">
            <w:pPr>
              <w:adjustRightInd w:val="0"/>
              <w:snapToGrid w:val="0"/>
              <w:spacing w:line="360" w:lineRule="auto"/>
              <w:ind w:firstLine="480" w:firstLineChars="200"/>
              <w:jc w:val="center"/>
              <w:rPr>
                <w:rFonts w:ascii="宋体" w:hAnsi="宋体" w:cs="宋体"/>
                <w:color w:val="auto"/>
                <w:sz w:val="24"/>
              </w:rPr>
            </w:pPr>
          </w:p>
        </w:tc>
        <w:tc>
          <w:tcPr>
            <w:tcW w:w="1917" w:type="dxa"/>
            <w:vMerge w:val="restart"/>
            <w:vAlign w:val="center"/>
          </w:tcPr>
          <w:p w14:paraId="23E8FE6F">
            <w:pPr>
              <w:adjustRightInd w:val="0"/>
              <w:snapToGrid w:val="0"/>
              <w:spacing w:line="360" w:lineRule="auto"/>
              <w:rPr>
                <w:rFonts w:ascii="宋体" w:hAnsi="宋体" w:cs="宋体"/>
                <w:color w:val="auto"/>
                <w:sz w:val="24"/>
              </w:rPr>
            </w:pPr>
            <w:r>
              <w:rPr>
                <w:rFonts w:hint="eastAsia" w:ascii="宋体" w:hAnsi="宋体" w:cs="宋体"/>
                <w:color w:val="auto"/>
                <w:sz w:val="24"/>
              </w:rPr>
              <w:t>入侵防范</w:t>
            </w:r>
          </w:p>
        </w:tc>
        <w:tc>
          <w:tcPr>
            <w:tcW w:w="6083" w:type="dxa"/>
          </w:tcPr>
          <w:p w14:paraId="55E077AC">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a)应在关键网络节点处检测、防止或限制从外部发起的网络攻击行为；</w:t>
            </w:r>
          </w:p>
        </w:tc>
      </w:tr>
      <w:tr w14:paraId="576FE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5B3F71D1">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68ABCDBF">
            <w:pPr>
              <w:adjustRightInd w:val="0"/>
              <w:snapToGrid w:val="0"/>
              <w:spacing w:line="360" w:lineRule="auto"/>
              <w:ind w:firstLine="480" w:firstLineChars="200"/>
              <w:jc w:val="center"/>
              <w:rPr>
                <w:rFonts w:ascii="宋体" w:hAnsi="宋体" w:cs="宋体"/>
                <w:color w:val="auto"/>
                <w:sz w:val="24"/>
              </w:rPr>
            </w:pPr>
          </w:p>
        </w:tc>
        <w:tc>
          <w:tcPr>
            <w:tcW w:w="6083" w:type="dxa"/>
          </w:tcPr>
          <w:p w14:paraId="5475F8E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b)应在关键网络节点处检测、防止或限制从内部发起的网络攻击行为；</w:t>
            </w:r>
          </w:p>
        </w:tc>
      </w:tr>
      <w:tr w14:paraId="078CF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214CC0AC">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4B96996D">
            <w:pPr>
              <w:adjustRightInd w:val="0"/>
              <w:snapToGrid w:val="0"/>
              <w:spacing w:line="360" w:lineRule="auto"/>
              <w:ind w:firstLine="480" w:firstLineChars="200"/>
              <w:jc w:val="center"/>
              <w:rPr>
                <w:rFonts w:ascii="宋体" w:hAnsi="宋体" w:cs="宋体"/>
                <w:color w:val="auto"/>
                <w:sz w:val="24"/>
              </w:rPr>
            </w:pPr>
          </w:p>
        </w:tc>
        <w:tc>
          <w:tcPr>
            <w:tcW w:w="6083" w:type="dxa"/>
          </w:tcPr>
          <w:p w14:paraId="510974E5">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c)应采取技术措施对网络行为进行分析，实现对网络攻击特别是新型网络攻击行为的分析；</w:t>
            </w:r>
          </w:p>
        </w:tc>
      </w:tr>
      <w:tr w14:paraId="46B72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05E8918D">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73436F4B">
            <w:pPr>
              <w:adjustRightInd w:val="0"/>
              <w:snapToGrid w:val="0"/>
              <w:spacing w:line="360" w:lineRule="auto"/>
              <w:ind w:firstLine="480" w:firstLineChars="200"/>
              <w:jc w:val="center"/>
              <w:rPr>
                <w:rFonts w:ascii="宋体" w:hAnsi="宋体" w:cs="宋体"/>
                <w:color w:val="auto"/>
                <w:sz w:val="24"/>
              </w:rPr>
            </w:pPr>
          </w:p>
        </w:tc>
        <w:tc>
          <w:tcPr>
            <w:tcW w:w="6083" w:type="dxa"/>
          </w:tcPr>
          <w:p w14:paraId="2814499D">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d)当检测到攻击行为时，记录攻击源IP、攻击类型、攻击目的、攻击时间，在发生严重入侵事件时应提供报警。</w:t>
            </w:r>
          </w:p>
        </w:tc>
      </w:tr>
      <w:tr w14:paraId="04D8F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56B5F8D3">
            <w:pPr>
              <w:adjustRightInd w:val="0"/>
              <w:snapToGrid w:val="0"/>
              <w:spacing w:line="360" w:lineRule="auto"/>
              <w:ind w:firstLine="480" w:firstLineChars="200"/>
              <w:jc w:val="center"/>
              <w:rPr>
                <w:rFonts w:ascii="宋体" w:hAnsi="宋体" w:cs="宋体"/>
                <w:color w:val="auto"/>
                <w:sz w:val="24"/>
              </w:rPr>
            </w:pPr>
          </w:p>
        </w:tc>
        <w:tc>
          <w:tcPr>
            <w:tcW w:w="1917" w:type="dxa"/>
            <w:vMerge w:val="restart"/>
            <w:vAlign w:val="center"/>
          </w:tcPr>
          <w:p w14:paraId="74025C86">
            <w:pPr>
              <w:adjustRightInd w:val="0"/>
              <w:snapToGrid w:val="0"/>
              <w:spacing w:line="360" w:lineRule="auto"/>
              <w:jc w:val="center"/>
              <w:rPr>
                <w:rFonts w:ascii="宋体" w:hAnsi="宋体" w:cs="宋体"/>
                <w:color w:val="auto"/>
                <w:sz w:val="24"/>
              </w:rPr>
            </w:pPr>
            <w:r>
              <w:rPr>
                <w:rFonts w:hint="eastAsia" w:ascii="宋体" w:hAnsi="宋体" w:cs="宋体"/>
                <w:color w:val="auto"/>
                <w:sz w:val="24"/>
              </w:rPr>
              <w:t>恶意代码和</w:t>
            </w:r>
          </w:p>
          <w:p w14:paraId="271B4575">
            <w:pPr>
              <w:adjustRightInd w:val="0"/>
              <w:snapToGrid w:val="0"/>
              <w:spacing w:line="360" w:lineRule="auto"/>
              <w:jc w:val="center"/>
              <w:rPr>
                <w:rFonts w:ascii="宋体" w:hAnsi="宋体" w:cs="宋体"/>
                <w:color w:val="auto"/>
                <w:sz w:val="24"/>
              </w:rPr>
            </w:pPr>
            <w:r>
              <w:rPr>
                <w:rFonts w:hint="eastAsia" w:ascii="宋体" w:hAnsi="宋体" w:cs="宋体"/>
                <w:color w:val="auto"/>
                <w:sz w:val="24"/>
              </w:rPr>
              <w:t>垃圾邮件防范</w:t>
            </w:r>
          </w:p>
        </w:tc>
        <w:tc>
          <w:tcPr>
            <w:tcW w:w="6083" w:type="dxa"/>
          </w:tcPr>
          <w:p w14:paraId="7E9339C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a)应在关键网络节点处对恶意代码进行检测和清除，并维护恶意代码防护机制的升级和更新；</w:t>
            </w:r>
          </w:p>
        </w:tc>
      </w:tr>
      <w:tr w14:paraId="1D940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29F3A27E">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55318D49">
            <w:pPr>
              <w:adjustRightInd w:val="0"/>
              <w:snapToGrid w:val="0"/>
              <w:spacing w:line="360" w:lineRule="auto"/>
              <w:ind w:firstLine="480" w:firstLineChars="200"/>
              <w:jc w:val="center"/>
              <w:rPr>
                <w:rFonts w:ascii="宋体" w:hAnsi="宋体" w:cs="宋体"/>
                <w:color w:val="auto"/>
                <w:sz w:val="24"/>
              </w:rPr>
            </w:pPr>
          </w:p>
        </w:tc>
        <w:tc>
          <w:tcPr>
            <w:tcW w:w="6083" w:type="dxa"/>
          </w:tcPr>
          <w:p w14:paraId="18B12FD5">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b)应在关键网络节点处对垃圾邮件进行检测和防护，并维护垃圾邮件防护机制的升级和更新。</w:t>
            </w:r>
          </w:p>
        </w:tc>
      </w:tr>
      <w:tr w14:paraId="31702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64E7D8FC">
            <w:pPr>
              <w:adjustRightInd w:val="0"/>
              <w:snapToGrid w:val="0"/>
              <w:spacing w:line="360" w:lineRule="auto"/>
              <w:ind w:firstLine="480" w:firstLineChars="200"/>
              <w:jc w:val="center"/>
              <w:rPr>
                <w:rFonts w:ascii="宋体" w:hAnsi="宋体" w:cs="宋体"/>
                <w:color w:val="auto"/>
                <w:sz w:val="24"/>
              </w:rPr>
            </w:pPr>
          </w:p>
        </w:tc>
        <w:tc>
          <w:tcPr>
            <w:tcW w:w="1917" w:type="dxa"/>
            <w:vMerge w:val="restart"/>
            <w:vAlign w:val="center"/>
          </w:tcPr>
          <w:p w14:paraId="065C297D">
            <w:pPr>
              <w:adjustRightInd w:val="0"/>
              <w:snapToGrid w:val="0"/>
              <w:spacing w:line="360" w:lineRule="auto"/>
              <w:rPr>
                <w:rFonts w:ascii="宋体" w:hAnsi="宋体" w:cs="宋体"/>
                <w:color w:val="auto"/>
                <w:sz w:val="24"/>
              </w:rPr>
            </w:pPr>
            <w:r>
              <w:rPr>
                <w:rFonts w:hint="eastAsia" w:ascii="宋体" w:hAnsi="宋体" w:cs="宋体"/>
                <w:color w:val="auto"/>
                <w:sz w:val="24"/>
              </w:rPr>
              <w:t>安全审计</w:t>
            </w:r>
          </w:p>
        </w:tc>
        <w:tc>
          <w:tcPr>
            <w:tcW w:w="6083" w:type="dxa"/>
          </w:tcPr>
          <w:p w14:paraId="65D6695C">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a)应在网络边界，重要网络节点进行安全审计，审计覆盖到每个用户，对重要的用户行为和重要安全事件进行审计；</w:t>
            </w:r>
          </w:p>
        </w:tc>
      </w:tr>
      <w:tr w14:paraId="42ADF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7342E861">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4946D3A1">
            <w:pPr>
              <w:adjustRightInd w:val="0"/>
              <w:snapToGrid w:val="0"/>
              <w:spacing w:line="360" w:lineRule="auto"/>
              <w:ind w:firstLine="480" w:firstLineChars="200"/>
              <w:jc w:val="center"/>
              <w:rPr>
                <w:rFonts w:ascii="宋体" w:hAnsi="宋体" w:cs="宋体"/>
                <w:color w:val="auto"/>
                <w:sz w:val="24"/>
              </w:rPr>
            </w:pPr>
          </w:p>
        </w:tc>
        <w:tc>
          <w:tcPr>
            <w:tcW w:w="6083" w:type="dxa"/>
          </w:tcPr>
          <w:p w14:paraId="1D56C61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b)审计记录应包括事件的日期、用户、事件类型、事件是否成功及其他与审计相关的信息；</w:t>
            </w:r>
          </w:p>
        </w:tc>
      </w:tr>
      <w:tr w14:paraId="4A72C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54B28B77">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02413601">
            <w:pPr>
              <w:adjustRightInd w:val="0"/>
              <w:snapToGrid w:val="0"/>
              <w:spacing w:line="360" w:lineRule="auto"/>
              <w:ind w:firstLine="480" w:firstLineChars="200"/>
              <w:jc w:val="center"/>
              <w:rPr>
                <w:rFonts w:ascii="宋体" w:hAnsi="宋体" w:cs="宋体"/>
                <w:color w:val="auto"/>
                <w:sz w:val="24"/>
              </w:rPr>
            </w:pPr>
          </w:p>
        </w:tc>
        <w:tc>
          <w:tcPr>
            <w:tcW w:w="6083" w:type="dxa"/>
          </w:tcPr>
          <w:p w14:paraId="76F2103C">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c)应对审计记录进行保护，定期备份，避免受到未预期的删除、修改或覆盖等；</w:t>
            </w:r>
          </w:p>
        </w:tc>
      </w:tr>
      <w:tr w14:paraId="20A42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04223736">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5882EE60">
            <w:pPr>
              <w:adjustRightInd w:val="0"/>
              <w:snapToGrid w:val="0"/>
              <w:spacing w:line="360" w:lineRule="auto"/>
              <w:ind w:firstLine="480" w:firstLineChars="200"/>
              <w:jc w:val="center"/>
              <w:rPr>
                <w:rFonts w:ascii="宋体" w:hAnsi="宋体" w:cs="宋体"/>
                <w:color w:val="auto"/>
                <w:sz w:val="24"/>
              </w:rPr>
            </w:pPr>
          </w:p>
        </w:tc>
        <w:tc>
          <w:tcPr>
            <w:tcW w:w="6083" w:type="dxa"/>
          </w:tcPr>
          <w:p w14:paraId="2ACD623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d)应能对远程访问的用户行为、访问互联网的用户行为等单独进行行为审计和数据分析。</w:t>
            </w:r>
          </w:p>
        </w:tc>
      </w:tr>
      <w:tr w14:paraId="0C011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802" w:type="dxa"/>
            <w:vMerge w:val="continue"/>
            <w:vAlign w:val="center"/>
          </w:tcPr>
          <w:p w14:paraId="5399F3CB">
            <w:pPr>
              <w:adjustRightInd w:val="0"/>
              <w:snapToGrid w:val="0"/>
              <w:spacing w:line="360" w:lineRule="auto"/>
              <w:ind w:firstLine="480" w:firstLineChars="200"/>
              <w:jc w:val="center"/>
              <w:rPr>
                <w:rFonts w:ascii="宋体" w:hAnsi="宋体" w:cs="宋体"/>
                <w:color w:val="auto"/>
                <w:sz w:val="24"/>
              </w:rPr>
            </w:pPr>
          </w:p>
        </w:tc>
        <w:tc>
          <w:tcPr>
            <w:tcW w:w="1917" w:type="dxa"/>
            <w:vAlign w:val="center"/>
          </w:tcPr>
          <w:p w14:paraId="56B3BC72">
            <w:pPr>
              <w:adjustRightInd w:val="0"/>
              <w:snapToGrid w:val="0"/>
              <w:spacing w:line="360" w:lineRule="auto"/>
              <w:rPr>
                <w:rFonts w:ascii="宋体" w:hAnsi="宋体" w:cs="宋体"/>
                <w:color w:val="auto"/>
                <w:sz w:val="24"/>
              </w:rPr>
            </w:pPr>
            <w:r>
              <w:rPr>
                <w:rFonts w:hint="eastAsia" w:ascii="宋体" w:hAnsi="宋体" w:cs="宋体"/>
                <w:color w:val="auto"/>
                <w:sz w:val="24"/>
              </w:rPr>
              <w:t>可信验证</w:t>
            </w:r>
          </w:p>
        </w:tc>
        <w:tc>
          <w:tcPr>
            <w:tcW w:w="6083" w:type="dxa"/>
          </w:tcPr>
          <w:p w14:paraId="4DA9DBE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可基于可信根对边界设备的系统引导程序、系统程序、重要配置参数和边界防护应用程序等进行可信验证，并在应用程序的关键执行环节进行动态可信验证，在检测到其可信性受到破坏后进行报警，并将验证结果形成审计记录送至安全管理中心。</w:t>
            </w:r>
          </w:p>
        </w:tc>
      </w:tr>
      <w:tr w14:paraId="2550C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02" w:type="dxa"/>
            <w:vMerge w:val="restart"/>
            <w:vAlign w:val="center"/>
          </w:tcPr>
          <w:p w14:paraId="59B26FD7">
            <w:pPr>
              <w:adjustRightInd w:val="0"/>
              <w:snapToGrid w:val="0"/>
              <w:spacing w:line="360" w:lineRule="auto"/>
              <w:rPr>
                <w:rFonts w:ascii="宋体" w:hAnsi="宋体" w:cs="宋体"/>
                <w:color w:val="auto"/>
                <w:sz w:val="24"/>
              </w:rPr>
            </w:pPr>
            <w:r>
              <w:rPr>
                <w:rFonts w:hint="eastAsia" w:ascii="宋体" w:hAnsi="宋体" w:cs="宋体"/>
                <w:color w:val="auto"/>
                <w:sz w:val="24"/>
              </w:rPr>
              <w:t>安全计算环境</w:t>
            </w:r>
          </w:p>
        </w:tc>
        <w:tc>
          <w:tcPr>
            <w:tcW w:w="1917" w:type="dxa"/>
            <w:vMerge w:val="restart"/>
            <w:vAlign w:val="center"/>
          </w:tcPr>
          <w:p w14:paraId="73AE683E">
            <w:pPr>
              <w:adjustRightInd w:val="0"/>
              <w:snapToGrid w:val="0"/>
              <w:spacing w:line="360" w:lineRule="auto"/>
              <w:rPr>
                <w:rFonts w:ascii="宋体" w:hAnsi="宋体" w:cs="宋体"/>
                <w:color w:val="auto"/>
                <w:sz w:val="24"/>
              </w:rPr>
            </w:pPr>
            <w:r>
              <w:rPr>
                <w:rFonts w:hint="eastAsia" w:ascii="宋体" w:hAnsi="宋体" w:cs="宋体"/>
                <w:color w:val="auto"/>
                <w:sz w:val="24"/>
              </w:rPr>
              <w:t>身份鉴别</w:t>
            </w:r>
          </w:p>
        </w:tc>
        <w:tc>
          <w:tcPr>
            <w:tcW w:w="6083" w:type="dxa"/>
          </w:tcPr>
          <w:p w14:paraId="501BF244">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a)应对登录的用户进行身份标识和鉴别，身份标识具有唯一性，身份鉴别信息具有复杂度要求并定期更换；</w:t>
            </w:r>
          </w:p>
        </w:tc>
      </w:tr>
      <w:tr w14:paraId="1C645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02" w:type="dxa"/>
            <w:vMerge w:val="continue"/>
            <w:vAlign w:val="center"/>
          </w:tcPr>
          <w:p w14:paraId="7CC5E8EE">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090E182D">
            <w:pPr>
              <w:adjustRightInd w:val="0"/>
              <w:snapToGrid w:val="0"/>
              <w:spacing w:line="360" w:lineRule="auto"/>
              <w:ind w:firstLine="480" w:firstLineChars="200"/>
              <w:jc w:val="center"/>
              <w:rPr>
                <w:rFonts w:ascii="宋体" w:hAnsi="宋体" w:cs="宋体"/>
                <w:color w:val="auto"/>
                <w:sz w:val="24"/>
              </w:rPr>
            </w:pPr>
          </w:p>
        </w:tc>
        <w:tc>
          <w:tcPr>
            <w:tcW w:w="6083" w:type="dxa"/>
          </w:tcPr>
          <w:p w14:paraId="068DBA7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 xml:space="preserve">b)应启用登陆失败处理功能，应配置并启用结束会话、限制非法登录次数和当登录连接超时时自动退出等相关措施； </w:t>
            </w:r>
          </w:p>
        </w:tc>
      </w:tr>
      <w:tr w14:paraId="67E1A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802" w:type="dxa"/>
            <w:vMerge w:val="continue"/>
            <w:vAlign w:val="center"/>
          </w:tcPr>
          <w:p w14:paraId="4A221B3F">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7C2F2C01">
            <w:pPr>
              <w:adjustRightInd w:val="0"/>
              <w:snapToGrid w:val="0"/>
              <w:spacing w:line="360" w:lineRule="auto"/>
              <w:ind w:firstLine="480" w:firstLineChars="200"/>
              <w:jc w:val="center"/>
              <w:rPr>
                <w:rFonts w:ascii="宋体" w:hAnsi="宋体" w:cs="宋体"/>
                <w:color w:val="auto"/>
                <w:sz w:val="24"/>
              </w:rPr>
            </w:pPr>
          </w:p>
        </w:tc>
        <w:tc>
          <w:tcPr>
            <w:tcW w:w="6083" w:type="dxa"/>
          </w:tcPr>
          <w:p w14:paraId="0784248E">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 xml:space="preserve">c)   当进行远程管理时，应采取必要措施防止鉴别信息在网络传输过程中被窃听； </w:t>
            </w:r>
          </w:p>
        </w:tc>
      </w:tr>
      <w:tr w14:paraId="63A81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27DB2B8E">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6015754C">
            <w:pPr>
              <w:adjustRightInd w:val="0"/>
              <w:snapToGrid w:val="0"/>
              <w:spacing w:line="360" w:lineRule="auto"/>
              <w:ind w:firstLine="480" w:firstLineChars="200"/>
              <w:jc w:val="center"/>
              <w:rPr>
                <w:rFonts w:ascii="宋体" w:hAnsi="宋体" w:cs="宋体"/>
                <w:color w:val="auto"/>
                <w:sz w:val="24"/>
              </w:rPr>
            </w:pPr>
          </w:p>
        </w:tc>
        <w:tc>
          <w:tcPr>
            <w:tcW w:w="6083" w:type="dxa"/>
          </w:tcPr>
          <w:p w14:paraId="51F9571C">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d)应采用口令、密码技术、生物技术等两种或两种以上组合的鉴别技术对用户进行身份鉴别，且其中一种鉴别技术至少应使用密码技术实现。</w:t>
            </w:r>
          </w:p>
        </w:tc>
      </w:tr>
      <w:tr w14:paraId="58020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4F3BE97B">
            <w:pPr>
              <w:adjustRightInd w:val="0"/>
              <w:snapToGrid w:val="0"/>
              <w:spacing w:line="360" w:lineRule="auto"/>
              <w:ind w:firstLine="480" w:firstLineChars="200"/>
              <w:jc w:val="center"/>
              <w:rPr>
                <w:rFonts w:ascii="宋体" w:hAnsi="宋体" w:cs="宋体"/>
                <w:color w:val="auto"/>
                <w:sz w:val="24"/>
              </w:rPr>
            </w:pPr>
          </w:p>
        </w:tc>
        <w:tc>
          <w:tcPr>
            <w:tcW w:w="1917" w:type="dxa"/>
            <w:vMerge w:val="restart"/>
            <w:vAlign w:val="center"/>
          </w:tcPr>
          <w:p w14:paraId="4956B786">
            <w:pPr>
              <w:adjustRightInd w:val="0"/>
              <w:snapToGrid w:val="0"/>
              <w:spacing w:line="360" w:lineRule="auto"/>
              <w:rPr>
                <w:rFonts w:ascii="宋体" w:hAnsi="宋体" w:cs="宋体"/>
                <w:color w:val="auto"/>
                <w:sz w:val="24"/>
              </w:rPr>
            </w:pPr>
            <w:r>
              <w:rPr>
                <w:rFonts w:hint="eastAsia" w:ascii="宋体" w:hAnsi="宋体" w:cs="宋体"/>
                <w:color w:val="auto"/>
                <w:sz w:val="24"/>
              </w:rPr>
              <w:t>访问控制</w:t>
            </w:r>
          </w:p>
        </w:tc>
        <w:tc>
          <w:tcPr>
            <w:tcW w:w="6083" w:type="dxa"/>
          </w:tcPr>
          <w:p w14:paraId="1E760E96">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   应对登录的用户分配账户和权限；</w:t>
            </w:r>
          </w:p>
        </w:tc>
      </w:tr>
      <w:tr w14:paraId="58DCA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62AE3841">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104CFC43">
            <w:pPr>
              <w:adjustRightInd w:val="0"/>
              <w:snapToGrid w:val="0"/>
              <w:spacing w:line="360" w:lineRule="auto"/>
              <w:ind w:firstLine="480" w:firstLineChars="200"/>
              <w:jc w:val="center"/>
              <w:rPr>
                <w:rFonts w:ascii="宋体" w:hAnsi="宋体" w:cs="宋体"/>
                <w:color w:val="auto"/>
                <w:sz w:val="24"/>
              </w:rPr>
            </w:pPr>
          </w:p>
        </w:tc>
        <w:tc>
          <w:tcPr>
            <w:tcW w:w="6083" w:type="dxa"/>
          </w:tcPr>
          <w:p w14:paraId="0C44565C">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   应重命名或删除默认账户，修改默认账户的默认口令；</w:t>
            </w:r>
          </w:p>
        </w:tc>
      </w:tr>
      <w:tr w14:paraId="0A29E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12097A47">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6B1C6FD3">
            <w:pPr>
              <w:adjustRightInd w:val="0"/>
              <w:snapToGrid w:val="0"/>
              <w:spacing w:line="360" w:lineRule="auto"/>
              <w:ind w:firstLine="480" w:firstLineChars="200"/>
              <w:jc w:val="center"/>
              <w:rPr>
                <w:rFonts w:ascii="宋体" w:hAnsi="宋体" w:cs="宋体"/>
                <w:color w:val="auto"/>
                <w:sz w:val="24"/>
              </w:rPr>
            </w:pPr>
          </w:p>
        </w:tc>
        <w:tc>
          <w:tcPr>
            <w:tcW w:w="6083" w:type="dxa"/>
          </w:tcPr>
          <w:p w14:paraId="509C1B8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   应及时删除或停用多余的，过期的账户，避免共享账户的存在；</w:t>
            </w:r>
          </w:p>
        </w:tc>
      </w:tr>
      <w:tr w14:paraId="3F91A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099593D6">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46BC70C5">
            <w:pPr>
              <w:adjustRightInd w:val="0"/>
              <w:snapToGrid w:val="0"/>
              <w:spacing w:line="360" w:lineRule="auto"/>
              <w:ind w:firstLine="480" w:firstLineChars="200"/>
              <w:jc w:val="center"/>
              <w:rPr>
                <w:rFonts w:ascii="宋体" w:hAnsi="宋体" w:cs="宋体"/>
                <w:color w:val="auto"/>
                <w:sz w:val="24"/>
              </w:rPr>
            </w:pPr>
          </w:p>
        </w:tc>
        <w:tc>
          <w:tcPr>
            <w:tcW w:w="6083" w:type="dxa"/>
          </w:tcPr>
          <w:p w14:paraId="246A4AA1">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   应授予管理用户所需的最小权限，实现管理用户的权限分离；</w:t>
            </w:r>
          </w:p>
        </w:tc>
      </w:tr>
      <w:tr w14:paraId="41D55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802" w:type="dxa"/>
            <w:vMerge w:val="continue"/>
            <w:vAlign w:val="center"/>
          </w:tcPr>
          <w:p w14:paraId="59680C65">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1D0AB938">
            <w:pPr>
              <w:adjustRightInd w:val="0"/>
              <w:snapToGrid w:val="0"/>
              <w:spacing w:line="360" w:lineRule="auto"/>
              <w:ind w:firstLine="480" w:firstLineChars="200"/>
              <w:jc w:val="center"/>
              <w:rPr>
                <w:rFonts w:ascii="宋体" w:hAnsi="宋体" w:cs="宋体"/>
                <w:color w:val="auto"/>
                <w:sz w:val="24"/>
              </w:rPr>
            </w:pPr>
          </w:p>
        </w:tc>
        <w:tc>
          <w:tcPr>
            <w:tcW w:w="6083" w:type="dxa"/>
          </w:tcPr>
          <w:p w14:paraId="2754B3F4">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e）应由授权主体配置访问控制策略，访问控制策略规定主体对客体的访问规则；</w:t>
            </w:r>
          </w:p>
        </w:tc>
      </w:tr>
      <w:tr w14:paraId="2B632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1990EB11">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6EEB775A">
            <w:pPr>
              <w:adjustRightInd w:val="0"/>
              <w:snapToGrid w:val="0"/>
              <w:spacing w:line="360" w:lineRule="auto"/>
              <w:ind w:firstLine="480" w:firstLineChars="200"/>
              <w:jc w:val="center"/>
              <w:rPr>
                <w:rFonts w:ascii="宋体" w:hAnsi="宋体" w:cs="宋体"/>
                <w:color w:val="auto"/>
                <w:sz w:val="24"/>
              </w:rPr>
            </w:pPr>
          </w:p>
        </w:tc>
        <w:tc>
          <w:tcPr>
            <w:tcW w:w="6083" w:type="dxa"/>
          </w:tcPr>
          <w:p w14:paraId="1227885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f)访问控制的粒度应达到主体为用户级或进程级，客体为文件、数据库表级；</w:t>
            </w:r>
          </w:p>
        </w:tc>
      </w:tr>
      <w:tr w14:paraId="011B2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802" w:type="dxa"/>
            <w:vMerge w:val="continue"/>
            <w:vAlign w:val="center"/>
          </w:tcPr>
          <w:p w14:paraId="1886E369">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78F9A1E4">
            <w:pPr>
              <w:adjustRightInd w:val="0"/>
              <w:snapToGrid w:val="0"/>
              <w:spacing w:line="360" w:lineRule="auto"/>
              <w:ind w:firstLine="480" w:firstLineChars="200"/>
              <w:jc w:val="center"/>
              <w:rPr>
                <w:rFonts w:ascii="宋体" w:hAnsi="宋体" w:cs="宋体"/>
                <w:color w:val="auto"/>
                <w:sz w:val="24"/>
              </w:rPr>
            </w:pPr>
          </w:p>
        </w:tc>
        <w:tc>
          <w:tcPr>
            <w:tcW w:w="6083" w:type="dxa"/>
          </w:tcPr>
          <w:p w14:paraId="4DAF97C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g)应对重要主体和客体设置安全标记，并控制主体对有安全标记信息资源的访问。</w:t>
            </w:r>
          </w:p>
        </w:tc>
      </w:tr>
      <w:tr w14:paraId="0B6D2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7E9523EB">
            <w:pPr>
              <w:adjustRightInd w:val="0"/>
              <w:snapToGrid w:val="0"/>
              <w:spacing w:line="360" w:lineRule="auto"/>
              <w:ind w:firstLine="480" w:firstLineChars="200"/>
              <w:jc w:val="center"/>
              <w:rPr>
                <w:rFonts w:ascii="宋体" w:hAnsi="宋体" w:cs="宋体"/>
                <w:color w:val="auto"/>
                <w:sz w:val="24"/>
              </w:rPr>
            </w:pPr>
          </w:p>
        </w:tc>
        <w:tc>
          <w:tcPr>
            <w:tcW w:w="1917" w:type="dxa"/>
            <w:vMerge w:val="restart"/>
            <w:vAlign w:val="center"/>
          </w:tcPr>
          <w:p w14:paraId="4766E105">
            <w:pPr>
              <w:adjustRightInd w:val="0"/>
              <w:snapToGrid w:val="0"/>
              <w:spacing w:line="360" w:lineRule="auto"/>
              <w:rPr>
                <w:rFonts w:ascii="宋体" w:hAnsi="宋体" w:cs="宋体"/>
                <w:color w:val="auto"/>
                <w:sz w:val="24"/>
              </w:rPr>
            </w:pPr>
            <w:r>
              <w:rPr>
                <w:rFonts w:hint="eastAsia" w:ascii="宋体" w:hAnsi="宋体" w:cs="宋体"/>
                <w:color w:val="auto"/>
                <w:sz w:val="24"/>
              </w:rPr>
              <w:t>安全审计</w:t>
            </w:r>
          </w:p>
        </w:tc>
        <w:tc>
          <w:tcPr>
            <w:tcW w:w="6083" w:type="dxa"/>
          </w:tcPr>
          <w:p w14:paraId="1CE2B72C">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   应启用安全审计功能，审计覆盖到每个用户，对重要的用户行为和重要安全事件进行审计；</w:t>
            </w:r>
          </w:p>
        </w:tc>
      </w:tr>
      <w:tr w14:paraId="6B3D2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2C45F936">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4174B49C">
            <w:pPr>
              <w:adjustRightInd w:val="0"/>
              <w:snapToGrid w:val="0"/>
              <w:spacing w:line="360" w:lineRule="auto"/>
              <w:ind w:firstLine="480" w:firstLineChars="200"/>
              <w:jc w:val="center"/>
              <w:rPr>
                <w:rFonts w:ascii="宋体" w:hAnsi="宋体" w:cs="宋体"/>
                <w:color w:val="auto"/>
                <w:sz w:val="24"/>
              </w:rPr>
            </w:pPr>
          </w:p>
        </w:tc>
        <w:tc>
          <w:tcPr>
            <w:tcW w:w="6083" w:type="dxa"/>
          </w:tcPr>
          <w:p w14:paraId="3293B23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   审计记录应包括事件的日期、时间、事件类型、事件是否成功及其他与审计相关的工作；</w:t>
            </w:r>
          </w:p>
        </w:tc>
      </w:tr>
      <w:tr w14:paraId="27662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77099B5A">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09528D3E">
            <w:pPr>
              <w:adjustRightInd w:val="0"/>
              <w:snapToGrid w:val="0"/>
              <w:spacing w:line="360" w:lineRule="auto"/>
              <w:ind w:firstLine="480" w:firstLineChars="200"/>
              <w:jc w:val="center"/>
              <w:rPr>
                <w:rFonts w:ascii="宋体" w:hAnsi="宋体" w:cs="宋体"/>
                <w:color w:val="auto"/>
                <w:sz w:val="24"/>
              </w:rPr>
            </w:pPr>
          </w:p>
        </w:tc>
        <w:tc>
          <w:tcPr>
            <w:tcW w:w="6083" w:type="dxa"/>
          </w:tcPr>
          <w:p w14:paraId="463F285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   应对审计记录进行保护，定期备份、避免受到未预期的删除、修改或覆盖等；</w:t>
            </w:r>
          </w:p>
        </w:tc>
      </w:tr>
      <w:tr w14:paraId="71435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622C0FF4">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2C3EA448">
            <w:pPr>
              <w:adjustRightInd w:val="0"/>
              <w:snapToGrid w:val="0"/>
              <w:spacing w:line="360" w:lineRule="auto"/>
              <w:ind w:firstLine="480" w:firstLineChars="200"/>
              <w:jc w:val="center"/>
              <w:rPr>
                <w:rFonts w:ascii="宋体" w:hAnsi="宋体" w:cs="宋体"/>
                <w:color w:val="auto"/>
                <w:sz w:val="24"/>
              </w:rPr>
            </w:pPr>
          </w:p>
        </w:tc>
        <w:tc>
          <w:tcPr>
            <w:tcW w:w="6083" w:type="dxa"/>
          </w:tcPr>
          <w:p w14:paraId="3AE3A3C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d)应对审计进程进行保护，防止未经授权的中断。</w:t>
            </w:r>
          </w:p>
        </w:tc>
      </w:tr>
      <w:tr w14:paraId="49668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1412E6CF">
            <w:pPr>
              <w:adjustRightInd w:val="0"/>
              <w:snapToGrid w:val="0"/>
              <w:spacing w:line="360" w:lineRule="auto"/>
              <w:ind w:firstLine="480" w:firstLineChars="200"/>
              <w:jc w:val="center"/>
              <w:rPr>
                <w:rFonts w:ascii="宋体" w:hAnsi="宋体" w:cs="宋体"/>
                <w:color w:val="auto"/>
                <w:sz w:val="24"/>
              </w:rPr>
            </w:pPr>
          </w:p>
        </w:tc>
        <w:tc>
          <w:tcPr>
            <w:tcW w:w="1917" w:type="dxa"/>
            <w:vMerge w:val="restart"/>
            <w:vAlign w:val="center"/>
          </w:tcPr>
          <w:p w14:paraId="7837FEA8">
            <w:pPr>
              <w:adjustRightInd w:val="0"/>
              <w:snapToGrid w:val="0"/>
              <w:spacing w:line="360" w:lineRule="auto"/>
              <w:rPr>
                <w:rFonts w:ascii="宋体" w:hAnsi="宋体" w:cs="宋体"/>
                <w:color w:val="auto"/>
                <w:sz w:val="24"/>
              </w:rPr>
            </w:pPr>
            <w:r>
              <w:rPr>
                <w:rFonts w:hint="eastAsia" w:ascii="宋体" w:hAnsi="宋体" w:cs="宋体"/>
                <w:color w:val="auto"/>
                <w:sz w:val="24"/>
              </w:rPr>
              <w:t>入侵防范</w:t>
            </w:r>
          </w:p>
        </w:tc>
        <w:tc>
          <w:tcPr>
            <w:tcW w:w="6083" w:type="dxa"/>
          </w:tcPr>
          <w:p w14:paraId="43412AAD">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   应遵循最小安装的原则，仅安装需要的组件和应用程序；</w:t>
            </w:r>
          </w:p>
        </w:tc>
      </w:tr>
      <w:tr w14:paraId="77011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754CFE4E">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5EB62258">
            <w:pPr>
              <w:adjustRightInd w:val="0"/>
              <w:snapToGrid w:val="0"/>
              <w:spacing w:line="360" w:lineRule="auto"/>
              <w:ind w:firstLine="480" w:firstLineChars="200"/>
              <w:jc w:val="center"/>
              <w:rPr>
                <w:rFonts w:ascii="宋体" w:hAnsi="宋体" w:cs="宋体"/>
                <w:color w:val="auto"/>
                <w:sz w:val="24"/>
              </w:rPr>
            </w:pPr>
          </w:p>
        </w:tc>
        <w:tc>
          <w:tcPr>
            <w:tcW w:w="6083" w:type="dxa"/>
          </w:tcPr>
          <w:p w14:paraId="4F14E64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   应关闭不需要的系统服务、默认共享和高危端口；</w:t>
            </w:r>
          </w:p>
        </w:tc>
      </w:tr>
      <w:tr w14:paraId="02070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44DCEBA5">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367FD603">
            <w:pPr>
              <w:adjustRightInd w:val="0"/>
              <w:snapToGrid w:val="0"/>
              <w:spacing w:line="360" w:lineRule="auto"/>
              <w:ind w:firstLine="480" w:firstLineChars="200"/>
              <w:jc w:val="center"/>
              <w:rPr>
                <w:rFonts w:ascii="宋体" w:hAnsi="宋体" w:cs="宋体"/>
                <w:color w:val="auto"/>
                <w:sz w:val="24"/>
              </w:rPr>
            </w:pPr>
          </w:p>
        </w:tc>
        <w:tc>
          <w:tcPr>
            <w:tcW w:w="6083" w:type="dxa"/>
          </w:tcPr>
          <w:p w14:paraId="277FF8C5">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   应通过设定终端接入方式或网络地址范围对通过网络进行管理的管理终端进行限制；</w:t>
            </w:r>
          </w:p>
        </w:tc>
      </w:tr>
      <w:tr w14:paraId="3451D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02" w:type="dxa"/>
            <w:vMerge w:val="continue"/>
            <w:vAlign w:val="center"/>
          </w:tcPr>
          <w:p w14:paraId="37C7F1B8">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34562837">
            <w:pPr>
              <w:adjustRightInd w:val="0"/>
              <w:snapToGrid w:val="0"/>
              <w:spacing w:line="360" w:lineRule="auto"/>
              <w:ind w:firstLine="480" w:firstLineChars="200"/>
              <w:jc w:val="center"/>
              <w:rPr>
                <w:rFonts w:ascii="宋体" w:hAnsi="宋体" w:cs="宋体"/>
                <w:color w:val="auto"/>
                <w:sz w:val="24"/>
              </w:rPr>
            </w:pPr>
          </w:p>
        </w:tc>
        <w:tc>
          <w:tcPr>
            <w:tcW w:w="6083" w:type="dxa"/>
          </w:tcPr>
          <w:p w14:paraId="5234AB0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d）应提供数据有效性检验功能，保证通过人机接口输入或通过通信接口输入的内容符合系统设定要求。</w:t>
            </w:r>
          </w:p>
        </w:tc>
      </w:tr>
      <w:tr w14:paraId="1B59C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47DD9248">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3955CF42">
            <w:pPr>
              <w:adjustRightInd w:val="0"/>
              <w:snapToGrid w:val="0"/>
              <w:spacing w:line="360" w:lineRule="auto"/>
              <w:ind w:firstLine="480" w:firstLineChars="200"/>
              <w:jc w:val="center"/>
              <w:rPr>
                <w:rFonts w:ascii="宋体" w:hAnsi="宋体" w:cs="宋体"/>
                <w:color w:val="auto"/>
                <w:sz w:val="24"/>
              </w:rPr>
            </w:pPr>
          </w:p>
        </w:tc>
        <w:tc>
          <w:tcPr>
            <w:tcW w:w="6083" w:type="dxa"/>
          </w:tcPr>
          <w:p w14:paraId="25E291DC">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e)   应能发现可能存在的已知漏洞，并在经过充分测试评估后，及时修补漏洞；</w:t>
            </w:r>
          </w:p>
        </w:tc>
      </w:tr>
      <w:tr w14:paraId="1081E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28875794">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5CB09066">
            <w:pPr>
              <w:adjustRightInd w:val="0"/>
              <w:snapToGrid w:val="0"/>
              <w:spacing w:line="360" w:lineRule="auto"/>
              <w:ind w:firstLine="480" w:firstLineChars="200"/>
              <w:jc w:val="center"/>
              <w:rPr>
                <w:rFonts w:ascii="宋体" w:hAnsi="宋体" w:cs="宋体"/>
                <w:color w:val="auto"/>
                <w:sz w:val="24"/>
              </w:rPr>
            </w:pPr>
          </w:p>
        </w:tc>
        <w:tc>
          <w:tcPr>
            <w:tcW w:w="6083" w:type="dxa"/>
          </w:tcPr>
          <w:p w14:paraId="2D095C14">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f)   应能检测到对重要节点进行入侵的行为，并在发生严重入侵事件时提供报警。</w:t>
            </w:r>
          </w:p>
        </w:tc>
      </w:tr>
      <w:tr w14:paraId="313BE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02" w:type="dxa"/>
            <w:vMerge w:val="continue"/>
            <w:vAlign w:val="center"/>
          </w:tcPr>
          <w:p w14:paraId="7F002DB4">
            <w:pPr>
              <w:adjustRightInd w:val="0"/>
              <w:snapToGrid w:val="0"/>
              <w:spacing w:line="360" w:lineRule="auto"/>
              <w:ind w:firstLine="480" w:firstLineChars="200"/>
              <w:jc w:val="center"/>
              <w:rPr>
                <w:rFonts w:ascii="宋体" w:hAnsi="宋体" w:cs="宋体"/>
                <w:color w:val="auto"/>
                <w:sz w:val="24"/>
              </w:rPr>
            </w:pPr>
          </w:p>
        </w:tc>
        <w:tc>
          <w:tcPr>
            <w:tcW w:w="1917" w:type="dxa"/>
            <w:vAlign w:val="center"/>
          </w:tcPr>
          <w:p w14:paraId="0DD622B0">
            <w:pPr>
              <w:adjustRightInd w:val="0"/>
              <w:snapToGrid w:val="0"/>
              <w:spacing w:line="360" w:lineRule="auto"/>
              <w:jc w:val="center"/>
              <w:rPr>
                <w:rFonts w:ascii="宋体" w:hAnsi="宋体" w:cs="宋体"/>
                <w:color w:val="auto"/>
                <w:sz w:val="24"/>
              </w:rPr>
            </w:pPr>
            <w:r>
              <w:rPr>
                <w:rFonts w:hint="eastAsia" w:ascii="宋体" w:hAnsi="宋体" w:cs="宋体"/>
                <w:color w:val="auto"/>
                <w:sz w:val="24"/>
              </w:rPr>
              <w:t>恶意代码防范</w:t>
            </w:r>
          </w:p>
        </w:tc>
        <w:tc>
          <w:tcPr>
            <w:tcW w:w="6083" w:type="dxa"/>
          </w:tcPr>
          <w:p w14:paraId="3571B481">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   应采用免受恶意代码攻击的技术措施，或主动免疫可信验证机制及时识别入侵和病毒行为，并将其有效阻断。</w:t>
            </w:r>
          </w:p>
        </w:tc>
      </w:tr>
      <w:tr w14:paraId="1EEA1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02" w:type="dxa"/>
            <w:vMerge w:val="continue"/>
            <w:vAlign w:val="center"/>
          </w:tcPr>
          <w:p w14:paraId="343CA5A5">
            <w:pPr>
              <w:adjustRightInd w:val="0"/>
              <w:snapToGrid w:val="0"/>
              <w:spacing w:line="360" w:lineRule="auto"/>
              <w:ind w:firstLine="480" w:firstLineChars="200"/>
              <w:jc w:val="center"/>
              <w:rPr>
                <w:rFonts w:ascii="宋体" w:hAnsi="宋体" w:cs="宋体"/>
                <w:color w:val="auto"/>
                <w:sz w:val="24"/>
              </w:rPr>
            </w:pPr>
          </w:p>
        </w:tc>
        <w:tc>
          <w:tcPr>
            <w:tcW w:w="1917" w:type="dxa"/>
            <w:vAlign w:val="center"/>
          </w:tcPr>
          <w:p w14:paraId="17D2F0A8">
            <w:pPr>
              <w:adjustRightInd w:val="0"/>
              <w:snapToGrid w:val="0"/>
              <w:spacing w:line="360" w:lineRule="auto"/>
              <w:rPr>
                <w:rFonts w:ascii="宋体" w:hAnsi="宋体" w:cs="宋体"/>
                <w:color w:val="auto"/>
                <w:sz w:val="24"/>
              </w:rPr>
            </w:pPr>
            <w:r>
              <w:rPr>
                <w:rFonts w:hint="eastAsia" w:ascii="宋体" w:hAnsi="宋体" w:cs="宋体"/>
                <w:color w:val="auto"/>
                <w:sz w:val="24"/>
              </w:rPr>
              <w:t>可信验证</w:t>
            </w:r>
          </w:p>
        </w:tc>
        <w:tc>
          <w:tcPr>
            <w:tcW w:w="6083" w:type="dxa"/>
          </w:tcPr>
          <w:p w14:paraId="4AF902E6">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   可基于可信根对计算设备的系统引导程序、系统程序、重要配置参数和通信应用程序等进行可信验证，并在应用程序的关键执行环节进行动态可信验证，在检测到其可信性受到破坏后进行报警，并将验证结果形成审计记录送至安全管理中心。</w:t>
            </w:r>
          </w:p>
        </w:tc>
      </w:tr>
      <w:tr w14:paraId="5532D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02" w:type="dxa"/>
            <w:vMerge w:val="continue"/>
            <w:vAlign w:val="center"/>
          </w:tcPr>
          <w:p w14:paraId="59D3B2E1">
            <w:pPr>
              <w:adjustRightInd w:val="0"/>
              <w:snapToGrid w:val="0"/>
              <w:spacing w:line="360" w:lineRule="auto"/>
              <w:ind w:firstLine="480" w:firstLineChars="200"/>
              <w:jc w:val="center"/>
              <w:rPr>
                <w:rFonts w:ascii="宋体" w:hAnsi="宋体" w:cs="宋体"/>
                <w:color w:val="auto"/>
                <w:sz w:val="24"/>
              </w:rPr>
            </w:pPr>
          </w:p>
        </w:tc>
        <w:tc>
          <w:tcPr>
            <w:tcW w:w="1917" w:type="dxa"/>
            <w:vMerge w:val="restart"/>
            <w:vAlign w:val="center"/>
          </w:tcPr>
          <w:p w14:paraId="36EA5E7D">
            <w:pPr>
              <w:adjustRightInd w:val="0"/>
              <w:snapToGrid w:val="0"/>
              <w:spacing w:line="360" w:lineRule="auto"/>
              <w:rPr>
                <w:rFonts w:ascii="宋体" w:hAnsi="宋体" w:cs="宋体"/>
                <w:color w:val="auto"/>
                <w:sz w:val="24"/>
              </w:rPr>
            </w:pPr>
            <w:r>
              <w:rPr>
                <w:rFonts w:hint="eastAsia" w:ascii="宋体" w:hAnsi="宋体" w:cs="宋体"/>
                <w:color w:val="auto"/>
                <w:sz w:val="24"/>
              </w:rPr>
              <w:t>数据完整性</w:t>
            </w:r>
          </w:p>
        </w:tc>
        <w:tc>
          <w:tcPr>
            <w:tcW w:w="6083" w:type="dxa"/>
          </w:tcPr>
          <w:p w14:paraId="6A5CE2AC">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   应采用校验技术或密码技术保证重要数据在传输过程中的完整性，包括但不限于数据鉴别、重要业务数据、重要审计数据、重要配置数据、重要视频数据和重要个人信息等；</w:t>
            </w:r>
          </w:p>
        </w:tc>
      </w:tr>
      <w:tr w14:paraId="2C753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02" w:type="dxa"/>
            <w:vMerge w:val="continue"/>
            <w:vAlign w:val="center"/>
          </w:tcPr>
          <w:p w14:paraId="127D8F05">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55DA7762">
            <w:pPr>
              <w:adjustRightInd w:val="0"/>
              <w:snapToGrid w:val="0"/>
              <w:spacing w:line="360" w:lineRule="auto"/>
              <w:ind w:firstLine="480" w:firstLineChars="200"/>
              <w:jc w:val="center"/>
              <w:rPr>
                <w:rFonts w:ascii="宋体" w:hAnsi="宋体" w:cs="宋体"/>
                <w:color w:val="auto"/>
                <w:sz w:val="24"/>
              </w:rPr>
            </w:pPr>
          </w:p>
        </w:tc>
        <w:tc>
          <w:tcPr>
            <w:tcW w:w="6083" w:type="dxa"/>
          </w:tcPr>
          <w:p w14:paraId="513DA8B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   应采用校验技术或密码技术保证重要数据在存储过程中的完整性，包括但不限于数据鉴别、重要业务数据、重要审计数据、重要配置数据、重要视频数据和重要个人信息等。</w:t>
            </w:r>
          </w:p>
        </w:tc>
      </w:tr>
      <w:tr w14:paraId="7D34E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02" w:type="dxa"/>
            <w:vMerge w:val="continue"/>
            <w:vAlign w:val="center"/>
          </w:tcPr>
          <w:p w14:paraId="7BE821EA">
            <w:pPr>
              <w:adjustRightInd w:val="0"/>
              <w:snapToGrid w:val="0"/>
              <w:spacing w:line="360" w:lineRule="auto"/>
              <w:ind w:firstLine="480" w:firstLineChars="200"/>
              <w:jc w:val="center"/>
              <w:rPr>
                <w:rFonts w:ascii="宋体" w:hAnsi="宋体" w:cs="宋体"/>
                <w:color w:val="auto"/>
                <w:sz w:val="24"/>
              </w:rPr>
            </w:pPr>
          </w:p>
        </w:tc>
        <w:tc>
          <w:tcPr>
            <w:tcW w:w="1917" w:type="dxa"/>
            <w:vMerge w:val="restart"/>
            <w:vAlign w:val="center"/>
          </w:tcPr>
          <w:p w14:paraId="49D69B2B">
            <w:pPr>
              <w:adjustRightInd w:val="0"/>
              <w:snapToGrid w:val="0"/>
              <w:spacing w:line="360" w:lineRule="auto"/>
              <w:rPr>
                <w:rFonts w:ascii="宋体" w:hAnsi="宋体" w:cs="宋体"/>
                <w:color w:val="auto"/>
                <w:sz w:val="24"/>
              </w:rPr>
            </w:pPr>
            <w:r>
              <w:rPr>
                <w:rFonts w:hint="eastAsia" w:ascii="宋体" w:hAnsi="宋体" w:cs="宋体"/>
                <w:color w:val="auto"/>
                <w:sz w:val="24"/>
              </w:rPr>
              <w:t>数据保密性</w:t>
            </w:r>
          </w:p>
        </w:tc>
        <w:tc>
          <w:tcPr>
            <w:tcW w:w="6083" w:type="dxa"/>
          </w:tcPr>
          <w:p w14:paraId="1A79AF1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   应采用密码技术保证重要数据在传输过程中的保密性，包括但不限于数据鉴别、重要业务数据和重要个人信息等；</w:t>
            </w:r>
          </w:p>
        </w:tc>
      </w:tr>
      <w:tr w14:paraId="1CE83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02" w:type="dxa"/>
            <w:vMerge w:val="continue"/>
            <w:vAlign w:val="center"/>
          </w:tcPr>
          <w:p w14:paraId="0AE83324">
            <w:pPr>
              <w:adjustRightInd w:val="0"/>
              <w:snapToGrid w:val="0"/>
              <w:spacing w:line="360" w:lineRule="auto"/>
              <w:ind w:firstLine="480" w:firstLineChars="200"/>
              <w:jc w:val="center"/>
              <w:rPr>
                <w:rFonts w:ascii="宋体" w:hAnsi="宋体" w:cs="宋体"/>
                <w:color w:val="auto"/>
                <w:sz w:val="24"/>
              </w:rPr>
            </w:pPr>
          </w:p>
        </w:tc>
        <w:tc>
          <w:tcPr>
            <w:tcW w:w="1917" w:type="dxa"/>
            <w:vMerge w:val="continue"/>
            <w:vAlign w:val="center"/>
          </w:tcPr>
          <w:p w14:paraId="1D5AC8C5">
            <w:pPr>
              <w:adjustRightInd w:val="0"/>
              <w:snapToGrid w:val="0"/>
              <w:spacing w:line="360" w:lineRule="auto"/>
              <w:ind w:firstLine="480" w:firstLineChars="200"/>
              <w:jc w:val="center"/>
              <w:rPr>
                <w:rFonts w:ascii="宋体" w:hAnsi="宋体" w:cs="宋体"/>
                <w:color w:val="auto"/>
                <w:sz w:val="24"/>
              </w:rPr>
            </w:pPr>
          </w:p>
        </w:tc>
        <w:tc>
          <w:tcPr>
            <w:tcW w:w="6083" w:type="dxa"/>
          </w:tcPr>
          <w:p w14:paraId="09864FE6">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   应采用密码技术保证重要数据在存储过程中的保密性，包括但不限于数据鉴别、重要业务数据和重要个人信息等。</w:t>
            </w:r>
          </w:p>
        </w:tc>
      </w:tr>
      <w:tr w14:paraId="19BA7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4E138657">
            <w:pPr>
              <w:adjustRightInd w:val="0"/>
              <w:snapToGrid w:val="0"/>
              <w:spacing w:line="360" w:lineRule="auto"/>
              <w:ind w:firstLine="480" w:firstLineChars="200"/>
              <w:jc w:val="center"/>
              <w:rPr>
                <w:rFonts w:ascii="宋体" w:hAnsi="宋体" w:cs="宋体"/>
                <w:color w:val="auto"/>
                <w:sz w:val="24"/>
              </w:rPr>
            </w:pPr>
          </w:p>
        </w:tc>
        <w:tc>
          <w:tcPr>
            <w:tcW w:w="1917" w:type="dxa"/>
            <w:vMerge w:val="restart"/>
            <w:vAlign w:val="center"/>
          </w:tcPr>
          <w:p w14:paraId="7B251309">
            <w:pPr>
              <w:adjustRightInd w:val="0"/>
              <w:snapToGrid w:val="0"/>
              <w:spacing w:line="360" w:lineRule="auto"/>
              <w:rPr>
                <w:rFonts w:ascii="宋体" w:hAnsi="宋体" w:cs="宋体"/>
                <w:color w:val="auto"/>
                <w:sz w:val="24"/>
              </w:rPr>
            </w:pPr>
            <w:r>
              <w:rPr>
                <w:rFonts w:hint="eastAsia" w:ascii="宋体" w:hAnsi="宋体" w:cs="宋体"/>
                <w:color w:val="auto"/>
                <w:sz w:val="24"/>
              </w:rPr>
              <w:t>数据备份和恢复</w:t>
            </w:r>
          </w:p>
        </w:tc>
        <w:tc>
          <w:tcPr>
            <w:tcW w:w="6083" w:type="dxa"/>
          </w:tcPr>
          <w:p w14:paraId="72541F11">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   应提供重要数据的本地数据备份与恢复功能；</w:t>
            </w:r>
          </w:p>
        </w:tc>
      </w:tr>
      <w:tr w14:paraId="0D0E6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2754BC0C">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00710390">
            <w:pPr>
              <w:adjustRightInd w:val="0"/>
              <w:snapToGrid w:val="0"/>
              <w:spacing w:line="360" w:lineRule="auto"/>
              <w:ind w:firstLine="480" w:firstLineChars="200"/>
              <w:rPr>
                <w:rFonts w:ascii="宋体" w:hAnsi="宋体" w:cs="宋体"/>
                <w:color w:val="auto"/>
                <w:sz w:val="24"/>
              </w:rPr>
            </w:pPr>
          </w:p>
        </w:tc>
        <w:tc>
          <w:tcPr>
            <w:tcW w:w="6083" w:type="dxa"/>
          </w:tcPr>
          <w:p w14:paraId="4BB41105">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   应提供异地实时备份功能，利用通信网络将重要数据实时备份至备用场地；</w:t>
            </w:r>
          </w:p>
        </w:tc>
      </w:tr>
      <w:tr w14:paraId="167D5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41266236">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7C73E8CD">
            <w:pPr>
              <w:adjustRightInd w:val="0"/>
              <w:snapToGrid w:val="0"/>
              <w:spacing w:line="360" w:lineRule="auto"/>
              <w:ind w:firstLine="480" w:firstLineChars="200"/>
              <w:rPr>
                <w:rFonts w:ascii="宋体" w:hAnsi="宋体" w:cs="宋体"/>
                <w:color w:val="auto"/>
                <w:sz w:val="24"/>
              </w:rPr>
            </w:pPr>
          </w:p>
        </w:tc>
        <w:tc>
          <w:tcPr>
            <w:tcW w:w="6083" w:type="dxa"/>
          </w:tcPr>
          <w:p w14:paraId="403BDB1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   应提供重要数据处理系统的热冗余，保证系统的高可用性。</w:t>
            </w:r>
          </w:p>
        </w:tc>
      </w:tr>
      <w:tr w14:paraId="76B2D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43F8EF19">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1F7AA74A">
            <w:pPr>
              <w:adjustRightInd w:val="0"/>
              <w:snapToGrid w:val="0"/>
              <w:spacing w:line="360" w:lineRule="auto"/>
              <w:rPr>
                <w:rFonts w:ascii="宋体" w:hAnsi="宋体" w:cs="宋体"/>
                <w:color w:val="auto"/>
                <w:sz w:val="24"/>
              </w:rPr>
            </w:pPr>
            <w:r>
              <w:rPr>
                <w:rFonts w:hint="eastAsia" w:ascii="宋体" w:hAnsi="宋体" w:cs="宋体"/>
                <w:color w:val="auto"/>
                <w:sz w:val="24"/>
              </w:rPr>
              <w:t>剩余信息保护</w:t>
            </w:r>
          </w:p>
        </w:tc>
        <w:tc>
          <w:tcPr>
            <w:tcW w:w="6083" w:type="dxa"/>
          </w:tcPr>
          <w:p w14:paraId="672348D4">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a)应保证鉴别信息所在的存储空间被释放或重新分配前得到完全清除；</w:t>
            </w:r>
          </w:p>
        </w:tc>
      </w:tr>
      <w:tr w14:paraId="4344C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1CA5C8DC">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6943B5C9">
            <w:pPr>
              <w:adjustRightInd w:val="0"/>
              <w:snapToGrid w:val="0"/>
              <w:spacing w:line="360" w:lineRule="auto"/>
              <w:ind w:firstLine="480" w:firstLineChars="200"/>
              <w:rPr>
                <w:rFonts w:ascii="宋体" w:hAnsi="宋体" w:cs="宋体"/>
                <w:color w:val="auto"/>
                <w:sz w:val="24"/>
              </w:rPr>
            </w:pPr>
          </w:p>
        </w:tc>
        <w:tc>
          <w:tcPr>
            <w:tcW w:w="6083" w:type="dxa"/>
          </w:tcPr>
          <w:p w14:paraId="7B08911E">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b)应保证存有敏感数据的存储空间被释放或重新分配前得到完全清除。</w:t>
            </w:r>
          </w:p>
        </w:tc>
      </w:tr>
      <w:tr w14:paraId="768FC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1AE1DBD8">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31A05198">
            <w:pPr>
              <w:adjustRightInd w:val="0"/>
              <w:snapToGrid w:val="0"/>
              <w:spacing w:line="360" w:lineRule="auto"/>
              <w:rPr>
                <w:rFonts w:ascii="宋体" w:hAnsi="宋体" w:cs="宋体"/>
                <w:color w:val="auto"/>
                <w:sz w:val="24"/>
              </w:rPr>
            </w:pPr>
            <w:r>
              <w:rPr>
                <w:rFonts w:hint="eastAsia" w:ascii="宋体" w:hAnsi="宋体" w:cs="宋体"/>
                <w:color w:val="auto"/>
                <w:sz w:val="24"/>
              </w:rPr>
              <w:t>个人信息保护</w:t>
            </w:r>
          </w:p>
        </w:tc>
        <w:tc>
          <w:tcPr>
            <w:tcW w:w="6083" w:type="dxa"/>
          </w:tcPr>
          <w:p w14:paraId="5100A0E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   应仅采集和保存业务必需的用户个人信息；</w:t>
            </w:r>
          </w:p>
        </w:tc>
      </w:tr>
      <w:tr w14:paraId="47178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0A953264">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38ACC562">
            <w:pPr>
              <w:adjustRightInd w:val="0"/>
              <w:snapToGrid w:val="0"/>
              <w:spacing w:line="360" w:lineRule="auto"/>
              <w:ind w:firstLine="480" w:firstLineChars="200"/>
              <w:rPr>
                <w:rFonts w:ascii="宋体" w:hAnsi="宋体" w:cs="宋体"/>
                <w:color w:val="auto"/>
                <w:sz w:val="24"/>
              </w:rPr>
            </w:pPr>
          </w:p>
        </w:tc>
        <w:tc>
          <w:tcPr>
            <w:tcW w:w="6083" w:type="dxa"/>
          </w:tcPr>
          <w:p w14:paraId="38ED1BE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   应禁止未授权访问和非法使用用户个人信息。</w:t>
            </w:r>
          </w:p>
        </w:tc>
      </w:tr>
      <w:tr w14:paraId="26CA0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restart"/>
            <w:vAlign w:val="center"/>
          </w:tcPr>
          <w:p w14:paraId="76CDBBAC">
            <w:pPr>
              <w:adjustRightInd w:val="0"/>
              <w:snapToGrid w:val="0"/>
              <w:spacing w:line="360" w:lineRule="auto"/>
              <w:rPr>
                <w:rFonts w:ascii="宋体" w:hAnsi="宋体" w:cs="宋体"/>
                <w:color w:val="auto"/>
                <w:sz w:val="24"/>
              </w:rPr>
            </w:pPr>
            <w:r>
              <w:rPr>
                <w:rFonts w:hint="eastAsia" w:ascii="宋体" w:hAnsi="宋体" w:cs="宋体"/>
                <w:color w:val="auto"/>
                <w:sz w:val="24"/>
              </w:rPr>
              <w:t>安全管理中心</w:t>
            </w:r>
          </w:p>
        </w:tc>
        <w:tc>
          <w:tcPr>
            <w:tcW w:w="1917" w:type="dxa"/>
            <w:vMerge w:val="restart"/>
            <w:vAlign w:val="center"/>
          </w:tcPr>
          <w:p w14:paraId="19332074">
            <w:pPr>
              <w:adjustRightInd w:val="0"/>
              <w:snapToGrid w:val="0"/>
              <w:spacing w:line="360" w:lineRule="auto"/>
              <w:rPr>
                <w:rFonts w:ascii="宋体" w:hAnsi="宋体" w:cs="宋体"/>
                <w:color w:val="auto"/>
                <w:sz w:val="24"/>
              </w:rPr>
            </w:pPr>
            <w:r>
              <w:rPr>
                <w:rFonts w:hint="eastAsia" w:ascii="宋体" w:hAnsi="宋体" w:cs="宋体"/>
                <w:color w:val="auto"/>
                <w:sz w:val="24"/>
              </w:rPr>
              <w:t>系统管理</w:t>
            </w:r>
          </w:p>
        </w:tc>
        <w:tc>
          <w:tcPr>
            <w:tcW w:w="6083" w:type="dxa"/>
          </w:tcPr>
          <w:p w14:paraId="4D32E2D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a)应对系统管理员进行身份鉴别，只允许其通过特定的命令或操作界面进行系统管理操作，并对这些操作进行审计；</w:t>
            </w:r>
          </w:p>
        </w:tc>
      </w:tr>
      <w:tr w14:paraId="354DC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3F6525DC">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52FFBFC1">
            <w:pPr>
              <w:adjustRightInd w:val="0"/>
              <w:snapToGrid w:val="0"/>
              <w:spacing w:line="360" w:lineRule="auto"/>
              <w:ind w:firstLine="480" w:firstLineChars="200"/>
              <w:rPr>
                <w:rFonts w:ascii="宋体" w:hAnsi="宋体" w:cs="宋体"/>
                <w:color w:val="auto"/>
                <w:sz w:val="24"/>
              </w:rPr>
            </w:pPr>
          </w:p>
        </w:tc>
        <w:tc>
          <w:tcPr>
            <w:tcW w:w="6083" w:type="dxa"/>
          </w:tcPr>
          <w:p w14:paraId="32A952DE">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b）应通过系统管理员对系统的资源和运行进行配置、控制和管理，包括用户身份，系统资源配置、系统加载和启动、系统运行的异常处理、数据和设备的备份与恢复等。</w:t>
            </w:r>
          </w:p>
        </w:tc>
      </w:tr>
      <w:tr w14:paraId="319A5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2A3C7A63">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520A2634">
            <w:pPr>
              <w:adjustRightInd w:val="0"/>
              <w:snapToGrid w:val="0"/>
              <w:spacing w:line="360" w:lineRule="auto"/>
              <w:rPr>
                <w:rFonts w:ascii="宋体" w:hAnsi="宋体" w:cs="宋体"/>
                <w:color w:val="auto"/>
                <w:sz w:val="24"/>
              </w:rPr>
            </w:pPr>
            <w:r>
              <w:rPr>
                <w:rFonts w:hint="eastAsia" w:ascii="宋体" w:hAnsi="宋体" w:cs="宋体"/>
                <w:color w:val="auto"/>
                <w:sz w:val="24"/>
              </w:rPr>
              <w:t>审计管理</w:t>
            </w:r>
          </w:p>
        </w:tc>
        <w:tc>
          <w:tcPr>
            <w:tcW w:w="6083" w:type="dxa"/>
          </w:tcPr>
          <w:p w14:paraId="4A8A80E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 应对审计管理员进行身份鉴别，只允许其通过特定的命令或操作界面进行安全审计操作，并对这些操作进行审计；</w:t>
            </w:r>
          </w:p>
        </w:tc>
      </w:tr>
      <w:tr w14:paraId="58551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12F14EAD">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7266DD67">
            <w:pPr>
              <w:adjustRightInd w:val="0"/>
              <w:snapToGrid w:val="0"/>
              <w:spacing w:line="360" w:lineRule="auto"/>
              <w:ind w:firstLine="480" w:firstLineChars="200"/>
              <w:rPr>
                <w:rFonts w:ascii="宋体" w:hAnsi="宋体" w:cs="宋体"/>
                <w:color w:val="auto"/>
                <w:sz w:val="24"/>
              </w:rPr>
            </w:pPr>
          </w:p>
        </w:tc>
        <w:tc>
          <w:tcPr>
            <w:tcW w:w="6083" w:type="dxa"/>
          </w:tcPr>
          <w:p w14:paraId="420A3B9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b)应通过审计管理员对审计记录进行分析，并根据分析结果进行处理，包括根据安全审计策略对审计记录进行存储、管理和查询。</w:t>
            </w:r>
          </w:p>
        </w:tc>
      </w:tr>
      <w:tr w14:paraId="72DC4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5D61DDC0">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25CB83B9">
            <w:pPr>
              <w:adjustRightInd w:val="0"/>
              <w:snapToGrid w:val="0"/>
              <w:spacing w:line="360" w:lineRule="auto"/>
              <w:rPr>
                <w:rFonts w:ascii="宋体" w:hAnsi="宋体" w:cs="宋体"/>
                <w:color w:val="auto"/>
                <w:sz w:val="24"/>
              </w:rPr>
            </w:pPr>
            <w:r>
              <w:rPr>
                <w:rFonts w:hint="eastAsia" w:ascii="宋体" w:hAnsi="宋体" w:cs="宋体"/>
                <w:color w:val="auto"/>
                <w:sz w:val="24"/>
              </w:rPr>
              <w:t>安全管理</w:t>
            </w:r>
          </w:p>
        </w:tc>
        <w:tc>
          <w:tcPr>
            <w:tcW w:w="6083" w:type="dxa"/>
          </w:tcPr>
          <w:p w14:paraId="44BF052C">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 应对安全管理员进行身份鉴别，只允许通过特定的命令或操作界面进行安全管理操作，并对这些操作进行审计；</w:t>
            </w:r>
          </w:p>
        </w:tc>
      </w:tr>
      <w:tr w14:paraId="6C285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7F2BDE09">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69B16C3B">
            <w:pPr>
              <w:adjustRightInd w:val="0"/>
              <w:snapToGrid w:val="0"/>
              <w:spacing w:line="360" w:lineRule="auto"/>
              <w:ind w:firstLine="480" w:firstLineChars="200"/>
              <w:rPr>
                <w:rFonts w:ascii="宋体" w:hAnsi="宋体" w:cs="宋体"/>
                <w:color w:val="auto"/>
                <w:sz w:val="24"/>
              </w:rPr>
            </w:pPr>
          </w:p>
        </w:tc>
        <w:tc>
          <w:tcPr>
            <w:tcW w:w="6083" w:type="dxa"/>
          </w:tcPr>
          <w:p w14:paraId="00BD530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b)应通过安全管理员对系统中的安全策略进行配置，包括安全参数的设置，主体，客体进行统一安全标识，对主体进行授权，配置安全可信验证策略等。</w:t>
            </w:r>
          </w:p>
        </w:tc>
      </w:tr>
      <w:tr w14:paraId="7014F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22BA025D">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544351D5">
            <w:pPr>
              <w:adjustRightInd w:val="0"/>
              <w:snapToGrid w:val="0"/>
              <w:spacing w:line="360" w:lineRule="auto"/>
              <w:rPr>
                <w:rFonts w:ascii="宋体" w:hAnsi="宋体" w:cs="宋体"/>
                <w:color w:val="auto"/>
                <w:sz w:val="24"/>
              </w:rPr>
            </w:pPr>
            <w:r>
              <w:rPr>
                <w:rFonts w:hint="eastAsia" w:ascii="宋体" w:hAnsi="宋体" w:cs="宋体"/>
                <w:color w:val="auto"/>
                <w:sz w:val="24"/>
              </w:rPr>
              <w:t>集中管控</w:t>
            </w:r>
          </w:p>
        </w:tc>
        <w:tc>
          <w:tcPr>
            <w:tcW w:w="6083" w:type="dxa"/>
          </w:tcPr>
          <w:p w14:paraId="281BD5C6">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 应划分特定的管理区域，对分布在网络中的安全设备或安全组件进行管控；</w:t>
            </w:r>
          </w:p>
        </w:tc>
      </w:tr>
      <w:tr w14:paraId="05B1F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57294D5A">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41E03D6A">
            <w:pPr>
              <w:adjustRightInd w:val="0"/>
              <w:snapToGrid w:val="0"/>
              <w:spacing w:line="360" w:lineRule="auto"/>
              <w:ind w:firstLine="480" w:firstLineChars="200"/>
              <w:rPr>
                <w:rFonts w:ascii="宋体" w:hAnsi="宋体" w:cs="宋体"/>
                <w:color w:val="auto"/>
                <w:sz w:val="24"/>
              </w:rPr>
            </w:pPr>
          </w:p>
        </w:tc>
        <w:tc>
          <w:tcPr>
            <w:tcW w:w="6083" w:type="dxa"/>
          </w:tcPr>
          <w:p w14:paraId="306EA715">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b)应能够建立一条安全的信息传输路径，对网络中的安全设备或安全组件进行管理；</w:t>
            </w:r>
          </w:p>
        </w:tc>
      </w:tr>
      <w:tr w14:paraId="7CB75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3F30F5C7">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5E965DF2">
            <w:pPr>
              <w:adjustRightInd w:val="0"/>
              <w:snapToGrid w:val="0"/>
              <w:spacing w:line="360" w:lineRule="auto"/>
              <w:ind w:firstLine="480" w:firstLineChars="200"/>
              <w:rPr>
                <w:rFonts w:ascii="宋体" w:hAnsi="宋体" w:cs="宋体"/>
                <w:color w:val="auto"/>
                <w:sz w:val="24"/>
              </w:rPr>
            </w:pPr>
          </w:p>
        </w:tc>
        <w:tc>
          <w:tcPr>
            <w:tcW w:w="6083" w:type="dxa"/>
          </w:tcPr>
          <w:p w14:paraId="7705E02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c）应对网络链路、安全设备、网络设备和服务器等的运行状况进行集中监测；</w:t>
            </w:r>
          </w:p>
        </w:tc>
      </w:tr>
      <w:tr w14:paraId="77FBA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5E271313">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546E6835">
            <w:pPr>
              <w:adjustRightInd w:val="0"/>
              <w:snapToGrid w:val="0"/>
              <w:spacing w:line="360" w:lineRule="auto"/>
              <w:ind w:firstLine="480" w:firstLineChars="200"/>
              <w:rPr>
                <w:rFonts w:ascii="宋体" w:hAnsi="宋体" w:cs="宋体"/>
                <w:color w:val="auto"/>
                <w:sz w:val="24"/>
              </w:rPr>
            </w:pPr>
          </w:p>
        </w:tc>
        <w:tc>
          <w:tcPr>
            <w:tcW w:w="6083" w:type="dxa"/>
          </w:tcPr>
          <w:p w14:paraId="581AA96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d)应对分散在各个设备上的审计数据进行收集汇总和集中分析，并保证审计记录的留存时间符合法律法规要求；</w:t>
            </w:r>
          </w:p>
        </w:tc>
      </w:tr>
      <w:tr w14:paraId="1C1DB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4A4AB006">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5D08924F">
            <w:pPr>
              <w:adjustRightInd w:val="0"/>
              <w:snapToGrid w:val="0"/>
              <w:spacing w:line="360" w:lineRule="auto"/>
              <w:ind w:firstLine="480" w:firstLineChars="200"/>
              <w:rPr>
                <w:rFonts w:ascii="宋体" w:hAnsi="宋体" w:cs="宋体"/>
                <w:color w:val="auto"/>
                <w:sz w:val="24"/>
              </w:rPr>
            </w:pPr>
          </w:p>
        </w:tc>
        <w:tc>
          <w:tcPr>
            <w:tcW w:w="6083" w:type="dxa"/>
          </w:tcPr>
          <w:p w14:paraId="58ADB1D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e）应对安全策略、安全代码、补丁升级等安全事项进行集中管理；</w:t>
            </w:r>
          </w:p>
        </w:tc>
      </w:tr>
      <w:tr w14:paraId="6D08C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58F0A675">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42AB610B">
            <w:pPr>
              <w:adjustRightInd w:val="0"/>
              <w:snapToGrid w:val="0"/>
              <w:spacing w:line="360" w:lineRule="auto"/>
              <w:ind w:firstLine="480" w:firstLineChars="200"/>
              <w:rPr>
                <w:rFonts w:ascii="宋体" w:hAnsi="宋体" w:cs="宋体"/>
                <w:color w:val="auto"/>
                <w:sz w:val="24"/>
              </w:rPr>
            </w:pPr>
          </w:p>
        </w:tc>
        <w:tc>
          <w:tcPr>
            <w:tcW w:w="6083" w:type="dxa"/>
          </w:tcPr>
          <w:p w14:paraId="63C57E6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f）应能对网络中发生的各类安全事件进行识别报警和分析。</w:t>
            </w:r>
          </w:p>
        </w:tc>
      </w:tr>
      <w:tr w14:paraId="63847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02" w:type="dxa"/>
            <w:vMerge w:val="restart"/>
            <w:vAlign w:val="center"/>
          </w:tcPr>
          <w:p w14:paraId="79608B85">
            <w:pPr>
              <w:adjustRightInd w:val="0"/>
              <w:snapToGrid w:val="0"/>
              <w:spacing w:line="360" w:lineRule="auto"/>
              <w:rPr>
                <w:rFonts w:ascii="宋体" w:hAnsi="宋体" w:cs="宋体"/>
                <w:color w:val="auto"/>
                <w:sz w:val="24"/>
              </w:rPr>
            </w:pPr>
            <w:r>
              <w:rPr>
                <w:rFonts w:hint="eastAsia" w:ascii="宋体" w:hAnsi="宋体" w:cs="宋体"/>
                <w:color w:val="auto"/>
                <w:sz w:val="24"/>
              </w:rPr>
              <w:t>安全管理制度</w:t>
            </w:r>
          </w:p>
        </w:tc>
        <w:tc>
          <w:tcPr>
            <w:tcW w:w="1917" w:type="dxa"/>
            <w:vAlign w:val="center"/>
          </w:tcPr>
          <w:p w14:paraId="067EFC35">
            <w:pPr>
              <w:adjustRightInd w:val="0"/>
              <w:snapToGrid w:val="0"/>
              <w:spacing w:line="360" w:lineRule="auto"/>
              <w:rPr>
                <w:rFonts w:ascii="宋体" w:hAnsi="宋体" w:cs="宋体"/>
                <w:color w:val="auto"/>
                <w:sz w:val="24"/>
              </w:rPr>
            </w:pPr>
            <w:r>
              <w:rPr>
                <w:rFonts w:hint="eastAsia" w:ascii="宋体" w:hAnsi="宋体" w:cs="宋体"/>
                <w:color w:val="auto"/>
                <w:sz w:val="24"/>
              </w:rPr>
              <w:t>安全策略</w:t>
            </w:r>
          </w:p>
        </w:tc>
        <w:tc>
          <w:tcPr>
            <w:tcW w:w="6083" w:type="dxa"/>
          </w:tcPr>
          <w:p w14:paraId="104BFA21">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a）应制定网络安全工作的总体方针和安全策略，阐明机构安全工作的总体目标、范围、原则和安全框架等。</w:t>
            </w:r>
          </w:p>
        </w:tc>
      </w:tr>
      <w:tr w14:paraId="3C6E1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545957DA">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65BF4788">
            <w:pPr>
              <w:adjustRightInd w:val="0"/>
              <w:snapToGrid w:val="0"/>
              <w:spacing w:line="360" w:lineRule="auto"/>
              <w:rPr>
                <w:rFonts w:ascii="宋体" w:hAnsi="宋体" w:cs="宋体"/>
                <w:color w:val="auto"/>
                <w:sz w:val="24"/>
              </w:rPr>
            </w:pPr>
            <w:r>
              <w:rPr>
                <w:rFonts w:hint="eastAsia" w:ascii="宋体" w:hAnsi="宋体" w:cs="宋体"/>
                <w:color w:val="auto"/>
                <w:sz w:val="24"/>
              </w:rPr>
              <w:t>管理制度</w:t>
            </w:r>
          </w:p>
        </w:tc>
        <w:tc>
          <w:tcPr>
            <w:tcW w:w="6083" w:type="dxa"/>
          </w:tcPr>
          <w:p w14:paraId="0DA345B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a）应对安全管理活动中的各类管理内容建立安全管理制度;</w:t>
            </w:r>
          </w:p>
        </w:tc>
      </w:tr>
      <w:tr w14:paraId="773D4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61EE1338">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258782C1">
            <w:pPr>
              <w:adjustRightInd w:val="0"/>
              <w:snapToGrid w:val="0"/>
              <w:spacing w:line="360" w:lineRule="auto"/>
              <w:ind w:firstLine="480" w:firstLineChars="200"/>
              <w:rPr>
                <w:rFonts w:ascii="宋体" w:hAnsi="宋体" w:cs="宋体"/>
                <w:color w:val="auto"/>
                <w:sz w:val="24"/>
              </w:rPr>
            </w:pPr>
          </w:p>
        </w:tc>
        <w:tc>
          <w:tcPr>
            <w:tcW w:w="6083" w:type="dxa"/>
          </w:tcPr>
          <w:p w14:paraId="6DBFD3B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b）应对要求管理人员或操作人员执行的日常管理操作建立操作规程;</w:t>
            </w:r>
          </w:p>
        </w:tc>
      </w:tr>
      <w:tr w14:paraId="38BC5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17CBD78D">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42EC1245">
            <w:pPr>
              <w:adjustRightInd w:val="0"/>
              <w:snapToGrid w:val="0"/>
              <w:spacing w:line="360" w:lineRule="auto"/>
              <w:ind w:firstLine="480" w:firstLineChars="200"/>
              <w:rPr>
                <w:rFonts w:ascii="宋体" w:hAnsi="宋体" w:cs="宋体"/>
                <w:color w:val="auto"/>
                <w:sz w:val="24"/>
              </w:rPr>
            </w:pPr>
          </w:p>
        </w:tc>
        <w:tc>
          <w:tcPr>
            <w:tcW w:w="6083" w:type="dxa"/>
          </w:tcPr>
          <w:p w14:paraId="3F5FF04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c）应形成由安全策略，管理制度，操作规程，记录表单等构成安全管理制度体系。</w:t>
            </w:r>
          </w:p>
        </w:tc>
      </w:tr>
      <w:tr w14:paraId="6DAF4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5E71B2E0">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52446072">
            <w:pPr>
              <w:adjustRightInd w:val="0"/>
              <w:snapToGrid w:val="0"/>
              <w:spacing w:line="360" w:lineRule="auto"/>
              <w:rPr>
                <w:rFonts w:ascii="宋体" w:hAnsi="宋体" w:cs="宋体"/>
                <w:color w:val="auto"/>
                <w:sz w:val="24"/>
              </w:rPr>
            </w:pPr>
            <w:r>
              <w:rPr>
                <w:rFonts w:hint="eastAsia" w:ascii="宋体" w:hAnsi="宋体" w:cs="宋体"/>
                <w:color w:val="auto"/>
                <w:sz w:val="24"/>
              </w:rPr>
              <w:t>制定和发布</w:t>
            </w:r>
          </w:p>
        </w:tc>
        <w:tc>
          <w:tcPr>
            <w:tcW w:w="6083" w:type="dxa"/>
          </w:tcPr>
          <w:p w14:paraId="0F6A93CE">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a）应指定或授权专门的部门或人员负责安全管理制度的制定;</w:t>
            </w:r>
          </w:p>
        </w:tc>
      </w:tr>
      <w:tr w14:paraId="07E89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48E58B20">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25A06C0B">
            <w:pPr>
              <w:adjustRightInd w:val="0"/>
              <w:snapToGrid w:val="0"/>
              <w:spacing w:line="360" w:lineRule="auto"/>
              <w:ind w:firstLine="480" w:firstLineChars="200"/>
              <w:rPr>
                <w:rFonts w:ascii="宋体" w:hAnsi="宋体" w:cs="宋体"/>
                <w:color w:val="auto"/>
                <w:sz w:val="24"/>
              </w:rPr>
            </w:pPr>
          </w:p>
        </w:tc>
        <w:tc>
          <w:tcPr>
            <w:tcW w:w="6083" w:type="dxa"/>
          </w:tcPr>
          <w:p w14:paraId="7272B86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d）安全管理制度应通过正式、有效的方式发布，并进行版本控制.</w:t>
            </w:r>
          </w:p>
        </w:tc>
      </w:tr>
      <w:tr w14:paraId="27CE1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02" w:type="dxa"/>
            <w:vMerge w:val="continue"/>
            <w:vAlign w:val="center"/>
          </w:tcPr>
          <w:p w14:paraId="16CA345E">
            <w:pPr>
              <w:adjustRightInd w:val="0"/>
              <w:snapToGrid w:val="0"/>
              <w:spacing w:line="360" w:lineRule="auto"/>
              <w:ind w:firstLine="480" w:firstLineChars="200"/>
              <w:rPr>
                <w:rFonts w:ascii="宋体" w:hAnsi="宋体" w:cs="宋体"/>
                <w:color w:val="auto"/>
                <w:sz w:val="24"/>
              </w:rPr>
            </w:pPr>
          </w:p>
        </w:tc>
        <w:tc>
          <w:tcPr>
            <w:tcW w:w="1917" w:type="dxa"/>
            <w:vAlign w:val="center"/>
          </w:tcPr>
          <w:p w14:paraId="25C49CD9">
            <w:pPr>
              <w:adjustRightInd w:val="0"/>
              <w:snapToGrid w:val="0"/>
              <w:spacing w:line="360" w:lineRule="auto"/>
              <w:rPr>
                <w:rFonts w:ascii="宋体" w:hAnsi="宋体" w:cs="宋体"/>
                <w:color w:val="auto"/>
                <w:sz w:val="24"/>
              </w:rPr>
            </w:pPr>
            <w:r>
              <w:rPr>
                <w:rFonts w:hint="eastAsia" w:ascii="宋体" w:hAnsi="宋体" w:cs="宋体"/>
                <w:color w:val="auto"/>
                <w:sz w:val="24"/>
              </w:rPr>
              <w:t>评审和修订</w:t>
            </w:r>
          </w:p>
        </w:tc>
        <w:tc>
          <w:tcPr>
            <w:tcW w:w="6083" w:type="dxa"/>
          </w:tcPr>
          <w:p w14:paraId="6B3252FD">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a）应定期对安全管理制度的合理性和适用性进行论证和审定，对存在不足或需要改进的安全管理制度进行修订。</w:t>
            </w:r>
          </w:p>
        </w:tc>
      </w:tr>
      <w:tr w14:paraId="1BE1E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02" w:type="dxa"/>
            <w:vMerge w:val="restart"/>
            <w:vAlign w:val="center"/>
          </w:tcPr>
          <w:p w14:paraId="56147197">
            <w:pPr>
              <w:adjustRightInd w:val="0"/>
              <w:snapToGrid w:val="0"/>
              <w:spacing w:line="360" w:lineRule="auto"/>
              <w:rPr>
                <w:rFonts w:ascii="宋体" w:hAnsi="宋体" w:cs="宋体"/>
                <w:color w:val="auto"/>
                <w:sz w:val="24"/>
              </w:rPr>
            </w:pPr>
            <w:r>
              <w:rPr>
                <w:rFonts w:hint="eastAsia" w:ascii="宋体" w:hAnsi="宋体" w:cs="宋体"/>
                <w:color w:val="auto"/>
                <w:sz w:val="24"/>
              </w:rPr>
              <w:t>安全管理机构</w:t>
            </w:r>
          </w:p>
        </w:tc>
        <w:tc>
          <w:tcPr>
            <w:tcW w:w="1917" w:type="dxa"/>
            <w:vMerge w:val="restart"/>
            <w:vAlign w:val="center"/>
          </w:tcPr>
          <w:p w14:paraId="18F48974">
            <w:pPr>
              <w:adjustRightInd w:val="0"/>
              <w:snapToGrid w:val="0"/>
              <w:spacing w:line="360" w:lineRule="auto"/>
              <w:rPr>
                <w:rFonts w:ascii="宋体" w:hAnsi="宋体" w:cs="宋体"/>
                <w:color w:val="auto"/>
                <w:sz w:val="24"/>
              </w:rPr>
            </w:pPr>
            <w:r>
              <w:rPr>
                <w:rFonts w:hint="eastAsia" w:ascii="宋体" w:hAnsi="宋体" w:cs="宋体"/>
                <w:color w:val="auto"/>
                <w:sz w:val="24"/>
              </w:rPr>
              <w:t>岗位设置</w:t>
            </w:r>
          </w:p>
        </w:tc>
        <w:tc>
          <w:tcPr>
            <w:tcW w:w="6083" w:type="dxa"/>
          </w:tcPr>
          <w:p w14:paraId="2C49985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a）应成立指导和管理网络安全工作的委员会或领导小组，其最高领导由单位主管领导担任或授权 ；</w:t>
            </w:r>
          </w:p>
        </w:tc>
      </w:tr>
      <w:tr w14:paraId="0381A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02" w:type="dxa"/>
            <w:vMerge w:val="continue"/>
            <w:vAlign w:val="center"/>
          </w:tcPr>
          <w:p w14:paraId="4AF2A503">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408A55A8">
            <w:pPr>
              <w:adjustRightInd w:val="0"/>
              <w:snapToGrid w:val="0"/>
              <w:spacing w:line="360" w:lineRule="auto"/>
              <w:ind w:firstLine="480" w:firstLineChars="200"/>
              <w:rPr>
                <w:rFonts w:ascii="宋体" w:hAnsi="宋体" w:cs="宋体"/>
                <w:color w:val="auto"/>
                <w:sz w:val="24"/>
              </w:rPr>
            </w:pPr>
          </w:p>
        </w:tc>
        <w:tc>
          <w:tcPr>
            <w:tcW w:w="6083" w:type="dxa"/>
          </w:tcPr>
          <w:p w14:paraId="1FE485DD">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b）应设立网络安全管理工作的职能部门，设立安全主管、安全管理各个方面的负责人岗位，并定义各负责人的职责；</w:t>
            </w:r>
          </w:p>
        </w:tc>
      </w:tr>
      <w:tr w14:paraId="102E8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48A1574B">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504E9124">
            <w:pPr>
              <w:adjustRightInd w:val="0"/>
              <w:snapToGrid w:val="0"/>
              <w:spacing w:line="360" w:lineRule="auto"/>
              <w:ind w:firstLine="480" w:firstLineChars="200"/>
              <w:rPr>
                <w:rFonts w:ascii="宋体" w:hAnsi="宋体" w:cs="宋体"/>
                <w:color w:val="auto"/>
                <w:sz w:val="24"/>
              </w:rPr>
            </w:pPr>
          </w:p>
        </w:tc>
        <w:tc>
          <w:tcPr>
            <w:tcW w:w="6083" w:type="dxa"/>
          </w:tcPr>
          <w:p w14:paraId="6BA855B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c）应设立系统管理员、审计管理员、安全管理员等岗位，并定义部门及各个工作岗位的职责。</w:t>
            </w:r>
          </w:p>
        </w:tc>
      </w:tr>
      <w:tr w14:paraId="5AF22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31681F31">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08B66CDA">
            <w:pPr>
              <w:adjustRightInd w:val="0"/>
              <w:snapToGrid w:val="0"/>
              <w:spacing w:line="360" w:lineRule="auto"/>
              <w:rPr>
                <w:rFonts w:ascii="宋体" w:hAnsi="宋体" w:cs="宋体"/>
                <w:color w:val="auto"/>
                <w:sz w:val="24"/>
              </w:rPr>
            </w:pPr>
            <w:r>
              <w:rPr>
                <w:rFonts w:hint="eastAsia" w:ascii="宋体" w:hAnsi="宋体" w:cs="宋体"/>
                <w:color w:val="auto"/>
                <w:sz w:val="24"/>
              </w:rPr>
              <w:t>人员配备</w:t>
            </w:r>
          </w:p>
        </w:tc>
        <w:tc>
          <w:tcPr>
            <w:tcW w:w="6083" w:type="dxa"/>
          </w:tcPr>
          <w:p w14:paraId="6A8F726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a）应配备一定数量的系统管理员、审计管理员、安全管理员等；</w:t>
            </w:r>
          </w:p>
        </w:tc>
      </w:tr>
      <w:tr w14:paraId="53D1A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1737558F">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2AA63C07">
            <w:pPr>
              <w:adjustRightInd w:val="0"/>
              <w:snapToGrid w:val="0"/>
              <w:spacing w:line="360" w:lineRule="auto"/>
              <w:ind w:firstLine="480" w:firstLineChars="200"/>
              <w:rPr>
                <w:rFonts w:ascii="宋体" w:hAnsi="宋体" w:cs="宋体"/>
                <w:color w:val="auto"/>
                <w:sz w:val="24"/>
              </w:rPr>
            </w:pPr>
          </w:p>
        </w:tc>
        <w:tc>
          <w:tcPr>
            <w:tcW w:w="6083" w:type="dxa"/>
          </w:tcPr>
          <w:p w14:paraId="41C689F4">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b）应配备专职的安全管理员，不可兼任。</w:t>
            </w:r>
          </w:p>
        </w:tc>
      </w:tr>
      <w:tr w14:paraId="48134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23052971">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72510F60">
            <w:pPr>
              <w:adjustRightInd w:val="0"/>
              <w:snapToGrid w:val="0"/>
              <w:spacing w:line="360" w:lineRule="auto"/>
              <w:rPr>
                <w:rFonts w:ascii="宋体" w:hAnsi="宋体" w:cs="宋体"/>
                <w:color w:val="auto"/>
                <w:sz w:val="24"/>
              </w:rPr>
            </w:pPr>
            <w:r>
              <w:rPr>
                <w:rFonts w:hint="eastAsia" w:ascii="宋体" w:hAnsi="宋体" w:cs="宋体"/>
                <w:color w:val="auto"/>
                <w:sz w:val="24"/>
              </w:rPr>
              <w:t>授权和审批</w:t>
            </w:r>
          </w:p>
        </w:tc>
        <w:tc>
          <w:tcPr>
            <w:tcW w:w="6083" w:type="dxa"/>
          </w:tcPr>
          <w:p w14:paraId="1690524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a）应根据各个部门和岗位的职责明确授权审批事项、审批部门和批准人等；</w:t>
            </w:r>
          </w:p>
        </w:tc>
      </w:tr>
      <w:tr w14:paraId="5699E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02" w:type="dxa"/>
            <w:vMerge w:val="continue"/>
            <w:vAlign w:val="center"/>
          </w:tcPr>
          <w:p w14:paraId="2F058BD3">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61488451">
            <w:pPr>
              <w:adjustRightInd w:val="0"/>
              <w:snapToGrid w:val="0"/>
              <w:spacing w:line="360" w:lineRule="auto"/>
              <w:ind w:firstLine="480" w:firstLineChars="200"/>
              <w:rPr>
                <w:rFonts w:ascii="宋体" w:hAnsi="宋体" w:cs="宋体"/>
                <w:color w:val="auto"/>
                <w:sz w:val="24"/>
              </w:rPr>
            </w:pPr>
          </w:p>
        </w:tc>
        <w:tc>
          <w:tcPr>
            <w:tcW w:w="6083" w:type="dxa"/>
          </w:tcPr>
          <w:p w14:paraId="4BF1DFF1">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b）应针对系统变更、重要操作、物理访问和系统接入等事项建立审批程序，按照审批程序执行审批过程，对重要活动建立逐级审批制度；</w:t>
            </w:r>
          </w:p>
        </w:tc>
      </w:tr>
      <w:tr w14:paraId="0644D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31F56C92">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59182EB2">
            <w:pPr>
              <w:adjustRightInd w:val="0"/>
              <w:snapToGrid w:val="0"/>
              <w:spacing w:line="360" w:lineRule="auto"/>
              <w:ind w:firstLine="480" w:firstLineChars="200"/>
              <w:rPr>
                <w:rFonts w:ascii="宋体" w:hAnsi="宋体" w:cs="宋体"/>
                <w:color w:val="auto"/>
                <w:sz w:val="24"/>
              </w:rPr>
            </w:pPr>
          </w:p>
        </w:tc>
        <w:tc>
          <w:tcPr>
            <w:tcW w:w="6083" w:type="dxa"/>
          </w:tcPr>
          <w:p w14:paraId="68BDFCC6">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c）应定期审查审批事项，及时更新授权和审批的项目、审批部门和审批人等信息。</w:t>
            </w:r>
          </w:p>
        </w:tc>
      </w:tr>
      <w:tr w14:paraId="659E2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02" w:type="dxa"/>
            <w:vMerge w:val="continue"/>
            <w:vAlign w:val="center"/>
          </w:tcPr>
          <w:p w14:paraId="70CE59B0">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5AFD190A">
            <w:pPr>
              <w:adjustRightInd w:val="0"/>
              <w:snapToGrid w:val="0"/>
              <w:spacing w:line="360" w:lineRule="auto"/>
              <w:rPr>
                <w:rFonts w:ascii="宋体" w:hAnsi="宋体" w:cs="宋体"/>
                <w:color w:val="auto"/>
                <w:sz w:val="24"/>
              </w:rPr>
            </w:pPr>
            <w:r>
              <w:rPr>
                <w:rFonts w:hint="eastAsia" w:ascii="宋体" w:hAnsi="宋体" w:cs="宋体"/>
                <w:color w:val="auto"/>
                <w:sz w:val="24"/>
              </w:rPr>
              <w:t>沟通和合作</w:t>
            </w:r>
          </w:p>
        </w:tc>
        <w:tc>
          <w:tcPr>
            <w:tcW w:w="6083" w:type="dxa"/>
          </w:tcPr>
          <w:p w14:paraId="34C114E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a）应加强各类管理人员、组织内部机构和网络安全管理部门之间的合作与沟通，定期召开协调会议，共同协作处理网络安全问题。；</w:t>
            </w:r>
          </w:p>
        </w:tc>
      </w:tr>
      <w:tr w14:paraId="1370E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62812D7B">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7B7168B1">
            <w:pPr>
              <w:adjustRightInd w:val="0"/>
              <w:snapToGrid w:val="0"/>
              <w:spacing w:line="360" w:lineRule="auto"/>
              <w:ind w:firstLine="480" w:firstLineChars="200"/>
              <w:rPr>
                <w:rFonts w:ascii="宋体" w:hAnsi="宋体" w:cs="宋体"/>
                <w:color w:val="auto"/>
                <w:sz w:val="24"/>
              </w:rPr>
            </w:pPr>
          </w:p>
        </w:tc>
        <w:tc>
          <w:tcPr>
            <w:tcW w:w="6083" w:type="dxa"/>
          </w:tcPr>
          <w:p w14:paraId="746E98B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b）应加强与网络安全职能部门、各类供应商、业界专家及安全组织的合作与沟通；</w:t>
            </w:r>
          </w:p>
        </w:tc>
      </w:tr>
      <w:tr w14:paraId="2F186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4824BCEA">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0018BD63">
            <w:pPr>
              <w:adjustRightInd w:val="0"/>
              <w:snapToGrid w:val="0"/>
              <w:spacing w:line="360" w:lineRule="auto"/>
              <w:ind w:firstLine="480" w:firstLineChars="200"/>
              <w:rPr>
                <w:rFonts w:ascii="宋体" w:hAnsi="宋体" w:cs="宋体"/>
                <w:color w:val="auto"/>
                <w:sz w:val="24"/>
              </w:rPr>
            </w:pPr>
          </w:p>
        </w:tc>
        <w:tc>
          <w:tcPr>
            <w:tcW w:w="6083" w:type="dxa"/>
          </w:tcPr>
          <w:p w14:paraId="2276DB4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c）应建立外联单位联系列表，包括外联单位名称、合作内容、联系人和联系方式等信息。</w:t>
            </w:r>
          </w:p>
        </w:tc>
      </w:tr>
      <w:tr w14:paraId="0E73D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777DEDF9">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32BF9285">
            <w:pPr>
              <w:adjustRightInd w:val="0"/>
              <w:snapToGrid w:val="0"/>
              <w:spacing w:line="360" w:lineRule="auto"/>
              <w:rPr>
                <w:rFonts w:ascii="宋体" w:hAnsi="宋体" w:cs="宋体"/>
                <w:color w:val="auto"/>
                <w:sz w:val="24"/>
              </w:rPr>
            </w:pPr>
            <w:r>
              <w:rPr>
                <w:rFonts w:hint="eastAsia" w:ascii="宋体" w:hAnsi="宋体" w:cs="宋体"/>
                <w:color w:val="auto"/>
                <w:sz w:val="24"/>
              </w:rPr>
              <w:t>审核和检查</w:t>
            </w:r>
          </w:p>
        </w:tc>
        <w:tc>
          <w:tcPr>
            <w:tcW w:w="6083" w:type="dxa"/>
          </w:tcPr>
          <w:p w14:paraId="486C711C">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a）应定期进行常规安全检查，检查内容包括系统日常运行、系统漏洞和数据备份等情况；</w:t>
            </w:r>
          </w:p>
        </w:tc>
      </w:tr>
      <w:tr w14:paraId="1F9EC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02" w:type="dxa"/>
            <w:vMerge w:val="continue"/>
            <w:vAlign w:val="center"/>
          </w:tcPr>
          <w:p w14:paraId="4920E3B9">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0D37E402">
            <w:pPr>
              <w:adjustRightInd w:val="0"/>
              <w:snapToGrid w:val="0"/>
              <w:spacing w:line="360" w:lineRule="auto"/>
              <w:ind w:firstLine="480" w:firstLineChars="200"/>
              <w:rPr>
                <w:rFonts w:ascii="宋体" w:hAnsi="宋体" w:cs="宋体"/>
                <w:color w:val="auto"/>
                <w:sz w:val="24"/>
              </w:rPr>
            </w:pPr>
          </w:p>
        </w:tc>
        <w:tc>
          <w:tcPr>
            <w:tcW w:w="6083" w:type="dxa"/>
          </w:tcPr>
          <w:p w14:paraId="3CFB37D6">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b）应定期进行全面安全检查，检查内容包括现有安全技术措施的有效性、安全配置和安全策略的一致性，安全管理制度的执行情况等；</w:t>
            </w:r>
          </w:p>
        </w:tc>
      </w:tr>
      <w:tr w14:paraId="2FDD1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02" w:type="dxa"/>
            <w:vMerge w:val="continue"/>
            <w:vAlign w:val="center"/>
          </w:tcPr>
          <w:p w14:paraId="16C391B9">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58305912">
            <w:pPr>
              <w:adjustRightInd w:val="0"/>
              <w:snapToGrid w:val="0"/>
              <w:spacing w:line="360" w:lineRule="auto"/>
              <w:ind w:firstLine="480" w:firstLineChars="200"/>
              <w:rPr>
                <w:rFonts w:ascii="宋体" w:hAnsi="宋体" w:cs="宋体"/>
                <w:color w:val="auto"/>
                <w:sz w:val="24"/>
              </w:rPr>
            </w:pPr>
          </w:p>
        </w:tc>
        <w:tc>
          <w:tcPr>
            <w:tcW w:w="6083" w:type="dxa"/>
          </w:tcPr>
          <w:p w14:paraId="06513514">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c）应制定安全检查表格实施安全检查，汇总安全检查数据，形成安全检查报告，并对安全检查结果进行通报。</w:t>
            </w:r>
          </w:p>
        </w:tc>
      </w:tr>
      <w:tr w14:paraId="5EAE2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restart"/>
            <w:vAlign w:val="center"/>
          </w:tcPr>
          <w:p w14:paraId="5DDA16F7">
            <w:pPr>
              <w:adjustRightInd w:val="0"/>
              <w:snapToGrid w:val="0"/>
              <w:spacing w:line="360" w:lineRule="auto"/>
              <w:rPr>
                <w:rFonts w:ascii="宋体" w:hAnsi="宋体" w:cs="宋体"/>
                <w:color w:val="auto"/>
                <w:sz w:val="24"/>
              </w:rPr>
            </w:pPr>
            <w:r>
              <w:rPr>
                <w:rFonts w:hint="eastAsia" w:ascii="宋体" w:hAnsi="宋体" w:cs="宋体"/>
                <w:color w:val="auto"/>
                <w:sz w:val="24"/>
              </w:rPr>
              <w:t>安全管理人员</w:t>
            </w:r>
          </w:p>
        </w:tc>
        <w:tc>
          <w:tcPr>
            <w:tcW w:w="1917" w:type="dxa"/>
            <w:vMerge w:val="restart"/>
            <w:vAlign w:val="center"/>
          </w:tcPr>
          <w:p w14:paraId="2AD637F7">
            <w:pPr>
              <w:adjustRightInd w:val="0"/>
              <w:snapToGrid w:val="0"/>
              <w:spacing w:line="360" w:lineRule="auto"/>
              <w:rPr>
                <w:rFonts w:ascii="宋体" w:hAnsi="宋体" w:cs="宋体"/>
                <w:color w:val="auto"/>
                <w:sz w:val="24"/>
              </w:rPr>
            </w:pPr>
            <w:r>
              <w:rPr>
                <w:rFonts w:hint="eastAsia" w:ascii="宋体" w:hAnsi="宋体" w:cs="宋体"/>
                <w:color w:val="auto"/>
                <w:sz w:val="24"/>
              </w:rPr>
              <w:t>人员录用</w:t>
            </w:r>
          </w:p>
        </w:tc>
        <w:tc>
          <w:tcPr>
            <w:tcW w:w="6083" w:type="dxa"/>
          </w:tcPr>
          <w:p w14:paraId="4492BA2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a）应指定或授权专门的部门或人员负责人员录用;</w:t>
            </w:r>
          </w:p>
        </w:tc>
      </w:tr>
      <w:tr w14:paraId="40635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02" w:type="dxa"/>
            <w:vMerge w:val="continue"/>
            <w:vAlign w:val="center"/>
          </w:tcPr>
          <w:p w14:paraId="14C42438">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05979695">
            <w:pPr>
              <w:adjustRightInd w:val="0"/>
              <w:snapToGrid w:val="0"/>
              <w:spacing w:line="360" w:lineRule="auto"/>
              <w:ind w:firstLine="480" w:firstLineChars="200"/>
              <w:rPr>
                <w:rFonts w:ascii="宋体" w:hAnsi="宋体" w:cs="宋体"/>
                <w:color w:val="auto"/>
                <w:sz w:val="24"/>
              </w:rPr>
            </w:pPr>
          </w:p>
        </w:tc>
        <w:tc>
          <w:tcPr>
            <w:tcW w:w="6083" w:type="dxa"/>
          </w:tcPr>
          <w:p w14:paraId="7A6BE22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b）应对被录用人的身份、安全背景、专业资格或资质等进行审查，对其所有的技术技能进行考核；</w:t>
            </w:r>
          </w:p>
        </w:tc>
      </w:tr>
      <w:tr w14:paraId="13F4F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3BAD5387">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22762A9D">
            <w:pPr>
              <w:adjustRightInd w:val="0"/>
              <w:snapToGrid w:val="0"/>
              <w:spacing w:line="360" w:lineRule="auto"/>
              <w:ind w:firstLine="480" w:firstLineChars="200"/>
              <w:rPr>
                <w:rFonts w:ascii="宋体" w:hAnsi="宋体" w:cs="宋体"/>
                <w:color w:val="auto"/>
                <w:sz w:val="24"/>
              </w:rPr>
            </w:pPr>
          </w:p>
        </w:tc>
        <w:tc>
          <w:tcPr>
            <w:tcW w:w="6083" w:type="dxa"/>
          </w:tcPr>
          <w:p w14:paraId="5D6CB43C">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c）应与被录用人员签署保密协议，与关键岗位人员签署岗位责任协议。</w:t>
            </w:r>
          </w:p>
        </w:tc>
      </w:tr>
      <w:tr w14:paraId="0899E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02" w:type="dxa"/>
            <w:vMerge w:val="continue"/>
            <w:vAlign w:val="center"/>
          </w:tcPr>
          <w:p w14:paraId="36B5435D">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4927C101">
            <w:pPr>
              <w:adjustRightInd w:val="0"/>
              <w:snapToGrid w:val="0"/>
              <w:spacing w:line="360" w:lineRule="auto"/>
              <w:rPr>
                <w:rFonts w:ascii="宋体" w:hAnsi="宋体" w:cs="宋体"/>
                <w:color w:val="auto"/>
                <w:sz w:val="24"/>
              </w:rPr>
            </w:pPr>
            <w:r>
              <w:rPr>
                <w:rFonts w:hint="eastAsia" w:ascii="宋体" w:hAnsi="宋体" w:cs="宋体"/>
                <w:color w:val="auto"/>
                <w:sz w:val="24"/>
              </w:rPr>
              <w:t>人员离岗</w:t>
            </w:r>
          </w:p>
        </w:tc>
        <w:tc>
          <w:tcPr>
            <w:tcW w:w="6083" w:type="dxa"/>
          </w:tcPr>
          <w:p w14:paraId="0133F4F5">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a）应及时终止离岗人员的所有访问权限，取回各种身份证件、钥匙、徽章等以及机构提供的软硬件设备；</w:t>
            </w:r>
          </w:p>
        </w:tc>
      </w:tr>
      <w:tr w14:paraId="1074E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60624FF4">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1A9E4C68">
            <w:pPr>
              <w:adjustRightInd w:val="0"/>
              <w:snapToGrid w:val="0"/>
              <w:spacing w:line="360" w:lineRule="auto"/>
              <w:ind w:firstLine="480" w:firstLineChars="200"/>
              <w:rPr>
                <w:rFonts w:ascii="宋体" w:hAnsi="宋体" w:cs="宋体"/>
                <w:color w:val="auto"/>
                <w:sz w:val="24"/>
              </w:rPr>
            </w:pPr>
          </w:p>
        </w:tc>
        <w:tc>
          <w:tcPr>
            <w:tcW w:w="6083" w:type="dxa"/>
          </w:tcPr>
          <w:p w14:paraId="549B0FD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b）应办理严格的调离手续，并承诺调离后的保密义务方可离开。</w:t>
            </w:r>
          </w:p>
        </w:tc>
      </w:tr>
      <w:tr w14:paraId="52086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634C1B88">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5024384C">
            <w:pPr>
              <w:adjustRightInd w:val="0"/>
              <w:snapToGrid w:val="0"/>
              <w:spacing w:line="360" w:lineRule="auto"/>
              <w:rPr>
                <w:rFonts w:ascii="宋体" w:hAnsi="宋体" w:cs="宋体"/>
                <w:color w:val="auto"/>
                <w:sz w:val="24"/>
              </w:rPr>
            </w:pPr>
            <w:r>
              <w:rPr>
                <w:rFonts w:hint="eastAsia" w:ascii="宋体" w:hAnsi="宋体" w:cs="宋体"/>
                <w:color w:val="auto"/>
                <w:sz w:val="24"/>
              </w:rPr>
              <w:t>安全意识教育和培训</w:t>
            </w:r>
          </w:p>
        </w:tc>
        <w:tc>
          <w:tcPr>
            <w:tcW w:w="6083" w:type="dxa"/>
          </w:tcPr>
          <w:p w14:paraId="783E6DD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a）应对各类人员进行安全意识教育和岗位技能培训，并告知相关的安全责任和惩戒措施；</w:t>
            </w:r>
          </w:p>
        </w:tc>
      </w:tr>
      <w:tr w14:paraId="1C0C9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21087F6B">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5C8206FD">
            <w:pPr>
              <w:adjustRightInd w:val="0"/>
              <w:snapToGrid w:val="0"/>
              <w:spacing w:line="360" w:lineRule="auto"/>
              <w:ind w:firstLine="480" w:firstLineChars="200"/>
              <w:rPr>
                <w:rFonts w:ascii="宋体" w:hAnsi="宋体" w:cs="宋体"/>
                <w:color w:val="auto"/>
                <w:sz w:val="24"/>
              </w:rPr>
            </w:pPr>
          </w:p>
        </w:tc>
        <w:tc>
          <w:tcPr>
            <w:tcW w:w="6083" w:type="dxa"/>
          </w:tcPr>
          <w:p w14:paraId="5A9F0E0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b）应针对不同岗位制定不同的培训计划，对安全基础知识，岗位操作规程等进行培训；</w:t>
            </w:r>
          </w:p>
        </w:tc>
      </w:tr>
      <w:tr w14:paraId="7072B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1BFF4E12">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11C90DD2">
            <w:pPr>
              <w:adjustRightInd w:val="0"/>
              <w:snapToGrid w:val="0"/>
              <w:spacing w:line="360" w:lineRule="auto"/>
              <w:ind w:firstLine="480" w:firstLineChars="200"/>
              <w:rPr>
                <w:rFonts w:ascii="宋体" w:hAnsi="宋体" w:cs="宋体"/>
                <w:color w:val="auto"/>
                <w:sz w:val="24"/>
              </w:rPr>
            </w:pPr>
          </w:p>
        </w:tc>
        <w:tc>
          <w:tcPr>
            <w:tcW w:w="6083" w:type="dxa"/>
          </w:tcPr>
          <w:p w14:paraId="0A85E0A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c）应定期对不同岗位的人员进行技能考核。</w:t>
            </w:r>
          </w:p>
        </w:tc>
      </w:tr>
      <w:tr w14:paraId="592A0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30D1CBAB">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45226DB6">
            <w:pPr>
              <w:adjustRightInd w:val="0"/>
              <w:snapToGrid w:val="0"/>
              <w:spacing w:line="360" w:lineRule="auto"/>
              <w:rPr>
                <w:rFonts w:ascii="宋体" w:hAnsi="宋体" w:cs="宋体"/>
                <w:color w:val="auto"/>
                <w:sz w:val="24"/>
              </w:rPr>
            </w:pPr>
            <w:r>
              <w:rPr>
                <w:rFonts w:hint="eastAsia" w:ascii="宋体" w:hAnsi="宋体" w:cs="宋体"/>
                <w:color w:val="auto"/>
                <w:sz w:val="24"/>
              </w:rPr>
              <w:t>外部人员访问</w:t>
            </w:r>
            <w:r>
              <w:rPr>
                <w:rFonts w:hint="eastAsia" w:ascii="宋体" w:hAnsi="宋体" w:cs="宋体"/>
                <w:color w:val="auto"/>
                <w:sz w:val="24"/>
              </w:rPr>
              <w:br w:type="textWrapping"/>
            </w:r>
            <w:r>
              <w:rPr>
                <w:rFonts w:hint="eastAsia" w:ascii="宋体" w:hAnsi="宋体" w:cs="宋体"/>
                <w:color w:val="auto"/>
                <w:sz w:val="24"/>
              </w:rPr>
              <w:t>管理</w:t>
            </w:r>
          </w:p>
        </w:tc>
        <w:tc>
          <w:tcPr>
            <w:tcW w:w="6083" w:type="dxa"/>
          </w:tcPr>
          <w:p w14:paraId="7BB9CBF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a）应在外部人员物理访问受控区域前先提出书面申请，批准后由专人全程陪同，并登记备案；</w:t>
            </w:r>
          </w:p>
        </w:tc>
      </w:tr>
      <w:tr w14:paraId="5BA02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02" w:type="dxa"/>
            <w:vMerge w:val="continue"/>
            <w:vAlign w:val="center"/>
          </w:tcPr>
          <w:p w14:paraId="0FAB2E02">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0F55EC5C">
            <w:pPr>
              <w:adjustRightInd w:val="0"/>
              <w:snapToGrid w:val="0"/>
              <w:spacing w:line="360" w:lineRule="auto"/>
              <w:ind w:firstLine="480" w:firstLineChars="200"/>
              <w:rPr>
                <w:rFonts w:ascii="宋体" w:hAnsi="宋体" w:cs="宋体"/>
                <w:color w:val="auto"/>
                <w:sz w:val="24"/>
              </w:rPr>
            </w:pPr>
          </w:p>
        </w:tc>
        <w:tc>
          <w:tcPr>
            <w:tcW w:w="6083" w:type="dxa"/>
          </w:tcPr>
          <w:p w14:paraId="0EAFA79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b）应在外部人员接入受控网络访问系统前先提出书面申请，批准后由专人开设账户，分配权限，并登记备案；</w:t>
            </w:r>
          </w:p>
        </w:tc>
      </w:tr>
      <w:tr w14:paraId="50A92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2AAE69CD">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0ECCC621">
            <w:pPr>
              <w:adjustRightInd w:val="0"/>
              <w:snapToGrid w:val="0"/>
              <w:spacing w:line="360" w:lineRule="auto"/>
              <w:ind w:firstLine="480" w:firstLineChars="200"/>
              <w:rPr>
                <w:rFonts w:ascii="宋体" w:hAnsi="宋体" w:cs="宋体"/>
                <w:color w:val="auto"/>
                <w:sz w:val="24"/>
              </w:rPr>
            </w:pPr>
          </w:p>
        </w:tc>
        <w:tc>
          <w:tcPr>
            <w:tcW w:w="6083" w:type="dxa"/>
          </w:tcPr>
          <w:p w14:paraId="17D2EAB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 外部人员离场后应及时清除其所有的访问权限；</w:t>
            </w:r>
          </w:p>
        </w:tc>
      </w:tr>
      <w:tr w14:paraId="6DB10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02" w:type="dxa"/>
            <w:vMerge w:val="continue"/>
            <w:vAlign w:val="center"/>
          </w:tcPr>
          <w:p w14:paraId="33E7CEB1">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4F080EEA">
            <w:pPr>
              <w:adjustRightInd w:val="0"/>
              <w:snapToGrid w:val="0"/>
              <w:spacing w:line="360" w:lineRule="auto"/>
              <w:ind w:firstLine="480" w:firstLineChars="200"/>
              <w:rPr>
                <w:rFonts w:ascii="宋体" w:hAnsi="宋体" w:cs="宋体"/>
                <w:color w:val="auto"/>
                <w:sz w:val="24"/>
              </w:rPr>
            </w:pPr>
          </w:p>
        </w:tc>
        <w:tc>
          <w:tcPr>
            <w:tcW w:w="6083" w:type="dxa"/>
          </w:tcPr>
          <w:p w14:paraId="7004643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d）获得系统访问授权的外部人员签署保密协议，不得进行非授权操作，不得复制和泄露敏感信息。</w:t>
            </w:r>
          </w:p>
        </w:tc>
      </w:tr>
      <w:tr w14:paraId="48E1F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restart"/>
            <w:vAlign w:val="center"/>
          </w:tcPr>
          <w:p w14:paraId="62AEC0C5">
            <w:pPr>
              <w:adjustRightInd w:val="0"/>
              <w:snapToGrid w:val="0"/>
              <w:spacing w:line="360" w:lineRule="auto"/>
              <w:rPr>
                <w:rFonts w:ascii="宋体" w:hAnsi="宋体" w:cs="宋体"/>
                <w:color w:val="auto"/>
                <w:sz w:val="24"/>
              </w:rPr>
            </w:pPr>
            <w:r>
              <w:rPr>
                <w:rFonts w:hint="eastAsia" w:ascii="宋体" w:hAnsi="宋体" w:cs="宋体"/>
                <w:color w:val="auto"/>
                <w:sz w:val="24"/>
              </w:rPr>
              <w:t>安全建设管理</w:t>
            </w:r>
          </w:p>
        </w:tc>
        <w:tc>
          <w:tcPr>
            <w:tcW w:w="1917" w:type="dxa"/>
            <w:vMerge w:val="restart"/>
            <w:vAlign w:val="center"/>
          </w:tcPr>
          <w:p w14:paraId="31CA9597">
            <w:pPr>
              <w:adjustRightInd w:val="0"/>
              <w:snapToGrid w:val="0"/>
              <w:spacing w:line="360" w:lineRule="auto"/>
              <w:rPr>
                <w:rFonts w:ascii="宋体" w:hAnsi="宋体" w:cs="宋体"/>
                <w:color w:val="auto"/>
                <w:sz w:val="24"/>
              </w:rPr>
            </w:pPr>
            <w:r>
              <w:rPr>
                <w:rFonts w:hint="eastAsia" w:ascii="宋体" w:hAnsi="宋体" w:cs="宋体"/>
                <w:color w:val="auto"/>
                <w:sz w:val="24"/>
              </w:rPr>
              <w:t>定级和备案</w:t>
            </w:r>
          </w:p>
        </w:tc>
        <w:tc>
          <w:tcPr>
            <w:tcW w:w="6083" w:type="dxa"/>
          </w:tcPr>
          <w:p w14:paraId="6DE63C2C">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a）应以书面的形式说明保护对象的安全保护等级及确定安全保护等级的方法和理由；</w:t>
            </w:r>
          </w:p>
        </w:tc>
      </w:tr>
      <w:tr w14:paraId="1FA3C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6BA68405">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1EF682AB">
            <w:pPr>
              <w:adjustRightInd w:val="0"/>
              <w:snapToGrid w:val="0"/>
              <w:spacing w:line="360" w:lineRule="auto"/>
              <w:ind w:firstLine="480" w:firstLineChars="200"/>
              <w:rPr>
                <w:rFonts w:ascii="宋体" w:hAnsi="宋体" w:cs="宋体"/>
                <w:color w:val="auto"/>
                <w:sz w:val="24"/>
              </w:rPr>
            </w:pPr>
          </w:p>
        </w:tc>
        <w:tc>
          <w:tcPr>
            <w:tcW w:w="6083" w:type="dxa"/>
          </w:tcPr>
          <w:p w14:paraId="208F9E6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b）应组织相关部门和有关安全技术专家对定级结果的合理性和正确性进行论证和审定；</w:t>
            </w:r>
          </w:p>
        </w:tc>
      </w:tr>
      <w:tr w14:paraId="3FD0F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31950F78">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0F06D285">
            <w:pPr>
              <w:adjustRightInd w:val="0"/>
              <w:snapToGrid w:val="0"/>
              <w:spacing w:line="360" w:lineRule="auto"/>
              <w:ind w:firstLine="480" w:firstLineChars="200"/>
              <w:rPr>
                <w:rFonts w:ascii="宋体" w:hAnsi="宋体" w:cs="宋体"/>
                <w:color w:val="auto"/>
                <w:sz w:val="24"/>
              </w:rPr>
            </w:pPr>
          </w:p>
        </w:tc>
        <w:tc>
          <w:tcPr>
            <w:tcW w:w="6083" w:type="dxa"/>
          </w:tcPr>
          <w:p w14:paraId="2E81890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c）应保证定级结果经过相关部门的批准；</w:t>
            </w:r>
          </w:p>
        </w:tc>
      </w:tr>
      <w:tr w14:paraId="73B3D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53448920">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24A290FC">
            <w:pPr>
              <w:adjustRightInd w:val="0"/>
              <w:snapToGrid w:val="0"/>
              <w:spacing w:line="360" w:lineRule="auto"/>
              <w:ind w:firstLine="480" w:firstLineChars="200"/>
              <w:rPr>
                <w:rFonts w:ascii="宋体" w:hAnsi="宋体" w:cs="宋体"/>
                <w:color w:val="auto"/>
                <w:sz w:val="24"/>
              </w:rPr>
            </w:pPr>
          </w:p>
        </w:tc>
        <w:tc>
          <w:tcPr>
            <w:tcW w:w="6083" w:type="dxa"/>
          </w:tcPr>
          <w:p w14:paraId="5713EF38">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d)应将备案材料报主管部门和相应公安机关备案</w:t>
            </w:r>
          </w:p>
        </w:tc>
      </w:tr>
      <w:tr w14:paraId="30FAA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7D16286B">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2CF31FBE">
            <w:pPr>
              <w:adjustRightInd w:val="0"/>
              <w:snapToGrid w:val="0"/>
              <w:spacing w:line="360" w:lineRule="auto"/>
              <w:rPr>
                <w:rFonts w:ascii="宋体" w:hAnsi="宋体" w:cs="宋体"/>
                <w:color w:val="auto"/>
                <w:sz w:val="24"/>
              </w:rPr>
            </w:pPr>
            <w:r>
              <w:rPr>
                <w:rFonts w:hint="eastAsia" w:ascii="宋体" w:hAnsi="宋体" w:cs="宋体"/>
                <w:color w:val="auto"/>
                <w:sz w:val="24"/>
              </w:rPr>
              <w:t>安全方案设计</w:t>
            </w:r>
          </w:p>
        </w:tc>
        <w:tc>
          <w:tcPr>
            <w:tcW w:w="6083" w:type="dxa"/>
          </w:tcPr>
          <w:p w14:paraId="321954C1">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a）应根据安全保护等级选择基本安全措施，依据风险分析的结果补充和调整安全措施；</w:t>
            </w:r>
          </w:p>
        </w:tc>
      </w:tr>
      <w:tr w14:paraId="407FA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02" w:type="dxa"/>
            <w:vMerge w:val="continue"/>
            <w:vAlign w:val="center"/>
          </w:tcPr>
          <w:p w14:paraId="1BCA0A64">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75824E53">
            <w:pPr>
              <w:adjustRightInd w:val="0"/>
              <w:snapToGrid w:val="0"/>
              <w:spacing w:line="360" w:lineRule="auto"/>
              <w:ind w:firstLine="480" w:firstLineChars="200"/>
              <w:rPr>
                <w:rFonts w:ascii="宋体" w:hAnsi="宋体" w:cs="宋体"/>
                <w:color w:val="auto"/>
                <w:sz w:val="24"/>
              </w:rPr>
            </w:pPr>
          </w:p>
        </w:tc>
        <w:tc>
          <w:tcPr>
            <w:tcW w:w="6083" w:type="dxa"/>
          </w:tcPr>
          <w:p w14:paraId="726C537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b）应根据保护对象的安全保护等级及与其他级别对象的关系进行安全整体规划和安全方案设计，设计内容应包含密码技术相关内容、并形成配套文件；</w:t>
            </w:r>
          </w:p>
        </w:tc>
      </w:tr>
      <w:tr w14:paraId="0C22C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02" w:type="dxa"/>
            <w:vMerge w:val="continue"/>
            <w:vAlign w:val="center"/>
          </w:tcPr>
          <w:p w14:paraId="10F7764B">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63C0DF29">
            <w:pPr>
              <w:adjustRightInd w:val="0"/>
              <w:snapToGrid w:val="0"/>
              <w:spacing w:line="360" w:lineRule="auto"/>
              <w:ind w:firstLine="480" w:firstLineChars="200"/>
              <w:rPr>
                <w:rFonts w:ascii="宋体" w:hAnsi="宋体" w:cs="宋体"/>
                <w:color w:val="auto"/>
                <w:sz w:val="24"/>
              </w:rPr>
            </w:pPr>
          </w:p>
        </w:tc>
        <w:tc>
          <w:tcPr>
            <w:tcW w:w="6083" w:type="dxa"/>
          </w:tcPr>
          <w:p w14:paraId="0D237CE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c）应组织相关部门和有关安全技术专家对整体安全规划及其配套文件的合理性和正确性进行论证和审定，经过批准后才能正式实施。</w:t>
            </w:r>
          </w:p>
        </w:tc>
      </w:tr>
      <w:tr w14:paraId="4EEBC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02CF52CE">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4C62C9E2">
            <w:pPr>
              <w:adjustRightInd w:val="0"/>
              <w:snapToGrid w:val="0"/>
              <w:spacing w:line="360" w:lineRule="auto"/>
              <w:rPr>
                <w:rFonts w:ascii="宋体" w:hAnsi="宋体" w:cs="宋体"/>
                <w:color w:val="auto"/>
                <w:sz w:val="24"/>
              </w:rPr>
            </w:pPr>
            <w:r>
              <w:rPr>
                <w:rFonts w:hint="eastAsia" w:ascii="宋体" w:hAnsi="宋体" w:cs="宋体"/>
                <w:color w:val="auto"/>
                <w:sz w:val="24"/>
              </w:rPr>
              <w:t>产品采购和使用</w:t>
            </w:r>
          </w:p>
        </w:tc>
        <w:tc>
          <w:tcPr>
            <w:tcW w:w="6083" w:type="dxa"/>
          </w:tcPr>
          <w:p w14:paraId="220C36A6">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a）应确保网络安全产品采购和使用符合国家的有关规定；</w:t>
            </w:r>
          </w:p>
        </w:tc>
      </w:tr>
      <w:tr w14:paraId="7FEC7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79ABD6D2">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4EA770C7">
            <w:pPr>
              <w:adjustRightInd w:val="0"/>
              <w:snapToGrid w:val="0"/>
              <w:spacing w:line="360" w:lineRule="auto"/>
              <w:ind w:firstLine="480" w:firstLineChars="200"/>
              <w:rPr>
                <w:rFonts w:ascii="宋体" w:hAnsi="宋体" w:cs="宋体"/>
                <w:color w:val="auto"/>
                <w:sz w:val="24"/>
              </w:rPr>
            </w:pPr>
          </w:p>
        </w:tc>
        <w:tc>
          <w:tcPr>
            <w:tcW w:w="6083" w:type="dxa"/>
          </w:tcPr>
          <w:p w14:paraId="569B4D35">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b）应确保密码产品与服务的采购和使用符合国家密码管理主管部门的要求；</w:t>
            </w:r>
          </w:p>
        </w:tc>
      </w:tr>
      <w:tr w14:paraId="25407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7D2A2179">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47B246E0">
            <w:pPr>
              <w:adjustRightInd w:val="0"/>
              <w:snapToGrid w:val="0"/>
              <w:spacing w:line="360" w:lineRule="auto"/>
              <w:ind w:firstLine="480" w:firstLineChars="200"/>
              <w:rPr>
                <w:rFonts w:ascii="宋体" w:hAnsi="宋体" w:cs="宋体"/>
                <w:color w:val="auto"/>
                <w:sz w:val="24"/>
              </w:rPr>
            </w:pPr>
          </w:p>
        </w:tc>
        <w:tc>
          <w:tcPr>
            <w:tcW w:w="6083" w:type="dxa"/>
          </w:tcPr>
          <w:p w14:paraId="4150DCE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c)应预先对产品进行选型测试，确定产品的候选范围，并定期审定和更新产品候选名单。</w:t>
            </w:r>
          </w:p>
        </w:tc>
      </w:tr>
      <w:tr w14:paraId="5AB37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48E15005">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66EC2DED">
            <w:pPr>
              <w:adjustRightInd w:val="0"/>
              <w:snapToGrid w:val="0"/>
              <w:spacing w:line="360" w:lineRule="auto"/>
              <w:rPr>
                <w:rFonts w:ascii="宋体" w:hAnsi="宋体" w:cs="宋体"/>
                <w:color w:val="auto"/>
                <w:sz w:val="24"/>
              </w:rPr>
            </w:pPr>
            <w:r>
              <w:rPr>
                <w:rFonts w:hint="eastAsia" w:ascii="宋体" w:hAnsi="宋体" w:cs="宋体"/>
                <w:color w:val="auto"/>
                <w:sz w:val="24"/>
              </w:rPr>
              <w:t>自行软件开发</w:t>
            </w:r>
          </w:p>
        </w:tc>
        <w:tc>
          <w:tcPr>
            <w:tcW w:w="6083" w:type="dxa"/>
          </w:tcPr>
          <w:p w14:paraId="65C609BC">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a）应将开发环境与实际运行环境物理分开，测试数据和测试结果受到控制；</w:t>
            </w:r>
          </w:p>
        </w:tc>
      </w:tr>
      <w:tr w14:paraId="5FFDB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7630D701">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7832AD29">
            <w:pPr>
              <w:adjustRightInd w:val="0"/>
              <w:snapToGrid w:val="0"/>
              <w:spacing w:line="360" w:lineRule="auto"/>
              <w:ind w:firstLine="480" w:firstLineChars="200"/>
              <w:rPr>
                <w:rFonts w:ascii="宋体" w:hAnsi="宋体" w:cs="宋体"/>
                <w:color w:val="auto"/>
                <w:sz w:val="24"/>
              </w:rPr>
            </w:pPr>
          </w:p>
        </w:tc>
        <w:tc>
          <w:tcPr>
            <w:tcW w:w="6083" w:type="dxa"/>
          </w:tcPr>
          <w:p w14:paraId="2558A40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b）应制定软件开发管理制度，明确说明开发过程的控制方法和人员行为准则；</w:t>
            </w:r>
          </w:p>
        </w:tc>
      </w:tr>
      <w:tr w14:paraId="3744B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06280E83">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75764256">
            <w:pPr>
              <w:adjustRightInd w:val="0"/>
              <w:snapToGrid w:val="0"/>
              <w:spacing w:line="360" w:lineRule="auto"/>
              <w:ind w:firstLine="480" w:firstLineChars="200"/>
              <w:rPr>
                <w:rFonts w:ascii="宋体" w:hAnsi="宋体" w:cs="宋体"/>
                <w:color w:val="auto"/>
                <w:sz w:val="24"/>
              </w:rPr>
            </w:pPr>
          </w:p>
        </w:tc>
        <w:tc>
          <w:tcPr>
            <w:tcW w:w="6083" w:type="dxa"/>
          </w:tcPr>
          <w:p w14:paraId="73546C1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c）应制定代码编写安全规范，要求开发人员参照规范编写代码；</w:t>
            </w:r>
          </w:p>
        </w:tc>
      </w:tr>
      <w:tr w14:paraId="50D16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5F77BB58">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19A4B8AC">
            <w:pPr>
              <w:adjustRightInd w:val="0"/>
              <w:snapToGrid w:val="0"/>
              <w:spacing w:line="360" w:lineRule="auto"/>
              <w:ind w:firstLine="480" w:firstLineChars="200"/>
              <w:rPr>
                <w:rFonts w:ascii="宋体" w:hAnsi="宋体" w:cs="宋体"/>
                <w:color w:val="auto"/>
                <w:sz w:val="24"/>
              </w:rPr>
            </w:pPr>
          </w:p>
        </w:tc>
        <w:tc>
          <w:tcPr>
            <w:tcW w:w="6083" w:type="dxa"/>
          </w:tcPr>
          <w:p w14:paraId="60738A1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d）应具备软件设计的相关文档和使用指南，并对文档使用进行控制；</w:t>
            </w:r>
          </w:p>
        </w:tc>
      </w:tr>
      <w:tr w14:paraId="43132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2712D40B">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264261C1">
            <w:pPr>
              <w:adjustRightInd w:val="0"/>
              <w:snapToGrid w:val="0"/>
              <w:spacing w:line="360" w:lineRule="auto"/>
              <w:ind w:firstLine="480" w:firstLineChars="200"/>
              <w:rPr>
                <w:rFonts w:ascii="宋体" w:hAnsi="宋体" w:cs="宋体"/>
                <w:color w:val="auto"/>
                <w:sz w:val="24"/>
              </w:rPr>
            </w:pPr>
          </w:p>
        </w:tc>
        <w:tc>
          <w:tcPr>
            <w:tcW w:w="6083" w:type="dxa"/>
          </w:tcPr>
          <w:p w14:paraId="428EC345">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e）应保证在软件开发过程中对安全性进行测试，在软件安装前对可能存在的恶意代码进行检测；</w:t>
            </w:r>
          </w:p>
        </w:tc>
      </w:tr>
      <w:tr w14:paraId="14929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4D71EA9F">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15A31E05">
            <w:pPr>
              <w:adjustRightInd w:val="0"/>
              <w:snapToGrid w:val="0"/>
              <w:spacing w:line="360" w:lineRule="auto"/>
              <w:ind w:firstLine="480" w:firstLineChars="200"/>
              <w:rPr>
                <w:rFonts w:ascii="宋体" w:hAnsi="宋体" w:cs="宋体"/>
                <w:color w:val="auto"/>
                <w:sz w:val="24"/>
              </w:rPr>
            </w:pPr>
          </w:p>
        </w:tc>
        <w:tc>
          <w:tcPr>
            <w:tcW w:w="6083" w:type="dxa"/>
          </w:tcPr>
          <w:p w14:paraId="7E6C967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f）应对程序资源库的修改、更新，发布进行授权和批准，并严格进行版本控制；</w:t>
            </w:r>
          </w:p>
        </w:tc>
      </w:tr>
      <w:tr w14:paraId="06A7C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42157C70">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25154B00">
            <w:pPr>
              <w:adjustRightInd w:val="0"/>
              <w:snapToGrid w:val="0"/>
              <w:spacing w:line="360" w:lineRule="auto"/>
              <w:ind w:firstLine="480" w:firstLineChars="200"/>
              <w:rPr>
                <w:rFonts w:ascii="宋体" w:hAnsi="宋体" w:cs="宋体"/>
                <w:color w:val="auto"/>
                <w:sz w:val="24"/>
              </w:rPr>
            </w:pPr>
          </w:p>
        </w:tc>
        <w:tc>
          <w:tcPr>
            <w:tcW w:w="6083" w:type="dxa"/>
          </w:tcPr>
          <w:p w14:paraId="0C052C2D">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g）应保证开发人员为专职人员，开发人员的开发活动受到控制，监视和审查。</w:t>
            </w:r>
          </w:p>
        </w:tc>
      </w:tr>
      <w:tr w14:paraId="0D27D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61DF40BA">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30EF2B8C">
            <w:pPr>
              <w:adjustRightInd w:val="0"/>
              <w:snapToGrid w:val="0"/>
              <w:spacing w:line="360" w:lineRule="auto"/>
              <w:rPr>
                <w:rFonts w:ascii="宋体" w:hAnsi="宋体" w:cs="宋体"/>
                <w:color w:val="auto"/>
                <w:sz w:val="24"/>
              </w:rPr>
            </w:pPr>
            <w:r>
              <w:rPr>
                <w:rFonts w:hint="eastAsia" w:ascii="宋体" w:hAnsi="宋体" w:cs="宋体"/>
                <w:color w:val="auto"/>
                <w:sz w:val="24"/>
              </w:rPr>
              <w:t>外包软件开发</w:t>
            </w:r>
          </w:p>
        </w:tc>
        <w:tc>
          <w:tcPr>
            <w:tcW w:w="6083" w:type="dxa"/>
          </w:tcPr>
          <w:p w14:paraId="655C05A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a）应在软件交付前检测其中可能存在的恶意代码；</w:t>
            </w:r>
          </w:p>
        </w:tc>
      </w:tr>
      <w:tr w14:paraId="38345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4E1CB610">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144C3F8C">
            <w:pPr>
              <w:adjustRightInd w:val="0"/>
              <w:snapToGrid w:val="0"/>
              <w:spacing w:line="360" w:lineRule="auto"/>
              <w:ind w:firstLine="480" w:firstLineChars="200"/>
              <w:rPr>
                <w:rFonts w:ascii="宋体" w:hAnsi="宋体" w:cs="宋体"/>
                <w:color w:val="auto"/>
                <w:sz w:val="24"/>
              </w:rPr>
            </w:pPr>
          </w:p>
        </w:tc>
        <w:tc>
          <w:tcPr>
            <w:tcW w:w="6083" w:type="dxa"/>
          </w:tcPr>
          <w:p w14:paraId="74227F0E">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b）应保证开发单位提供软件设计文档和使用指南；</w:t>
            </w:r>
          </w:p>
        </w:tc>
      </w:tr>
      <w:tr w14:paraId="45C8B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802" w:type="dxa"/>
            <w:vMerge w:val="continue"/>
            <w:vAlign w:val="center"/>
          </w:tcPr>
          <w:p w14:paraId="255BCEF7">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3257FDB9">
            <w:pPr>
              <w:adjustRightInd w:val="0"/>
              <w:snapToGrid w:val="0"/>
              <w:spacing w:line="360" w:lineRule="auto"/>
              <w:ind w:firstLine="480" w:firstLineChars="200"/>
              <w:rPr>
                <w:rFonts w:ascii="宋体" w:hAnsi="宋体" w:cs="宋体"/>
                <w:color w:val="auto"/>
                <w:sz w:val="24"/>
              </w:rPr>
            </w:pPr>
          </w:p>
        </w:tc>
        <w:tc>
          <w:tcPr>
            <w:tcW w:w="6083" w:type="dxa"/>
          </w:tcPr>
          <w:p w14:paraId="7241805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c）应保证开发单位提供软件源代码，并审查软件中可能存在的后面和隐蔽信道。</w:t>
            </w:r>
          </w:p>
        </w:tc>
      </w:tr>
      <w:tr w14:paraId="25E05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624C6969">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57500EBB">
            <w:pPr>
              <w:adjustRightInd w:val="0"/>
              <w:snapToGrid w:val="0"/>
              <w:spacing w:line="360" w:lineRule="auto"/>
              <w:rPr>
                <w:rFonts w:ascii="宋体" w:hAnsi="宋体" w:cs="宋体"/>
                <w:color w:val="auto"/>
                <w:sz w:val="24"/>
              </w:rPr>
            </w:pPr>
            <w:r>
              <w:rPr>
                <w:rFonts w:hint="eastAsia" w:ascii="宋体" w:hAnsi="宋体" w:cs="宋体"/>
                <w:color w:val="auto"/>
                <w:sz w:val="24"/>
              </w:rPr>
              <w:t>工程实施</w:t>
            </w:r>
          </w:p>
        </w:tc>
        <w:tc>
          <w:tcPr>
            <w:tcW w:w="6083" w:type="dxa"/>
          </w:tcPr>
          <w:p w14:paraId="550E51C6">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a）应指定或授权专门的部门或人员负责工程实施过程的管理；</w:t>
            </w:r>
          </w:p>
        </w:tc>
      </w:tr>
      <w:tr w14:paraId="1AFD0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629F46D7">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4C194B21">
            <w:pPr>
              <w:adjustRightInd w:val="0"/>
              <w:snapToGrid w:val="0"/>
              <w:spacing w:line="360" w:lineRule="auto"/>
              <w:ind w:firstLine="480" w:firstLineChars="200"/>
              <w:rPr>
                <w:rFonts w:ascii="宋体" w:hAnsi="宋体" w:cs="宋体"/>
                <w:color w:val="auto"/>
                <w:sz w:val="24"/>
              </w:rPr>
            </w:pPr>
          </w:p>
        </w:tc>
        <w:tc>
          <w:tcPr>
            <w:tcW w:w="6083" w:type="dxa"/>
          </w:tcPr>
          <w:p w14:paraId="1EEE6E4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b）应制定安全工程实施方案控制实施过程；</w:t>
            </w:r>
          </w:p>
        </w:tc>
      </w:tr>
      <w:tr w14:paraId="63872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45C7873F">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0A87E23B">
            <w:pPr>
              <w:adjustRightInd w:val="0"/>
              <w:snapToGrid w:val="0"/>
              <w:spacing w:line="360" w:lineRule="auto"/>
              <w:ind w:firstLine="480" w:firstLineChars="200"/>
              <w:rPr>
                <w:rFonts w:ascii="宋体" w:hAnsi="宋体" w:cs="宋体"/>
                <w:color w:val="auto"/>
                <w:sz w:val="24"/>
              </w:rPr>
            </w:pPr>
          </w:p>
        </w:tc>
        <w:tc>
          <w:tcPr>
            <w:tcW w:w="6083" w:type="dxa"/>
          </w:tcPr>
          <w:p w14:paraId="6A7ECAC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c）应通过第三方工程监理控制项目的实施过程。</w:t>
            </w:r>
          </w:p>
        </w:tc>
      </w:tr>
      <w:tr w14:paraId="42699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02" w:type="dxa"/>
            <w:vMerge w:val="continue"/>
            <w:vAlign w:val="center"/>
          </w:tcPr>
          <w:p w14:paraId="328C64BA">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2A4EA877">
            <w:pPr>
              <w:adjustRightInd w:val="0"/>
              <w:snapToGrid w:val="0"/>
              <w:spacing w:line="360" w:lineRule="auto"/>
              <w:rPr>
                <w:rFonts w:ascii="宋体" w:hAnsi="宋体" w:cs="宋体"/>
                <w:color w:val="auto"/>
                <w:sz w:val="24"/>
              </w:rPr>
            </w:pPr>
            <w:r>
              <w:rPr>
                <w:rFonts w:hint="eastAsia" w:ascii="宋体" w:hAnsi="宋体" w:cs="宋体"/>
                <w:color w:val="auto"/>
                <w:sz w:val="24"/>
              </w:rPr>
              <w:t>测试验收</w:t>
            </w:r>
          </w:p>
        </w:tc>
        <w:tc>
          <w:tcPr>
            <w:tcW w:w="6083" w:type="dxa"/>
          </w:tcPr>
          <w:p w14:paraId="2733E25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a）应制订测试验收方案，并依据测试验收方案实施测试验收，形成测试验收报告；</w:t>
            </w:r>
          </w:p>
        </w:tc>
      </w:tr>
      <w:tr w14:paraId="360EF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02" w:type="dxa"/>
            <w:vMerge w:val="continue"/>
            <w:vAlign w:val="center"/>
          </w:tcPr>
          <w:p w14:paraId="753B26F2">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3A6A949A">
            <w:pPr>
              <w:adjustRightInd w:val="0"/>
              <w:snapToGrid w:val="0"/>
              <w:spacing w:line="360" w:lineRule="auto"/>
              <w:ind w:firstLine="480" w:firstLineChars="200"/>
              <w:rPr>
                <w:rFonts w:ascii="宋体" w:hAnsi="宋体" w:cs="宋体"/>
                <w:color w:val="auto"/>
                <w:sz w:val="24"/>
              </w:rPr>
            </w:pPr>
          </w:p>
        </w:tc>
        <w:tc>
          <w:tcPr>
            <w:tcW w:w="6083" w:type="dxa"/>
          </w:tcPr>
          <w:p w14:paraId="396B7F4D">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b）应进行上线前的安全性测试，并出具安全测试报告，安全测试报告应包含密码应用安全性安全测试内容。</w:t>
            </w:r>
          </w:p>
        </w:tc>
      </w:tr>
      <w:tr w14:paraId="4BD0D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802" w:type="dxa"/>
            <w:vMerge w:val="continue"/>
            <w:vAlign w:val="center"/>
          </w:tcPr>
          <w:p w14:paraId="2031044A">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2B49A6A5">
            <w:pPr>
              <w:adjustRightInd w:val="0"/>
              <w:snapToGrid w:val="0"/>
              <w:spacing w:line="360" w:lineRule="auto"/>
              <w:rPr>
                <w:rFonts w:ascii="宋体" w:hAnsi="宋体" w:cs="宋体"/>
                <w:color w:val="auto"/>
                <w:sz w:val="24"/>
              </w:rPr>
            </w:pPr>
            <w:r>
              <w:rPr>
                <w:rFonts w:hint="eastAsia" w:ascii="宋体" w:hAnsi="宋体" w:cs="宋体"/>
                <w:color w:val="auto"/>
                <w:sz w:val="24"/>
              </w:rPr>
              <w:t>系统交付</w:t>
            </w:r>
          </w:p>
        </w:tc>
        <w:tc>
          <w:tcPr>
            <w:tcW w:w="6083" w:type="dxa"/>
          </w:tcPr>
          <w:p w14:paraId="577EE6E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a）应制定交付清单，并根据交付清单对所交接的设备、软件和文档等进行清点；</w:t>
            </w:r>
          </w:p>
        </w:tc>
      </w:tr>
      <w:tr w14:paraId="50E92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0E6D9BF0">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64B957A8">
            <w:pPr>
              <w:adjustRightInd w:val="0"/>
              <w:snapToGrid w:val="0"/>
              <w:spacing w:line="360" w:lineRule="auto"/>
              <w:ind w:firstLine="480" w:firstLineChars="200"/>
              <w:rPr>
                <w:rFonts w:ascii="宋体" w:hAnsi="宋体" w:cs="宋体"/>
                <w:color w:val="auto"/>
                <w:sz w:val="24"/>
              </w:rPr>
            </w:pPr>
          </w:p>
        </w:tc>
        <w:tc>
          <w:tcPr>
            <w:tcW w:w="6083" w:type="dxa"/>
          </w:tcPr>
          <w:p w14:paraId="62C4103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b）应对负责系统运行维护的技术人员进行相应的技能培训；</w:t>
            </w:r>
          </w:p>
        </w:tc>
      </w:tr>
      <w:tr w14:paraId="40B30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310E71C9">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5BC74B00">
            <w:pPr>
              <w:adjustRightInd w:val="0"/>
              <w:snapToGrid w:val="0"/>
              <w:spacing w:line="360" w:lineRule="auto"/>
              <w:ind w:firstLine="480" w:firstLineChars="200"/>
              <w:rPr>
                <w:rFonts w:ascii="宋体" w:hAnsi="宋体" w:cs="宋体"/>
                <w:color w:val="auto"/>
                <w:sz w:val="24"/>
              </w:rPr>
            </w:pPr>
          </w:p>
        </w:tc>
        <w:tc>
          <w:tcPr>
            <w:tcW w:w="6083" w:type="dxa"/>
          </w:tcPr>
          <w:p w14:paraId="64A76DB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c）应提供建设过程文档和运行维护文档。</w:t>
            </w:r>
          </w:p>
        </w:tc>
      </w:tr>
      <w:tr w14:paraId="1F792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3BC030B2">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3E2A506A">
            <w:pPr>
              <w:adjustRightInd w:val="0"/>
              <w:snapToGrid w:val="0"/>
              <w:spacing w:line="360" w:lineRule="auto"/>
              <w:rPr>
                <w:rFonts w:ascii="宋体" w:hAnsi="宋体" w:cs="宋体"/>
                <w:color w:val="auto"/>
                <w:sz w:val="24"/>
              </w:rPr>
            </w:pPr>
            <w:r>
              <w:rPr>
                <w:rFonts w:hint="eastAsia" w:ascii="宋体" w:hAnsi="宋体" w:cs="宋体"/>
                <w:color w:val="auto"/>
                <w:sz w:val="24"/>
              </w:rPr>
              <w:t>等级测评</w:t>
            </w:r>
          </w:p>
        </w:tc>
        <w:tc>
          <w:tcPr>
            <w:tcW w:w="6083" w:type="dxa"/>
          </w:tcPr>
          <w:p w14:paraId="72CD37E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a）应定期进行等级测评，发现不符合相应等级保护标准要求的及时整改；</w:t>
            </w:r>
          </w:p>
        </w:tc>
      </w:tr>
      <w:tr w14:paraId="73B83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7B34234D">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2053CA8C">
            <w:pPr>
              <w:adjustRightInd w:val="0"/>
              <w:snapToGrid w:val="0"/>
              <w:spacing w:line="360" w:lineRule="auto"/>
              <w:ind w:firstLine="480" w:firstLineChars="200"/>
              <w:rPr>
                <w:rFonts w:ascii="宋体" w:hAnsi="宋体" w:cs="宋体"/>
                <w:color w:val="auto"/>
                <w:sz w:val="24"/>
              </w:rPr>
            </w:pPr>
          </w:p>
        </w:tc>
        <w:tc>
          <w:tcPr>
            <w:tcW w:w="6083" w:type="dxa"/>
          </w:tcPr>
          <w:p w14:paraId="5A5FE91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b）在发生重大变化或级别发生时进行等级测评；</w:t>
            </w:r>
          </w:p>
        </w:tc>
      </w:tr>
      <w:tr w14:paraId="3F16F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0AA3CB36">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4F628E96">
            <w:pPr>
              <w:adjustRightInd w:val="0"/>
              <w:snapToGrid w:val="0"/>
              <w:spacing w:line="360" w:lineRule="auto"/>
              <w:ind w:firstLine="480" w:firstLineChars="200"/>
              <w:rPr>
                <w:rFonts w:ascii="宋体" w:hAnsi="宋体" w:cs="宋体"/>
                <w:color w:val="auto"/>
                <w:sz w:val="24"/>
              </w:rPr>
            </w:pPr>
          </w:p>
        </w:tc>
        <w:tc>
          <w:tcPr>
            <w:tcW w:w="6083" w:type="dxa"/>
          </w:tcPr>
          <w:p w14:paraId="5953D5F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c）应确保测评机构的选择符合国家相关规定。</w:t>
            </w:r>
          </w:p>
        </w:tc>
      </w:tr>
      <w:tr w14:paraId="79ABD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1EB63EE3">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2014A752">
            <w:pPr>
              <w:adjustRightInd w:val="0"/>
              <w:snapToGrid w:val="0"/>
              <w:spacing w:line="360" w:lineRule="auto"/>
              <w:rPr>
                <w:rFonts w:ascii="宋体" w:hAnsi="宋体" w:cs="宋体"/>
                <w:color w:val="auto"/>
                <w:sz w:val="24"/>
              </w:rPr>
            </w:pPr>
            <w:r>
              <w:rPr>
                <w:rFonts w:hint="eastAsia" w:ascii="宋体" w:hAnsi="宋体" w:cs="宋体"/>
                <w:color w:val="auto"/>
                <w:sz w:val="24"/>
              </w:rPr>
              <w:t>服务供应商管理</w:t>
            </w:r>
          </w:p>
        </w:tc>
        <w:tc>
          <w:tcPr>
            <w:tcW w:w="6083" w:type="dxa"/>
          </w:tcPr>
          <w:p w14:paraId="5901BFFE">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a）应确保服务供应商的选择符合国家的有关规定；</w:t>
            </w:r>
          </w:p>
        </w:tc>
      </w:tr>
      <w:tr w14:paraId="3008E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1CFBEBEC">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4BFF8DC9">
            <w:pPr>
              <w:adjustRightInd w:val="0"/>
              <w:snapToGrid w:val="0"/>
              <w:spacing w:line="360" w:lineRule="auto"/>
              <w:ind w:firstLine="480" w:firstLineChars="200"/>
              <w:rPr>
                <w:rFonts w:ascii="宋体" w:hAnsi="宋体" w:cs="宋体"/>
                <w:color w:val="auto"/>
                <w:sz w:val="24"/>
              </w:rPr>
            </w:pPr>
          </w:p>
        </w:tc>
        <w:tc>
          <w:tcPr>
            <w:tcW w:w="6083" w:type="dxa"/>
          </w:tcPr>
          <w:p w14:paraId="752B4DC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b）应与选定的服务商签订相关协议，明确整个服务供应链各方需履行的网络安全相关义务；</w:t>
            </w:r>
          </w:p>
        </w:tc>
      </w:tr>
      <w:tr w14:paraId="6CA31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45EF5BAC">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21BE98C9">
            <w:pPr>
              <w:adjustRightInd w:val="0"/>
              <w:snapToGrid w:val="0"/>
              <w:spacing w:line="360" w:lineRule="auto"/>
              <w:ind w:firstLine="480" w:firstLineChars="200"/>
              <w:rPr>
                <w:rFonts w:ascii="宋体" w:hAnsi="宋体" w:cs="宋体"/>
                <w:color w:val="auto"/>
                <w:sz w:val="24"/>
              </w:rPr>
            </w:pPr>
          </w:p>
        </w:tc>
        <w:tc>
          <w:tcPr>
            <w:tcW w:w="6083" w:type="dxa"/>
          </w:tcPr>
          <w:p w14:paraId="3A90524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c）应定期监督、评审和审核服务供应商提供的服务，并对其变更服务进行控制。</w:t>
            </w:r>
          </w:p>
        </w:tc>
      </w:tr>
      <w:tr w14:paraId="15BDB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restart"/>
            <w:vAlign w:val="center"/>
          </w:tcPr>
          <w:p w14:paraId="6D52D4A1">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安全运维管理</w:t>
            </w:r>
          </w:p>
        </w:tc>
        <w:tc>
          <w:tcPr>
            <w:tcW w:w="1917" w:type="dxa"/>
            <w:vMerge w:val="restart"/>
            <w:vAlign w:val="center"/>
          </w:tcPr>
          <w:p w14:paraId="6598A214">
            <w:pPr>
              <w:adjustRightInd w:val="0"/>
              <w:snapToGrid w:val="0"/>
              <w:spacing w:line="360" w:lineRule="auto"/>
              <w:rPr>
                <w:rFonts w:ascii="宋体" w:hAnsi="宋体" w:cs="宋体"/>
                <w:color w:val="auto"/>
                <w:sz w:val="24"/>
              </w:rPr>
            </w:pPr>
            <w:r>
              <w:rPr>
                <w:rFonts w:hint="eastAsia" w:ascii="宋体" w:hAnsi="宋体" w:cs="宋体"/>
                <w:color w:val="auto"/>
                <w:sz w:val="24"/>
              </w:rPr>
              <w:t>环境管理</w:t>
            </w:r>
          </w:p>
        </w:tc>
        <w:tc>
          <w:tcPr>
            <w:tcW w:w="6083" w:type="dxa"/>
          </w:tcPr>
          <w:p w14:paraId="421633D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a）应指定专门的部门或人员负责机房安全，对机房出入进行管理，定期对机房供配电、空调、温湿度控制、消防等设施进行维护管理；</w:t>
            </w:r>
          </w:p>
        </w:tc>
      </w:tr>
      <w:tr w14:paraId="674E8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717945D4">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02452877">
            <w:pPr>
              <w:adjustRightInd w:val="0"/>
              <w:snapToGrid w:val="0"/>
              <w:spacing w:line="360" w:lineRule="auto"/>
              <w:ind w:firstLine="480" w:firstLineChars="200"/>
              <w:rPr>
                <w:rFonts w:ascii="宋体" w:hAnsi="宋体" w:cs="宋体"/>
                <w:color w:val="auto"/>
                <w:sz w:val="24"/>
              </w:rPr>
            </w:pPr>
          </w:p>
        </w:tc>
        <w:tc>
          <w:tcPr>
            <w:tcW w:w="6083" w:type="dxa"/>
          </w:tcPr>
          <w:p w14:paraId="7C1DBB8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b）应建立机房安全管理制度，对有关物理访问，物品带进带出和环境安全等方面的管理作出规定；</w:t>
            </w:r>
          </w:p>
        </w:tc>
      </w:tr>
      <w:tr w14:paraId="20A36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1C7EEC36">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2233D850">
            <w:pPr>
              <w:adjustRightInd w:val="0"/>
              <w:snapToGrid w:val="0"/>
              <w:spacing w:line="360" w:lineRule="auto"/>
              <w:ind w:firstLine="480" w:firstLineChars="200"/>
              <w:rPr>
                <w:rFonts w:ascii="宋体" w:hAnsi="宋体" w:cs="宋体"/>
                <w:color w:val="auto"/>
                <w:sz w:val="24"/>
              </w:rPr>
            </w:pPr>
          </w:p>
        </w:tc>
        <w:tc>
          <w:tcPr>
            <w:tcW w:w="6083" w:type="dxa"/>
          </w:tcPr>
          <w:p w14:paraId="0E27841C">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c）应不在重要区域接待来访人员，不随意放置包含敏感信息的纸质文件和移动介质。</w:t>
            </w:r>
          </w:p>
        </w:tc>
      </w:tr>
      <w:tr w14:paraId="1FD83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135F432C">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74477DED">
            <w:pPr>
              <w:adjustRightInd w:val="0"/>
              <w:snapToGrid w:val="0"/>
              <w:spacing w:line="360" w:lineRule="auto"/>
              <w:rPr>
                <w:rFonts w:ascii="宋体" w:hAnsi="宋体" w:cs="宋体"/>
                <w:color w:val="auto"/>
                <w:sz w:val="24"/>
              </w:rPr>
            </w:pPr>
            <w:r>
              <w:rPr>
                <w:rFonts w:hint="eastAsia" w:ascii="宋体" w:hAnsi="宋体" w:cs="宋体"/>
                <w:color w:val="auto"/>
                <w:sz w:val="24"/>
              </w:rPr>
              <w:t>资产管理</w:t>
            </w:r>
          </w:p>
        </w:tc>
        <w:tc>
          <w:tcPr>
            <w:tcW w:w="6083" w:type="dxa"/>
          </w:tcPr>
          <w:p w14:paraId="7400CBC1">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a）应编制并保存与信息系统相关的资产清单，包括资产责任部门、重要程度和所处位置等内容；</w:t>
            </w:r>
          </w:p>
        </w:tc>
      </w:tr>
      <w:tr w14:paraId="1A2E3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4E821EA9">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05A61101">
            <w:pPr>
              <w:adjustRightInd w:val="0"/>
              <w:snapToGrid w:val="0"/>
              <w:spacing w:line="360" w:lineRule="auto"/>
              <w:ind w:firstLine="480" w:firstLineChars="200"/>
              <w:rPr>
                <w:rFonts w:ascii="宋体" w:hAnsi="宋体" w:cs="宋体"/>
                <w:color w:val="auto"/>
                <w:sz w:val="24"/>
              </w:rPr>
            </w:pPr>
          </w:p>
        </w:tc>
        <w:tc>
          <w:tcPr>
            <w:tcW w:w="6083" w:type="dxa"/>
          </w:tcPr>
          <w:p w14:paraId="687196DE">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b）应根据资产的重要程度对资产进行标识管理，根据资产的价值选择相应的管理措施；</w:t>
            </w:r>
          </w:p>
        </w:tc>
      </w:tr>
      <w:tr w14:paraId="3BF7A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7EC38928">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287B885A">
            <w:pPr>
              <w:adjustRightInd w:val="0"/>
              <w:snapToGrid w:val="0"/>
              <w:spacing w:line="360" w:lineRule="auto"/>
              <w:ind w:firstLine="480" w:firstLineChars="200"/>
              <w:rPr>
                <w:rFonts w:ascii="宋体" w:hAnsi="宋体" w:cs="宋体"/>
                <w:color w:val="auto"/>
                <w:sz w:val="24"/>
              </w:rPr>
            </w:pPr>
          </w:p>
        </w:tc>
        <w:tc>
          <w:tcPr>
            <w:tcW w:w="6083" w:type="dxa"/>
          </w:tcPr>
          <w:p w14:paraId="6A2E048D">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c）应对信息分类与标识方法做出规定，并对信息的使用，传输和存储等进行规范化管理。</w:t>
            </w:r>
          </w:p>
        </w:tc>
      </w:tr>
      <w:tr w14:paraId="716AB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4410BBE3">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10AA3DAF">
            <w:pPr>
              <w:adjustRightInd w:val="0"/>
              <w:snapToGrid w:val="0"/>
              <w:spacing w:line="360" w:lineRule="auto"/>
              <w:rPr>
                <w:rFonts w:ascii="宋体" w:hAnsi="宋体" w:cs="宋体"/>
                <w:color w:val="auto"/>
                <w:sz w:val="24"/>
              </w:rPr>
            </w:pPr>
            <w:r>
              <w:rPr>
                <w:rFonts w:hint="eastAsia" w:ascii="宋体" w:hAnsi="宋体" w:cs="宋体"/>
                <w:color w:val="auto"/>
                <w:sz w:val="24"/>
              </w:rPr>
              <w:t>介质管理</w:t>
            </w:r>
          </w:p>
        </w:tc>
        <w:tc>
          <w:tcPr>
            <w:tcW w:w="6083" w:type="dxa"/>
          </w:tcPr>
          <w:p w14:paraId="01FA49C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a）应将介质存放在安全的环境中，对各类介质进行控制和保护，实行存储环境专人管理并根据存档介质的目录清单定期盘点；</w:t>
            </w:r>
          </w:p>
        </w:tc>
      </w:tr>
      <w:tr w14:paraId="041C2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7423A7BE">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766F3B43">
            <w:pPr>
              <w:adjustRightInd w:val="0"/>
              <w:snapToGrid w:val="0"/>
              <w:spacing w:line="360" w:lineRule="auto"/>
              <w:ind w:firstLine="480" w:firstLineChars="200"/>
              <w:rPr>
                <w:rFonts w:ascii="宋体" w:hAnsi="宋体" w:cs="宋体"/>
                <w:color w:val="auto"/>
                <w:sz w:val="24"/>
              </w:rPr>
            </w:pPr>
          </w:p>
        </w:tc>
        <w:tc>
          <w:tcPr>
            <w:tcW w:w="6083" w:type="dxa"/>
          </w:tcPr>
          <w:p w14:paraId="0ECAFC1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b）应对介质在物理传输过程中的人员选择、打包、交付等情况进行控制，并对介质归档和查询等进行登记记录。</w:t>
            </w:r>
          </w:p>
        </w:tc>
      </w:tr>
      <w:tr w14:paraId="3E178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2475CE36">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65516FEC">
            <w:pPr>
              <w:adjustRightInd w:val="0"/>
              <w:snapToGrid w:val="0"/>
              <w:spacing w:line="360" w:lineRule="auto"/>
              <w:rPr>
                <w:rFonts w:ascii="宋体" w:hAnsi="宋体" w:cs="宋体"/>
                <w:color w:val="auto"/>
                <w:sz w:val="24"/>
              </w:rPr>
            </w:pPr>
            <w:r>
              <w:rPr>
                <w:rFonts w:hint="eastAsia" w:ascii="宋体" w:hAnsi="宋体" w:cs="宋体"/>
                <w:color w:val="auto"/>
                <w:sz w:val="24"/>
              </w:rPr>
              <w:t>设备维护管理</w:t>
            </w:r>
          </w:p>
        </w:tc>
        <w:tc>
          <w:tcPr>
            <w:tcW w:w="6083" w:type="dxa"/>
          </w:tcPr>
          <w:p w14:paraId="18C3A898">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a）应对各种设备（包括备份和冗余设备）、线路等指定专门的部门或人员定期进行维护管理；</w:t>
            </w:r>
          </w:p>
        </w:tc>
      </w:tr>
      <w:tr w14:paraId="55CB0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2568BCBC">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118FEBB9">
            <w:pPr>
              <w:adjustRightInd w:val="0"/>
              <w:snapToGrid w:val="0"/>
              <w:spacing w:line="360" w:lineRule="auto"/>
              <w:ind w:firstLine="480" w:firstLineChars="200"/>
              <w:rPr>
                <w:rFonts w:ascii="宋体" w:hAnsi="宋体" w:cs="宋体"/>
                <w:color w:val="auto"/>
                <w:sz w:val="24"/>
              </w:rPr>
            </w:pPr>
          </w:p>
        </w:tc>
        <w:tc>
          <w:tcPr>
            <w:tcW w:w="6083" w:type="dxa"/>
          </w:tcPr>
          <w:p w14:paraId="5383EDF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b）应建立配套设施、软硬件维护方面的管理制度，对其维护进行有效的管理，包括明确维护人员的责任、维修和服务的审批、维修过程的监督控制等；</w:t>
            </w:r>
          </w:p>
        </w:tc>
      </w:tr>
      <w:tr w14:paraId="1729C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42659F7E">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46A9F473">
            <w:pPr>
              <w:adjustRightInd w:val="0"/>
              <w:snapToGrid w:val="0"/>
              <w:spacing w:line="360" w:lineRule="auto"/>
              <w:ind w:firstLine="480" w:firstLineChars="200"/>
              <w:rPr>
                <w:rFonts w:ascii="宋体" w:hAnsi="宋体" w:cs="宋体"/>
                <w:color w:val="auto"/>
                <w:sz w:val="24"/>
              </w:rPr>
            </w:pPr>
          </w:p>
        </w:tc>
        <w:tc>
          <w:tcPr>
            <w:tcW w:w="6083" w:type="dxa"/>
          </w:tcPr>
          <w:p w14:paraId="0C39D7A1">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c）信息处理设备应经过审批才能带离机房或办公地点，含有储存介质的设备带出工作环境时其重要数据应加密；</w:t>
            </w:r>
          </w:p>
        </w:tc>
      </w:tr>
      <w:tr w14:paraId="36CA6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64F14C03">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7A2691B3">
            <w:pPr>
              <w:adjustRightInd w:val="0"/>
              <w:snapToGrid w:val="0"/>
              <w:spacing w:line="360" w:lineRule="auto"/>
              <w:ind w:firstLine="480" w:firstLineChars="200"/>
              <w:rPr>
                <w:rFonts w:ascii="宋体" w:hAnsi="宋体" w:cs="宋体"/>
                <w:color w:val="auto"/>
                <w:sz w:val="24"/>
              </w:rPr>
            </w:pPr>
          </w:p>
        </w:tc>
        <w:tc>
          <w:tcPr>
            <w:tcW w:w="6083" w:type="dxa"/>
          </w:tcPr>
          <w:p w14:paraId="69DD1B9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d）含有存储介质的设备在报废或重用前，应进行完全清除或完全覆盖，保证该设备上的敏感数据和授权软件无法被恢复重用。</w:t>
            </w:r>
          </w:p>
        </w:tc>
      </w:tr>
      <w:tr w14:paraId="6510E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40FB0897">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10EC85FF">
            <w:pPr>
              <w:adjustRightInd w:val="0"/>
              <w:snapToGrid w:val="0"/>
              <w:spacing w:line="360" w:lineRule="auto"/>
              <w:rPr>
                <w:rFonts w:ascii="宋体" w:hAnsi="宋体" w:cs="宋体"/>
                <w:color w:val="auto"/>
                <w:sz w:val="24"/>
              </w:rPr>
            </w:pPr>
            <w:r>
              <w:rPr>
                <w:rFonts w:hint="eastAsia" w:ascii="宋体" w:hAnsi="宋体" w:cs="宋体"/>
                <w:color w:val="auto"/>
                <w:sz w:val="24"/>
              </w:rPr>
              <w:t>漏洞和风险管理</w:t>
            </w:r>
          </w:p>
        </w:tc>
        <w:tc>
          <w:tcPr>
            <w:tcW w:w="6083" w:type="dxa"/>
          </w:tcPr>
          <w:p w14:paraId="44B9B844">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a）应采取必要的措施识别安全漏洞和隐患，对发现的安全漏洞和隐患及时进行修补或评估可能的影响后进行修补；</w:t>
            </w:r>
          </w:p>
        </w:tc>
      </w:tr>
      <w:tr w14:paraId="12263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6D36FBAC">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2807BF2F">
            <w:pPr>
              <w:adjustRightInd w:val="0"/>
              <w:snapToGrid w:val="0"/>
              <w:spacing w:line="360" w:lineRule="auto"/>
              <w:ind w:firstLine="480" w:firstLineChars="200"/>
              <w:rPr>
                <w:rFonts w:ascii="宋体" w:hAnsi="宋体" w:cs="宋体"/>
                <w:color w:val="auto"/>
                <w:sz w:val="24"/>
              </w:rPr>
            </w:pPr>
          </w:p>
        </w:tc>
        <w:tc>
          <w:tcPr>
            <w:tcW w:w="6083" w:type="dxa"/>
          </w:tcPr>
          <w:p w14:paraId="04B6E92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b)应定期开展安全测评，形成安全测评报告，采取措施应对发现的安全问题。</w:t>
            </w:r>
          </w:p>
        </w:tc>
      </w:tr>
      <w:tr w14:paraId="3E985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60940164">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0E46CE0E">
            <w:pPr>
              <w:adjustRightInd w:val="0"/>
              <w:snapToGrid w:val="0"/>
              <w:spacing w:line="360" w:lineRule="auto"/>
              <w:rPr>
                <w:rFonts w:ascii="宋体" w:hAnsi="宋体" w:cs="宋体"/>
                <w:color w:val="auto"/>
                <w:sz w:val="24"/>
              </w:rPr>
            </w:pPr>
            <w:r>
              <w:rPr>
                <w:rFonts w:hint="eastAsia" w:ascii="宋体" w:hAnsi="宋体" w:cs="宋体"/>
                <w:color w:val="auto"/>
                <w:sz w:val="24"/>
              </w:rPr>
              <w:t>网络和系统安全管理</w:t>
            </w:r>
          </w:p>
        </w:tc>
        <w:tc>
          <w:tcPr>
            <w:tcW w:w="6083" w:type="dxa"/>
          </w:tcPr>
          <w:p w14:paraId="6258C6F8">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a）应划分不同的管理员角色进行网络和系统的运维管理，明确各个角色的责任和权限；</w:t>
            </w:r>
          </w:p>
        </w:tc>
      </w:tr>
      <w:tr w14:paraId="18AF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5927B542">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49E0F2BF">
            <w:pPr>
              <w:adjustRightInd w:val="0"/>
              <w:snapToGrid w:val="0"/>
              <w:spacing w:line="360" w:lineRule="auto"/>
              <w:ind w:firstLine="480" w:firstLineChars="200"/>
              <w:rPr>
                <w:rFonts w:ascii="宋体" w:hAnsi="宋体" w:cs="宋体"/>
                <w:color w:val="auto"/>
                <w:sz w:val="24"/>
              </w:rPr>
            </w:pPr>
          </w:p>
        </w:tc>
        <w:tc>
          <w:tcPr>
            <w:tcW w:w="6083" w:type="dxa"/>
          </w:tcPr>
          <w:p w14:paraId="2A84FF5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b）应指定专门的部门或人员进行账户管理，对申请账户，建立账户、删除账户等进行控制；</w:t>
            </w:r>
          </w:p>
        </w:tc>
      </w:tr>
      <w:tr w14:paraId="075F1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3E74F5F4">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561885C5">
            <w:pPr>
              <w:adjustRightInd w:val="0"/>
              <w:snapToGrid w:val="0"/>
              <w:spacing w:line="360" w:lineRule="auto"/>
              <w:ind w:firstLine="480" w:firstLineChars="200"/>
              <w:rPr>
                <w:rFonts w:ascii="宋体" w:hAnsi="宋体" w:cs="宋体"/>
                <w:color w:val="auto"/>
                <w:sz w:val="24"/>
              </w:rPr>
            </w:pPr>
          </w:p>
        </w:tc>
        <w:tc>
          <w:tcPr>
            <w:tcW w:w="6083" w:type="dxa"/>
          </w:tcPr>
          <w:p w14:paraId="1807CAF6">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c）应建立网络和系统安全管理制度，对安全策略、账户管理、配置管理、日志管理、日常操作、升级与打补丁、口令更新周期等方面作出规定；</w:t>
            </w:r>
          </w:p>
        </w:tc>
      </w:tr>
      <w:tr w14:paraId="54C60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79EC10CA">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065C6E57">
            <w:pPr>
              <w:adjustRightInd w:val="0"/>
              <w:snapToGrid w:val="0"/>
              <w:spacing w:line="360" w:lineRule="auto"/>
              <w:ind w:firstLine="480" w:firstLineChars="200"/>
              <w:rPr>
                <w:rFonts w:ascii="宋体" w:hAnsi="宋体" w:cs="宋体"/>
                <w:color w:val="auto"/>
                <w:sz w:val="24"/>
              </w:rPr>
            </w:pPr>
          </w:p>
        </w:tc>
        <w:tc>
          <w:tcPr>
            <w:tcW w:w="6083" w:type="dxa"/>
          </w:tcPr>
          <w:p w14:paraId="3E030D5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d）应制定重要设备的配置和操作手册，依据手册对设备进行安全配置和优化配置等；</w:t>
            </w:r>
          </w:p>
        </w:tc>
      </w:tr>
      <w:tr w14:paraId="46935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33E50CC3">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50C2499C">
            <w:pPr>
              <w:adjustRightInd w:val="0"/>
              <w:snapToGrid w:val="0"/>
              <w:spacing w:line="360" w:lineRule="auto"/>
              <w:ind w:firstLine="480" w:firstLineChars="200"/>
              <w:rPr>
                <w:rFonts w:ascii="宋体" w:hAnsi="宋体" w:cs="宋体"/>
                <w:color w:val="auto"/>
                <w:sz w:val="24"/>
              </w:rPr>
            </w:pPr>
          </w:p>
        </w:tc>
        <w:tc>
          <w:tcPr>
            <w:tcW w:w="6083" w:type="dxa"/>
          </w:tcPr>
          <w:p w14:paraId="102378E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e）应详细记录运维操作日志，包括日常巡检工作，运行维护记录、参数的设置和修改的内容；</w:t>
            </w:r>
          </w:p>
        </w:tc>
      </w:tr>
      <w:tr w14:paraId="25BBD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2B744B62">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1E85CC25">
            <w:pPr>
              <w:adjustRightInd w:val="0"/>
              <w:snapToGrid w:val="0"/>
              <w:spacing w:line="360" w:lineRule="auto"/>
              <w:ind w:firstLine="480" w:firstLineChars="200"/>
              <w:rPr>
                <w:rFonts w:ascii="宋体" w:hAnsi="宋体" w:cs="宋体"/>
                <w:color w:val="auto"/>
                <w:sz w:val="24"/>
              </w:rPr>
            </w:pPr>
          </w:p>
        </w:tc>
        <w:tc>
          <w:tcPr>
            <w:tcW w:w="6083" w:type="dxa"/>
          </w:tcPr>
          <w:p w14:paraId="0C496B1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f）应指定专门的部门或人员对日志、监测和报警数据等进行分析、统计，及时发现可疑行为；</w:t>
            </w:r>
          </w:p>
        </w:tc>
      </w:tr>
      <w:tr w14:paraId="13DF2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7A1F5762">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273C7CDC">
            <w:pPr>
              <w:adjustRightInd w:val="0"/>
              <w:snapToGrid w:val="0"/>
              <w:spacing w:line="360" w:lineRule="auto"/>
              <w:ind w:firstLine="480" w:firstLineChars="200"/>
              <w:rPr>
                <w:rFonts w:ascii="宋体" w:hAnsi="宋体" w:cs="宋体"/>
                <w:color w:val="auto"/>
                <w:sz w:val="24"/>
              </w:rPr>
            </w:pPr>
          </w:p>
        </w:tc>
        <w:tc>
          <w:tcPr>
            <w:tcW w:w="6083" w:type="dxa"/>
          </w:tcPr>
          <w:p w14:paraId="7FDC443E">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g）应严格控制变更性运维，经过审批后才可改变连接，安装系统组件或调整配置参数，操作过程中应保留不可更改的审计日志，操作结束后应同步配置更新配置信息库；</w:t>
            </w:r>
          </w:p>
        </w:tc>
      </w:tr>
      <w:tr w14:paraId="0DDE0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1FEFEDE2">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6E4883B7">
            <w:pPr>
              <w:adjustRightInd w:val="0"/>
              <w:snapToGrid w:val="0"/>
              <w:spacing w:line="360" w:lineRule="auto"/>
              <w:ind w:firstLine="480" w:firstLineChars="200"/>
              <w:rPr>
                <w:rFonts w:ascii="宋体" w:hAnsi="宋体" w:cs="宋体"/>
                <w:color w:val="auto"/>
                <w:sz w:val="24"/>
              </w:rPr>
            </w:pPr>
          </w:p>
        </w:tc>
        <w:tc>
          <w:tcPr>
            <w:tcW w:w="6083" w:type="dxa"/>
          </w:tcPr>
          <w:p w14:paraId="5F77C2A4">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H）应严格控制运维工具的使用，经过审批后才可接入进行操作，操作过程中应保留不可更改的审计日志，操作结束后应删除工具中的敏感数据；</w:t>
            </w:r>
          </w:p>
        </w:tc>
      </w:tr>
      <w:tr w14:paraId="0774A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159DE464">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3901EBFC">
            <w:pPr>
              <w:adjustRightInd w:val="0"/>
              <w:snapToGrid w:val="0"/>
              <w:spacing w:line="360" w:lineRule="auto"/>
              <w:ind w:firstLine="480" w:firstLineChars="200"/>
              <w:rPr>
                <w:rFonts w:ascii="宋体" w:hAnsi="宋体" w:cs="宋体"/>
                <w:color w:val="auto"/>
                <w:sz w:val="24"/>
              </w:rPr>
            </w:pPr>
          </w:p>
        </w:tc>
        <w:tc>
          <w:tcPr>
            <w:tcW w:w="6083" w:type="dxa"/>
          </w:tcPr>
          <w:p w14:paraId="0E05544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i）应严格控制远程运维的开通，经过审批后才可开通远程运维接口或通道，操作过程中应保留不可更改的审计日志，操作结束后立即关闭接口或通道；</w:t>
            </w:r>
          </w:p>
        </w:tc>
      </w:tr>
      <w:tr w14:paraId="525F8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5BD32F5B">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4028B5A2">
            <w:pPr>
              <w:adjustRightInd w:val="0"/>
              <w:snapToGrid w:val="0"/>
              <w:spacing w:line="360" w:lineRule="auto"/>
              <w:ind w:firstLine="480" w:firstLineChars="200"/>
              <w:rPr>
                <w:rFonts w:ascii="宋体" w:hAnsi="宋体" w:cs="宋体"/>
                <w:color w:val="auto"/>
                <w:sz w:val="24"/>
              </w:rPr>
            </w:pPr>
          </w:p>
        </w:tc>
        <w:tc>
          <w:tcPr>
            <w:tcW w:w="6083" w:type="dxa"/>
          </w:tcPr>
          <w:p w14:paraId="670F48D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j）应保证所有与外部的连接均得到授权和批准，应定期检查违反规定无线上网及其他违反网络安全策略行为。</w:t>
            </w:r>
          </w:p>
        </w:tc>
      </w:tr>
      <w:tr w14:paraId="5D545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5C2601D9">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556F2194">
            <w:pPr>
              <w:adjustRightInd w:val="0"/>
              <w:snapToGrid w:val="0"/>
              <w:spacing w:line="360" w:lineRule="auto"/>
              <w:rPr>
                <w:rFonts w:ascii="宋体" w:hAnsi="宋体" w:cs="宋体"/>
                <w:color w:val="auto"/>
                <w:sz w:val="24"/>
              </w:rPr>
            </w:pPr>
            <w:r>
              <w:rPr>
                <w:rFonts w:hint="eastAsia" w:ascii="宋体" w:hAnsi="宋体" w:cs="宋体"/>
                <w:color w:val="auto"/>
                <w:sz w:val="24"/>
              </w:rPr>
              <w:t>恶意代码防范管理</w:t>
            </w:r>
          </w:p>
        </w:tc>
        <w:tc>
          <w:tcPr>
            <w:tcW w:w="6083" w:type="dxa"/>
          </w:tcPr>
          <w:p w14:paraId="6FF9590E">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a）应提高所有用户的防恶意代码意识，对外来计算机或存储设备接入系统前进行恶意代码检查等；</w:t>
            </w:r>
          </w:p>
        </w:tc>
      </w:tr>
      <w:tr w14:paraId="5C08B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5761B841">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1E0F0780">
            <w:pPr>
              <w:adjustRightInd w:val="0"/>
              <w:snapToGrid w:val="0"/>
              <w:spacing w:line="360" w:lineRule="auto"/>
              <w:ind w:firstLine="480" w:firstLineChars="200"/>
              <w:rPr>
                <w:rFonts w:ascii="宋体" w:hAnsi="宋体" w:cs="宋体"/>
                <w:color w:val="auto"/>
                <w:sz w:val="24"/>
              </w:rPr>
            </w:pPr>
          </w:p>
        </w:tc>
        <w:tc>
          <w:tcPr>
            <w:tcW w:w="6083" w:type="dxa"/>
          </w:tcPr>
          <w:p w14:paraId="1900991E">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b）应定期验证防范恶意代码攻击的技术措施的有效性。</w:t>
            </w:r>
          </w:p>
        </w:tc>
      </w:tr>
      <w:tr w14:paraId="27C7C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2297AACF">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64332B89">
            <w:pPr>
              <w:adjustRightInd w:val="0"/>
              <w:snapToGrid w:val="0"/>
              <w:spacing w:line="360" w:lineRule="auto"/>
              <w:rPr>
                <w:rFonts w:ascii="宋体" w:hAnsi="宋体" w:cs="宋体"/>
                <w:color w:val="auto"/>
                <w:sz w:val="24"/>
              </w:rPr>
            </w:pPr>
            <w:r>
              <w:rPr>
                <w:rFonts w:hint="eastAsia" w:ascii="宋体" w:hAnsi="宋体" w:cs="宋体"/>
                <w:color w:val="auto"/>
                <w:sz w:val="24"/>
              </w:rPr>
              <w:t>配置管理</w:t>
            </w:r>
          </w:p>
        </w:tc>
        <w:tc>
          <w:tcPr>
            <w:tcW w:w="6083" w:type="dxa"/>
          </w:tcPr>
          <w:p w14:paraId="6D414DF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a）应记录和保存基本配置信息，包括网络拓扑结构、各类设备安装的软件组件、软件组件的版本和补丁信息、各个设备或软件组件的配置参数等；</w:t>
            </w:r>
          </w:p>
        </w:tc>
      </w:tr>
      <w:tr w14:paraId="350DC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3CD564D3">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3A9D4466">
            <w:pPr>
              <w:adjustRightInd w:val="0"/>
              <w:snapToGrid w:val="0"/>
              <w:spacing w:line="360" w:lineRule="auto"/>
              <w:ind w:firstLine="480" w:firstLineChars="200"/>
              <w:rPr>
                <w:rFonts w:ascii="宋体" w:hAnsi="宋体" w:cs="宋体"/>
                <w:color w:val="auto"/>
                <w:sz w:val="24"/>
              </w:rPr>
            </w:pPr>
          </w:p>
        </w:tc>
        <w:tc>
          <w:tcPr>
            <w:tcW w:w="6083" w:type="dxa"/>
          </w:tcPr>
          <w:p w14:paraId="4E71895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b)应将基本信息改变纳入变更范畴，实施对配置信息改变的控制，并及时更新基本配置信息库。</w:t>
            </w:r>
          </w:p>
        </w:tc>
      </w:tr>
      <w:tr w14:paraId="783E7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4F38FC40">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42A8CA50">
            <w:pPr>
              <w:adjustRightInd w:val="0"/>
              <w:snapToGrid w:val="0"/>
              <w:spacing w:line="360" w:lineRule="auto"/>
              <w:rPr>
                <w:rFonts w:ascii="宋体" w:hAnsi="宋体" w:cs="宋体"/>
                <w:color w:val="auto"/>
                <w:sz w:val="24"/>
              </w:rPr>
            </w:pPr>
            <w:r>
              <w:rPr>
                <w:rFonts w:hint="eastAsia" w:ascii="宋体" w:hAnsi="宋体" w:cs="宋体"/>
                <w:color w:val="auto"/>
                <w:sz w:val="24"/>
              </w:rPr>
              <w:t>密码管理</w:t>
            </w:r>
          </w:p>
        </w:tc>
        <w:tc>
          <w:tcPr>
            <w:tcW w:w="6083" w:type="dxa"/>
          </w:tcPr>
          <w:p w14:paraId="78E4BA7D">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a）应遵循密码相关国家标准和行业标准；</w:t>
            </w:r>
          </w:p>
        </w:tc>
      </w:tr>
      <w:tr w14:paraId="06F0F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3F13F844">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2E06892F">
            <w:pPr>
              <w:adjustRightInd w:val="0"/>
              <w:snapToGrid w:val="0"/>
              <w:spacing w:line="360" w:lineRule="auto"/>
              <w:ind w:firstLine="480" w:firstLineChars="200"/>
              <w:rPr>
                <w:rFonts w:ascii="宋体" w:hAnsi="宋体" w:cs="宋体"/>
                <w:color w:val="auto"/>
                <w:sz w:val="24"/>
              </w:rPr>
            </w:pPr>
          </w:p>
        </w:tc>
        <w:tc>
          <w:tcPr>
            <w:tcW w:w="6083" w:type="dxa"/>
          </w:tcPr>
          <w:p w14:paraId="7B67467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b）应使用国家密码管理主管部门认证核准的密码技术和产品。</w:t>
            </w:r>
          </w:p>
        </w:tc>
      </w:tr>
      <w:tr w14:paraId="0842E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1BAB3412">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7F99B624">
            <w:pPr>
              <w:adjustRightInd w:val="0"/>
              <w:snapToGrid w:val="0"/>
              <w:spacing w:line="360" w:lineRule="auto"/>
              <w:rPr>
                <w:rFonts w:ascii="宋体" w:hAnsi="宋体" w:cs="宋体"/>
                <w:color w:val="auto"/>
                <w:sz w:val="24"/>
              </w:rPr>
            </w:pPr>
            <w:r>
              <w:rPr>
                <w:rFonts w:hint="eastAsia" w:ascii="宋体" w:hAnsi="宋体" w:cs="宋体"/>
                <w:color w:val="auto"/>
                <w:sz w:val="24"/>
              </w:rPr>
              <w:t>变更管理</w:t>
            </w:r>
          </w:p>
        </w:tc>
        <w:tc>
          <w:tcPr>
            <w:tcW w:w="6083" w:type="dxa"/>
          </w:tcPr>
          <w:p w14:paraId="3FEB519D">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a）应明确变更需求，变更前根据变更需求制定变更方案、变更方案经过评审、审批后方可实施；</w:t>
            </w:r>
          </w:p>
        </w:tc>
      </w:tr>
      <w:tr w14:paraId="5BBF7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3424DA6A">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0D247D68">
            <w:pPr>
              <w:adjustRightInd w:val="0"/>
              <w:snapToGrid w:val="0"/>
              <w:spacing w:line="360" w:lineRule="auto"/>
              <w:ind w:firstLine="480" w:firstLineChars="200"/>
              <w:rPr>
                <w:rFonts w:ascii="宋体" w:hAnsi="宋体" w:cs="宋体"/>
                <w:color w:val="auto"/>
                <w:sz w:val="24"/>
              </w:rPr>
            </w:pPr>
          </w:p>
        </w:tc>
        <w:tc>
          <w:tcPr>
            <w:tcW w:w="6083" w:type="dxa"/>
          </w:tcPr>
          <w:p w14:paraId="0D16A378">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b）应建立变更的申报和审批控制程序，依据程序控制所有的变更，记录变更实施过程；</w:t>
            </w:r>
          </w:p>
        </w:tc>
      </w:tr>
      <w:tr w14:paraId="38CE0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357BA89C">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6011C623">
            <w:pPr>
              <w:adjustRightInd w:val="0"/>
              <w:snapToGrid w:val="0"/>
              <w:spacing w:line="360" w:lineRule="auto"/>
              <w:ind w:firstLine="480" w:firstLineChars="200"/>
              <w:rPr>
                <w:rFonts w:ascii="宋体" w:hAnsi="宋体" w:cs="宋体"/>
                <w:color w:val="auto"/>
                <w:sz w:val="24"/>
              </w:rPr>
            </w:pPr>
          </w:p>
        </w:tc>
        <w:tc>
          <w:tcPr>
            <w:tcW w:w="6083" w:type="dxa"/>
          </w:tcPr>
          <w:p w14:paraId="47917B6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c）应建立终止变更并从失败的变更中恢复的程序，明确过程控制方法和人员职责，必要时对恢复过程进行演练。</w:t>
            </w:r>
          </w:p>
        </w:tc>
      </w:tr>
      <w:tr w14:paraId="798DF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21D1A51B">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5A789B8E">
            <w:pPr>
              <w:adjustRightInd w:val="0"/>
              <w:snapToGrid w:val="0"/>
              <w:spacing w:line="360" w:lineRule="auto"/>
              <w:rPr>
                <w:rFonts w:ascii="宋体" w:hAnsi="宋体" w:cs="宋体"/>
                <w:color w:val="auto"/>
                <w:sz w:val="24"/>
              </w:rPr>
            </w:pPr>
            <w:r>
              <w:rPr>
                <w:rFonts w:hint="eastAsia" w:ascii="宋体" w:hAnsi="宋体" w:cs="宋体"/>
                <w:color w:val="auto"/>
                <w:sz w:val="24"/>
              </w:rPr>
              <w:t>备份与恢复管理</w:t>
            </w:r>
          </w:p>
        </w:tc>
        <w:tc>
          <w:tcPr>
            <w:tcW w:w="6083" w:type="dxa"/>
          </w:tcPr>
          <w:p w14:paraId="4AB173A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a）应识别需要定期备份的重要业务信息、系统数据及软件系统等；</w:t>
            </w:r>
          </w:p>
        </w:tc>
      </w:tr>
      <w:tr w14:paraId="35438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6D766565">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50F23AC0">
            <w:pPr>
              <w:adjustRightInd w:val="0"/>
              <w:snapToGrid w:val="0"/>
              <w:spacing w:line="360" w:lineRule="auto"/>
              <w:ind w:firstLine="480" w:firstLineChars="200"/>
              <w:rPr>
                <w:rFonts w:ascii="宋体" w:hAnsi="宋体" w:cs="宋体"/>
                <w:color w:val="auto"/>
                <w:sz w:val="24"/>
              </w:rPr>
            </w:pPr>
          </w:p>
        </w:tc>
        <w:tc>
          <w:tcPr>
            <w:tcW w:w="6083" w:type="dxa"/>
          </w:tcPr>
          <w:p w14:paraId="5DD7233E">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b）应规定备份信息的备份方式、备份频度、存储介质和保存期等；</w:t>
            </w:r>
          </w:p>
        </w:tc>
      </w:tr>
      <w:tr w14:paraId="2F36F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08B28F46">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7D0ED0FE">
            <w:pPr>
              <w:adjustRightInd w:val="0"/>
              <w:snapToGrid w:val="0"/>
              <w:spacing w:line="360" w:lineRule="auto"/>
              <w:ind w:firstLine="480" w:firstLineChars="200"/>
              <w:rPr>
                <w:rFonts w:ascii="宋体" w:hAnsi="宋体" w:cs="宋体"/>
                <w:color w:val="auto"/>
                <w:sz w:val="24"/>
              </w:rPr>
            </w:pPr>
          </w:p>
        </w:tc>
        <w:tc>
          <w:tcPr>
            <w:tcW w:w="6083" w:type="dxa"/>
          </w:tcPr>
          <w:p w14:paraId="126EAD24">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c）应根据数据的重要性和数据对系统运行的影响，制定数据的备份策略和恢复策略，备份程序和恢复程序等。</w:t>
            </w:r>
          </w:p>
        </w:tc>
      </w:tr>
      <w:tr w14:paraId="00186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0024C466">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62CD00D6">
            <w:pPr>
              <w:adjustRightInd w:val="0"/>
              <w:snapToGrid w:val="0"/>
              <w:spacing w:line="360" w:lineRule="auto"/>
              <w:rPr>
                <w:rFonts w:ascii="宋体" w:hAnsi="宋体" w:cs="宋体"/>
                <w:color w:val="auto"/>
                <w:sz w:val="24"/>
              </w:rPr>
            </w:pPr>
            <w:r>
              <w:rPr>
                <w:rFonts w:hint="eastAsia" w:ascii="宋体" w:hAnsi="宋体" w:cs="宋体"/>
                <w:color w:val="auto"/>
                <w:sz w:val="24"/>
              </w:rPr>
              <w:t>安全事件处置</w:t>
            </w:r>
          </w:p>
        </w:tc>
        <w:tc>
          <w:tcPr>
            <w:tcW w:w="6083" w:type="dxa"/>
          </w:tcPr>
          <w:p w14:paraId="2100AB91">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a）应及时向安全管理部门报告所发现的安全弱点和可疑事件；</w:t>
            </w:r>
          </w:p>
        </w:tc>
      </w:tr>
      <w:tr w14:paraId="26451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21588642">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19D1556F">
            <w:pPr>
              <w:adjustRightInd w:val="0"/>
              <w:snapToGrid w:val="0"/>
              <w:spacing w:line="360" w:lineRule="auto"/>
              <w:ind w:firstLine="480" w:firstLineChars="200"/>
              <w:rPr>
                <w:rFonts w:ascii="宋体" w:hAnsi="宋体" w:cs="宋体"/>
                <w:color w:val="auto"/>
                <w:sz w:val="24"/>
              </w:rPr>
            </w:pPr>
          </w:p>
        </w:tc>
        <w:tc>
          <w:tcPr>
            <w:tcW w:w="6083" w:type="dxa"/>
          </w:tcPr>
          <w:p w14:paraId="58037992">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b）应制定安全事件报告和处置管理制度，明确不同安全事件的报告、处置和响应流程，规定安全事件的现场处理、事件报告和后期恢复的管理职责等；</w:t>
            </w:r>
          </w:p>
        </w:tc>
      </w:tr>
      <w:tr w14:paraId="79C41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15D5CE2E">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174A715B">
            <w:pPr>
              <w:adjustRightInd w:val="0"/>
              <w:snapToGrid w:val="0"/>
              <w:spacing w:line="360" w:lineRule="auto"/>
              <w:ind w:firstLine="480" w:firstLineChars="200"/>
              <w:rPr>
                <w:rFonts w:ascii="宋体" w:hAnsi="宋体" w:cs="宋体"/>
                <w:color w:val="auto"/>
                <w:sz w:val="24"/>
              </w:rPr>
            </w:pPr>
          </w:p>
        </w:tc>
        <w:tc>
          <w:tcPr>
            <w:tcW w:w="6083" w:type="dxa"/>
          </w:tcPr>
          <w:p w14:paraId="72D77DB5">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c）应在安全事件和响应处理过程中，分析和鉴定事件产生的原因，收集证据，记录处理过程，总结经验教训；</w:t>
            </w:r>
          </w:p>
        </w:tc>
      </w:tr>
      <w:tr w14:paraId="63852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3FE0CCC4">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1B0F7D54">
            <w:pPr>
              <w:adjustRightInd w:val="0"/>
              <w:snapToGrid w:val="0"/>
              <w:spacing w:line="360" w:lineRule="auto"/>
              <w:ind w:firstLine="480" w:firstLineChars="200"/>
              <w:rPr>
                <w:rFonts w:ascii="宋体" w:hAnsi="宋体" w:cs="宋体"/>
                <w:color w:val="auto"/>
                <w:sz w:val="24"/>
              </w:rPr>
            </w:pPr>
          </w:p>
        </w:tc>
        <w:tc>
          <w:tcPr>
            <w:tcW w:w="6083" w:type="dxa"/>
          </w:tcPr>
          <w:p w14:paraId="48088968">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D）对造成系统中断和造成信息泄露的重大安全事件应采用不同的处理程序和报告程序。</w:t>
            </w:r>
          </w:p>
        </w:tc>
      </w:tr>
      <w:tr w14:paraId="2144F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60F57245">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6A8896A5">
            <w:pPr>
              <w:adjustRightInd w:val="0"/>
              <w:snapToGrid w:val="0"/>
              <w:spacing w:line="360" w:lineRule="auto"/>
              <w:rPr>
                <w:rFonts w:ascii="宋体" w:hAnsi="宋体" w:cs="宋体"/>
                <w:color w:val="auto"/>
                <w:sz w:val="24"/>
              </w:rPr>
            </w:pPr>
            <w:r>
              <w:rPr>
                <w:rFonts w:hint="eastAsia" w:ascii="宋体" w:hAnsi="宋体" w:cs="宋体"/>
                <w:color w:val="auto"/>
                <w:sz w:val="24"/>
              </w:rPr>
              <w:t>应急预案管理</w:t>
            </w:r>
          </w:p>
        </w:tc>
        <w:tc>
          <w:tcPr>
            <w:tcW w:w="6083" w:type="dxa"/>
          </w:tcPr>
          <w:p w14:paraId="4C160C3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a)应规定统一的应急预案框架，包括启动预案的条件，应急组织构成，应急资源保障，事后教育和培训等内容；</w:t>
            </w:r>
          </w:p>
        </w:tc>
      </w:tr>
      <w:tr w14:paraId="141AA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59AF0329">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718D8E08">
            <w:pPr>
              <w:adjustRightInd w:val="0"/>
              <w:snapToGrid w:val="0"/>
              <w:spacing w:line="360" w:lineRule="auto"/>
              <w:ind w:firstLine="480" w:firstLineChars="200"/>
              <w:rPr>
                <w:rFonts w:ascii="宋体" w:hAnsi="宋体" w:cs="宋体"/>
                <w:color w:val="auto"/>
                <w:sz w:val="24"/>
              </w:rPr>
            </w:pPr>
          </w:p>
        </w:tc>
        <w:tc>
          <w:tcPr>
            <w:tcW w:w="6083" w:type="dxa"/>
          </w:tcPr>
          <w:p w14:paraId="471D25DA">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b）应制定重要事件的应急预案，包括应急处理流程、系统恢复流程等内容；</w:t>
            </w:r>
          </w:p>
        </w:tc>
      </w:tr>
      <w:tr w14:paraId="6FDAB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77AA99A3">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263B849E">
            <w:pPr>
              <w:adjustRightInd w:val="0"/>
              <w:snapToGrid w:val="0"/>
              <w:spacing w:line="360" w:lineRule="auto"/>
              <w:ind w:firstLine="480" w:firstLineChars="200"/>
              <w:rPr>
                <w:rFonts w:ascii="宋体" w:hAnsi="宋体" w:cs="宋体"/>
                <w:color w:val="auto"/>
                <w:sz w:val="24"/>
              </w:rPr>
            </w:pPr>
          </w:p>
        </w:tc>
        <w:tc>
          <w:tcPr>
            <w:tcW w:w="6083" w:type="dxa"/>
          </w:tcPr>
          <w:p w14:paraId="11DC687B">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c）应定期对系统相关的人员进行应急预案培训，并进行应急预案的演练；</w:t>
            </w:r>
          </w:p>
        </w:tc>
      </w:tr>
      <w:tr w14:paraId="25E58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317F4CA6">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589E3E5E">
            <w:pPr>
              <w:adjustRightInd w:val="0"/>
              <w:snapToGrid w:val="0"/>
              <w:spacing w:line="360" w:lineRule="auto"/>
              <w:ind w:firstLine="480" w:firstLineChars="200"/>
              <w:rPr>
                <w:rFonts w:ascii="宋体" w:hAnsi="宋体" w:cs="宋体"/>
                <w:color w:val="auto"/>
                <w:sz w:val="24"/>
              </w:rPr>
            </w:pPr>
          </w:p>
        </w:tc>
        <w:tc>
          <w:tcPr>
            <w:tcW w:w="6083" w:type="dxa"/>
          </w:tcPr>
          <w:p w14:paraId="331D1C55">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d)应定期对原有的应急预案重新评估，修订完善。</w:t>
            </w:r>
          </w:p>
        </w:tc>
      </w:tr>
      <w:tr w14:paraId="6AE75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43349E32">
            <w:pPr>
              <w:adjustRightInd w:val="0"/>
              <w:snapToGrid w:val="0"/>
              <w:spacing w:line="360" w:lineRule="auto"/>
              <w:ind w:firstLine="480" w:firstLineChars="200"/>
              <w:rPr>
                <w:rFonts w:ascii="宋体" w:hAnsi="宋体" w:cs="宋体"/>
                <w:color w:val="auto"/>
                <w:sz w:val="24"/>
              </w:rPr>
            </w:pPr>
          </w:p>
        </w:tc>
        <w:tc>
          <w:tcPr>
            <w:tcW w:w="1917" w:type="dxa"/>
            <w:vMerge w:val="restart"/>
            <w:vAlign w:val="center"/>
          </w:tcPr>
          <w:p w14:paraId="460EA62D">
            <w:pPr>
              <w:adjustRightInd w:val="0"/>
              <w:snapToGrid w:val="0"/>
              <w:spacing w:line="360" w:lineRule="auto"/>
              <w:rPr>
                <w:rFonts w:ascii="宋体" w:hAnsi="宋体" w:cs="宋体"/>
                <w:color w:val="auto"/>
                <w:sz w:val="24"/>
              </w:rPr>
            </w:pPr>
            <w:r>
              <w:rPr>
                <w:rFonts w:hint="eastAsia" w:ascii="宋体" w:hAnsi="宋体" w:cs="宋体"/>
                <w:color w:val="auto"/>
                <w:sz w:val="24"/>
              </w:rPr>
              <w:t>外包运维管理</w:t>
            </w:r>
          </w:p>
        </w:tc>
        <w:tc>
          <w:tcPr>
            <w:tcW w:w="6083" w:type="dxa"/>
          </w:tcPr>
          <w:p w14:paraId="13A82184">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a）应确保外包运维服务商的选择符合国家有关规定；</w:t>
            </w:r>
          </w:p>
        </w:tc>
      </w:tr>
      <w:tr w14:paraId="0ACBE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2" w:type="dxa"/>
            <w:vMerge w:val="continue"/>
            <w:vAlign w:val="center"/>
          </w:tcPr>
          <w:p w14:paraId="62B8C9B4">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34AABF24">
            <w:pPr>
              <w:adjustRightInd w:val="0"/>
              <w:snapToGrid w:val="0"/>
              <w:spacing w:line="360" w:lineRule="auto"/>
              <w:ind w:firstLine="480" w:firstLineChars="200"/>
              <w:rPr>
                <w:rFonts w:ascii="宋体" w:hAnsi="宋体" w:cs="宋体"/>
                <w:color w:val="auto"/>
                <w:sz w:val="24"/>
              </w:rPr>
            </w:pPr>
          </w:p>
        </w:tc>
        <w:tc>
          <w:tcPr>
            <w:tcW w:w="6083" w:type="dxa"/>
          </w:tcPr>
          <w:p w14:paraId="12E2E76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b）应与选定的外包运维服务商签订相关的协议，明确约定外包运维的范围、工作内容；</w:t>
            </w:r>
          </w:p>
        </w:tc>
      </w:tr>
      <w:tr w14:paraId="7C527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05D1DEF3">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620E4DA6">
            <w:pPr>
              <w:adjustRightInd w:val="0"/>
              <w:snapToGrid w:val="0"/>
              <w:spacing w:line="360" w:lineRule="auto"/>
              <w:ind w:firstLine="480" w:firstLineChars="200"/>
              <w:rPr>
                <w:rFonts w:ascii="宋体" w:hAnsi="宋体" w:cs="宋体"/>
                <w:color w:val="auto"/>
                <w:sz w:val="24"/>
              </w:rPr>
            </w:pPr>
          </w:p>
        </w:tc>
        <w:tc>
          <w:tcPr>
            <w:tcW w:w="6083" w:type="dxa"/>
          </w:tcPr>
          <w:p w14:paraId="1FA6A39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d）应保证选择的外包运维服务商在技术和管理方面均应具有按照等级保护要求开展安全运维工作的能力，并将能力在签订的协议中明确；</w:t>
            </w:r>
          </w:p>
        </w:tc>
      </w:tr>
      <w:tr w14:paraId="68B5E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2" w:type="dxa"/>
            <w:vMerge w:val="continue"/>
            <w:vAlign w:val="center"/>
          </w:tcPr>
          <w:p w14:paraId="2C3EF20F">
            <w:pPr>
              <w:adjustRightInd w:val="0"/>
              <w:snapToGrid w:val="0"/>
              <w:spacing w:line="360" w:lineRule="auto"/>
              <w:ind w:firstLine="480" w:firstLineChars="200"/>
              <w:rPr>
                <w:rFonts w:ascii="宋体" w:hAnsi="宋体" w:cs="宋体"/>
                <w:color w:val="auto"/>
                <w:sz w:val="24"/>
              </w:rPr>
            </w:pPr>
          </w:p>
        </w:tc>
        <w:tc>
          <w:tcPr>
            <w:tcW w:w="1917" w:type="dxa"/>
            <w:vMerge w:val="continue"/>
            <w:vAlign w:val="center"/>
          </w:tcPr>
          <w:p w14:paraId="48FF6365">
            <w:pPr>
              <w:adjustRightInd w:val="0"/>
              <w:snapToGrid w:val="0"/>
              <w:spacing w:line="360" w:lineRule="auto"/>
              <w:ind w:firstLine="480" w:firstLineChars="200"/>
              <w:rPr>
                <w:rFonts w:ascii="宋体" w:hAnsi="宋体" w:cs="宋体"/>
                <w:color w:val="auto"/>
                <w:sz w:val="24"/>
              </w:rPr>
            </w:pPr>
          </w:p>
        </w:tc>
        <w:tc>
          <w:tcPr>
            <w:tcW w:w="6083" w:type="dxa"/>
          </w:tcPr>
          <w:p w14:paraId="290F4B18">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d）应在与外包运维服务商签订的协议中明确所有相关的安全要求，如可能涉及对敏感信息的访问、处理、储存要求，对IT基础设施中断服务的应急保障要求等。</w:t>
            </w:r>
          </w:p>
        </w:tc>
      </w:tr>
    </w:tbl>
    <w:p w14:paraId="11AEFB0B">
      <w:pPr>
        <w:adjustRightInd w:val="0"/>
        <w:snapToGrid w:val="0"/>
        <w:spacing w:line="360" w:lineRule="auto"/>
        <w:ind w:firstLine="480" w:firstLineChars="200"/>
        <w:rPr>
          <w:rFonts w:ascii="宋体" w:hAnsi="宋体" w:cs="宋体"/>
          <w:color w:val="auto"/>
          <w:sz w:val="24"/>
        </w:rPr>
      </w:pPr>
    </w:p>
    <w:p w14:paraId="00A26D34">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项目管理要求</w:t>
      </w:r>
    </w:p>
    <w:p w14:paraId="50CD472C">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项目管理总体要求</w:t>
      </w:r>
    </w:p>
    <w:p w14:paraId="3640FFCC">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服务商应在被陕西警察学院统一组织协调下，开展好前期调研、现场实施和报告撰写等工作。测评机构所提供的项目经理和实施人员应是具有丰富经验和专业技能的技术骨干，应有同类项目经验。在测评机构以往参与的项目中，应具有项目实施、熟悉项目需求和团队建设方面的优势。测评机构应在项目全过程中严格遵循各项管理制度的要求，确保项目顺利开展。</w:t>
      </w:r>
    </w:p>
    <w:p w14:paraId="54FE5EA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本项目测评驻场人员要求：承担本次测评工作的供应商至少有1名高级测评师，2名中级测评师,2名初级测评师。本次等保测评服务不得转包或者分包，所有驻场测评师必须是测评机构自己的正式在职员工,所有驻场测评师必须持证上岗，响应文件中应提供项目组驻场人员名单以及社保主管部门出具的响应单位为其缴纳社保的证明、驻场人员信息安全等级测评师证书复印件及原件，未经采购方同意，项目组成员不得更改。</w:t>
      </w:r>
    </w:p>
    <w:p w14:paraId="27C4030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项目管理保密要求</w:t>
      </w:r>
    </w:p>
    <w:p w14:paraId="11FF4E70">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测评机构应与被测评单位签订正式保密协议，并在工作中坚持保密原则，确保应答人及其员工严格规范执行各项保密制度，杜绝任何泄密事件的发生。测评机构需明确将采取的保密措施，对员工的保密管理措施，以及一旦发生泄密事件将采取的措施、需承担的责任。</w:t>
      </w:r>
    </w:p>
    <w:p w14:paraId="5C3C5DA8">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项目风险控制</w:t>
      </w:r>
    </w:p>
    <w:p w14:paraId="2E45AF1F">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测评机构应能够对信息安全等级测评项目过程进行充分的风险考虑，并制定相应的风险规避措施和控制方法。在项目实施过程中，应做好计划与安排，不影响被测评单位正常业务工作的开展。</w:t>
      </w:r>
    </w:p>
    <w:p w14:paraId="42630E00">
      <w:pPr>
        <w:spacing w:line="360" w:lineRule="auto"/>
        <w:outlineLvl w:val="0"/>
        <w:rPr>
          <w:rFonts w:ascii="宋体" w:hAnsi="宋体" w:cs="宋体"/>
          <w:color w:val="auto"/>
          <w:sz w:val="24"/>
        </w:rPr>
        <w:sectPr>
          <w:pgSz w:w="11906" w:h="16838"/>
          <w:pgMar w:top="1304" w:right="1418" w:bottom="1304" w:left="1418" w:header="851" w:footer="992" w:gutter="0"/>
          <w:cols w:space="720" w:num="1"/>
          <w:docGrid w:type="lines" w:linePitch="312" w:charSpace="0"/>
        </w:sectPr>
      </w:pPr>
    </w:p>
    <w:p w14:paraId="241620A7">
      <w:pPr>
        <w:spacing w:line="360" w:lineRule="auto"/>
        <w:jc w:val="center"/>
        <w:rPr>
          <w:rStyle w:val="112"/>
          <w:color w:val="auto"/>
        </w:rPr>
      </w:pPr>
      <w:r>
        <w:rPr>
          <w:rStyle w:val="112"/>
          <w:rFonts w:hint="eastAsia"/>
          <w:color w:val="auto"/>
        </w:rPr>
        <w:t>第四章  商务及合同主要条款</w:t>
      </w:r>
    </w:p>
    <w:p w14:paraId="0F0A5A16">
      <w:pPr>
        <w:spacing w:line="360" w:lineRule="auto"/>
        <w:jc w:val="center"/>
        <w:rPr>
          <w:rFonts w:ascii="宋体" w:hAnsi="宋体"/>
          <w:color w:val="auto"/>
        </w:rPr>
      </w:pPr>
      <w:r>
        <w:rPr>
          <w:rStyle w:val="112"/>
          <w:rFonts w:hint="eastAsia"/>
          <w:color w:val="auto"/>
        </w:rPr>
        <w:t>（参考，最终以双方签订的正式合同为准）</w:t>
      </w:r>
    </w:p>
    <w:p w14:paraId="077BB72A">
      <w:pPr>
        <w:spacing w:line="360" w:lineRule="auto"/>
        <w:ind w:firstLine="480" w:firstLineChars="200"/>
        <w:rPr>
          <w:rFonts w:ascii="宋体" w:hAnsi="宋体"/>
          <w:color w:val="auto"/>
          <w:sz w:val="24"/>
        </w:rPr>
      </w:pPr>
      <w:bookmarkStart w:id="20" w:name="_Toc10779"/>
      <w:r>
        <w:rPr>
          <w:rFonts w:hint="eastAsia" w:ascii="宋体" w:hAnsi="宋体"/>
          <w:color w:val="auto"/>
          <w:sz w:val="24"/>
        </w:rPr>
        <w:t>一、合同内容及金额：即成交供应商的响应内容及其成交总金额。</w:t>
      </w:r>
    </w:p>
    <w:p w14:paraId="7B3E8623">
      <w:pPr>
        <w:spacing w:line="360" w:lineRule="auto"/>
        <w:ind w:firstLine="480" w:firstLineChars="200"/>
        <w:rPr>
          <w:rFonts w:ascii="宋体" w:hAnsi="宋体"/>
          <w:color w:val="auto"/>
          <w:sz w:val="24"/>
        </w:rPr>
      </w:pPr>
      <w:r>
        <w:rPr>
          <w:rFonts w:hint="eastAsia" w:ascii="宋体" w:hAnsi="宋体"/>
          <w:color w:val="auto"/>
          <w:sz w:val="24"/>
        </w:rPr>
        <w:t>二、知识产权：即成交供应商应保证采购人在使用成交服务时，不承担任何涉及知识产权法律诉讼的责任。</w:t>
      </w:r>
    </w:p>
    <w:p w14:paraId="3812E92E">
      <w:pPr>
        <w:spacing w:line="360" w:lineRule="auto"/>
        <w:ind w:firstLine="480" w:firstLineChars="200"/>
        <w:rPr>
          <w:rFonts w:ascii="宋体" w:hAnsi="宋体"/>
          <w:color w:val="auto"/>
          <w:sz w:val="24"/>
        </w:rPr>
      </w:pPr>
      <w:r>
        <w:rPr>
          <w:rFonts w:hint="eastAsia" w:ascii="宋体" w:hAnsi="宋体"/>
          <w:color w:val="auto"/>
          <w:sz w:val="24"/>
        </w:rPr>
        <w:t>三、服务期：</w:t>
      </w:r>
      <w:r>
        <w:rPr>
          <w:rFonts w:hint="eastAsia" w:ascii="宋体" w:hAnsi="宋体"/>
          <w:color w:val="auto"/>
          <w:kern w:val="0"/>
          <w:sz w:val="24"/>
          <w:shd w:val="clear" w:color="auto" w:fill="FFFFFF"/>
        </w:rPr>
        <w:t>文件</w:t>
      </w:r>
      <w:r>
        <w:rPr>
          <w:rFonts w:ascii="宋体" w:hAnsi="宋体"/>
          <w:color w:val="auto"/>
          <w:kern w:val="0"/>
          <w:sz w:val="24"/>
          <w:shd w:val="clear" w:color="auto" w:fill="FFFFFF"/>
        </w:rPr>
        <w:t>要求时间</w:t>
      </w:r>
    </w:p>
    <w:p w14:paraId="70C26991">
      <w:pPr>
        <w:spacing w:line="360" w:lineRule="auto"/>
        <w:ind w:firstLine="480" w:firstLineChars="200"/>
        <w:rPr>
          <w:rFonts w:ascii="宋体" w:hAnsi="宋体"/>
          <w:color w:val="auto"/>
          <w:sz w:val="24"/>
        </w:rPr>
      </w:pPr>
      <w:r>
        <w:rPr>
          <w:rFonts w:hint="eastAsia" w:ascii="宋体" w:hAnsi="宋体"/>
          <w:color w:val="auto"/>
          <w:sz w:val="24"/>
        </w:rPr>
        <w:t>成交供应商未征得采购人同意和谅解而单方面延迟服务期，将按违约终止合同。</w:t>
      </w:r>
    </w:p>
    <w:p w14:paraId="4112845F">
      <w:pPr>
        <w:spacing w:line="360" w:lineRule="auto"/>
        <w:ind w:firstLine="480" w:firstLineChars="200"/>
        <w:rPr>
          <w:rFonts w:ascii="宋体" w:hAnsi="宋体"/>
          <w:color w:val="auto"/>
          <w:sz w:val="24"/>
        </w:rPr>
      </w:pPr>
      <w:r>
        <w:rPr>
          <w:rFonts w:hint="eastAsia" w:ascii="宋体" w:hAnsi="宋体"/>
          <w:color w:val="auto"/>
          <w:sz w:val="24"/>
        </w:rPr>
        <w:t>成交供应商遇到可能妨碍提供服务的情况，应当及时以书面形式通知采购人，说明原由、拖延的期限等；采购人、采购代理机构在收到通知后，尽快进行情况评估并确定是否通过修改合同，酌情延长服务期限或者通过协商加收误期赔偿金。</w:t>
      </w:r>
    </w:p>
    <w:p w14:paraId="21990990">
      <w:pPr>
        <w:spacing w:line="360" w:lineRule="auto"/>
        <w:ind w:firstLine="480" w:firstLineChars="200"/>
        <w:rPr>
          <w:rFonts w:ascii="宋体" w:hAnsi="宋体"/>
          <w:color w:val="auto"/>
          <w:sz w:val="24"/>
        </w:rPr>
      </w:pPr>
      <w:r>
        <w:rPr>
          <w:rFonts w:hint="eastAsia" w:ascii="宋体" w:hAnsi="宋体"/>
          <w:color w:val="auto"/>
          <w:sz w:val="24"/>
        </w:rPr>
        <w:t>四、项目实施地点：采购人指定地点</w:t>
      </w:r>
    </w:p>
    <w:p w14:paraId="0D29A4ED">
      <w:pPr>
        <w:snapToGrid w:val="0"/>
        <w:spacing w:line="360" w:lineRule="auto"/>
        <w:ind w:firstLine="480" w:firstLineChars="200"/>
        <w:rPr>
          <w:rFonts w:ascii="宋体" w:hAnsi="宋体" w:cs="宋体"/>
          <w:color w:val="auto"/>
          <w:sz w:val="24"/>
        </w:rPr>
      </w:pPr>
      <w:r>
        <w:rPr>
          <w:rFonts w:hint="eastAsia" w:ascii="宋体" w:hAnsi="宋体"/>
          <w:color w:val="auto"/>
          <w:sz w:val="24"/>
        </w:rPr>
        <w:t>五、结算方式：</w:t>
      </w:r>
      <w:r>
        <w:rPr>
          <w:rFonts w:hint="eastAsia" w:ascii="宋体" w:hAnsi="宋体" w:cs="宋体"/>
          <w:color w:val="auto"/>
          <w:sz w:val="24"/>
        </w:rPr>
        <w:t>采购人结算</w:t>
      </w:r>
    </w:p>
    <w:p w14:paraId="3072ABF1">
      <w:pPr>
        <w:spacing w:line="360" w:lineRule="auto"/>
        <w:ind w:firstLine="480" w:firstLineChars="200"/>
        <w:rPr>
          <w:rFonts w:ascii="宋体" w:hAnsi="宋体" w:cs="宋体"/>
          <w:color w:val="auto"/>
          <w:sz w:val="24"/>
        </w:rPr>
      </w:pPr>
      <w:r>
        <w:rPr>
          <w:rFonts w:hint="eastAsia" w:ascii="宋体" w:hAnsi="宋体" w:cs="宋体"/>
          <w:color w:val="auto"/>
          <w:sz w:val="24"/>
        </w:rPr>
        <w:t>付款方式：项目实施结束后，甲方向乙方一次性支付合同金额的100%</w:t>
      </w:r>
      <w:r>
        <w:rPr>
          <w:rFonts w:ascii="宋体" w:hAnsi="宋体" w:cs="宋体"/>
          <w:color w:val="auto"/>
          <w:sz w:val="24"/>
        </w:rPr>
        <w:t>。</w:t>
      </w:r>
    </w:p>
    <w:p w14:paraId="48B5AA22">
      <w:pPr>
        <w:spacing w:line="360" w:lineRule="auto"/>
        <w:ind w:firstLine="480" w:firstLineChars="200"/>
        <w:rPr>
          <w:rFonts w:ascii="宋体" w:hAnsi="宋体"/>
          <w:color w:val="auto"/>
          <w:sz w:val="24"/>
        </w:rPr>
      </w:pPr>
      <w:r>
        <w:rPr>
          <w:rFonts w:hint="eastAsia" w:ascii="宋体" w:hAnsi="宋体"/>
          <w:color w:val="auto"/>
          <w:sz w:val="24"/>
        </w:rPr>
        <w:t>六、服务质量</w:t>
      </w:r>
    </w:p>
    <w:p w14:paraId="282172AC">
      <w:pPr>
        <w:spacing w:line="360" w:lineRule="auto"/>
        <w:ind w:firstLine="480" w:firstLineChars="200"/>
        <w:rPr>
          <w:rFonts w:ascii="宋体" w:hAnsi="宋体"/>
          <w:color w:val="auto"/>
          <w:sz w:val="24"/>
        </w:rPr>
      </w:pPr>
      <w:r>
        <w:rPr>
          <w:rFonts w:hint="eastAsia" w:ascii="宋体" w:hAnsi="宋体"/>
          <w:color w:val="auto"/>
          <w:sz w:val="24"/>
        </w:rPr>
        <w:t>1、在服务期限内，如果发现任何一项不符，采购人应在最短时间内，以书面形式向成交供应商提出索赔。同时通告采购代理机构。</w:t>
      </w:r>
    </w:p>
    <w:p w14:paraId="29571E1F">
      <w:pPr>
        <w:spacing w:line="360" w:lineRule="auto"/>
        <w:ind w:firstLine="480" w:firstLineChars="200"/>
        <w:rPr>
          <w:rFonts w:ascii="宋体" w:hAnsi="宋体"/>
          <w:color w:val="auto"/>
          <w:sz w:val="24"/>
        </w:rPr>
      </w:pPr>
      <w:r>
        <w:rPr>
          <w:rFonts w:hint="eastAsia" w:ascii="宋体" w:hAnsi="宋体"/>
          <w:color w:val="auto"/>
          <w:sz w:val="24"/>
        </w:rPr>
        <w:t>2、服务期限内，项目所产生的费用均由成交供应商承担。</w:t>
      </w:r>
    </w:p>
    <w:p w14:paraId="42A06789">
      <w:pPr>
        <w:spacing w:line="360" w:lineRule="auto"/>
        <w:ind w:firstLine="480" w:firstLineChars="200"/>
        <w:rPr>
          <w:rFonts w:ascii="宋体" w:hAnsi="宋体"/>
          <w:color w:val="auto"/>
          <w:sz w:val="24"/>
        </w:rPr>
      </w:pPr>
      <w:r>
        <w:rPr>
          <w:rFonts w:hint="eastAsia" w:ascii="宋体" w:hAnsi="宋体"/>
          <w:color w:val="auto"/>
          <w:sz w:val="24"/>
        </w:rPr>
        <w:t>七、采购项目执行内容需要调整时，经采购人同意后，可以对相应的内容进行调整，并协商确定价格差额计算方法和负担办法。</w:t>
      </w:r>
    </w:p>
    <w:p w14:paraId="6A89CCDA">
      <w:pPr>
        <w:spacing w:line="360" w:lineRule="auto"/>
        <w:ind w:firstLine="480" w:firstLineChars="200"/>
        <w:rPr>
          <w:rFonts w:ascii="宋体" w:hAnsi="宋体"/>
          <w:color w:val="auto"/>
          <w:sz w:val="24"/>
        </w:rPr>
      </w:pPr>
      <w:r>
        <w:rPr>
          <w:rFonts w:hint="eastAsia" w:ascii="宋体" w:hAnsi="宋体"/>
          <w:color w:val="auto"/>
          <w:sz w:val="24"/>
        </w:rPr>
        <w:t>八、合同争议的解决：合同执行中发生争议的，当事人双方应协商解决，协商达不成一致时，可向人民法院提请诉讼。</w:t>
      </w:r>
    </w:p>
    <w:p w14:paraId="01B17685">
      <w:pPr>
        <w:spacing w:line="360" w:lineRule="auto"/>
        <w:ind w:firstLine="480" w:firstLineChars="200"/>
        <w:rPr>
          <w:rFonts w:ascii="宋体" w:hAnsi="宋体"/>
          <w:color w:val="auto"/>
          <w:sz w:val="24"/>
        </w:rPr>
      </w:pPr>
      <w:r>
        <w:rPr>
          <w:rFonts w:hint="eastAsia" w:ascii="宋体" w:hAnsi="宋体"/>
          <w:color w:val="auto"/>
          <w:sz w:val="24"/>
        </w:rPr>
        <w:t>九、在发生不可抗力情况下的应对措施和解决办法。</w:t>
      </w:r>
    </w:p>
    <w:p w14:paraId="14B45B28">
      <w:pPr>
        <w:spacing w:line="360" w:lineRule="auto"/>
        <w:ind w:firstLine="480" w:firstLineChars="200"/>
        <w:rPr>
          <w:rFonts w:ascii="宋体" w:hAnsi="宋体"/>
          <w:color w:val="auto"/>
          <w:sz w:val="24"/>
        </w:rPr>
      </w:pPr>
      <w:r>
        <w:rPr>
          <w:rFonts w:hint="eastAsia" w:ascii="宋体" w:hAnsi="宋体"/>
          <w:color w:val="auto"/>
          <w:sz w:val="24"/>
        </w:rPr>
        <w:t>十、合同一经签订，不得擅自变更、中止或者终止合同。对确需变更、调整或者中止、终止合同的，应按规定履行相应的手续。</w:t>
      </w:r>
    </w:p>
    <w:p w14:paraId="4CEB1331">
      <w:pPr>
        <w:spacing w:line="360" w:lineRule="auto"/>
        <w:ind w:firstLine="480" w:firstLineChars="200"/>
        <w:rPr>
          <w:rFonts w:ascii="宋体" w:hAnsi="宋体"/>
          <w:color w:val="auto"/>
          <w:sz w:val="24"/>
        </w:rPr>
      </w:pPr>
      <w:r>
        <w:rPr>
          <w:rFonts w:hint="eastAsia" w:ascii="宋体" w:hAnsi="宋体"/>
          <w:color w:val="auto"/>
          <w:sz w:val="24"/>
        </w:rPr>
        <w:t>十一、违约责任：依据《中华人民共和国民法典》、《中华人民共和国政府采购法》的相关条款和本合同约定，成交供应商未全面履行合同义务或者发生违约，采购人会同采购代理机构有权终止合同，依法向成交供应商进行经济索赔，并报请采购监督管理机关进行相应的行政处罚。采购人违约的，应当赔偿给成交供应商造成的经济损失。</w:t>
      </w:r>
    </w:p>
    <w:p w14:paraId="62D9027C">
      <w:pPr>
        <w:spacing w:line="360" w:lineRule="auto"/>
        <w:ind w:firstLine="480" w:firstLineChars="200"/>
        <w:rPr>
          <w:rFonts w:ascii="宋体" w:hAnsi="宋体"/>
          <w:color w:val="auto"/>
          <w:sz w:val="24"/>
        </w:rPr>
      </w:pPr>
      <w:r>
        <w:rPr>
          <w:rFonts w:hint="eastAsia" w:ascii="宋体" w:hAnsi="宋体"/>
          <w:color w:val="auto"/>
          <w:sz w:val="24"/>
        </w:rPr>
        <w:t>十二、本合同一式肆份，甲方、乙方、采购代理机构各执壹份，政府采购管理部门备案壹份。签字盖章后生效，合同执行完毕自动失效（合同的服务承诺则长期有效）。</w:t>
      </w:r>
    </w:p>
    <w:p w14:paraId="7F1C8ACA">
      <w:pPr>
        <w:spacing w:line="360" w:lineRule="auto"/>
        <w:ind w:firstLine="480" w:firstLineChars="200"/>
        <w:rPr>
          <w:rFonts w:ascii="宋体" w:hAnsi="宋体"/>
          <w:color w:val="auto"/>
          <w:sz w:val="24"/>
        </w:rPr>
      </w:pPr>
      <w:r>
        <w:rPr>
          <w:rFonts w:hint="eastAsia" w:ascii="宋体" w:hAnsi="宋体"/>
          <w:color w:val="auto"/>
          <w:sz w:val="24"/>
        </w:rPr>
        <w:t>十三、其它（在合同中具体明确）</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0"/>
        <w:gridCol w:w="4441"/>
      </w:tblGrid>
      <w:tr w14:paraId="49747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0A186F6F">
            <w:pPr>
              <w:spacing w:line="360" w:lineRule="auto"/>
              <w:jc w:val="left"/>
              <w:rPr>
                <w:rFonts w:ascii="宋体" w:hAnsi="宋体"/>
                <w:color w:val="auto"/>
                <w:sz w:val="24"/>
              </w:rPr>
            </w:pPr>
            <w:r>
              <w:rPr>
                <w:rFonts w:hint="eastAsia" w:ascii="宋体" w:hAnsi="宋体"/>
                <w:color w:val="auto"/>
                <w:sz w:val="24"/>
              </w:rPr>
              <w:t>甲  方</w:t>
            </w:r>
          </w:p>
        </w:tc>
        <w:tc>
          <w:tcPr>
            <w:tcW w:w="4441" w:type="dxa"/>
            <w:tcBorders>
              <w:top w:val="single" w:color="auto" w:sz="4" w:space="0"/>
              <w:left w:val="single" w:color="auto" w:sz="4" w:space="0"/>
              <w:bottom w:val="single" w:color="auto" w:sz="4" w:space="0"/>
              <w:right w:val="single" w:color="auto" w:sz="4" w:space="0"/>
            </w:tcBorders>
            <w:vAlign w:val="center"/>
          </w:tcPr>
          <w:p w14:paraId="06C567B9">
            <w:pPr>
              <w:spacing w:line="360" w:lineRule="auto"/>
              <w:jc w:val="left"/>
              <w:rPr>
                <w:rFonts w:ascii="宋体" w:hAnsi="宋体"/>
                <w:color w:val="auto"/>
                <w:sz w:val="24"/>
              </w:rPr>
            </w:pPr>
            <w:r>
              <w:rPr>
                <w:rFonts w:hint="eastAsia" w:ascii="宋体" w:hAnsi="宋体"/>
                <w:color w:val="auto"/>
                <w:sz w:val="24"/>
              </w:rPr>
              <w:t>乙  方</w:t>
            </w:r>
          </w:p>
        </w:tc>
      </w:tr>
      <w:tr w14:paraId="5A640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024C38F0">
            <w:pPr>
              <w:spacing w:line="360" w:lineRule="auto"/>
              <w:jc w:val="left"/>
              <w:rPr>
                <w:rFonts w:ascii="宋体" w:hAnsi="宋体"/>
                <w:color w:val="auto"/>
                <w:sz w:val="24"/>
              </w:rPr>
            </w:pPr>
            <w:r>
              <w:rPr>
                <w:rFonts w:hint="eastAsia" w:ascii="宋体" w:hAnsi="宋体"/>
                <w:color w:val="auto"/>
                <w:sz w:val="24"/>
              </w:rPr>
              <w:t>（盖章）</w:t>
            </w:r>
          </w:p>
        </w:tc>
        <w:tc>
          <w:tcPr>
            <w:tcW w:w="4441" w:type="dxa"/>
            <w:tcBorders>
              <w:top w:val="single" w:color="auto" w:sz="4" w:space="0"/>
              <w:left w:val="single" w:color="auto" w:sz="4" w:space="0"/>
              <w:bottom w:val="single" w:color="auto" w:sz="4" w:space="0"/>
              <w:right w:val="single" w:color="auto" w:sz="4" w:space="0"/>
            </w:tcBorders>
            <w:vAlign w:val="center"/>
          </w:tcPr>
          <w:p w14:paraId="580B4F8B">
            <w:pPr>
              <w:spacing w:line="360" w:lineRule="auto"/>
              <w:jc w:val="left"/>
              <w:rPr>
                <w:rFonts w:ascii="宋体" w:hAnsi="宋体"/>
                <w:color w:val="auto"/>
                <w:sz w:val="24"/>
              </w:rPr>
            </w:pPr>
            <w:r>
              <w:rPr>
                <w:rFonts w:hint="eastAsia" w:ascii="宋体" w:hAnsi="宋体"/>
                <w:color w:val="auto"/>
                <w:sz w:val="24"/>
              </w:rPr>
              <w:t>成交供应商全称</w:t>
            </w:r>
          </w:p>
          <w:p w14:paraId="5DE444BC">
            <w:pPr>
              <w:spacing w:line="360" w:lineRule="auto"/>
              <w:jc w:val="left"/>
              <w:rPr>
                <w:rFonts w:ascii="宋体" w:hAnsi="宋体"/>
                <w:color w:val="auto"/>
                <w:sz w:val="24"/>
              </w:rPr>
            </w:pPr>
            <w:r>
              <w:rPr>
                <w:rFonts w:hint="eastAsia" w:ascii="宋体" w:hAnsi="宋体"/>
                <w:color w:val="auto"/>
                <w:sz w:val="24"/>
              </w:rPr>
              <w:t>（盖章）</w:t>
            </w:r>
          </w:p>
        </w:tc>
      </w:tr>
      <w:tr w14:paraId="4DD0F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4515CA40">
            <w:pPr>
              <w:spacing w:line="360" w:lineRule="auto"/>
              <w:jc w:val="left"/>
              <w:rPr>
                <w:rFonts w:ascii="宋体" w:hAnsi="宋体"/>
                <w:color w:val="auto"/>
                <w:sz w:val="24"/>
              </w:rPr>
            </w:pPr>
            <w:r>
              <w:rPr>
                <w:rFonts w:hint="eastAsia" w:ascii="宋体" w:hAnsi="宋体"/>
                <w:color w:val="auto"/>
                <w:sz w:val="24"/>
              </w:rPr>
              <w:t>地址：</w:t>
            </w:r>
          </w:p>
        </w:tc>
        <w:tc>
          <w:tcPr>
            <w:tcW w:w="4441" w:type="dxa"/>
            <w:tcBorders>
              <w:top w:val="single" w:color="auto" w:sz="4" w:space="0"/>
              <w:left w:val="single" w:color="auto" w:sz="4" w:space="0"/>
              <w:bottom w:val="single" w:color="auto" w:sz="4" w:space="0"/>
              <w:right w:val="single" w:color="auto" w:sz="4" w:space="0"/>
            </w:tcBorders>
            <w:vAlign w:val="center"/>
          </w:tcPr>
          <w:p w14:paraId="51F5E231">
            <w:pPr>
              <w:spacing w:line="360" w:lineRule="auto"/>
              <w:jc w:val="left"/>
              <w:rPr>
                <w:rFonts w:ascii="宋体" w:hAnsi="宋体"/>
                <w:color w:val="auto"/>
                <w:sz w:val="24"/>
              </w:rPr>
            </w:pPr>
            <w:r>
              <w:rPr>
                <w:rFonts w:hint="eastAsia" w:ascii="宋体" w:hAnsi="宋体"/>
                <w:color w:val="auto"/>
                <w:sz w:val="24"/>
              </w:rPr>
              <w:t>地址：</w:t>
            </w:r>
          </w:p>
        </w:tc>
      </w:tr>
      <w:tr w14:paraId="41CAF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5AC799CD">
            <w:pPr>
              <w:spacing w:line="360" w:lineRule="auto"/>
              <w:jc w:val="left"/>
              <w:rPr>
                <w:rFonts w:ascii="宋体" w:hAnsi="宋体"/>
                <w:color w:val="auto"/>
                <w:sz w:val="24"/>
              </w:rPr>
            </w:pPr>
            <w:r>
              <w:rPr>
                <w:rFonts w:hint="eastAsia" w:ascii="宋体" w:hAnsi="宋体"/>
                <w:color w:val="auto"/>
                <w:sz w:val="24"/>
              </w:rPr>
              <w:t>邮编：</w:t>
            </w:r>
          </w:p>
        </w:tc>
        <w:tc>
          <w:tcPr>
            <w:tcW w:w="4441" w:type="dxa"/>
            <w:tcBorders>
              <w:top w:val="single" w:color="auto" w:sz="4" w:space="0"/>
              <w:left w:val="single" w:color="auto" w:sz="4" w:space="0"/>
              <w:bottom w:val="single" w:color="auto" w:sz="4" w:space="0"/>
              <w:right w:val="single" w:color="auto" w:sz="4" w:space="0"/>
            </w:tcBorders>
            <w:vAlign w:val="center"/>
          </w:tcPr>
          <w:p w14:paraId="2F1313D7">
            <w:pPr>
              <w:spacing w:line="360" w:lineRule="auto"/>
              <w:jc w:val="left"/>
              <w:rPr>
                <w:rFonts w:ascii="宋体" w:hAnsi="宋体"/>
                <w:color w:val="auto"/>
                <w:sz w:val="24"/>
              </w:rPr>
            </w:pPr>
            <w:r>
              <w:rPr>
                <w:rFonts w:hint="eastAsia" w:ascii="宋体" w:hAnsi="宋体"/>
                <w:color w:val="auto"/>
                <w:sz w:val="24"/>
              </w:rPr>
              <w:t>邮编：</w:t>
            </w:r>
          </w:p>
        </w:tc>
      </w:tr>
      <w:tr w14:paraId="44C5D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vMerge w:val="restart"/>
            <w:tcBorders>
              <w:top w:val="single" w:color="auto" w:sz="4" w:space="0"/>
              <w:left w:val="single" w:color="auto" w:sz="4" w:space="0"/>
              <w:right w:val="single" w:color="auto" w:sz="4" w:space="0"/>
            </w:tcBorders>
            <w:vAlign w:val="center"/>
          </w:tcPr>
          <w:p w14:paraId="27877582">
            <w:pPr>
              <w:spacing w:line="360" w:lineRule="auto"/>
              <w:jc w:val="left"/>
              <w:rPr>
                <w:rFonts w:ascii="宋体" w:hAnsi="宋体"/>
                <w:color w:val="auto"/>
                <w:sz w:val="24"/>
              </w:rPr>
            </w:pPr>
            <w:r>
              <w:rPr>
                <w:rFonts w:hint="eastAsia" w:ascii="宋体" w:hAnsi="宋体"/>
                <w:color w:val="auto"/>
                <w:sz w:val="24"/>
              </w:rPr>
              <w:t>全权代表：（签字）</w:t>
            </w:r>
          </w:p>
        </w:tc>
        <w:tc>
          <w:tcPr>
            <w:tcW w:w="4441" w:type="dxa"/>
            <w:tcBorders>
              <w:top w:val="single" w:color="auto" w:sz="4" w:space="0"/>
              <w:left w:val="single" w:color="auto" w:sz="4" w:space="0"/>
              <w:bottom w:val="single" w:color="auto" w:sz="4" w:space="0"/>
              <w:right w:val="single" w:color="auto" w:sz="4" w:space="0"/>
            </w:tcBorders>
            <w:vAlign w:val="center"/>
          </w:tcPr>
          <w:p w14:paraId="7D61E074">
            <w:pPr>
              <w:spacing w:line="360" w:lineRule="auto"/>
              <w:jc w:val="left"/>
              <w:rPr>
                <w:rFonts w:ascii="宋体" w:hAnsi="宋体"/>
                <w:color w:val="auto"/>
                <w:sz w:val="24"/>
              </w:rPr>
            </w:pPr>
            <w:r>
              <w:rPr>
                <w:rFonts w:hint="eastAsia" w:ascii="宋体" w:hAnsi="宋体"/>
                <w:color w:val="auto"/>
                <w:sz w:val="24"/>
              </w:rPr>
              <w:t>法定代表人：</w:t>
            </w:r>
          </w:p>
        </w:tc>
      </w:tr>
      <w:tr w14:paraId="4D387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440" w:type="dxa"/>
            <w:vMerge w:val="continue"/>
            <w:tcBorders>
              <w:left w:val="single" w:color="auto" w:sz="4" w:space="0"/>
              <w:bottom w:val="single" w:color="auto" w:sz="4" w:space="0"/>
              <w:right w:val="single" w:color="auto" w:sz="4" w:space="0"/>
            </w:tcBorders>
            <w:vAlign w:val="center"/>
          </w:tcPr>
          <w:p w14:paraId="09F5ED46">
            <w:pPr>
              <w:spacing w:line="360" w:lineRule="auto"/>
              <w:jc w:val="left"/>
              <w:rPr>
                <w:rFonts w:ascii="宋体" w:hAnsi="宋体"/>
                <w:color w:val="auto"/>
                <w:sz w:val="24"/>
              </w:rPr>
            </w:pPr>
          </w:p>
        </w:tc>
        <w:tc>
          <w:tcPr>
            <w:tcW w:w="4441" w:type="dxa"/>
            <w:tcBorders>
              <w:top w:val="single" w:color="auto" w:sz="4" w:space="0"/>
              <w:left w:val="single" w:color="auto" w:sz="4" w:space="0"/>
              <w:bottom w:val="single" w:color="auto" w:sz="4" w:space="0"/>
              <w:right w:val="single" w:color="auto" w:sz="4" w:space="0"/>
            </w:tcBorders>
            <w:vAlign w:val="center"/>
          </w:tcPr>
          <w:p w14:paraId="0DBC6D4F">
            <w:pPr>
              <w:spacing w:line="360" w:lineRule="auto"/>
              <w:jc w:val="left"/>
              <w:rPr>
                <w:rFonts w:ascii="宋体" w:hAnsi="宋体"/>
                <w:color w:val="auto"/>
                <w:sz w:val="24"/>
              </w:rPr>
            </w:pPr>
            <w:r>
              <w:rPr>
                <w:rFonts w:hint="eastAsia" w:ascii="宋体" w:hAnsi="宋体"/>
                <w:color w:val="auto"/>
                <w:sz w:val="24"/>
              </w:rPr>
              <w:t>被授权代表：（签字）</w:t>
            </w:r>
          </w:p>
        </w:tc>
      </w:tr>
      <w:tr w14:paraId="52C9F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3E19EFD2">
            <w:pPr>
              <w:spacing w:line="360" w:lineRule="auto"/>
              <w:jc w:val="left"/>
              <w:rPr>
                <w:rFonts w:ascii="宋体" w:hAnsi="宋体"/>
                <w:color w:val="auto"/>
                <w:sz w:val="24"/>
              </w:rPr>
            </w:pPr>
            <w:r>
              <w:rPr>
                <w:rFonts w:hint="eastAsia" w:ascii="宋体" w:hAnsi="宋体"/>
                <w:color w:val="auto"/>
                <w:sz w:val="24"/>
              </w:rPr>
              <w:t>电话：</w:t>
            </w:r>
          </w:p>
        </w:tc>
        <w:tc>
          <w:tcPr>
            <w:tcW w:w="4441" w:type="dxa"/>
            <w:tcBorders>
              <w:top w:val="single" w:color="auto" w:sz="4" w:space="0"/>
              <w:left w:val="single" w:color="auto" w:sz="4" w:space="0"/>
              <w:bottom w:val="single" w:color="auto" w:sz="4" w:space="0"/>
              <w:right w:val="single" w:color="auto" w:sz="4" w:space="0"/>
            </w:tcBorders>
            <w:vAlign w:val="center"/>
          </w:tcPr>
          <w:p w14:paraId="7FB4B454">
            <w:pPr>
              <w:spacing w:line="360" w:lineRule="auto"/>
              <w:jc w:val="left"/>
              <w:rPr>
                <w:rFonts w:ascii="宋体" w:hAnsi="宋体"/>
                <w:color w:val="auto"/>
                <w:sz w:val="24"/>
              </w:rPr>
            </w:pPr>
            <w:r>
              <w:rPr>
                <w:rFonts w:hint="eastAsia" w:ascii="宋体" w:hAnsi="宋体"/>
                <w:color w:val="auto"/>
                <w:sz w:val="24"/>
              </w:rPr>
              <w:t>电话：</w:t>
            </w:r>
          </w:p>
        </w:tc>
      </w:tr>
      <w:tr w14:paraId="53695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132DDA96">
            <w:pPr>
              <w:spacing w:line="360" w:lineRule="auto"/>
              <w:jc w:val="left"/>
              <w:rPr>
                <w:rFonts w:ascii="宋体" w:hAnsi="宋体"/>
                <w:color w:val="auto"/>
                <w:sz w:val="24"/>
              </w:rPr>
            </w:pPr>
            <w:r>
              <w:rPr>
                <w:rFonts w:hint="eastAsia" w:ascii="宋体" w:hAnsi="宋体"/>
                <w:color w:val="auto"/>
                <w:sz w:val="24"/>
              </w:rPr>
              <w:t>传真：</w:t>
            </w:r>
          </w:p>
        </w:tc>
        <w:tc>
          <w:tcPr>
            <w:tcW w:w="4441" w:type="dxa"/>
            <w:tcBorders>
              <w:top w:val="single" w:color="auto" w:sz="4" w:space="0"/>
              <w:left w:val="single" w:color="auto" w:sz="4" w:space="0"/>
              <w:bottom w:val="single" w:color="auto" w:sz="4" w:space="0"/>
              <w:right w:val="single" w:color="auto" w:sz="4" w:space="0"/>
            </w:tcBorders>
            <w:vAlign w:val="center"/>
          </w:tcPr>
          <w:p w14:paraId="4D64DFE3">
            <w:pPr>
              <w:spacing w:line="360" w:lineRule="auto"/>
              <w:jc w:val="left"/>
              <w:rPr>
                <w:rFonts w:ascii="宋体" w:hAnsi="宋体"/>
                <w:color w:val="auto"/>
                <w:sz w:val="24"/>
              </w:rPr>
            </w:pPr>
            <w:r>
              <w:rPr>
                <w:rFonts w:hint="eastAsia" w:ascii="宋体" w:hAnsi="宋体"/>
                <w:color w:val="auto"/>
                <w:sz w:val="24"/>
              </w:rPr>
              <w:t>传真：</w:t>
            </w:r>
          </w:p>
        </w:tc>
      </w:tr>
      <w:tr w14:paraId="4DA57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38F17122">
            <w:pPr>
              <w:spacing w:line="360" w:lineRule="auto"/>
              <w:jc w:val="left"/>
              <w:rPr>
                <w:rFonts w:ascii="宋体" w:hAnsi="宋体"/>
                <w:color w:val="auto"/>
                <w:sz w:val="24"/>
              </w:rPr>
            </w:pPr>
          </w:p>
        </w:tc>
        <w:tc>
          <w:tcPr>
            <w:tcW w:w="4441" w:type="dxa"/>
            <w:tcBorders>
              <w:top w:val="single" w:color="auto" w:sz="4" w:space="0"/>
              <w:left w:val="single" w:color="auto" w:sz="4" w:space="0"/>
              <w:bottom w:val="single" w:color="auto" w:sz="4" w:space="0"/>
              <w:right w:val="single" w:color="auto" w:sz="4" w:space="0"/>
            </w:tcBorders>
            <w:vAlign w:val="center"/>
          </w:tcPr>
          <w:p w14:paraId="2EBA362E">
            <w:pPr>
              <w:spacing w:line="360" w:lineRule="auto"/>
              <w:jc w:val="left"/>
              <w:rPr>
                <w:rFonts w:ascii="宋体" w:hAnsi="宋体"/>
                <w:color w:val="auto"/>
                <w:sz w:val="24"/>
              </w:rPr>
            </w:pPr>
            <w:r>
              <w:rPr>
                <w:rFonts w:hint="eastAsia" w:ascii="宋体" w:hAnsi="宋体"/>
                <w:color w:val="auto"/>
                <w:sz w:val="24"/>
              </w:rPr>
              <w:t>开户银行：</w:t>
            </w:r>
          </w:p>
        </w:tc>
      </w:tr>
      <w:tr w14:paraId="60F3B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00F77D43">
            <w:pPr>
              <w:spacing w:line="360" w:lineRule="auto"/>
              <w:jc w:val="left"/>
              <w:rPr>
                <w:rFonts w:ascii="宋体" w:hAnsi="宋体"/>
                <w:color w:val="auto"/>
                <w:sz w:val="24"/>
              </w:rPr>
            </w:pPr>
          </w:p>
        </w:tc>
        <w:tc>
          <w:tcPr>
            <w:tcW w:w="4441" w:type="dxa"/>
            <w:tcBorders>
              <w:top w:val="single" w:color="auto" w:sz="4" w:space="0"/>
              <w:left w:val="single" w:color="auto" w:sz="4" w:space="0"/>
              <w:bottom w:val="single" w:color="auto" w:sz="4" w:space="0"/>
              <w:right w:val="single" w:color="auto" w:sz="4" w:space="0"/>
            </w:tcBorders>
            <w:vAlign w:val="center"/>
          </w:tcPr>
          <w:p w14:paraId="2AFCECAB">
            <w:pPr>
              <w:spacing w:line="360" w:lineRule="auto"/>
              <w:jc w:val="left"/>
              <w:rPr>
                <w:rFonts w:ascii="宋体" w:hAnsi="宋体"/>
                <w:color w:val="auto"/>
                <w:sz w:val="24"/>
              </w:rPr>
            </w:pPr>
            <w:r>
              <w:rPr>
                <w:rFonts w:hint="eastAsia" w:ascii="宋体" w:hAnsi="宋体"/>
                <w:color w:val="auto"/>
                <w:sz w:val="24"/>
              </w:rPr>
              <w:t>账号:</w:t>
            </w:r>
          </w:p>
        </w:tc>
      </w:tr>
      <w:tr w14:paraId="36891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35E399A3">
            <w:pPr>
              <w:spacing w:line="360" w:lineRule="auto"/>
              <w:jc w:val="left"/>
              <w:rPr>
                <w:rFonts w:ascii="宋体" w:hAnsi="宋体"/>
                <w:color w:val="auto"/>
                <w:sz w:val="24"/>
              </w:rPr>
            </w:pPr>
            <w:r>
              <w:rPr>
                <w:rFonts w:hint="eastAsia" w:ascii="宋体" w:hAnsi="宋体"/>
                <w:color w:val="auto"/>
                <w:sz w:val="24"/>
              </w:rPr>
              <w:t>日期：  年   月   日</w:t>
            </w:r>
          </w:p>
        </w:tc>
        <w:tc>
          <w:tcPr>
            <w:tcW w:w="4441" w:type="dxa"/>
            <w:tcBorders>
              <w:top w:val="single" w:color="auto" w:sz="4" w:space="0"/>
              <w:left w:val="single" w:color="auto" w:sz="4" w:space="0"/>
              <w:bottom w:val="single" w:color="auto" w:sz="4" w:space="0"/>
              <w:right w:val="single" w:color="auto" w:sz="4" w:space="0"/>
            </w:tcBorders>
            <w:vAlign w:val="center"/>
          </w:tcPr>
          <w:p w14:paraId="2A0EFD66">
            <w:pPr>
              <w:spacing w:line="360" w:lineRule="auto"/>
              <w:jc w:val="left"/>
              <w:rPr>
                <w:rFonts w:ascii="宋体" w:hAnsi="宋体"/>
                <w:color w:val="auto"/>
                <w:sz w:val="24"/>
              </w:rPr>
            </w:pPr>
            <w:r>
              <w:rPr>
                <w:rFonts w:hint="eastAsia" w:ascii="宋体" w:hAnsi="宋体"/>
                <w:color w:val="auto"/>
                <w:sz w:val="24"/>
              </w:rPr>
              <w:t>日期：  年   月   日</w:t>
            </w:r>
          </w:p>
        </w:tc>
      </w:tr>
    </w:tbl>
    <w:p w14:paraId="5FBBB100">
      <w:pPr>
        <w:spacing w:line="360" w:lineRule="auto"/>
        <w:ind w:firstLine="480" w:firstLineChars="200"/>
        <w:rPr>
          <w:rFonts w:ascii="宋体" w:hAnsi="宋体"/>
          <w:color w:val="auto"/>
          <w:sz w:val="24"/>
        </w:rPr>
      </w:pPr>
    </w:p>
    <w:p w14:paraId="118C0903">
      <w:pPr>
        <w:tabs>
          <w:tab w:val="left" w:pos="840"/>
        </w:tabs>
        <w:kinsoku w:val="0"/>
        <w:spacing w:line="360" w:lineRule="auto"/>
        <w:jc w:val="center"/>
        <w:outlineLvl w:val="0"/>
        <w:rPr>
          <w:rFonts w:ascii="宋体" w:hAnsi="宋体"/>
          <w:b/>
          <w:color w:val="auto"/>
          <w:sz w:val="40"/>
          <w:szCs w:val="40"/>
        </w:rPr>
      </w:pPr>
      <w:r>
        <w:rPr>
          <w:rFonts w:hint="eastAsia" w:ascii="宋体" w:hAnsi="宋体"/>
          <w:b/>
          <w:color w:val="auto"/>
          <w:sz w:val="40"/>
          <w:szCs w:val="40"/>
        </w:rPr>
        <w:br w:type="page"/>
      </w:r>
    </w:p>
    <w:p w14:paraId="1DF199C5">
      <w:pPr>
        <w:tabs>
          <w:tab w:val="left" w:pos="840"/>
        </w:tabs>
        <w:kinsoku w:val="0"/>
        <w:spacing w:line="360" w:lineRule="auto"/>
        <w:jc w:val="center"/>
        <w:outlineLvl w:val="0"/>
        <w:rPr>
          <w:rFonts w:ascii="宋体" w:hAnsi="宋体"/>
          <w:b/>
          <w:color w:val="auto"/>
          <w:sz w:val="40"/>
          <w:szCs w:val="40"/>
        </w:rPr>
      </w:pPr>
    </w:p>
    <w:p w14:paraId="24BD23C7">
      <w:pPr>
        <w:tabs>
          <w:tab w:val="left" w:pos="840"/>
        </w:tabs>
        <w:kinsoku w:val="0"/>
        <w:spacing w:line="360" w:lineRule="auto"/>
        <w:jc w:val="center"/>
        <w:outlineLvl w:val="0"/>
        <w:rPr>
          <w:rFonts w:ascii="宋体" w:hAnsi="宋体"/>
          <w:b/>
          <w:color w:val="auto"/>
          <w:sz w:val="40"/>
          <w:szCs w:val="40"/>
        </w:rPr>
      </w:pPr>
      <w:r>
        <w:rPr>
          <w:rFonts w:hint="eastAsia" w:ascii="宋体" w:hAnsi="宋体"/>
          <w:b/>
          <w:color w:val="auto"/>
          <w:sz w:val="40"/>
          <w:szCs w:val="40"/>
        </w:rPr>
        <w:t>第五章  响应文件格式</w:t>
      </w:r>
      <w:bookmarkEnd w:id="20"/>
    </w:p>
    <w:p w14:paraId="16643F9D">
      <w:pPr>
        <w:pStyle w:val="12"/>
        <w:rPr>
          <w:color w:val="auto"/>
        </w:rPr>
      </w:pPr>
    </w:p>
    <w:p w14:paraId="623791E3">
      <w:pPr>
        <w:pStyle w:val="12"/>
        <w:rPr>
          <w:color w:val="auto"/>
        </w:rPr>
      </w:pPr>
    </w:p>
    <w:p w14:paraId="4575F970">
      <w:pPr>
        <w:pStyle w:val="12"/>
        <w:rPr>
          <w:color w:val="auto"/>
        </w:rPr>
      </w:pPr>
    </w:p>
    <w:p w14:paraId="41872F68">
      <w:pPr>
        <w:pStyle w:val="12"/>
        <w:rPr>
          <w:color w:val="auto"/>
        </w:rPr>
      </w:pPr>
    </w:p>
    <w:p w14:paraId="0302BCB9">
      <w:pPr>
        <w:pStyle w:val="12"/>
        <w:rPr>
          <w:color w:val="auto"/>
        </w:rPr>
      </w:pPr>
    </w:p>
    <w:p w14:paraId="298879BE">
      <w:pPr>
        <w:pStyle w:val="12"/>
        <w:rPr>
          <w:color w:val="auto"/>
        </w:rPr>
      </w:pPr>
    </w:p>
    <w:p w14:paraId="69C15ADE">
      <w:pPr>
        <w:pStyle w:val="12"/>
        <w:rPr>
          <w:color w:val="auto"/>
        </w:rPr>
      </w:pPr>
    </w:p>
    <w:p w14:paraId="349FCEA4">
      <w:pPr>
        <w:tabs>
          <w:tab w:val="left" w:pos="840"/>
        </w:tabs>
        <w:kinsoku w:val="0"/>
        <w:spacing w:line="360" w:lineRule="auto"/>
        <w:ind w:firstLine="480" w:firstLineChars="200"/>
        <w:jc w:val="center"/>
        <w:rPr>
          <w:rFonts w:ascii="宋体" w:hAnsi="宋体"/>
          <w:color w:val="auto"/>
          <w:sz w:val="24"/>
        </w:rPr>
      </w:pPr>
      <w:r>
        <w:rPr>
          <w:rFonts w:hint="eastAsia" w:ascii="宋体" w:hAnsi="宋体" w:cs="宋体"/>
          <w:bCs/>
          <w:color w:val="auto"/>
          <w:kern w:val="0"/>
          <w:sz w:val="24"/>
          <w:lang w:val="zh-CN"/>
        </w:rPr>
        <w:t>供应商应严格按照本格式要求编制响应文件，</w:t>
      </w:r>
      <w:r>
        <w:rPr>
          <w:rFonts w:hint="eastAsia" w:ascii="宋体" w:hAnsi="宋体"/>
          <w:color w:val="auto"/>
          <w:sz w:val="24"/>
        </w:rPr>
        <w:t>编制响应文件前，请详细阅读磋商文件，理解文件中的每一项要求。全部编制完成，并加盖公章后，</w:t>
      </w:r>
      <w:r>
        <w:rPr>
          <w:rFonts w:hint="eastAsia" w:ascii="宋体" w:hAnsi="宋体" w:cs="宋体"/>
          <w:bCs/>
          <w:color w:val="auto"/>
          <w:kern w:val="0"/>
          <w:sz w:val="24"/>
          <w:lang w:val="zh-CN"/>
        </w:rPr>
        <w:t>编制相应页码，胶装成册，按规定分别封装（每一项内容必须在目录中注明具体页码，便于磋商小组评审）。</w:t>
      </w:r>
    </w:p>
    <w:p w14:paraId="592CD924">
      <w:pPr>
        <w:tabs>
          <w:tab w:val="left" w:pos="840"/>
        </w:tabs>
        <w:kinsoku w:val="0"/>
        <w:spacing w:line="360" w:lineRule="auto"/>
        <w:rPr>
          <w:rFonts w:ascii="宋体" w:hAnsi="宋体"/>
          <w:color w:val="auto"/>
          <w:sz w:val="24"/>
        </w:rPr>
      </w:pPr>
    </w:p>
    <w:p w14:paraId="534AA319">
      <w:pPr>
        <w:spacing w:line="360" w:lineRule="atLeast"/>
        <w:rPr>
          <w:rFonts w:ascii="宋体" w:hAnsi="宋体"/>
          <w:color w:val="auto"/>
          <w:sz w:val="32"/>
          <w:szCs w:val="32"/>
        </w:rPr>
      </w:pPr>
      <w:r>
        <w:rPr>
          <w:rFonts w:ascii="宋体" w:hAnsi="宋体"/>
          <w:b/>
          <w:color w:val="auto"/>
          <w:sz w:val="44"/>
          <w:szCs w:val="44"/>
        </w:rPr>
        <w:br w:type="page"/>
      </w:r>
      <w:r>
        <w:rPr>
          <w:rFonts w:hint="eastAsia" w:ascii="宋体" w:hAnsi="宋体"/>
          <w:color w:val="auto"/>
          <w:sz w:val="32"/>
          <w:szCs w:val="32"/>
        </w:rPr>
        <w:t xml:space="preserve"> </w:t>
      </w:r>
    </w:p>
    <w:p w14:paraId="341A3394">
      <w:pPr>
        <w:spacing w:line="360" w:lineRule="atLeast"/>
        <w:rPr>
          <w:rFonts w:ascii="宋体" w:hAnsi="宋体"/>
          <w:b/>
          <w:color w:val="auto"/>
          <w:sz w:val="28"/>
          <w:szCs w:val="28"/>
        </w:rPr>
      </w:pPr>
      <w:r>
        <w:rPr>
          <w:rFonts w:hint="eastAsia" w:ascii="宋体" w:hAnsi="宋体"/>
          <w:color w:val="auto"/>
          <w:szCs w:val="21"/>
        </w:rPr>
        <w:t xml:space="preserve">                                                              </w:t>
      </w:r>
      <w:r>
        <w:rPr>
          <w:rFonts w:hint="eastAsia" w:ascii="宋体" w:hAnsi="宋体"/>
          <w:color w:val="auto"/>
          <w:sz w:val="24"/>
        </w:rPr>
        <w:t xml:space="preserve">    </w:t>
      </w:r>
      <w:r>
        <w:rPr>
          <w:rFonts w:hint="eastAsia" w:ascii="宋体" w:hAnsi="宋体"/>
          <w:b/>
          <w:color w:val="auto"/>
          <w:sz w:val="28"/>
          <w:szCs w:val="28"/>
        </w:rPr>
        <w:t xml:space="preserve"> （正本或副本）</w:t>
      </w:r>
    </w:p>
    <w:p w14:paraId="0595756B">
      <w:pPr>
        <w:spacing w:line="360" w:lineRule="atLeast"/>
        <w:rPr>
          <w:rFonts w:ascii="宋体" w:hAnsi="宋体"/>
          <w:color w:val="auto"/>
          <w:szCs w:val="21"/>
        </w:rPr>
      </w:pPr>
    </w:p>
    <w:p w14:paraId="4AB0DFFA">
      <w:pPr>
        <w:spacing w:line="360" w:lineRule="atLeast"/>
        <w:rPr>
          <w:rFonts w:ascii="宋体" w:hAnsi="宋体"/>
          <w:color w:val="auto"/>
          <w:szCs w:val="21"/>
        </w:rPr>
      </w:pPr>
    </w:p>
    <w:p w14:paraId="09219A27">
      <w:pPr>
        <w:spacing w:line="360" w:lineRule="atLeast"/>
        <w:rPr>
          <w:rFonts w:ascii="宋体" w:hAnsi="宋体"/>
          <w:color w:val="auto"/>
          <w:szCs w:val="21"/>
        </w:rPr>
      </w:pPr>
    </w:p>
    <w:p w14:paraId="16C12210">
      <w:pPr>
        <w:jc w:val="center"/>
        <w:rPr>
          <w:rFonts w:ascii="宋体" w:hAnsi="宋体"/>
          <w:color w:val="auto"/>
          <w:sz w:val="44"/>
          <w14:shadow w14:blurRad="50800" w14:dist="38100" w14:dir="2700000" w14:sx="100000" w14:sy="100000" w14:kx="0" w14:ky="0" w14:algn="tl">
            <w14:srgbClr w14:val="000000">
              <w14:alpha w14:val="60000"/>
            </w14:srgbClr>
          </w14:shadow>
        </w:rPr>
      </w:pPr>
    </w:p>
    <w:p w14:paraId="158EEEE6">
      <w:pPr>
        <w:ind w:firstLine="1791" w:firstLineChars="343"/>
        <w:rPr>
          <w:rFonts w:ascii="宋体" w:hAnsi="宋体"/>
          <w:b/>
          <w:color w:val="auto"/>
          <w:sz w:val="52"/>
          <w:szCs w:val="52"/>
        </w:rPr>
      </w:pPr>
      <w:r>
        <w:rPr>
          <w:rFonts w:hint="eastAsia" w:ascii="宋体" w:hAnsi="宋体"/>
          <w:b/>
          <w:color w:val="auto"/>
          <w:sz w:val="52"/>
          <w:szCs w:val="52"/>
          <w:u w:val="single"/>
        </w:rPr>
        <w:t xml:space="preserve">                  </w:t>
      </w:r>
      <w:r>
        <w:rPr>
          <w:rFonts w:hint="eastAsia" w:ascii="宋体" w:hAnsi="宋体"/>
          <w:b/>
          <w:color w:val="auto"/>
          <w:sz w:val="52"/>
          <w:szCs w:val="52"/>
        </w:rPr>
        <w:t>项目</w:t>
      </w:r>
    </w:p>
    <w:p w14:paraId="4D99CBBD">
      <w:pPr>
        <w:ind w:firstLine="3331" w:firstLineChars="638"/>
        <w:rPr>
          <w:rFonts w:ascii="宋体" w:hAnsi="宋体"/>
          <w:b/>
          <w:color w:val="auto"/>
          <w:sz w:val="52"/>
          <w:szCs w:val="52"/>
          <w:u w:val="single"/>
        </w:rPr>
      </w:pPr>
    </w:p>
    <w:p w14:paraId="5843F2EA">
      <w:pPr>
        <w:ind w:firstLine="2073" w:firstLineChars="288"/>
        <w:rPr>
          <w:rFonts w:ascii="宋体" w:hAnsi="宋体"/>
          <w:color w:val="auto"/>
          <w:sz w:val="72"/>
          <w:szCs w:val="72"/>
        </w:rPr>
      </w:pPr>
    </w:p>
    <w:p w14:paraId="0F4D3BBE">
      <w:pPr>
        <w:spacing w:line="360" w:lineRule="atLeast"/>
        <w:jc w:val="center"/>
        <w:rPr>
          <w:rFonts w:ascii="宋体" w:hAnsi="宋体"/>
          <w:b/>
          <w:color w:val="auto"/>
          <w:sz w:val="52"/>
          <w:szCs w:val="52"/>
        </w:rPr>
      </w:pPr>
      <w:r>
        <w:rPr>
          <w:rFonts w:hint="eastAsia" w:ascii="宋体" w:hAnsi="宋体"/>
          <w:b/>
          <w:color w:val="auto"/>
          <w:sz w:val="52"/>
          <w:szCs w:val="52"/>
        </w:rPr>
        <w:t>响应文件</w:t>
      </w:r>
    </w:p>
    <w:p w14:paraId="547A809B">
      <w:pPr>
        <w:spacing w:line="360" w:lineRule="atLeast"/>
        <w:jc w:val="center"/>
        <w:rPr>
          <w:rFonts w:ascii="宋体" w:hAnsi="宋体"/>
          <w:color w:val="auto"/>
          <w:sz w:val="52"/>
          <w:szCs w:val="52"/>
        </w:rPr>
      </w:pPr>
    </w:p>
    <w:p w14:paraId="711D6E0A">
      <w:pPr>
        <w:spacing w:line="360" w:lineRule="atLeast"/>
        <w:rPr>
          <w:rFonts w:ascii="宋体" w:hAnsi="宋体"/>
          <w:color w:val="auto"/>
          <w:sz w:val="52"/>
          <w:szCs w:val="52"/>
        </w:rPr>
      </w:pPr>
    </w:p>
    <w:p w14:paraId="566905BF">
      <w:pPr>
        <w:spacing w:line="360" w:lineRule="atLeast"/>
        <w:rPr>
          <w:rFonts w:ascii="宋体" w:hAnsi="宋体"/>
          <w:color w:val="auto"/>
          <w:sz w:val="52"/>
          <w:szCs w:val="52"/>
        </w:rPr>
      </w:pPr>
      <w:r>
        <w:rPr>
          <w:rFonts w:hint="eastAsia" w:ascii="宋体" w:hAnsi="宋体"/>
          <w:color w:val="auto"/>
          <w:sz w:val="52"/>
          <w:szCs w:val="52"/>
        </w:rPr>
        <w:t xml:space="preserve">  </w:t>
      </w:r>
    </w:p>
    <w:p w14:paraId="45F46EE7">
      <w:pPr>
        <w:spacing w:line="360" w:lineRule="atLeast"/>
        <w:ind w:firstLine="753" w:firstLineChars="250"/>
        <w:rPr>
          <w:rFonts w:ascii="宋体" w:hAnsi="宋体"/>
          <w:b/>
          <w:color w:val="auto"/>
          <w:sz w:val="30"/>
          <w:szCs w:val="30"/>
        </w:rPr>
      </w:pPr>
      <w:r>
        <w:rPr>
          <w:rFonts w:hint="eastAsia" w:ascii="宋体" w:hAnsi="宋体"/>
          <w:b/>
          <w:color w:val="auto"/>
          <w:sz w:val="30"/>
          <w:szCs w:val="30"/>
        </w:rPr>
        <w:t>项目编号：</w:t>
      </w:r>
      <w:r>
        <w:rPr>
          <w:rFonts w:hint="eastAsia" w:ascii="宋体" w:hAnsi="宋体"/>
          <w:b/>
          <w:color w:val="auto"/>
          <w:sz w:val="30"/>
          <w:szCs w:val="30"/>
          <w:u w:val="single"/>
        </w:rPr>
        <w:t xml:space="preserve">                                   </w:t>
      </w:r>
    </w:p>
    <w:p w14:paraId="4421F8EE">
      <w:pPr>
        <w:spacing w:line="360" w:lineRule="atLeast"/>
        <w:ind w:firstLine="753" w:firstLineChars="250"/>
        <w:rPr>
          <w:rFonts w:ascii="宋体" w:hAnsi="宋体"/>
          <w:b/>
          <w:color w:val="auto"/>
          <w:sz w:val="30"/>
          <w:szCs w:val="30"/>
          <w:u w:val="single"/>
        </w:rPr>
      </w:pPr>
      <w:r>
        <w:rPr>
          <w:rFonts w:hint="eastAsia" w:ascii="宋体" w:hAnsi="宋体"/>
          <w:b/>
          <w:color w:val="auto"/>
          <w:sz w:val="30"/>
          <w:szCs w:val="30"/>
        </w:rPr>
        <w:t>供 应 商：</w:t>
      </w:r>
      <w:r>
        <w:rPr>
          <w:rFonts w:hint="eastAsia" w:ascii="宋体" w:hAnsi="宋体"/>
          <w:b/>
          <w:color w:val="auto"/>
          <w:sz w:val="30"/>
          <w:szCs w:val="30"/>
          <w:u w:val="single"/>
        </w:rPr>
        <w:t xml:space="preserve">                                   </w:t>
      </w:r>
    </w:p>
    <w:p w14:paraId="48E2730B">
      <w:pPr>
        <w:spacing w:line="360" w:lineRule="atLeast"/>
        <w:ind w:firstLine="703" w:firstLineChars="250"/>
        <w:rPr>
          <w:rFonts w:ascii="宋体" w:hAnsi="宋体"/>
          <w:color w:val="auto"/>
          <w:sz w:val="42"/>
          <w:szCs w:val="42"/>
        </w:rPr>
      </w:pPr>
      <w:r>
        <w:rPr>
          <w:rFonts w:hint="eastAsia" w:ascii="宋体" w:hAnsi="宋体"/>
          <w:b/>
          <w:color w:val="auto"/>
          <w:sz w:val="28"/>
          <w:szCs w:val="28"/>
        </w:rPr>
        <w:t>日</w:t>
      </w:r>
      <w:r>
        <w:rPr>
          <w:rFonts w:ascii="宋体" w:hAnsi="宋体"/>
          <w:b/>
          <w:color w:val="auto"/>
          <w:sz w:val="28"/>
          <w:szCs w:val="28"/>
        </w:rPr>
        <w:t xml:space="preserve">     </w:t>
      </w:r>
      <w:r>
        <w:rPr>
          <w:rFonts w:hint="eastAsia" w:ascii="宋体" w:hAnsi="宋体"/>
          <w:b/>
          <w:color w:val="auto"/>
          <w:sz w:val="28"/>
          <w:szCs w:val="28"/>
        </w:rPr>
        <w:t>期：</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ascii="宋体" w:hAnsi="宋体"/>
          <w:b/>
          <w:bCs/>
          <w:color w:val="auto"/>
          <w:sz w:val="28"/>
          <w:szCs w:val="28"/>
        </w:rPr>
        <w:t xml:space="preserve"> </w:t>
      </w:r>
      <w:r>
        <w:rPr>
          <w:rFonts w:hint="eastAsia" w:ascii="宋体" w:hAnsi="宋体"/>
          <w:b/>
          <w:bCs/>
          <w:color w:val="auto"/>
          <w:sz w:val="28"/>
          <w:szCs w:val="28"/>
        </w:rPr>
        <w:t>年</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rPr>
        <w:t>月</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color w:val="auto"/>
          <w:sz w:val="28"/>
          <w:szCs w:val="28"/>
        </w:rPr>
        <w:t>日</w:t>
      </w:r>
    </w:p>
    <w:p w14:paraId="3B424ACE">
      <w:pPr>
        <w:spacing w:line="360" w:lineRule="atLeast"/>
        <w:jc w:val="center"/>
        <w:rPr>
          <w:rFonts w:ascii="宋体" w:hAnsi="宋体"/>
          <w:b/>
          <w:color w:val="auto"/>
          <w:sz w:val="32"/>
          <w:szCs w:val="32"/>
        </w:rPr>
      </w:pPr>
    </w:p>
    <w:p w14:paraId="7723AC9E">
      <w:pPr>
        <w:spacing w:line="360" w:lineRule="atLeast"/>
        <w:jc w:val="center"/>
        <w:rPr>
          <w:rFonts w:ascii="宋体" w:hAnsi="宋体"/>
          <w:b/>
          <w:color w:val="auto"/>
          <w:sz w:val="32"/>
          <w:szCs w:val="32"/>
        </w:rPr>
      </w:pPr>
    </w:p>
    <w:p w14:paraId="1E9AEACF">
      <w:pPr>
        <w:spacing w:line="360" w:lineRule="atLeast"/>
        <w:rPr>
          <w:rFonts w:ascii="宋体" w:hAnsi="宋体"/>
          <w:b/>
          <w:color w:val="auto"/>
          <w:sz w:val="32"/>
          <w:szCs w:val="32"/>
        </w:rPr>
      </w:pPr>
    </w:p>
    <w:p w14:paraId="411A6F30">
      <w:pPr>
        <w:spacing w:line="360" w:lineRule="atLeast"/>
        <w:rPr>
          <w:rFonts w:ascii="宋体" w:hAnsi="宋体"/>
          <w:b/>
          <w:color w:val="auto"/>
          <w:sz w:val="32"/>
          <w:szCs w:val="32"/>
        </w:rPr>
      </w:pPr>
    </w:p>
    <w:p w14:paraId="770E10F7">
      <w:pPr>
        <w:spacing w:line="360" w:lineRule="atLeast"/>
        <w:jc w:val="center"/>
        <w:rPr>
          <w:rFonts w:ascii="宋体" w:hAnsi="宋体"/>
          <w:b/>
          <w:color w:val="auto"/>
          <w:sz w:val="32"/>
          <w:szCs w:val="32"/>
        </w:rPr>
      </w:pPr>
      <w:r>
        <w:rPr>
          <w:rFonts w:hint="eastAsia" w:ascii="宋体" w:hAnsi="宋体"/>
          <w:b/>
          <w:color w:val="auto"/>
          <w:sz w:val="32"/>
          <w:szCs w:val="32"/>
        </w:rPr>
        <w:t>目    录</w:t>
      </w:r>
    </w:p>
    <w:p w14:paraId="76FC344E">
      <w:pPr>
        <w:spacing w:line="360" w:lineRule="atLeast"/>
        <w:rPr>
          <w:rFonts w:ascii="宋体" w:hAnsi="宋体"/>
          <w:color w:val="auto"/>
        </w:rPr>
      </w:pPr>
    </w:p>
    <w:p w14:paraId="3996A97D">
      <w:pPr>
        <w:pStyle w:val="15"/>
        <w:spacing w:line="500" w:lineRule="exact"/>
        <w:ind w:firstLine="1958" w:firstLineChars="650"/>
        <w:rPr>
          <w:rFonts w:hAnsi="宋体"/>
          <w:b/>
          <w:bCs/>
          <w:color w:val="auto"/>
          <w:sz w:val="30"/>
          <w:szCs w:val="30"/>
        </w:rPr>
      </w:pPr>
      <w:r>
        <w:rPr>
          <w:rFonts w:hint="eastAsia" w:hAnsi="宋体"/>
          <w:b/>
          <w:bCs/>
          <w:color w:val="auto"/>
          <w:sz w:val="30"/>
          <w:szCs w:val="30"/>
        </w:rPr>
        <w:t>第一部分   响应函</w:t>
      </w:r>
    </w:p>
    <w:p w14:paraId="39F7F156">
      <w:pPr>
        <w:pStyle w:val="15"/>
        <w:spacing w:line="500" w:lineRule="exact"/>
        <w:rPr>
          <w:rFonts w:hAnsi="宋体"/>
          <w:b/>
          <w:bCs/>
          <w:color w:val="auto"/>
          <w:sz w:val="30"/>
          <w:szCs w:val="30"/>
        </w:rPr>
      </w:pPr>
    </w:p>
    <w:p w14:paraId="606837CA">
      <w:pPr>
        <w:spacing w:line="360" w:lineRule="atLeast"/>
        <w:ind w:firstLine="1958" w:firstLineChars="650"/>
        <w:rPr>
          <w:rFonts w:ascii="宋体" w:hAnsi="宋体"/>
          <w:b/>
          <w:color w:val="auto"/>
          <w:sz w:val="30"/>
          <w:szCs w:val="30"/>
        </w:rPr>
      </w:pPr>
      <w:r>
        <w:rPr>
          <w:rFonts w:hint="eastAsia" w:ascii="宋体" w:hAnsi="宋体"/>
          <w:b/>
          <w:color w:val="auto"/>
          <w:sz w:val="30"/>
          <w:szCs w:val="30"/>
        </w:rPr>
        <w:t>第二部分   响应报价表</w:t>
      </w:r>
    </w:p>
    <w:p w14:paraId="27D3A897">
      <w:pPr>
        <w:pStyle w:val="15"/>
        <w:spacing w:line="500" w:lineRule="exact"/>
        <w:rPr>
          <w:rFonts w:hAnsi="宋体"/>
          <w:b/>
          <w:color w:val="auto"/>
          <w:sz w:val="30"/>
          <w:szCs w:val="30"/>
        </w:rPr>
      </w:pPr>
    </w:p>
    <w:p w14:paraId="58DD7D1A">
      <w:pPr>
        <w:pStyle w:val="15"/>
        <w:spacing w:line="500" w:lineRule="exact"/>
        <w:ind w:firstLine="3635" w:firstLineChars="1207"/>
        <w:rPr>
          <w:rFonts w:hAnsi="宋体"/>
          <w:b/>
          <w:color w:val="auto"/>
          <w:sz w:val="30"/>
          <w:szCs w:val="30"/>
        </w:rPr>
      </w:pPr>
      <w:r>
        <w:rPr>
          <w:rFonts w:hint="eastAsia" w:hAnsi="宋体"/>
          <w:b/>
          <w:color w:val="auto"/>
          <w:sz w:val="30"/>
          <w:szCs w:val="30"/>
        </w:rPr>
        <w:t>响应产品分项报价表</w:t>
      </w:r>
    </w:p>
    <w:p w14:paraId="4626DA52">
      <w:pPr>
        <w:pStyle w:val="15"/>
        <w:spacing w:line="500" w:lineRule="exact"/>
        <w:rPr>
          <w:rFonts w:hAnsi="宋体"/>
          <w:b/>
          <w:bCs/>
          <w:color w:val="auto"/>
          <w:sz w:val="30"/>
          <w:szCs w:val="30"/>
        </w:rPr>
      </w:pPr>
    </w:p>
    <w:p w14:paraId="63DD3C5D">
      <w:pPr>
        <w:pStyle w:val="15"/>
        <w:spacing w:line="500" w:lineRule="exact"/>
        <w:ind w:firstLine="3635" w:firstLineChars="1207"/>
        <w:rPr>
          <w:rFonts w:hAnsi="宋体"/>
          <w:b/>
          <w:color w:val="auto"/>
          <w:sz w:val="30"/>
          <w:szCs w:val="30"/>
        </w:rPr>
      </w:pPr>
      <w:r>
        <w:rPr>
          <w:rFonts w:hint="eastAsia" w:hAnsi="宋体"/>
          <w:b/>
          <w:color w:val="auto"/>
          <w:sz w:val="30"/>
          <w:szCs w:val="30"/>
        </w:rPr>
        <w:t>服务要求及内容响应偏差表</w:t>
      </w:r>
    </w:p>
    <w:p w14:paraId="2699ACD2">
      <w:pPr>
        <w:pStyle w:val="15"/>
        <w:spacing w:line="500" w:lineRule="exact"/>
        <w:ind w:firstLine="643" w:firstLineChars="200"/>
        <w:rPr>
          <w:rFonts w:hAnsi="宋体"/>
          <w:b/>
          <w:bCs/>
          <w:color w:val="auto"/>
          <w:sz w:val="32"/>
          <w:szCs w:val="32"/>
        </w:rPr>
      </w:pPr>
    </w:p>
    <w:p w14:paraId="3C051555">
      <w:pPr>
        <w:pStyle w:val="15"/>
        <w:spacing w:line="500" w:lineRule="exact"/>
        <w:ind w:firstLine="3635" w:firstLineChars="1207"/>
        <w:rPr>
          <w:rFonts w:hAnsi="宋体"/>
          <w:b/>
          <w:color w:val="auto"/>
          <w:sz w:val="30"/>
          <w:szCs w:val="30"/>
        </w:rPr>
      </w:pPr>
      <w:r>
        <w:rPr>
          <w:rFonts w:hint="eastAsia" w:hAnsi="宋体"/>
          <w:b/>
          <w:color w:val="auto"/>
          <w:sz w:val="30"/>
          <w:szCs w:val="30"/>
        </w:rPr>
        <w:t>商务及合同主要条款响应说明</w:t>
      </w:r>
    </w:p>
    <w:p w14:paraId="35BA98CE">
      <w:pPr>
        <w:pStyle w:val="15"/>
        <w:spacing w:line="500" w:lineRule="exact"/>
        <w:rPr>
          <w:rFonts w:hAnsi="宋体"/>
          <w:b/>
          <w:color w:val="auto"/>
          <w:sz w:val="30"/>
          <w:szCs w:val="30"/>
        </w:rPr>
      </w:pPr>
    </w:p>
    <w:p w14:paraId="69074E1C">
      <w:pPr>
        <w:pStyle w:val="15"/>
        <w:spacing w:line="500" w:lineRule="exact"/>
        <w:ind w:firstLine="1958" w:firstLineChars="650"/>
        <w:rPr>
          <w:rFonts w:hAnsi="宋体"/>
          <w:b/>
          <w:bCs/>
          <w:color w:val="auto"/>
          <w:sz w:val="30"/>
          <w:szCs w:val="30"/>
        </w:rPr>
      </w:pPr>
      <w:r>
        <w:rPr>
          <w:rFonts w:hint="eastAsia" w:hAnsi="宋体"/>
          <w:b/>
          <w:bCs/>
          <w:color w:val="auto"/>
          <w:sz w:val="30"/>
          <w:szCs w:val="30"/>
        </w:rPr>
        <w:t xml:space="preserve">第三部分   </w:t>
      </w:r>
      <w:r>
        <w:rPr>
          <w:rFonts w:hint="eastAsia" w:hAnsi="宋体" w:cs="Arial"/>
          <w:b/>
          <w:color w:val="auto"/>
          <w:kern w:val="0"/>
          <w:sz w:val="30"/>
          <w:szCs w:val="30"/>
        </w:rPr>
        <w:t>法定代表人证明书与授权书</w:t>
      </w:r>
    </w:p>
    <w:p w14:paraId="5EDE4748">
      <w:pPr>
        <w:pStyle w:val="15"/>
        <w:spacing w:line="500" w:lineRule="exact"/>
        <w:rPr>
          <w:rFonts w:hAnsi="宋体"/>
          <w:b/>
          <w:bCs/>
          <w:color w:val="auto"/>
          <w:sz w:val="30"/>
          <w:szCs w:val="30"/>
        </w:rPr>
      </w:pPr>
    </w:p>
    <w:p w14:paraId="49C8087C">
      <w:pPr>
        <w:pStyle w:val="15"/>
        <w:spacing w:line="500" w:lineRule="exact"/>
        <w:ind w:firstLine="1958" w:firstLineChars="650"/>
        <w:rPr>
          <w:rFonts w:hAnsi="宋体"/>
          <w:b/>
          <w:bCs/>
          <w:color w:val="auto"/>
          <w:sz w:val="30"/>
          <w:szCs w:val="30"/>
        </w:rPr>
      </w:pPr>
      <w:r>
        <w:rPr>
          <w:rFonts w:hint="eastAsia" w:hAnsi="宋体"/>
          <w:b/>
          <w:bCs/>
          <w:color w:val="auto"/>
          <w:sz w:val="30"/>
          <w:szCs w:val="30"/>
        </w:rPr>
        <w:t>第四部分   供应商资质证明文件</w:t>
      </w:r>
    </w:p>
    <w:p w14:paraId="271FD36B">
      <w:pPr>
        <w:pStyle w:val="15"/>
        <w:spacing w:line="500" w:lineRule="exact"/>
        <w:rPr>
          <w:rFonts w:hAnsi="宋体"/>
          <w:b/>
          <w:color w:val="auto"/>
          <w:sz w:val="30"/>
          <w:szCs w:val="30"/>
        </w:rPr>
      </w:pPr>
    </w:p>
    <w:p w14:paraId="3DB6D108">
      <w:pPr>
        <w:pStyle w:val="15"/>
        <w:spacing w:line="500" w:lineRule="exact"/>
        <w:ind w:firstLine="1958" w:firstLineChars="650"/>
        <w:rPr>
          <w:rFonts w:hAnsi="宋体"/>
          <w:b/>
          <w:bCs/>
          <w:color w:val="auto"/>
          <w:sz w:val="30"/>
          <w:szCs w:val="30"/>
        </w:rPr>
      </w:pPr>
      <w:r>
        <w:rPr>
          <w:rFonts w:hint="eastAsia" w:hAnsi="宋体"/>
          <w:b/>
          <w:bCs/>
          <w:color w:val="auto"/>
          <w:sz w:val="30"/>
          <w:szCs w:val="30"/>
        </w:rPr>
        <w:t>第五部分   响应方案说明</w:t>
      </w:r>
    </w:p>
    <w:p w14:paraId="31732B89">
      <w:pPr>
        <w:pStyle w:val="15"/>
        <w:spacing w:line="500" w:lineRule="exact"/>
        <w:ind w:firstLine="1958" w:firstLineChars="650"/>
        <w:rPr>
          <w:rFonts w:hAnsi="宋体"/>
          <w:b/>
          <w:bCs/>
          <w:color w:val="auto"/>
          <w:sz w:val="30"/>
          <w:szCs w:val="30"/>
        </w:rPr>
      </w:pPr>
    </w:p>
    <w:p w14:paraId="3539A9F2">
      <w:pPr>
        <w:pStyle w:val="15"/>
        <w:spacing w:line="500" w:lineRule="exact"/>
        <w:ind w:firstLine="1958" w:firstLineChars="650"/>
        <w:rPr>
          <w:rFonts w:hAnsi="宋体"/>
          <w:b/>
          <w:bCs/>
          <w:color w:val="auto"/>
          <w:sz w:val="30"/>
          <w:szCs w:val="30"/>
        </w:rPr>
      </w:pPr>
      <w:r>
        <w:rPr>
          <w:rFonts w:hint="eastAsia" w:hAnsi="宋体"/>
          <w:b/>
          <w:bCs/>
          <w:color w:val="auto"/>
          <w:sz w:val="30"/>
          <w:szCs w:val="30"/>
        </w:rPr>
        <w:t>第六部分   供应商承诺书</w:t>
      </w:r>
    </w:p>
    <w:p w14:paraId="03F0931D">
      <w:pPr>
        <w:pStyle w:val="15"/>
        <w:spacing w:line="500" w:lineRule="exact"/>
        <w:ind w:firstLine="1958" w:firstLineChars="650"/>
        <w:rPr>
          <w:rFonts w:hAnsi="宋体"/>
          <w:b/>
          <w:bCs/>
          <w:color w:val="auto"/>
          <w:sz w:val="30"/>
          <w:szCs w:val="30"/>
        </w:rPr>
      </w:pPr>
    </w:p>
    <w:p w14:paraId="06C2976A">
      <w:pPr>
        <w:pStyle w:val="15"/>
        <w:spacing w:line="500" w:lineRule="exact"/>
        <w:ind w:firstLine="1958" w:firstLineChars="650"/>
        <w:rPr>
          <w:rFonts w:hAnsi="宋体"/>
          <w:b/>
          <w:bCs/>
          <w:color w:val="auto"/>
          <w:sz w:val="30"/>
          <w:szCs w:val="30"/>
        </w:rPr>
      </w:pPr>
      <w:r>
        <w:rPr>
          <w:rFonts w:hint="eastAsia" w:hAnsi="宋体"/>
          <w:b/>
          <w:bCs/>
          <w:color w:val="auto"/>
          <w:sz w:val="30"/>
          <w:szCs w:val="30"/>
        </w:rPr>
        <w:t>第七部分   附件</w:t>
      </w:r>
    </w:p>
    <w:p w14:paraId="506FE406">
      <w:pPr>
        <w:spacing w:line="400" w:lineRule="exact"/>
        <w:ind w:right="456" w:firstLine="1958" w:firstLineChars="650"/>
        <w:rPr>
          <w:rFonts w:ascii="宋体" w:hAnsi="宋体"/>
          <w:b/>
          <w:bCs/>
          <w:color w:val="auto"/>
          <w:sz w:val="30"/>
          <w:szCs w:val="30"/>
        </w:rPr>
      </w:pPr>
    </w:p>
    <w:p w14:paraId="2FFBCEFA">
      <w:pPr>
        <w:spacing w:line="400" w:lineRule="exact"/>
        <w:ind w:right="456" w:firstLine="3635" w:firstLineChars="1207"/>
        <w:rPr>
          <w:rFonts w:ascii="宋体" w:hAnsi="宋体"/>
          <w:b/>
          <w:bCs/>
          <w:color w:val="auto"/>
          <w:sz w:val="30"/>
          <w:szCs w:val="30"/>
        </w:rPr>
      </w:pPr>
      <w:r>
        <w:rPr>
          <w:rFonts w:hint="eastAsia" w:ascii="宋体" w:hAnsi="宋体"/>
          <w:b/>
          <w:bCs/>
          <w:color w:val="auto"/>
          <w:sz w:val="30"/>
          <w:szCs w:val="30"/>
        </w:rPr>
        <w:t>中小企业声明函</w:t>
      </w:r>
    </w:p>
    <w:p w14:paraId="3D1AB59C">
      <w:pPr>
        <w:spacing w:line="400" w:lineRule="exact"/>
        <w:ind w:right="456" w:firstLine="1958" w:firstLineChars="650"/>
        <w:rPr>
          <w:rFonts w:ascii="宋体" w:hAnsi="宋体"/>
          <w:b/>
          <w:bCs/>
          <w:color w:val="auto"/>
          <w:sz w:val="30"/>
          <w:szCs w:val="30"/>
        </w:rPr>
      </w:pPr>
    </w:p>
    <w:p w14:paraId="09C58B01">
      <w:pPr>
        <w:spacing w:line="400" w:lineRule="exact"/>
        <w:ind w:right="456" w:firstLine="1958" w:firstLineChars="650"/>
        <w:rPr>
          <w:rFonts w:ascii="宋体" w:hAnsi="宋体"/>
          <w:b/>
          <w:bCs/>
          <w:color w:val="auto"/>
          <w:sz w:val="30"/>
          <w:szCs w:val="30"/>
        </w:rPr>
      </w:pPr>
      <w:r>
        <w:rPr>
          <w:rFonts w:hint="eastAsia" w:ascii="宋体" w:hAnsi="宋体"/>
          <w:b/>
          <w:bCs/>
          <w:color w:val="auto"/>
          <w:sz w:val="30"/>
          <w:szCs w:val="30"/>
        </w:rPr>
        <w:t xml:space="preserve">           监狱企业、福利企业相关资格证明文件</w:t>
      </w:r>
    </w:p>
    <w:p w14:paraId="1C028CCB">
      <w:pPr>
        <w:spacing w:line="400" w:lineRule="exact"/>
        <w:ind w:right="456" w:firstLine="1958" w:firstLineChars="650"/>
        <w:rPr>
          <w:rFonts w:ascii="宋体" w:hAnsi="宋体"/>
          <w:b/>
          <w:bCs/>
          <w:color w:val="auto"/>
          <w:sz w:val="30"/>
          <w:szCs w:val="30"/>
        </w:rPr>
      </w:pPr>
    </w:p>
    <w:p w14:paraId="4214B32A">
      <w:pPr>
        <w:spacing w:line="360" w:lineRule="auto"/>
        <w:ind w:right="456" w:firstLine="1958" w:firstLineChars="650"/>
        <w:rPr>
          <w:rFonts w:ascii="宋体" w:hAnsi="宋体"/>
          <w:b/>
          <w:bCs/>
          <w:color w:val="auto"/>
          <w:sz w:val="30"/>
          <w:szCs w:val="30"/>
        </w:rPr>
      </w:pPr>
      <w:r>
        <w:rPr>
          <w:rFonts w:hint="eastAsia" w:ascii="宋体" w:hAnsi="宋体"/>
          <w:b/>
          <w:bCs/>
          <w:color w:val="auto"/>
          <w:sz w:val="30"/>
          <w:szCs w:val="30"/>
        </w:rPr>
        <w:t>第八部分   封袋正面标识式样</w:t>
      </w:r>
    </w:p>
    <w:p w14:paraId="283246CD">
      <w:pPr>
        <w:pStyle w:val="15"/>
        <w:spacing w:line="500" w:lineRule="exact"/>
        <w:ind w:firstLine="1958" w:firstLineChars="650"/>
        <w:rPr>
          <w:rFonts w:hAnsi="宋体"/>
          <w:b/>
          <w:bCs/>
          <w:color w:val="auto"/>
          <w:sz w:val="30"/>
          <w:szCs w:val="30"/>
        </w:rPr>
      </w:pPr>
    </w:p>
    <w:p w14:paraId="0EF516B4">
      <w:pPr>
        <w:spacing w:line="400" w:lineRule="exact"/>
        <w:ind w:right="456"/>
        <w:rPr>
          <w:rFonts w:ascii="宋体" w:hAnsi="宋体"/>
          <w:b/>
          <w:bCs/>
          <w:color w:val="auto"/>
          <w:sz w:val="30"/>
          <w:szCs w:val="30"/>
        </w:rPr>
      </w:pPr>
    </w:p>
    <w:p w14:paraId="0E57C4ED">
      <w:pPr>
        <w:spacing w:line="360" w:lineRule="atLeast"/>
        <w:jc w:val="center"/>
        <w:rPr>
          <w:rFonts w:ascii="宋体" w:hAnsi="宋体"/>
          <w:b/>
          <w:color w:val="auto"/>
          <w:sz w:val="32"/>
          <w:szCs w:val="32"/>
        </w:rPr>
      </w:pPr>
      <w:r>
        <w:rPr>
          <w:rFonts w:ascii="宋体" w:hAnsi="宋体"/>
          <w:b/>
          <w:color w:val="auto"/>
          <w:sz w:val="32"/>
          <w:szCs w:val="32"/>
        </w:rPr>
        <w:br w:type="page"/>
      </w:r>
      <w:r>
        <w:rPr>
          <w:rFonts w:hint="eastAsia" w:ascii="宋体" w:hAnsi="宋体"/>
          <w:b/>
          <w:color w:val="auto"/>
          <w:sz w:val="32"/>
          <w:szCs w:val="32"/>
        </w:rPr>
        <w:t>第一部分   响应函</w:t>
      </w:r>
    </w:p>
    <w:p w14:paraId="79C51D34">
      <w:pPr>
        <w:kinsoku w:val="0"/>
        <w:spacing w:line="500" w:lineRule="exact"/>
        <w:rPr>
          <w:rFonts w:ascii="宋体" w:hAnsi="宋体"/>
          <w:color w:val="auto"/>
          <w:sz w:val="24"/>
        </w:rPr>
      </w:pPr>
      <w:r>
        <w:rPr>
          <w:rFonts w:hint="eastAsia" w:ascii="宋体" w:hAnsi="宋体"/>
          <w:color w:val="auto"/>
          <w:sz w:val="24"/>
        </w:rPr>
        <w:t>致：</w:t>
      </w:r>
      <w:r>
        <w:rPr>
          <w:rFonts w:hint="eastAsia" w:ascii="宋体" w:hAnsi="宋体"/>
          <w:b/>
          <w:color w:val="auto"/>
          <w:sz w:val="24"/>
        </w:rPr>
        <w:t>陕西国创招标有限公司</w:t>
      </w:r>
    </w:p>
    <w:p w14:paraId="2A4A1305">
      <w:pPr>
        <w:spacing w:line="440" w:lineRule="exact"/>
        <w:ind w:firstLine="496" w:firstLineChars="200"/>
        <w:rPr>
          <w:rFonts w:ascii="宋体" w:hAnsi="宋体"/>
          <w:color w:val="auto"/>
          <w:spacing w:val="4"/>
          <w:sz w:val="24"/>
        </w:rPr>
      </w:pPr>
      <w:r>
        <w:rPr>
          <w:rFonts w:hint="eastAsia" w:ascii="宋体" w:hAnsi="宋体"/>
          <w:color w:val="auto"/>
          <w:spacing w:val="4"/>
          <w:sz w:val="24"/>
        </w:rPr>
        <w:t>我单位收到贵公司</w:t>
      </w:r>
      <w:r>
        <w:rPr>
          <w:rFonts w:hint="eastAsia" w:ascii="宋体" w:hAnsi="宋体"/>
          <w:color w:val="auto"/>
          <w:spacing w:val="4"/>
          <w:sz w:val="24"/>
          <w:u w:val="single"/>
        </w:rPr>
        <w:t xml:space="preserve">  项目名称、项目编号  </w:t>
      </w:r>
      <w:r>
        <w:rPr>
          <w:rFonts w:hint="eastAsia" w:ascii="宋体" w:hAnsi="宋体"/>
          <w:color w:val="auto"/>
          <w:spacing w:val="4"/>
          <w:sz w:val="24"/>
        </w:rPr>
        <w:t>磋商文件，经详细研究，决定参加本次磋商活动。为此，我方郑重声明以下几点，并愿负法律责任。</w:t>
      </w:r>
    </w:p>
    <w:p w14:paraId="2590E8C2">
      <w:pPr>
        <w:spacing w:line="440" w:lineRule="exact"/>
        <w:ind w:left="479" w:leftChars="228"/>
        <w:rPr>
          <w:rFonts w:ascii="宋体" w:hAnsi="宋体"/>
          <w:color w:val="auto"/>
          <w:spacing w:val="4"/>
          <w:sz w:val="24"/>
        </w:rPr>
      </w:pPr>
      <w:r>
        <w:rPr>
          <w:rFonts w:hint="eastAsia" w:ascii="宋体" w:hAnsi="宋体"/>
          <w:color w:val="auto"/>
          <w:spacing w:val="4"/>
          <w:sz w:val="24"/>
        </w:rPr>
        <w:t>1、按照磋商文件中的一切要求，提供完全满足采购需求的服务及售后服务保障。2、如若成交，将根据磋商文件的要求、响应文件及承诺条件，全面签约并履行合同规定的责任和义务。</w:t>
      </w:r>
      <w:r>
        <w:rPr>
          <w:rFonts w:ascii="宋体" w:hAnsi="宋体"/>
          <w:color w:val="auto"/>
          <w:spacing w:val="4"/>
          <w:sz w:val="24"/>
        </w:rPr>
        <w:t xml:space="preserve">        </w:t>
      </w:r>
    </w:p>
    <w:p w14:paraId="0B2572A3">
      <w:pPr>
        <w:spacing w:line="440" w:lineRule="exact"/>
        <w:ind w:firstLine="496" w:firstLineChars="200"/>
        <w:rPr>
          <w:rFonts w:ascii="宋体" w:hAnsi="宋体"/>
          <w:color w:val="auto"/>
          <w:spacing w:val="4"/>
          <w:sz w:val="24"/>
        </w:rPr>
      </w:pPr>
      <w:r>
        <w:rPr>
          <w:rFonts w:ascii="宋体" w:hAnsi="宋体"/>
          <w:color w:val="auto"/>
          <w:spacing w:val="4"/>
          <w:sz w:val="24"/>
        </w:rPr>
        <w:t>3</w:t>
      </w:r>
      <w:r>
        <w:rPr>
          <w:rFonts w:hint="eastAsia" w:ascii="宋体" w:hAnsi="宋体"/>
          <w:color w:val="auto"/>
          <w:spacing w:val="4"/>
          <w:sz w:val="24"/>
        </w:rPr>
        <w:t>、我方提交的响应文件共</w:t>
      </w:r>
      <w:r>
        <w:rPr>
          <w:rFonts w:hint="eastAsia" w:ascii="宋体" w:hAnsi="宋体"/>
          <w:color w:val="auto"/>
          <w:spacing w:val="4"/>
          <w:sz w:val="24"/>
          <w:u w:val="single"/>
        </w:rPr>
        <w:t xml:space="preserve">   </w:t>
      </w:r>
      <w:r>
        <w:rPr>
          <w:rFonts w:hint="eastAsia" w:ascii="宋体" w:hAnsi="宋体"/>
          <w:color w:val="auto"/>
          <w:spacing w:val="4"/>
          <w:sz w:val="24"/>
        </w:rPr>
        <w:t>份，其中正本</w:t>
      </w:r>
      <w:r>
        <w:rPr>
          <w:rFonts w:hint="eastAsia" w:ascii="宋体" w:hAnsi="宋体"/>
          <w:color w:val="auto"/>
          <w:spacing w:val="4"/>
          <w:sz w:val="24"/>
          <w:u w:val="single"/>
        </w:rPr>
        <w:t xml:space="preserve">   </w:t>
      </w:r>
      <w:r>
        <w:rPr>
          <w:rFonts w:hint="eastAsia" w:ascii="宋体" w:hAnsi="宋体"/>
          <w:color w:val="auto"/>
          <w:spacing w:val="4"/>
          <w:sz w:val="24"/>
        </w:rPr>
        <w:t>份，副本</w:t>
      </w:r>
      <w:r>
        <w:rPr>
          <w:rFonts w:hint="eastAsia" w:ascii="宋体" w:hAnsi="宋体"/>
          <w:color w:val="auto"/>
          <w:spacing w:val="4"/>
          <w:sz w:val="24"/>
          <w:u w:val="single"/>
        </w:rPr>
        <w:t xml:space="preserve">    </w:t>
      </w:r>
      <w:r>
        <w:rPr>
          <w:rFonts w:hint="eastAsia" w:ascii="宋体" w:hAnsi="宋体"/>
          <w:color w:val="auto"/>
          <w:spacing w:val="4"/>
          <w:sz w:val="24"/>
        </w:rPr>
        <w:t>份及</w:t>
      </w:r>
      <w:r>
        <w:rPr>
          <w:rFonts w:ascii="宋体" w:hAnsi="宋体"/>
          <w:color w:val="auto"/>
          <w:spacing w:val="4"/>
          <w:sz w:val="24"/>
        </w:rPr>
        <w:t>电子版标书（U盘）壹份</w:t>
      </w:r>
      <w:r>
        <w:rPr>
          <w:rFonts w:hint="eastAsia" w:ascii="宋体" w:hAnsi="宋体"/>
          <w:color w:val="auto"/>
          <w:spacing w:val="4"/>
          <w:sz w:val="24"/>
        </w:rPr>
        <w:t>。</w:t>
      </w:r>
    </w:p>
    <w:p w14:paraId="7101DD56">
      <w:pPr>
        <w:spacing w:line="440" w:lineRule="exact"/>
        <w:ind w:firstLine="496" w:firstLineChars="200"/>
        <w:rPr>
          <w:rFonts w:ascii="宋体" w:hAnsi="宋体"/>
          <w:color w:val="auto"/>
          <w:spacing w:val="4"/>
          <w:sz w:val="24"/>
        </w:rPr>
      </w:pPr>
      <w:r>
        <w:rPr>
          <w:rFonts w:ascii="宋体" w:hAnsi="宋体"/>
          <w:color w:val="auto"/>
          <w:spacing w:val="4"/>
          <w:sz w:val="24"/>
        </w:rPr>
        <w:t>4</w:t>
      </w:r>
      <w:r>
        <w:rPr>
          <w:rFonts w:hint="eastAsia" w:ascii="宋体" w:hAnsi="宋体"/>
          <w:color w:val="auto"/>
          <w:spacing w:val="4"/>
          <w:sz w:val="24"/>
        </w:rPr>
        <w:t>、我方按磋商文件要求交纳磋商保证金为人民币：</w:t>
      </w:r>
      <w:r>
        <w:rPr>
          <w:rFonts w:hint="eastAsia" w:ascii="宋体" w:hAnsi="宋体"/>
          <w:color w:val="auto"/>
          <w:spacing w:val="4"/>
          <w:sz w:val="24"/>
          <w:u w:val="single"/>
        </w:rPr>
        <w:t xml:space="preserve">    </w:t>
      </w:r>
      <w:r>
        <w:rPr>
          <w:rFonts w:hint="eastAsia" w:ascii="宋体" w:hAnsi="宋体"/>
          <w:color w:val="auto"/>
          <w:spacing w:val="4"/>
          <w:sz w:val="24"/>
        </w:rPr>
        <w:t>元。</w:t>
      </w:r>
    </w:p>
    <w:p w14:paraId="276351C9">
      <w:pPr>
        <w:spacing w:line="440" w:lineRule="exact"/>
        <w:ind w:firstLine="496" w:firstLineChars="200"/>
        <w:rPr>
          <w:rFonts w:ascii="宋体" w:hAnsi="宋体"/>
          <w:color w:val="auto"/>
          <w:spacing w:val="4"/>
          <w:sz w:val="24"/>
        </w:rPr>
      </w:pPr>
      <w:r>
        <w:rPr>
          <w:rFonts w:ascii="宋体" w:hAnsi="宋体"/>
          <w:color w:val="auto"/>
          <w:spacing w:val="4"/>
          <w:sz w:val="24"/>
        </w:rPr>
        <w:t>5</w:t>
      </w:r>
      <w:r>
        <w:rPr>
          <w:rFonts w:hint="eastAsia" w:ascii="宋体" w:hAnsi="宋体"/>
          <w:color w:val="auto"/>
          <w:spacing w:val="4"/>
          <w:sz w:val="24"/>
        </w:rPr>
        <w:t>、我方已详细阅读和核实磋商文件全部内容，完全理解并同意放弃提出含糊不清和误解问题的权力。</w:t>
      </w:r>
    </w:p>
    <w:p w14:paraId="6DA7EB1C">
      <w:pPr>
        <w:spacing w:line="440" w:lineRule="exact"/>
        <w:ind w:firstLine="496" w:firstLineChars="200"/>
        <w:rPr>
          <w:rFonts w:ascii="宋体" w:hAnsi="宋体"/>
          <w:color w:val="auto"/>
          <w:spacing w:val="4"/>
          <w:sz w:val="24"/>
        </w:rPr>
      </w:pPr>
      <w:r>
        <w:rPr>
          <w:rFonts w:ascii="宋体" w:hAnsi="宋体"/>
          <w:color w:val="auto"/>
          <w:spacing w:val="4"/>
          <w:sz w:val="24"/>
        </w:rPr>
        <w:t>6</w:t>
      </w:r>
      <w:r>
        <w:rPr>
          <w:rFonts w:hint="eastAsia" w:ascii="宋体" w:hAnsi="宋体"/>
          <w:color w:val="auto"/>
          <w:spacing w:val="4"/>
          <w:sz w:val="24"/>
        </w:rPr>
        <w:t>、同意提供贵方要求的与本次磋商有关的任何证明资料。</w:t>
      </w:r>
      <w:r>
        <w:rPr>
          <w:rFonts w:ascii="宋体" w:hAnsi="宋体"/>
          <w:color w:val="auto"/>
          <w:spacing w:val="4"/>
          <w:sz w:val="24"/>
        </w:rPr>
        <w:t>我</w:t>
      </w:r>
      <w:r>
        <w:rPr>
          <w:rFonts w:hint="eastAsia" w:ascii="宋体" w:hAnsi="宋体"/>
          <w:color w:val="auto"/>
          <w:spacing w:val="4"/>
          <w:sz w:val="24"/>
        </w:rPr>
        <w:t>公司</w:t>
      </w:r>
      <w:r>
        <w:rPr>
          <w:rFonts w:ascii="宋体" w:hAnsi="宋体"/>
          <w:color w:val="auto"/>
          <w:spacing w:val="4"/>
          <w:sz w:val="24"/>
        </w:rPr>
        <w:t>完全理解最低报价不作为</w:t>
      </w:r>
      <w:r>
        <w:rPr>
          <w:rFonts w:hint="eastAsia" w:ascii="宋体" w:hAnsi="宋体"/>
          <w:color w:val="auto"/>
          <w:spacing w:val="4"/>
          <w:sz w:val="24"/>
        </w:rPr>
        <w:t>成交</w:t>
      </w:r>
      <w:r>
        <w:rPr>
          <w:rFonts w:ascii="宋体" w:hAnsi="宋体"/>
          <w:color w:val="auto"/>
          <w:spacing w:val="4"/>
          <w:sz w:val="24"/>
        </w:rPr>
        <w:t>的唯一条件，且尊重</w:t>
      </w:r>
      <w:r>
        <w:rPr>
          <w:rFonts w:hint="eastAsia" w:ascii="宋体" w:hAnsi="宋体"/>
          <w:color w:val="auto"/>
          <w:spacing w:val="4"/>
          <w:sz w:val="24"/>
        </w:rPr>
        <w:t>磋商小组</w:t>
      </w:r>
      <w:r>
        <w:rPr>
          <w:rFonts w:ascii="宋体" w:hAnsi="宋体"/>
          <w:color w:val="auto"/>
          <w:spacing w:val="4"/>
          <w:sz w:val="24"/>
        </w:rPr>
        <w:t>的</w:t>
      </w:r>
      <w:r>
        <w:rPr>
          <w:rFonts w:hint="eastAsia" w:ascii="宋体" w:hAnsi="宋体"/>
          <w:color w:val="auto"/>
          <w:spacing w:val="4"/>
          <w:sz w:val="24"/>
        </w:rPr>
        <w:t>磋商</w:t>
      </w:r>
      <w:r>
        <w:rPr>
          <w:rFonts w:ascii="宋体" w:hAnsi="宋体"/>
          <w:color w:val="auto"/>
          <w:spacing w:val="4"/>
          <w:sz w:val="24"/>
        </w:rPr>
        <w:t>结论和定标结果。</w:t>
      </w:r>
    </w:p>
    <w:p w14:paraId="4928D65F">
      <w:pPr>
        <w:spacing w:line="440" w:lineRule="exact"/>
        <w:ind w:firstLine="496" w:firstLineChars="200"/>
        <w:rPr>
          <w:rFonts w:ascii="宋体" w:hAnsi="宋体"/>
          <w:color w:val="auto"/>
          <w:spacing w:val="4"/>
          <w:sz w:val="24"/>
        </w:rPr>
      </w:pPr>
      <w:r>
        <w:rPr>
          <w:rFonts w:ascii="宋体" w:hAnsi="宋体"/>
          <w:color w:val="auto"/>
          <w:spacing w:val="4"/>
          <w:sz w:val="24"/>
        </w:rPr>
        <w:t>7</w:t>
      </w:r>
      <w:r>
        <w:rPr>
          <w:rFonts w:hint="eastAsia" w:ascii="宋体" w:hAnsi="宋体"/>
          <w:color w:val="auto"/>
          <w:spacing w:val="4"/>
          <w:sz w:val="24"/>
        </w:rPr>
        <w:t>、如果在开标后规定的磋商有效期内撤回响应文件，贵方可不予退还我方的磋商保证金。</w:t>
      </w:r>
    </w:p>
    <w:p w14:paraId="5FF68A4E">
      <w:pPr>
        <w:spacing w:line="440" w:lineRule="exact"/>
        <w:ind w:firstLine="496" w:firstLineChars="200"/>
        <w:rPr>
          <w:rFonts w:ascii="宋体" w:hAnsi="宋体"/>
          <w:color w:val="auto"/>
          <w:spacing w:val="4"/>
          <w:sz w:val="24"/>
        </w:rPr>
      </w:pPr>
      <w:r>
        <w:rPr>
          <w:rFonts w:ascii="宋体" w:hAnsi="宋体"/>
          <w:color w:val="auto"/>
          <w:spacing w:val="4"/>
          <w:sz w:val="24"/>
        </w:rPr>
        <w:t>8</w:t>
      </w:r>
      <w:r>
        <w:rPr>
          <w:rFonts w:hint="eastAsia" w:ascii="宋体" w:hAnsi="宋体"/>
          <w:color w:val="auto"/>
          <w:spacing w:val="4"/>
          <w:sz w:val="24"/>
        </w:rPr>
        <w:t>、我方的响应文件在磋商大会之日起计算有效期为</w:t>
      </w:r>
      <w:r>
        <w:rPr>
          <w:rFonts w:hint="eastAsia" w:ascii="宋体" w:hAnsi="宋体"/>
          <w:color w:val="auto"/>
          <w:spacing w:val="4"/>
          <w:sz w:val="24"/>
          <w:u w:val="single"/>
        </w:rPr>
        <w:t>90</w:t>
      </w:r>
      <w:r>
        <w:rPr>
          <w:rFonts w:hint="eastAsia" w:ascii="宋体" w:hAnsi="宋体"/>
          <w:color w:val="auto"/>
          <w:spacing w:val="4"/>
          <w:sz w:val="24"/>
        </w:rPr>
        <w:t>天。</w:t>
      </w:r>
    </w:p>
    <w:p w14:paraId="47403E25">
      <w:pPr>
        <w:spacing w:line="440" w:lineRule="exact"/>
        <w:ind w:firstLine="496" w:firstLineChars="200"/>
        <w:rPr>
          <w:rFonts w:ascii="宋体" w:hAnsi="宋体"/>
          <w:color w:val="auto"/>
          <w:spacing w:val="4"/>
          <w:sz w:val="24"/>
        </w:rPr>
      </w:pPr>
      <w:r>
        <w:rPr>
          <w:rFonts w:ascii="宋体" w:hAnsi="宋体"/>
          <w:color w:val="auto"/>
          <w:spacing w:val="4"/>
          <w:sz w:val="24"/>
        </w:rPr>
        <w:t>9</w:t>
      </w:r>
      <w:r>
        <w:rPr>
          <w:rFonts w:hint="eastAsia" w:ascii="宋体" w:hAnsi="宋体"/>
          <w:color w:val="auto"/>
          <w:spacing w:val="4"/>
          <w:sz w:val="24"/>
        </w:rPr>
        <w:t>、所有关于本次磋商的函电，请按下列地址、方式联系：</w:t>
      </w:r>
    </w:p>
    <w:p w14:paraId="631F1917">
      <w:pPr>
        <w:spacing w:line="440" w:lineRule="exact"/>
        <w:ind w:firstLine="496" w:firstLineChars="200"/>
        <w:rPr>
          <w:rFonts w:ascii="宋体" w:hAnsi="宋体"/>
          <w:color w:val="auto"/>
          <w:spacing w:val="4"/>
          <w:sz w:val="24"/>
        </w:rPr>
      </w:pPr>
      <w:r>
        <w:rPr>
          <w:rFonts w:hint="eastAsia" w:ascii="宋体" w:hAnsi="宋体"/>
          <w:color w:val="auto"/>
          <w:spacing w:val="4"/>
          <w:sz w:val="24"/>
        </w:rPr>
        <w:t>地    址：</w:t>
      </w:r>
      <w:r>
        <w:rPr>
          <w:rFonts w:hint="eastAsia" w:ascii="宋体" w:hAnsi="宋体"/>
          <w:color w:val="auto"/>
          <w:spacing w:val="4"/>
          <w:sz w:val="24"/>
          <w:u w:val="single"/>
        </w:rPr>
        <w:t xml:space="preserve">                                                     </w:t>
      </w:r>
    </w:p>
    <w:p w14:paraId="47F6D14C">
      <w:pPr>
        <w:spacing w:line="440" w:lineRule="exact"/>
        <w:ind w:firstLine="496" w:firstLineChars="200"/>
        <w:rPr>
          <w:rFonts w:ascii="宋体" w:hAnsi="宋体"/>
          <w:color w:val="auto"/>
          <w:spacing w:val="4"/>
          <w:sz w:val="24"/>
          <w:u w:val="single"/>
        </w:rPr>
      </w:pPr>
      <w:r>
        <w:rPr>
          <w:rFonts w:hint="eastAsia" w:ascii="宋体" w:hAnsi="宋体"/>
          <w:color w:val="auto"/>
          <w:spacing w:val="4"/>
          <w:sz w:val="24"/>
        </w:rPr>
        <w:t>电    话：</w:t>
      </w:r>
      <w:r>
        <w:rPr>
          <w:rFonts w:hint="eastAsia" w:ascii="宋体" w:hAnsi="宋体"/>
          <w:color w:val="auto"/>
          <w:spacing w:val="4"/>
          <w:sz w:val="24"/>
          <w:u w:val="single"/>
        </w:rPr>
        <w:t xml:space="preserve">                                                     </w:t>
      </w:r>
    </w:p>
    <w:p w14:paraId="4457134A">
      <w:pPr>
        <w:spacing w:line="440" w:lineRule="exact"/>
        <w:ind w:firstLine="496" w:firstLineChars="200"/>
        <w:rPr>
          <w:rFonts w:ascii="宋体" w:hAnsi="宋体"/>
          <w:color w:val="auto"/>
          <w:spacing w:val="4"/>
          <w:sz w:val="24"/>
          <w:u w:val="single"/>
        </w:rPr>
      </w:pPr>
      <w:r>
        <w:rPr>
          <w:rFonts w:hint="eastAsia" w:ascii="宋体" w:hAnsi="宋体"/>
          <w:color w:val="auto"/>
          <w:spacing w:val="4"/>
          <w:sz w:val="24"/>
        </w:rPr>
        <w:t>传    真：</w:t>
      </w:r>
      <w:r>
        <w:rPr>
          <w:rFonts w:hint="eastAsia" w:ascii="宋体" w:hAnsi="宋体"/>
          <w:color w:val="auto"/>
          <w:spacing w:val="4"/>
          <w:sz w:val="24"/>
          <w:u w:val="single"/>
        </w:rPr>
        <w:t xml:space="preserve">                                                     </w:t>
      </w:r>
    </w:p>
    <w:p w14:paraId="5A9E5495">
      <w:pPr>
        <w:spacing w:line="440" w:lineRule="exact"/>
        <w:ind w:firstLine="496" w:firstLineChars="200"/>
        <w:rPr>
          <w:rFonts w:ascii="宋体" w:hAnsi="宋体"/>
          <w:color w:val="auto"/>
          <w:spacing w:val="4"/>
          <w:sz w:val="24"/>
          <w:u w:val="single"/>
        </w:rPr>
      </w:pPr>
      <w:r>
        <w:rPr>
          <w:rFonts w:hint="eastAsia" w:ascii="宋体" w:hAnsi="宋体"/>
          <w:color w:val="auto"/>
          <w:spacing w:val="4"/>
          <w:sz w:val="24"/>
        </w:rPr>
        <w:t>邮    编：</w:t>
      </w:r>
      <w:r>
        <w:rPr>
          <w:rFonts w:hint="eastAsia" w:ascii="宋体" w:hAnsi="宋体"/>
          <w:color w:val="auto"/>
          <w:spacing w:val="4"/>
          <w:sz w:val="24"/>
          <w:u w:val="single"/>
        </w:rPr>
        <w:t xml:space="preserve">                                                     </w:t>
      </w:r>
    </w:p>
    <w:p w14:paraId="28743C4A">
      <w:pPr>
        <w:spacing w:line="440" w:lineRule="exact"/>
        <w:ind w:firstLine="496" w:firstLineChars="200"/>
        <w:rPr>
          <w:rFonts w:ascii="宋体" w:hAnsi="宋体"/>
          <w:color w:val="auto"/>
          <w:spacing w:val="4"/>
          <w:sz w:val="24"/>
        </w:rPr>
      </w:pPr>
      <w:r>
        <w:rPr>
          <w:rFonts w:hint="eastAsia" w:ascii="宋体" w:hAnsi="宋体"/>
          <w:color w:val="auto"/>
          <w:spacing w:val="4"/>
          <w:sz w:val="24"/>
        </w:rPr>
        <w:t>供应商：全称（公章）</w:t>
      </w:r>
      <w:r>
        <w:rPr>
          <w:rFonts w:hint="eastAsia" w:ascii="宋体" w:hAnsi="宋体"/>
          <w:color w:val="auto"/>
          <w:spacing w:val="4"/>
          <w:sz w:val="24"/>
          <w:u w:val="single"/>
        </w:rPr>
        <w:t xml:space="preserve">                                            </w:t>
      </w:r>
    </w:p>
    <w:p w14:paraId="6CA93C5D">
      <w:pPr>
        <w:spacing w:line="440" w:lineRule="exact"/>
        <w:rPr>
          <w:rFonts w:ascii="宋体" w:hAnsi="宋体"/>
          <w:color w:val="auto"/>
          <w:spacing w:val="4"/>
          <w:sz w:val="24"/>
        </w:rPr>
      </w:pPr>
    </w:p>
    <w:p w14:paraId="3EC0B26A">
      <w:pPr>
        <w:spacing w:line="440" w:lineRule="exact"/>
        <w:ind w:firstLine="496" w:firstLineChars="200"/>
        <w:rPr>
          <w:rFonts w:ascii="宋体" w:hAnsi="宋体"/>
          <w:color w:val="auto"/>
          <w:spacing w:val="4"/>
          <w:sz w:val="24"/>
          <w:u w:val="single"/>
        </w:rPr>
      </w:pPr>
      <w:r>
        <w:rPr>
          <w:rFonts w:hint="eastAsia" w:ascii="宋体" w:hAnsi="宋体"/>
          <w:color w:val="auto"/>
          <w:spacing w:val="4"/>
          <w:sz w:val="24"/>
        </w:rPr>
        <w:t>法定代表人或被授权人（签字）：</w:t>
      </w:r>
      <w:r>
        <w:rPr>
          <w:rFonts w:hint="eastAsia" w:ascii="宋体" w:hAnsi="宋体"/>
          <w:color w:val="auto"/>
          <w:spacing w:val="4"/>
          <w:sz w:val="24"/>
          <w:u w:val="single"/>
        </w:rPr>
        <w:t xml:space="preserve">                                    </w:t>
      </w:r>
    </w:p>
    <w:p w14:paraId="39DFDC61">
      <w:pPr>
        <w:spacing w:line="440" w:lineRule="exact"/>
        <w:rPr>
          <w:rFonts w:ascii="宋体" w:hAnsi="宋体"/>
          <w:color w:val="auto"/>
          <w:spacing w:val="4"/>
          <w:sz w:val="24"/>
        </w:rPr>
      </w:pPr>
      <w:r>
        <w:rPr>
          <w:rFonts w:hint="eastAsia" w:ascii="宋体" w:hAnsi="宋体"/>
          <w:color w:val="auto"/>
          <w:spacing w:val="4"/>
          <w:sz w:val="24"/>
        </w:rPr>
        <w:t xml:space="preserve">                                         </w:t>
      </w:r>
    </w:p>
    <w:p w14:paraId="48C34973">
      <w:pPr>
        <w:spacing w:line="440" w:lineRule="exact"/>
        <w:jc w:val="right"/>
        <w:rPr>
          <w:rFonts w:ascii="宋体" w:hAnsi="宋体"/>
          <w:color w:val="auto"/>
          <w:spacing w:val="4"/>
          <w:sz w:val="24"/>
        </w:rPr>
      </w:pPr>
      <w:r>
        <w:rPr>
          <w:rFonts w:hint="eastAsia" w:ascii="宋体" w:hAnsi="宋体"/>
          <w:color w:val="auto"/>
          <w:spacing w:val="4"/>
          <w:sz w:val="24"/>
        </w:rPr>
        <w:t>年   月   日</w:t>
      </w:r>
    </w:p>
    <w:p w14:paraId="3F8031D1">
      <w:pPr>
        <w:spacing w:line="440" w:lineRule="exact"/>
        <w:jc w:val="right"/>
        <w:rPr>
          <w:rFonts w:ascii="宋体" w:hAnsi="宋体"/>
          <w:color w:val="auto"/>
          <w:spacing w:val="4"/>
          <w:sz w:val="24"/>
        </w:rPr>
      </w:pPr>
    </w:p>
    <w:p w14:paraId="63F95768">
      <w:pPr>
        <w:tabs>
          <w:tab w:val="left" w:pos="2515"/>
          <w:tab w:val="center" w:pos="4535"/>
        </w:tabs>
        <w:kinsoku w:val="0"/>
        <w:spacing w:line="500" w:lineRule="exact"/>
        <w:jc w:val="center"/>
        <w:rPr>
          <w:rFonts w:ascii="宋体" w:hAnsi="宋体"/>
          <w:b/>
          <w:color w:val="auto"/>
          <w:sz w:val="32"/>
          <w:szCs w:val="32"/>
        </w:rPr>
      </w:pPr>
    </w:p>
    <w:p w14:paraId="395C4C01">
      <w:pPr>
        <w:tabs>
          <w:tab w:val="left" w:pos="2515"/>
          <w:tab w:val="center" w:pos="4535"/>
        </w:tabs>
        <w:kinsoku w:val="0"/>
        <w:spacing w:line="500" w:lineRule="exact"/>
        <w:jc w:val="center"/>
        <w:rPr>
          <w:rFonts w:ascii="宋体" w:hAnsi="宋体"/>
          <w:b/>
          <w:color w:val="auto"/>
          <w:sz w:val="32"/>
          <w:szCs w:val="32"/>
        </w:rPr>
      </w:pPr>
    </w:p>
    <w:p w14:paraId="24139B22">
      <w:pPr>
        <w:tabs>
          <w:tab w:val="left" w:pos="2515"/>
          <w:tab w:val="center" w:pos="4535"/>
        </w:tabs>
        <w:kinsoku w:val="0"/>
        <w:spacing w:line="500" w:lineRule="exact"/>
        <w:jc w:val="center"/>
        <w:rPr>
          <w:rFonts w:ascii="宋体" w:hAnsi="宋体"/>
          <w:color w:val="auto"/>
          <w:sz w:val="24"/>
        </w:rPr>
      </w:pPr>
      <w:r>
        <w:rPr>
          <w:rFonts w:hint="eastAsia" w:ascii="宋体" w:hAnsi="宋体"/>
          <w:b/>
          <w:color w:val="auto"/>
          <w:sz w:val="32"/>
          <w:szCs w:val="32"/>
        </w:rPr>
        <w:br w:type="page"/>
      </w:r>
      <w:r>
        <w:rPr>
          <w:rFonts w:hint="eastAsia" w:ascii="宋体" w:hAnsi="宋体"/>
          <w:b/>
          <w:color w:val="auto"/>
          <w:sz w:val="32"/>
          <w:szCs w:val="32"/>
        </w:rPr>
        <w:t>第二部分 响应报价表</w:t>
      </w:r>
    </w:p>
    <w:p w14:paraId="699EA814">
      <w:pPr>
        <w:kinsoku w:val="0"/>
        <w:spacing w:line="500" w:lineRule="exact"/>
        <w:rPr>
          <w:rFonts w:ascii="宋体" w:hAnsi="宋体"/>
          <w:color w:val="auto"/>
          <w:sz w:val="24"/>
        </w:rPr>
      </w:pPr>
      <w:r>
        <w:rPr>
          <w:rFonts w:hint="eastAsia" w:ascii="宋体" w:hAnsi="宋体"/>
          <w:color w:val="auto"/>
          <w:sz w:val="24"/>
        </w:rPr>
        <w:t xml:space="preserve">项目名称：                                                       </w:t>
      </w:r>
    </w:p>
    <w:p w14:paraId="762DE321">
      <w:pPr>
        <w:kinsoku w:val="0"/>
        <w:spacing w:line="500" w:lineRule="exact"/>
        <w:rPr>
          <w:rFonts w:ascii="宋体" w:hAnsi="宋体"/>
          <w:color w:val="auto"/>
          <w:sz w:val="24"/>
        </w:rPr>
      </w:pPr>
      <w:r>
        <w:rPr>
          <w:rFonts w:hint="eastAsia" w:ascii="宋体" w:hAnsi="宋体"/>
          <w:color w:val="auto"/>
          <w:sz w:val="24"/>
        </w:rPr>
        <w:t>项目编号：</w:t>
      </w:r>
    </w:p>
    <w:p w14:paraId="313139CA">
      <w:pPr>
        <w:kinsoku w:val="0"/>
        <w:spacing w:line="500" w:lineRule="exact"/>
        <w:rPr>
          <w:rFonts w:ascii="宋体" w:hAnsi="宋体"/>
          <w:color w:val="auto"/>
          <w:sz w:val="24"/>
        </w:rPr>
      </w:pPr>
      <w:r>
        <w:rPr>
          <w:rFonts w:hint="eastAsia" w:ascii="宋体" w:hAnsi="宋体"/>
          <w:color w:val="auto"/>
          <w:sz w:val="24"/>
        </w:rPr>
        <w:t>供应商：                                                         单位：元</w:t>
      </w:r>
    </w:p>
    <w:tbl>
      <w:tblPr>
        <w:tblStyle w:val="28"/>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0"/>
        <w:gridCol w:w="2583"/>
        <w:gridCol w:w="1976"/>
        <w:gridCol w:w="1976"/>
      </w:tblGrid>
      <w:tr w14:paraId="2010D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1" w:hRule="atLeast"/>
          <w:jc w:val="center"/>
        </w:trPr>
        <w:tc>
          <w:tcPr>
            <w:tcW w:w="2660" w:type="dxa"/>
            <w:tcBorders>
              <w:tl2br w:val="single" w:color="auto" w:sz="4" w:space="0"/>
            </w:tcBorders>
            <w:vAlign w:val="center"/>
          </w:tcPr>
          <w:p w14:paraId="50CE150B">
            <w:pPr>
              <w:kinsoku w:val="0"/>
              <w:spacing w:line="460" w:lineRule="exact"/>
              <w:ind w:firstLine="1440" w:firstLineChars="600"/>
              <w:rPr>
                <w:rFonts w:ascii="宋体" w:hAnsi="宋体"/>
                <w:color w:val="auto"/>
                <w:sz w:val="24"/>
              </w:rPr>
            </w:pPr>
            <w:r>
              <w:rPr>
                <w:rFonts w:hint="eastAsia" w:ascii="宋体" w:hAnsi="宋体"/>
                <w:color w:val="auto"/>
                <w:sz w:val="24"/>
              </w:rPr>
              <w:t>报价内容</w:t>
            </w:r>
          </w:p>
          <w:p w14:paraId="5C341E5F">
            <w:pPr>
              <w:kinsoku w:val="0"/>
              <w:spacing w:line="460" w:lineRule="exact"/>
              <w:rPr>
                <w:rFonts w:ascii="宋体" w:hAnsi="宋体"/>
                <w:color w:val="auto"/>
                <w:sz w:val="24"/>
              </w:rPr>
            </w:pPr>
          </w:p>
          <w:p w14:paraId="6F3D7113">
            <w:pPr>
              <w:kinsoku w:val="0"/>
              <w:spacing w:line="460" w:lineRule="exact"/>
              <w:rPr>
                <w:rFonts w:ascii="宋体" w:hAnsi="宋体"/>
                <w:color w:val="auto"/>
                <w:sz w:val="24"/>
              </w:rPr>
            </w:pPr>
            <w:r>
              <w:rPr>
                <w:rFonts w:hint="eastAsia" w:ascii="宋体" w:hAnsi="宋体"/>
                <w:color w:val="auto"/>
                <w:sz w:val="24"/>
              </w:rPr>
              <w:t>磋商内容</w:t>
            </w:r>
          </w:p>
        </w:tc>
        <w:tc>
          <w:tcPr>
            <w:tcW w:w="2583" w:type="dxa"/>
            <w:vAlign w:val="center"/>
          </w:tcPr>
          <w:p w14:paraId="0F1C79D1">
            <w:pPr>
              <w:kinsoku w:val="0"/>
              <w:spacing w:line="460" w:lineRule="exact"/>
              <w:jc w:val="center"/>
              <w:rPr>
                <w:rFonts w:ascii="宋体" w:hAnsi="宋体"/>
                <w:color w:val="auto"/>
                <w:sz w:val="24"/>
              </w:rPr>
            </w:pPr>
            <w:r>
              <w:rPr>
                <w:rFonts w:hint="eastAsia" w:ascii="宋体" w:hAnsi="宋体"/>
                <w:color w:val="auto"/>
                <w:sz w:val="24"/>
              </w:rPr>
              <w:t>总报价</w:t>
            </w:r>
          </w:p>
        </w:tc>
        <w:tc>
          <w:tcPr>
            <w:tcW w:w="1976" w:type="dxa"/>
            <w:vAlign w:val="center"/>
          </w:tcPr>
          <w:p w14:paraId="6F833052">
            <w:pPr>
              <w:kinsoku w:val="0"/>
              <w:spacing w:line="460" w:lineRule="exact"/>
              <w:jc w:val="center"/>
              <w:rPr>
                <w:rFonts w:ascii="宋体" w:hAnsi="宋体"/>
                <w:bCs/>
                <w:color w:val="auto"/>
                <w:sz w:val="24"/>
              </w:rPr>
            </w:pPr>
            <w:r>
              <w:rPr>
                <w:rFonts w:hint="eastAsia" w:ascii="宋体" w:hAnsi="宋体"/>
                <w:bCs/>
                <w:color w:val="auto"/>
                <w:sz w:val="24"/>
              </w:rPr>
              <w:t>服务期</w:t>
            </w:r>
          </w:p>
        </w:tc>
        <w:tc>
          <w:tcPr>
            <w:tcW w:w="1976" w:type="dxa"/>
            <w:vAlign w:val="center"/>
          </w:tcPr>
          <w:p w14:paraId="63DBB006">
            <w:pPr>
              <w:kinsoku w:val="0"/>
              <w:spacing w:line="460" w:lineRule="exact"/>
              <w:jc w:val="center"/>
              <w:rPr>
                <w:rFonts w:ascii="宋体" w:hAnsi="宋体"/>
                <w:bCs/>
                <w:color w:val="auto"/>
                <w:sz w:val="24"/>
              </w:rPr>
            </w:pPr>
            <w:r>
              <w:rPr>
                <w:rFonts w:hint="eastAsia" w:ascii="宋体" w:hAnsi="宋体"/>
                <w:bCs/>
                <w:color w:val="auto"/>
                <w:sz w:val="24"/>
              </w:rPr>
              <w:t>质保期</w:t>
            </w:r>
          </w:p>
        </w:tc>
      </w:tr>
      <w:tr w14:paraId="52841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2" w:hRule="atLeast"/>
          <w:jc w:val="center"/>
        </w:trPr>
        <w:tc>
          <w:tcPr>
            <w:tcW w:w="2660" w:type="dxa"/>
            <w:vAlign w:val="center"/>
          </w:tcPr>
          <w:p w14:paraId="2C5DE22C">
            <w:pPr>
              <w:spacing w:line="360" w:lineRule="auto"/>
              <w:jc w:val="center"/>
              <w:rPr>
                <w:rFonts w:ascii="宋体" w:hAnsi="宋体"/>
                <w:bCs/>
                <w:color w:val="auto"/>
                <w:sz w:val="24"/>
              </w:rPr>
            </w:pPr>
          </w:p>
        </w:tc>
        <w:tc>
          <w:tcPr>
            <w:tcW w:w="2583" w:type="dxa"/>
            <w:vAlign w:val="center"/>
          </w:tcPr>
          <w:p w14:paraId="0A5CE339">
            <w:pPr>
              <w:kinsoku w:val="0"/>
              <w:spacing w:line="500" w:lineRule="exact"/>
              <w:jc w:val="center"/>
              <w:rPr>
                <w:rFonts w:ascii="宋体" w:hAnsi="宋体"/>
                <w:color w:val="auto"/>
                <w:sz w:val="24"/>
              </w:rPr>
            </w:pPr>
          </w:p>
        </w:tc>
        <w:tc>
          <w:tcPr>
            <w:tcW w:w="1976" w:type="dxa"/>
            <w:vAlign w:val="center"/>
          </w:tcPr>
          <w:p w14:paraId="19261410">
            <w:pPr>
              <w:kinsoku w:val="0"/>
              <w:spacing w:line="500" w:lineRule="exact"/>
              <w:jc w:val="center"/>
              <w:rPr>
                <w:rFonts w:ascii="宋体" w:hAnsi="宋体"/>
                <w:b/>
                <w:color w:val="auto"/>
                <w:sz w:val="24"/>
              </w:rPr>
            </w:pPr>
          </w:p>
        </w:tc>
        <w:tc>
          <w:tcPr>
            <w:tcW w:w="1976" w:type="dxa"/>
            <w:vAlign w:val="center"/>
          </w:tcPr>
          <w:p w14:paraId="295F7976">
            <w:pPr>
              <w:kinsoku w:val="0"/>
              <w:spacing w:line="500" w:lineRule="exact"/>
              <w:jc w:val="center"/>
              <w:rPr>
                <w:rFonts w:ascii="宋体" w:hAnsi="宋体"/>
                <w:b/>
                <w:color w:val="auto"/>
                <w:sz w:val="24"/>
              </w:rPr>
            </w:pPr>
          </w:p>
        </w:tc>
      </w:tr>
      <w:tr w14:paraId="25AB6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195" w:type="dxa"/>
            <w:gridSpan w:val="4"/>
            <w:vAlign w:val="center"/>
          </w:tcPr>
          <w:p w14:paraId="51415E35">
            <w:pPr>
              <w:kinsoku w:val="0"/>
              <w:spacing w:line="500" w:lineRule="exact"/>
              <w:rPr>
                <w:rFonts w:ascii="宋体" w:hAnsi="宋体"/>
                <w:color w:val="auto"/>
                <w:sz w:val="24"/>
              </w:rPr>
            </w:pPr>
            <w:r>
              <w:rPr>
                <w:rFonts w:hint="eastAsia" w:ascii="宋体" w:hAnsi="宋体"/>
                <w:color w:val="auto"/>
                <w:sz w:val="24"/>
              </w:rPr>
              <w:t>总报价：人民币（大写）                                     ￥       元</w:t>
            </w:r>
          </w:p>
        </w:tc>
      </w:tr>
      <w:tr w14:paraId="26187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9195" w:type="dxa"/>
            <w:gridSpan w:val="4"/>
            <w:vAlign w:val="center"/>
          </w:tcPr>
          <w:p w14:paraId="72E708B2">
            <w:pPr>
              <w:kinsoku w:val="0"/>
              <w:spacing w:line="500" w:lineRule="exact"/>
              <w:rPr>
                <w:rFonts w:ascii="宋体" w:hAnsi="宋体"/>
                <w:color w:val="auto"/>
                <w:sz w:val="24"/>
              </w:rPr>
            </w:pPr>
            <w:r>
              <w:rPr>
                <w:rFonts w:hint="eastAsia" w:ascii="宋体" w:hAnsi="宋体"/>
                <w:color w:val="auto"/>
                <w:sz w:val="24"/>
              </w:rPr>
              <w:t>备注：1.表内报价内容以元为单位，保留小数点后两位。</w:t>
            </w:r>
          </w:p>
        </w:tc>
      </w:tr>
    </w:tbl>
    <w:p w14:paraId="28964CCE">
      <w:pPr>
        <w:kinsoku w:val="0"/>
        <w:spacing w:line="500" w:lineRule="exact"/>
        <w:rPr>
          <w:rFonts w:ascii="宋体" w:hAnsi="宋体"/>
          <w:color w:val="auto"/>
          <w:sz w:val="24"/>
        </w:rPr>
      </w:pPr>
    </w:p>
    <w:p w14:paraId="4C74ACD2">
      <w:pPr>
        <w:kinsoku w:val="0"/>
        <w:spacing w:line="500" w:lineRule="exact"/>
        <w:rPr>
          <w:rFonts w:ascii="宋体" w:hAnsi="宋体"/>
          <w:color w:val="auto"/>
          <w:sz w:val="24"/>
        </w:rPr>
      </w:pPr>
    </w:p>
    <w:p w14:paraId="46D959A2">
      <w:pPr>
        <w:kinsoku w:val="0"/>
        <w:spacing w:line="500" w:lineRule="exact"/>
        <w:rPr>
          <w:rFonts w:ascii="宋体" w:hAnsi="宋体"/>
          <w:color w:val="auto"/>
        </w:rPr>
      </w:pPr>
    </w:p>
    <w:p w14:paraId="73A30DD7">
      <w:pPr>
        <w:kinsoku w:val="0"/>
        <w:spacing w:line="500" w:lineRule="exact"/>
        <w:rPr>
          <w:rFonts w:ascii="宋体" w:hAnsi="宋体"/>
          <w:color w:val="auto"/>
          <w:sz w:val="24"/>
        </w:rPr>
      </w:pPr>
      <w:r>
        <w:rPr>
          <w:rFonts w:hint="eastAsia" w:ascii="宋体" w:hAnsi="宋体"/>
          <w:color w:val="auto"/>
          <w:sz w:val="24"/>
        </w:rPr>
        <w:t>供应商（公章）：                         法定代表人或被授权人（签字）：</w:t>
      </w:r>
    </w:p>
    <w:p w14:paraId="77ABBAC4">
      <w:pPr>
        <w:pStyle w:val="15"/>
        <w:rPr>
          <w:rFonts w:hAnsi="宋体"/>
          <w:color w:val="auto"/>
        </w:rPr>
      </w:pPr>
      <w:r>
        <w:rPr>
          <w:rFonts w:hAnsi="宋体" w:cs="Times New Roman"/>
          <w:color w:val="auto"/>
          <w:sz w:val="24"/>
          <w:szCs w:val="24"/>
        </w:rPr>
        <w:br w:type="page"/>
      </w:r>
      <w:r>
        <w:rPr>
          <w:rFonts w:hint="eastAsia" w:hAnsi="宋体"/>
          <w:color w:val="auto"/>
          <w:sz w:val="24"/>
          <w:szCs w:val="24"/>
        </w:rPr>
        <w:t>附表1</w:t>
      </w:r>
    </w:p>
    <w:p w14:paraId="7ED06957">
      <w:pPr>
        <w:pStyle w:val="15"/>
        <w:jc w:val="center"/>
        <w:rPr>
          <w:rFonts w:hAnsi="宋体"/>
          <w:b/>
          <w:color w:val="auto"/>
          <w:sz w:val="32"/>
        </w:rPr>
      </w:pPr>
      <w:r>
        <w:rPr>
          <w:rFonts w:hint="eastAsia" w:hAnsi="宋体"/>
          <w:b/>
          <w:color w:val="auto"/>
          <w:sz w:val="32"/>
        </w:rPr>
        <w:t>分项报价表</w:t>
      </w:r>
    </w:p>
    <w:p w14:paraId="08AC86E4">
      <w:pPr>
        <w:kinsoku w:val="0"/>
        <w:spacing w:line="500" w:lineRule="exact"/>
        <w:rPr>
          <w:rFonts w:ascii="宋体" w:hAnsi="宋体"/>
          <w:color w:val="auto"/>
          <w:sz w:val="24"/>
        </w:rPr>
      </w:pPr>
      <w:r>
        <w:rPr>
          <w:rFonts w:hint="eastAsia" w:ascii="宋体" w:hAnsi="宋体"/>
          <w:color w:val="auto"/>
          <w:sz w:val="24"/>
        </w:rPr>
        <w:t xml:space="preserve">项目名称：                                              </w:t>
      </w:r>
    </w:p>
    <w:p w14:paraId="4B713BCB">
      <w:pPr>
        <w:kinsoku w:val="0"/>
        <w:spacing w:line="500" w:lineRule="exact"/>
        <w:rPr>
          <w:rFonts w:ascii="宋体" w:hAnsi="宋体"/>
          <w:color w:val="auto"/>
          <w:sz w:val="24"/>
        </w:rPr>
      </w:pPr>
      <w:r>
        <w:rPr>
          <w:rFonts w:hint="eastAsia" w:ascii="宋体" w:hAnsi="宋体"/>
          <w:color w:val="auto"/>
          <w:sz w:val="24"/>
        </w:rPr>
        <w:t>供应商：                                                 共   页，第   页</w:t>
      </w:r>
    </w:p>
    <w:p w14:paraId="5CB7E541">
      <w:pPr>
        <w:pStyle w:val="27"/>
        <w:spacing w:before="156" w:after="156"/>
        <w:ind w:firstLine="600"/>
        <w:rPr>
          <w:color w:val="auto"/>
        </w:rPr>
      </w:pPr>
    </w:p>
    <w:p w14:paraId="5A6CDF12">
      <w:pPr>
        <w:pStyle w:val="15"/>
        <w:ind w:firstLine="482" w:firstLineChars="200"/>
        <w:rPr>
          <w:rFonts w:hAnsi="宋体" w:cs="宋体"/>
          <w:b/>
          <w:color w:val="auto"/>
          <w:sz w:val="24"/>
          <w:szCs w:val="24"/>
        </w:rPr>
      </w:pPr>
    </w:p>
    <w:p w14:paraId="3AAAAD26">
      <w:pPr>
        <w:pStyle w:val="15"/>
        <w:ind w:firstLine="482" w:firstLineChars="200"/>
        <w:rPr>
          <w:rFonts w:hAnsi="宋体" w:cs="宋体"/>
          <w:color w:val="auto"/>
        </w:rPr>
      </w:pPr>
      <w:r>
        <w:rPr>
          <w:rFonts w:hint="eastAsia" w:hAnsi="宋体" w:cs="宋体"/>
          <w:b/>
          <w:color w:val="auto"/>
          <w:sz w:val="24"/>
          <w:szCs w:val="24"/>
        </w:rPr>
        <w:t>（供应商根据项目实际情况自行拟定，须包含完成本项目所涉及的全部费用）</w:t>
      </w:r>
    </w:p>
    <w:p w14:paraId="1AC0A65D">
      <w:pPr>
        <w:pStyle w:val="27"/>
        <w:spacing w:before="156" w:after="156"/>
        <w:ind w:firstLine="600"/>
        <w:rPr>
          <w:color w:val="auto"/>
        </w:rPr>
      </w:pPr>
    </w:p>
    <w:p w14:paraId="3B23D846">
      <w:pPr>
        <w:kinsoku w:val="0"/>
        <w:spacing w:line="500" w:lineRule="exact"/>
        <w:rPr>
          <w:rFonts w:ascii="宋体" w:hAnsi="宋体"/>
          <w:color w:val="auto"/>
          <w:sz w:val="24"/>
        </w:rPr>
      </w:pPr>
    </w:p>
    <w:p w14:paraId="3295373E">
      <w:pPr>
        <w:kinsoku w:val="0"/>
        <w:spacing w:line="500" w:lineRule="exact"/>
        <w:rPr>
          <w:rFonts w:ascii="宋体" w:hAnsi="宋体"/>
          <w:color w:val="auto"/>
          <w:sz w:val="24"/>
        </w:rPr>
      </w:pPr>
      <w:r>
        <w:rPr>
          <w:rFonts w:hint="eastAsia" w:ascii="宋体" w:hAnsi="宋体"/>
          <w:color w:val="auto"/>
          <w:sz w:val="24"/>
        </w:rPr>
        <w:t>注：本表中的“</w:t>
      </w:r>
      <w:r>
        <w:rPr>
          <w:rFonts w:hint="eastAsia" w:hAnsi="宋体" w:cs="Courier New"/>
          <w:color w:val="auto"/>
          <w:spacing w:val="-6"/>
          <w:sz w:val="24"/>
        </w:rPr>
        <w:t>总报价</w:t>
      </w:r>
      <w:r>
        <w:rPr>
          <w:rFonts w:hint="eastAsia" w:ascii="宋体" w:hAnsi="宋体"/>
          <w:color w:val="auto"/>
          <w:sz w:val="24"/>
        </w:rPr>
        <w:t>”与“响应报价表”中的“磋商总报价”一致。各子项分别报价。</w:t>
      </w:r>
    </w:p>
    <w:p w14:paraId="002754C5">
      <w:pPr>
        <w:pStyle w:val="15"/>
        <w:rPr>
          <w:rFonts w:hAnsi="宋体"/>
          <w:color w:val="auto"/>
          <w:sz w:val="24"/>
          <w:szCs w:val="24"/>
        </w:rPr>
      </w:pPr>
    </w:p>
    <w:p w14:paraId="690F776C">
      <w:pPr>
        <w:pStyle w:val="15"/>
        <w:rPr>
          <w:rFonts w:hAnsi="宋体"/>
          <w:color w:val="auto"/>
          <w:sz w:val="24"/>
          <w:szCs w:val="24"/>
        </w:rPr>
      </w:pPr>
    </w:p>
    <w:p w14:paraId="46B4B604">
      <w:pPr>
        <w:pStyle w:val="15"/>
        <w:rPr>
          <w:rFonts w:hAnsi="宋体"/>
          <w:color w:val="auto"/>
          <w:sz w:val="24"/>
          <w:szCs w:val="24"/>
        </w:rPr>
      </w:pPr>
    </w:p>
    <w:p w14:paraId="7A9D35E7">
      <w:pPr>
        <w:ind w:right="420"/>
        <w:rPr>
          <w:rFonts w:ascii="宋体" w:hAnsi="宋体"/>
          <w:color w:val="auto"/>
          <w:sz w:val="24"/>
          <w:u w:val="single"/>
        </w:rPr>
      </w:pPr>
      <w:r>
        <w:rPr>
          <w:rFonts w:hint="eastAsia" w:ascii="宋体" w:hAnsi="宋体"/>
          <w:color w:val="auto"/>
          <w:sz w:val="24"/>
        </w:rPr>
        <w:t xml:space="preserve">供应商（公章）：                          法定代表人或被授权人（签字）：                                                  </w:t>
      </w:r>
    </w:p>
    <w:p w14:paraId="2F50DB56">
      <w:pPr>
        <w:pStyle w:val="15"/>
        <w:rPr>
          <w:rFonts w:hAnsi="宋体"/>
          <w:color w:val="auto"/>
          <w:sz w:val="24"/>
          <w:szCs w:val="24"/>
        </w:rPr>
      </w:pPr>
      <w:r>
        <w:rPr>
          <w:rFonts w:hAnsi="宋体"/>
          <w:b/>
          <w:color w:val="auto"/>
          <w:sz w:val="44"/>
        </w:rPr>
        <w:br w:type="page"/>
      </w:r>
      <w:r>
        <w:rPr>
          <w:rFonts w:hint="eastAsia" w:hAnsi="宋体"/>
          <w:color w:val="auto"/>
          <w:sz w:val="24"/>
          <w:szCs w:val="24"/>
        </w:rPr>
        <w:t>附表2</w:t>
      </w:r>
    </w:p>
    <w:p w14:paraId="0BEAA533">
      <w:pPr>
        <w:pStyle w:val="15"/>
        <w:jc w:val="center"/>
        <w:rPr>
          <w:rFonts w:hAnsi="宋体"/>
          <w:b/>
          <w:bCs/>
          <w:color w:val="auto"/>
          <w:sz w:val="32"/>
          <w:szCs w:val="32"/>
        </w:rPr>
      </w:pPr>
      <w:r>
        <w:rPr>
          <w:rFonts w:hint="eastAsia" w:hAnsi="宋体"/>
          <w:b/>
          <w:bCs/>
          <w:color w:val="auto"/>
          <w:sz w:val="32"/>
          <w:szCs w:val="32"/>
        </w:rPr>
        <w:t>服务要求及内容响应偏差表</w:t>
      </w:r>
    </w:p>
    <w:p w14:paraId="4ABFF4F2">
      <w:pPr>
        <w:kinsoku w:val="0"/>
        <w:spacing w:line="500" w:lineRule="exact"/>
        <w:ind w:left="-359" w:leftChars="-171" w:firstLine="358"/>
        <w:rPr>
          <w:rFonts w:ascii="宋体" w:hAnsi="宋体"/>
          <w:b/>
          <w:color w:val="auto"/>
          <w:sz w:val="24"/>
        </w:rPr>
      </w:pPr>
      <w:r>
        <w:rPr>
          <w:rFonts w:hint="eastAsia" w:ascii="宋体" w:hAnsi="宋体"/>
          <w:color w:val="auto"/>
          <w:sz w:val="24"/>
        </w:rPr>
        <w:t xml:space="preserve">项目名称：                                                   </w:t>
      </w:r>
    </w:p>
    <w:p w14:paraId="2FF265FB">
      <w:pPr>
        <w:kinsoku w:val="0"/>
        <w:spacing w:line="500" w:lineRule="exact"/>
        <w:ind w:left="-359" w:leftChars="-171" w:firstLine="358"/>
        <w:rPr>
          <w:rFonts w:ascii="宋体" w:hAnsi="宋体"/>
          <w:b/>
          <w:color w:val="auto"/>
          <w:sz w:val="24"/>
        </w:rPr>
      </w:pPr>
      <w:r>
        <w:rPr>
          <w:rFonts w:hint="eastAsia" w:ascii="宋体" w:hAnsi="宋体"/>
          <w:color w:val="auto"/>
          <w:sz w:val="24"/>
        </w:rPr>
        <w:t>供应商：</w:t>
      </w:r>
    </w:p>
    <w:tbl>
      <w:tblPr>
        <w:tblStyle w:val="2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799"/>
        <w:gridCol w:w="2151"/>
        <w:gridCol w:w="2115"/>
        <w:gridCol w:w="2468"/>
      </w:tblGrid>
      <w:tr w14:paraId="75995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753" w:type="dxa"/>
            <w:vAlign w:val="center"/>
          </w:tcPr>
          <w:p w14:paraId="58C54146">
            <w:pPr>
              <w:pStyle w:val="15"/>
              <w:spacing w:line="400" w:lineRule="exact"/>
              <w:jc w:val="center"/>
              <w:rPr>
                <w:rFonts w:hAnsi="宋体"/>
                <w:color w:val="auto"/>
                <w:sz w:val="24"/>
                <w:szCs w:val="24"/>
              </w:rPr>
            </w:pPr>
            <w:r>
              <w:rPr>
                <w:rFonts w:hint="eastAsia" w:hAnsi="宋体"/>
                <w:color w:val="auto"/>
                <w:sz w:val="24"/>
                <w:szCs w:val="24"/>
              </w:rPr>
              <w:t>序号</w:t>
            </w:r>
          </w:p>
        </w:tc>
        <w:tc>
          <w:tcPr>
            <w:tcW w:w="1799" w:type="dxa"/>
            <w:vAlign w:val="center"/>
          </w:tcPr>
          <w:p w14:paraId="0AA057C1">
            <w:pPr>
              <w:pStyle w:val="15"/>
              <w:spacing w:line="400" w:lineRule="exact"/>
              <w:ind w:firstLine="600" w:firstLineChars="250"/>
              <w:rPr>
                <w:rFonts w:hAnsi="宋体"/>
                <w:color w:val="auto"/>
                <w:sz w:val="24"/>
                <w:szCs w:val="24"/>
              </w:rPr>
            </w:pPr>
            <w:r>
              <w:rPr>
                <w:rFonts w:hint="eastAsia" w:hAnsi="宋体"/>
                <w:color w:val="auto"/>
                <w:sz w:val="24"/>
                <w:szCs w:val="24"/>
              </w:rPr>
              <w:t>名称</w:t>
            </w:r>
          </w:p>
        </w:tc>
        <w:tc>
          <w:tcPr>
            <w:tcW w:w="2151" w:type="dxa"/>
            <w:tcBorders>
              <w:right w:val="single" w:color="auto" w:sz="4" w:space="0"/>
            </w:tcBorders>
            <w:vAlign w:val="center"/>
          </w:tcPr>
          <w:p w14:paraId="329AF1E7">
            <w:pPr>
              <w:pStyle w:val="15"/>
              <w:spacing w:line="400" w:lineRule="exact"/>
              <w:jc w:val="center"/>
              <w:rPr>
                <w:rFonts w:hAnsi="宋体"/>
                <w:color w:val="auto"/>
                <w:sz w:val="24"/>
                <w:szCs w:val="24"/>
              </w:rPr>
            </w:pPr>
            <w:r>
              <w:rPr>
                <w:rFonts w:hint="eastAsia" w:hAnsi="宋体"/>
                <w:color w:val="auto"/>
                <w:sz w:val="24"/>
              </w:rPr>
              <w:t>磋 商</w:t>
            </w:r>
            <w:r>
              <w:rPr>
                <w:rFonts w:hint="eastAsia" w:hAnsi="宋体"/>
                <w:color w:val="auto"/>
                <w:sz w:val="24"/>
                <w:szCs w:val="24"/>
              </w:rPr>
              <w:t xml:space="preserve"> 要 求</w:t>
            </w:r>
          </w:p>
          <w:p w14:paraId="0438A53E">
            <w:pPr>
              <w:pStyle w:val="15"/>
              <w:spacing w:line="400" w:lineRule="exact"/>
              <w:jc w:val="center"/>
              <w:rPr>
                <w:rFonts w:hAnsi="宋体"/>
                <w:color w:val="auto"/>
                <w:sz w:val="24"/>
                <w:szCs w:val="24"/>
              </w:rPr>
            </w:pPr>
            <w:r>
              <w:rPr>
                <w:rFonts w:hint="eastAsia" w:hAnsi="宋体"/>
                <w:color w:val="auto"/>
                <w:sz w:val="24"/>
                <w:szCs w:val="24"/>
              </w:rPr>
              <w:t>技 术 指 标</w:t>
            </w:r>
          </w:p>
        </w:tc>
        <w:tc>
          <w:tcPr>
            <w:tcW w:w="2115" w:type="dxa"/>
            <w:tcBorders>
              <w:top w:val="single" w:color="auto" w:sz="4" w:space="0"/>
              <w:left w:val="single" w:color="auto" w:sz="4" w:space="0"/>
              <w:bottom w:val="single" w:color="auto" w:sz="4" w:space="0"/>
              <w:right w:val="single" w:color="auto" w:sz="4" w:space="0"/>
            </w:tcBorders>
            <w:vAlign w:val="center"/>
          </w:tcPr>
          <w:p w14:paraId="0D554518">
            <w:pPr>
              <w:pStyle w:val="15"/>
              <w:spacing w:line="400" w:lineRule="exact"/>
              <w:jc w:val="center"/>
              <w:rPr>
                <w:rFonts w:hAnsi="宋体"/>
                <w:color w:val="auto"/>
                <w:sz w:val="24"/>
                <w:szCs w:val="24"/>
              </w:rPr>
            </w:pPr>
            <w:r>
              <w:rPr>
                <w:rFonts w:hint="eastAsia" w:hAnsi="宋体"/>
                <w:color w:val="auto"/>
                <w:sz w:val="24"/>
                <w:szCs w:val="24"/>
              </w:rPr>
              <w:t xml:space="preserve">磋 商 响 应 </w:t>
            </w:r>
          </w:p>
          <w:p w14:paraId="4FAF3787">
            <w:pPr>
              <w:pStyle w:val="15"/>
              <w:spacing w:line="400" w:lineRule="exact"/>
              <w:jc w:val="center"/>
              <w:rPr>
                <w:rFonts w:hAnsi="宋体"/>
                <w:color w:val="auto"/>
                <w:sz w:val="24"/>
                <w:szCs w:val="24"/>
              </w:rPr>
            </w:pPr>
            <w:r>
              <w:rPr>
                <w:rFonts w:hint="eastAsia" w:hAnsi="宋体"/>
                <w:color w:val="auto"/>
                <w:sz w:val="24"/>
                <w:szCs w:val="24"/>
              </w:rPr>
              <w:t>技 术 指 标</w:t>
            </w:r>
          </w:p>
        </w:tc>
        <w:tc>
          <w:tcPr>
            <w:tcW w:w="2468" w:type="dxa"/>
            <w:tcBorders>
              <w:left w:val="single" w:color="auto" w:sz="4" w:space="0"/>
            </w:tcBorders>
            <w:vAlign w:val="center"/>
          </w:tcPr>
          <w:p w14:paraId="19AF9B6D">
            <w:pPr>
              <w:pStyle w:val="15"/>
              <w:spacing w:line="400" w:lineRule="exact"/>
              <w:ind w:firstLine="720" w:firstLineChars="300"/>
              <w:rPr>
                <w:rFonts w:hAnsi="宋体"/>
                <w:color w:val="auto"/>
                <w:sz w:val="24"/>
                <w:szCs w:val="24"/>
              </w:rPr>
            </w:pPr>
            <w:r>
              <w:rPr>
                <w:rFonts w:hint="eastAsia" w:hAnsi="宋体"/>
                <w:color w:val="auto"/>
                <w:sz w:val="24"/>
                <w:szCs w:val="24"/>
              </w:rPr>
              <w:t>偏离说明</w:t>
            </w:r>
          </w:p>
        </w:tc>
      </w:tr>
      <w:tr w14:paraId="427CB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53B18AB1">
            <w:pPr>
              <w:pStyle w:val="15"/>
              <w:spacing w:line="600" w:lineRule="exact"/>
              <w:ind w:left="-120" w:leftChars="-57"/>
              <w:rPr>
                <w:rFonts w:hAnsi="宋体"/>
                <w:color w:val="auto"/>
                <w:sz w:val="24"/>
                <w:szCs w:val="24"/>
              </w:rPr>
            </w:pPr>
          </w:p>
        </w:tc>
        <w:tc>
          <w:tcPr>
            <w:tcW w:w="1799" w:type="dxa"/>
          </w:tcPr>
          <w:p w14:paraId="3AFE0CE4">
            <w:pPr>
              <w:pStyle w:val="15"/>
              <w:spacing w:line="400" w:lineRule="exact"/>
              <w:rPr>
                <w:rFonts w:hAnsi="宋体"/>
                <w:color w:val="auto"/>
                <w:sz w:val="24"/>
                <w:szCs w:val="24"/>
              </w:rPr>
            </w:pPr>
          </w:p>
        </w:tc>
        <w:tc>
          <w:tcPr>
            <w:tcW w:w="2151" w:type="dxa"/>
            <w:vAlign w:val="center"/>
          </w:tcPr>
          <w:p w14:paraId="16E05B85">
            <w:pPr>
              <w:pStyle w:val="15"/>
              <w:spacing w:line="600" w:lineRule="exact"/>
              <w:rPr>
                <w:rFonts w:hAnsi="宋体"/>
                <w:color w:val="auto"/>
                <w:sz w:val="24"/>
                <w:szCs w:val="24"/>
              </w:rPr>
            </w:pPr>
          </w:p>
        </w:tc>
        <w:tc>
          <w:tcPr>
            <w:tcW w:w="2115" w:type="dxa"/>
            <w:tcBorders>
              <w:top w:val="single" w:color="auto" w:sz="4" w:space="0"/>
            </w:tcBorders>
            <w:vAlign w:val="center"/>
          </w:tcPr>
          <w:p w14:paraId="37D57903">
            <w:pPr>
              <w:pStyle w:val="15"/>
              <w:spacing w:line="600" w:lineRule="exact"/>
              <w:rPr>
                <w:rFonts w:hAnsi="宋体"/>
                <w:color w:val="auto"/>
                <w:sz w:val="24"/>
                <w:szCs w:val="24"/>
              </w:rPr>
            </w:pPr>
          </w:p>
        </w:tc>
        <w:tc>
          <w:tcPr>
            <w:tcW w:w="2468" w:type="dxa"/>
            <w:vAlign w:val="center"/>
          </w:tcPr>
          <w:p w14:paraId="13A6E9E6">
            <w:pPr>
              <w:pStyle w:val="15"/>
              <w:spacing w:line="600" w:lineRule="exact"/>
              <w:rPr>
                <w:rFonts w:hAnsi="宋体"/>
                <w:color w:val="auto"/>
                <w:sz w:val="24"/>
                <w:szCs w:val="24"/>
              </w:rPr>
            </w:pPr>
          </w:p>
        </w:tc>
      </w:tr>
      <w:tr w14:paraId="648D9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17F2AA44">
            <w:pPr>
              <w:pStyle w:val="15"/>
              <w:spacing w:line="600" w:lineRule="exact"/>
              <w:rPr>
                <w:rFonts w:hAnsi="宋体"/>
                <w:color w:val="auto"/>
                <w:sz w:val="24"/>
                <w:szCs w:val="24"/>
              </w:rPr>
            </w:pPr>
          </w:p>
        </w:tc>
        <w:tc>
          <w:tcPr>
            <w:tcW w:w="1799" w:type="dxa"/>
          </w:tcPr>
          <w:p w14:paraId="76806768">
            <w:pPr>
              <w:pStyle w:val="15"/>
              <w:spacing w:line="600" w:lineRule="exact"/>
              <w:rPr>
                <w:rFonts w:hAnsi="宋体"/>
                <w:color w:val="auto"/>
                <w:sz w:val="24"/>
                <w:szCs w:val="24"/>
              </w:rPr>
            </w:pPr>
          </w:p>
        </w:tc>
        <w:tc>
          <w:tcPr>
            <w:tcW w:w="2151" w:type="dxa"/>
          </w:tcPr>
          <w:p w14:paraId="38E2332F">
            <w:pPr>
              <w:pStyle w:val="15"/>
              <w:spacing w:line="600" w:lineRule="exact"/>
              <w:rPr>
                <w:rFonts w:hAnsi="宋体"/>
                <w:color w:val="auto"/>
                <w:sz w:val="24"/>
                <w:szCs w:val="24"/>
              </w:rPr>
            </w:pPr>
          </w:p>
        </w:tc>
        <w:tc>
          <w:tcPr>
            <w:tcW w:w="2115" w:type="dxa"/>
          </w:tcPr>
          <w:p w14:paraId="5599079F">
            <w:pPr>
              <w:pStyle w:val="15"/>
              <w:spacing w:line="600" w:lineRule="exact"/>
              <w:rPr>
                <w:rFonts w:hAnsi="宋体"/>
                <w:color w:val="auto"/>
                <w:sz w:val="24"/>
                <w:szCs w:val="24"/>
              </w:rPr>
            </w:pPr>
          </w:p>
        </w:tc>
        <w:tc>
          <w:tcPr>
            <w:tcW w:w="2468" w:type="dxa"/>
          </w:tcPr>
          <w:p w14:paraId="184083D1">
            <w:pPr>
              <w:pStyle w:val="15"/>
              <w:spacing w:line="600" w:lineRule="exact"/>
              <w:rPr>
                <w:rFonts w:hAnsi="宋体"/>
                <w:color w:val="auto"/>
                <w:sz w:val="24"/>
                <w:szCs w:val="24"/>
              </w:rPr>
            </w:pPr>
          </w:p>
        </w:tc>
      </w:tr>
      <w:tr w14:paraId="7498C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08B5D48A">
            <w:pPr>
              <w:pStyle w:val="15"/>
              <w:spacing w:line="600" w:lineRule="exact"/>
              <w:rPr>
                <w:rFonts w:hAnsi="宋体"/>
                <w:color w:val="auto"/>
                <w:sz w:val="24"/>
                <w:szCs w:val="24"/>
              </w:rPr>
            </w:pPr>
          </w:p>
        </w:tc>
        <w:tc>
          <w:tcPr>
            <w:tcW w:w="1799" w:type="dxa"/>
          </w:tcPr>
          <w:p w14:paraId="7294D2AF">
            <w:pPr>
              <w:pStyle w:val="15"/>
              <w:spacing w:line="600" w:lineRule="exact"/>
              <w:rPr>
                <w:rFonts w:hAnsi="宋体"/>
                <w:color w:val="auto"/>
                <w:sz w:val="24"/>
                <w:szCs w:val="24"/>
              </w:rPr>
            </w:pPr>
          </w:p>
        </w:tc>
        <w:tc>
          <w:tcPr>
            <w:tcW w:w="2151" w:type="dxa"/>
          </w:tcPr>
          <w:p w14:paraId="0ACEC8E2">
            <w:pPr>
              <w:pStyle w:val="15"/>
              <w:spacing w:line="600" w:lineRule="exact"/>
              <w:rPr>
                <w:rFonts w:hAnsi="宋体"/>
                <w:color w:val="auto"/>
                <w:sz w:val="24"/>
                <w:szCs w:val="24"/>
              </w:rPr>
            </w:pPr>
          </w:p>
        </w:tc>
        <w:tc>
          <w:tcPr>
            <w:tcW w:w="2115" w:type="dxa"/>
          </w:tcPr>
          <w:p w14:paraId="5FC25FAC">
            <w:pPr>
              <w:pStyle w:val="15"/>
              <w:spacing w:line="600" w:lineRule="exact"/>
              <w:rPr>
                <w:rFonts w:hAnsi="宋体"/>
                <w:color w:val="auto"/>
                <w:sz w:val="24"/>
                <w:szCs w:val="24"/>
              </w:rPr>
            </w:pPr>
          </w:p>
        </w:tc>
        <w:tc>
          <w:tcPr>
            <w:tcW w:w="2468" w:type="dxa"/>
          </w:tcPr>
          <w:p w14:paraId="0E5E8F6E">
            <w:pPr>
              <w:pStyle w:val="15"/>
              <w:spacing w:line="600" w:lineRule="exact"/>
              <w:rPr>
                <w:rFonts w:hAnsi="宋体"/>
                <w:color w:val="auto"/>
                <w:sz w:val="24"/>
                <w:szCs w:val="24"/>
              </w:rPr>
            </w:pPr>
          </w:p>
        </w:tc>
      </w:tr>
      <w:tr w14:paraId="1AB1B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4321D3C7">
            <w:pPr>
              <w:pStyle w:val="15"/>
              <w:spacing w:line="600" w:lineRule="exact"/>
              <w:rPr>
                <w:rFonts w:hAnsi="宋体"/>
                <w:color w:val="auto"/>
                <w:sz w:val="24"/>
                <w:szCs w:val="24"/>
              </w:rPr>
            </w:pPr>
          </w:p>
        </w:tc>
        <w:tc>
          <w:tcPr>
            <w:tcW w:w="1799" w:type="dxa"/>
          </w:tcPr>
          <w:p w14:paraId="4AE3527C">
            <w:pPr>
              <w:pStyle w:val="15"/>
              <w:spacing w:line="600" w:lineRule="exact"/>
              <w:rPr>
                <w:rFonts w:hAnsi="宋体"/>
                <w:color w:val="auto"/>
                <w:sz w:val="24"/>
                <w:szCs w:val="24"/>
              </w:rPr>
            </w:pPr>
          </w:p>
        </w:tc>
        <w:tc>
          <w:tcPr>
            <w:tcW w:w="2151" w:type="dxa"/>
          </w:tcPr>
          <w:p w14:paraId="4EAE41AA">
            <w:pPr>
              <w:pStyle w:val="15"/>
              <w:spacing w:line="600" w:lineRule="exact"/>
              <w:rPr>
                <w:rFonts w:hAnsi="宋体"/>
                <w:color w:val="auto"/>
                <w:sz w:val="24"/>
                <w:szCs w:val="24"/>
              </w:rPr>
            </w:pPr>
          </w:p>
        </w:tc>
        <w:tc>
          <w:tcPr>
            <w:tcW w:w="2115" w:type="dxa"/>
          </w:tcPr>
          <w:p w14:paraId="75E0F9C0">
            <w:pPr>
              <w:pStyle w:val="15"/>
              <w:spacing w:line="600" w:lineRule="exact"/>
              <w:rPr>
                <w:rFonts w:hAnsi="宋体"/>
                <w:color w:val="auto"/>
                <w:sz w:val="24"/>
                <w:szCs w:val="24"/>
              </w:rPr>
            </w:pPr>
          </w:p>
        </w:tc>
        <w:tc>
          <w:tcPr>
            <w:tcW w:w="2468" w:type="dxa"/>
          </w:tcPr>
          <w:p w14:paraId="259A9BB8">
            <w:pPr>
              <w:pStyle w:val="15"/>
              <w:spacing w:line="600" w:lineRule="exact"/>
              <w:rPr>
                <w:rFonts w:hAnsi="宋体"/>
                <w:color w:val="auto"/>
                <w:sz w:val="24"/>
                <w:szCs w:val="24"/>
              </w:rPr>
            </w:pPr>
          </w:p>
        </w:tc>
      </w:tr>
      <w:tr w14:paraId="6CE7D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7093D5C2">
            <w:pPr>
              <w:pStyle w:val="15"/>
              <w:spacing w:line="600" w:lineRule="exact"/>
              <w:rPr>
                <w:rFonts w:hAnsi="宋体"/>
                <w:color w:val="auto"/>
                <w:sz w:val="24"/>
                <w:szCs w:val="24"/>
              </w:rPr>
            </w:pPr>
          </w:p>
        </w:tc>
        <w:tc>
          <w:tcPr>
            <w:tcW w:w="1799" w:type="dxa"/>
          </w:tcPr>
          <w:p w14:paraId="066DBDE8">
            <w:pPr>
              <w:pStyle w:val="15"/>
              <w:spacing w:line="600" w:lineRule="exact"/>
              <w:rPr>
                <w:rFonts w:hAnsi="宋体"/>
                <w:color w:val="auto"/>
                <w:sz w:val="24"/>
                <w:szCs w:val="24"/>
              </w:rPr>
            </w:pPr>
          </w:p>
        </w:tc>
        <w:tc>
          <w:tcPr>
            <w:tcW w:w="2151" w:type="dxa"/>
          </w:tcPr>
          <w:p w14:paraId="05359A2F">
            <w:pPr>
              <w:pStyle w:val="15"/>
              <w:spacing w:line="600" w:lineRule="exact"/>
              <w:rPr>
                <w:rFonts w:hAnsi="宋体"/>
                <w:color w:val="auto"/>
                <w:sz w:val="24"/>
                <w:szCs w:val="24"/>
              </w:rPr>
            </w:pPr>
          </w:p>
        </w:tc>
        <w:tc>
          <w:tcPr>
            <w:tcW w:w="2115" w:type="dxa"/>
          </w:tcPr>
          <w:p w14:paraId="2F3565BA">
            <w:pPr>
              <w:pStyle w:val="15"/>
              <w:spacing w:line="600" w:lineRule="exact"/>
              <w:rPr>
                <w:rFonts w:hAnsi="宋体"/>
                <w:color w:val="auto"/>
                <w:sz w:val="24"/>
                <w:szCs w:val="24"/>
              </w:rPr>
            </w:pPr>
          </w:p>
        </w:tc>
        <w:tc>
          <w:tcPr>
            <w:tcW w:w="2468" w:type="dxa"/>
          </w:tcPr>
          <w:p w14:paraId="353B773D">
            <w:pPr>
              <w:pStyle w:val="15"/>
              <w:spacing w:line="600" w:lineRule="exact"/>
              <w:rPr>
                <w:rFonts w:hAnsi="宋体"/>
                <w:color w:val="auto"/>
                <w:sz w:val="24"/>
                <w:szCs w:val="24"/>
              </w:rPr>
            </w:pPr>
          </w:p>
        </w:tc>
      </w:tr>
      <w:tr w14:paraId="3769E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3563A0C2">
            <w:pPr>
              <w:pStyle w:val="15"/>
              <w:spacing w:line="600" w:lineRule="exact"/>
              <w:rPr>
                <w:rFonts w:hAnsi="宋体"/>
                <w:color w:val="auto"/>
                <w:sz w:val="24"/>
                <w:szCs w:val="24"/>
              </w:rPr>
            </w:pPr>
          </w:p>
        </w:tc>
        <w:tc>
          <w:tcPr>
            <w:tcW w:w="1799" w:type="dxa"/>
          </w:tcPr>
          <w:p w14:paraId="20C1A8BF">
            <w:pPr>
              <w:pStyle w:val="15"/>
              <w:spacing w:line="600" w:lineRule="exact"/>
              <w:rPr>
                <w:rFonts w:hAnsi="宋体"/>
                <w:color w:val="auto"/>
                <w:sz w:val="24"/>
                <w:szCs w:val="24"/>
              </w:rPr>
            </w:pPr>
          </w:p>
        </w:tc>
        <w:tc>
          <w:tcPr>
            <w:tcW w:w="2151" w:type="dxa"/>
          </w:tcPr>
          <w:p w14:paraId="75E1BD99">
            <w:pPr>
              <w:pStyle w:val="15"/>
              <w:spacing w:line="600" w:lineRule="exact"/>
              <w:rPr>
                <w:rFonts w:hAnsi="宋体"/>
                <w:color w:val="auto"/>
                <w:sz w:val="24"/>
                <w:szCs w:val="24"/>
              </w:rPr>
            </w:pPr>
          </w:p>
        </w:tc>
        <w:tc>
          <w:tcPr>
            <w:tcW w:w="2115" w:type="dxa"/>
          </w:tcPr>
          <w:p w14:paraId="4574CCFC">
            <w:pPr>
              <w:pStyle w:val="15"/>
              <w:spacing w:line="600" w:lineRule="exact"/>
              <w:rPr>
                <w:rFonts w:hAnsi="宋体"/>
                <w:color w:val="auto"/>
                <w:sz w:val="24"/>
                <w:szCs w:val="24"/>
              </w:rPr>
            </w:pPr>
          </w:p>
        </w:tc>
        <w:tc>
          <w:tcPr>
            <w:tcW w:w="2468" w:type="dxa"/>
          </w:tcPr>
          <w:p w14:paraId="5F27360D">
            <w:pPr>
              <w:pStyle w:val="15"/>
              <w:spacing w:line="600" w:lineRule="exact"/>
              <w:rPr>
                <w:rFonts w:hAnsi="宋体"/>
                <w:color w:val="auto"/>
                <w:sz w:val="24"/>
                <w:szCs w:val="24"/>
              </w:rPr>
            </w:pPr>
          </w:p>
        </w:tc>
      </w:tr>
      <w:tr w14:paraId="64893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2C357713">
            <w:pPr>
              <w:pStyle w:val="15"/>
              <w:spacing w:line="600" w:lineRule="exact"/>
              <w:rPr>
                <w:rFonts w:hAnsi="宋体"/>
                <w:color w:val="auto"/>
                <w:sz w:val="24"/>
                <w:szCs w:val="24"/>
              </w:rPr>
            </w:pPr>
          </w:p>
        </w:tc>
        <w:tc>
          <w:tcPr>
            <w:tcW w:w="1799" w:type="dxa"/>
          </w:tcPr>
          <w:p w14:paraId="39794EF2">
            <w:pPr>
              <w:pStyle w:val="15"/>
              <w:spacing w:line="600" w:lineRule="exact"/>
              <w:rPr>
                <w:rFonts w:hAnsi="宋体"/>
                <w:color w:val="auto"/>
                <w:sz w:val="24"/>
                <w:szCs w:val="24"/>
              </w:rPr>
            </w:pPr>
          </w:p>
        </w:tc>
        <w:tc>
          <w:tcPr>
            <w:tcW w:w="2151" w:type="dxa"/>
          </w:tcPr>
          <w:p w14:paraId="2EEF66F2">
            <w:pPr>
              <w:pStyle w:val="15"/>
              <w:spacing w:line="600" w:lineRule="exact"/>
              <w:rPr>
                <w:rFonts w:hAnsi="宋体"/>
                <w:color w:val="auto"/>
                <w:sz w:val="24"/>
                <w:szCs w:val="24"/>
              </w:rPr>
            </w:pPr>
          </w:p>
        </w:tc>
        <w:tc>
          <w:tcPr>
            <w:tcW w:w="2115" w:type="dxa"/>
          </w:tcPr>
          <w:p w14:paraId="04709618">
            <w:pPr>
              <w:pStyle w:val="15"/>
              <w:spacing w:line="600" w:lineRule="exact"/>
              <w:rPr>
                <w:rFonts w:hAnsi="宋体"/>
                <w:color w:val="auto"/>
                <w:sz w:val="24"/>
                <w:szCs w:val="24"/>
              </w:rPr>
            </w:pPr>
          </w:p>
        </w:tc>
        <w:tc>
          <w:tcPr>
            <w:tcW w:w="2468" w:type="dxa"/>
          </w:tcPr>
          <w:p w14:paraId="1342BDF0">
            <w:pPr>
              <w:pStyle w:val="15"/>
              <w:spacing w:line="600" w:lineRule="exact"/>
              <w:rPr>
                <w:rFonts w:hAnsi="宋体"/>
                <w:color w:val="auto"/>
                <w:sz w:val="24"/>
                <w:szCs w:val="24"/>
              </w:rPr>
            </w:pPr>
          </w:p>
        </w:tc>
      </w:tr>
      <w:tr w14:paraId="30EED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0D97CE6C">
            <w:pPr>
              <w:pStyle w:val="15"/>
              <w:spacing w:line="600" w:lineRule="exact"/>
              <w:rPr>
                <w:rFonts w:hAnsi="宋体"/>
                <w:color w:val="auto"/>
                <w:sz w:val="24"/>
                <w:szCs w:val="24"/>
              </w:rPr>
            </w:pPr>
          </w:p>
        </w:tc>
        <w:tc>
          <w:tcPr>
            <w:tcW w:w="1799" w:type="dxa"/>
          </w:tcPr>
          <w:p w14:paraId="30E8BA30">
            <w:pPr>
              <w:pStyle w:val="15"/>
              <w:spacing w:line="600" w:lineRule="exact"/>
              <w:rPr>
                <w:rFonts w:hAnsi="宋体"/>
                <w:color w:val="auto"/>
                <w:sz w:val="24"/>
                <w:szCs w:val="24"/>
              </w:rPr>
            </w:pPr>
          </w:p>
        </w:tc>
        <w:tc>
          <w:tcPr>
            <w:tcW w:w="2151" w:type="dxa"/>
          </w:tcPr>
          <w:p w14:paraId="372B2516">
            <w:pPr>
              <w:pStyle w:val="15"/>
              <w:spacing w:line="600" w:lineRule="exact"/>
              <w:rPr>
                <w:rFonts w:hAnsi="宋体"/>
                <w:color w:val="auto"/>
                <w:sz w:val="24"/>
                <w:szCs w:val="24"/>
              </w:rPr>
            </w:pPr>
          </w:p>
        </w:tc>
        <w:tc>
          <w:tcPr>
            <w:tcW w:w="2115" w:type="dxa"/>
          </w:tcPr>
          <w:p w14:paraId="6F9FCDD5">
            <w:pPr>
              <w:pStyle w:val="15"/>
              <w:spacing w:line="600" w:lineRule="exact"/>
              <w:rPr>
                <w:rFonts w:hAnsi="宋体"/>
                <w:color w:val="auto"/>
                <w:sz w:val="24"/>
                <w:szCs w:val="24"/>
              </w:rPr>
            </w:pPr>
          </w:p>
        </w:tc>
        <w:tc>
          <w:tcPr>
            <w:tcW w:w="2468" w:type="dxa"/>
          </w:tcPr>
          <w:p w14:paraId="0CB110BE">
            <w:pPr>
              <w:pStyle w:val="15"/>
              <w:spacing w:line="600" w:lineRule="exact"/>
              <w:rPr>
                <w:rFonts w:hAnsi="宋体"/>
                <w:color w:val="auto"/>
                <w:sz w:val="24"/>
                <w:szCs w:val="24"/>
              </w:rPr>
            </w:pPr>
          </w:p>
        </w:tc>
      </w:tr>
      <w:tr w14:paraId="2EE75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1DD85818">
            <w:pPr>
              <w:pStyle w:val="15"/>
              <w:spacing w:line="600" w:lineRule="exact"/>
              <w:rPr>
                <w:rFonts w:hAnsi="宋体"/>
                <w:color w:val="auto"/>
                <w:sz w:val="24"/>
                <w:szCs w:val="24"/>
              </w:rPr>
            </w:pPr>
          </w:p>
        </w:tc>
        <w:tc>
          <w:tcPr>
            <w:tcW w:w="1799" w:type="dxa"/>
          </w:tcPr>
          <w:p w14:paraId="605DB259">
            <w:pPr>
              <w:pStyle w:val="15"/>
              <w:spacing w:line="400" w:lineRule="exact"/>
              <w:rPr>
                <w:rFonts w:hAnsi="宋体"/>
                <w:color w:val="auto"/>
                <w:sz w:val="24"/>
                <w:szCs w:val="24"/>
              </w:rPr>
            </w:pPr>
          </w:p>
        </w:tc>
        <w:tc>
          <w:tcPr>
            <w:tcW w:w="2151" w:type="dxa"/>
          </w:tcPr>
          <w:p w14:paraId="397F4773">
            <w:pPr>
              <w:pStyle w:val="15"/>
              <w:spacing w:line="600" w:lineRule="exact"/>
              <w:rPr>
                <w:rFonts w:hAnsi="宋体"/>
                <w:color w:val="auto"/>
                <w:sz w:val="24"/>
                <w:szCs w:val="24"/>
              </w:rPr>
            </w:pPr>
          </w:p>
        </w:tc>
        <w:tc>
          <w:tcPr>
            <w:tcW w:w="2115" w:type="dxa"/>
          </w:tcPr>
          <w:p w14:paraId="3E44D4B8">
            <w:pPr>
              <w:pStyle w:val="15"/>
              <w:spacing w:line="600" w:lineRule="exact"/>
              <w:rPr>
                <w:rFonts w:hAnsi="宋体"/>
                <w:color w:val="auto"/>
                <w:sz w:val="24"/>
                <w:szCs w:val="24"/>
              </w:rPr>
            </w:pPr>
          </w:p>
        </w:tc>
        <w:tc>
          <w:tcPr>
            <w:tcW w:w="2468" w:type="dxa"/>
          </w:tcPr>
          <w:p w14:paraId="06E3B97F">
            <w:pPr>
              <w:pStyle w:val="15"/>
              <w:spacing w:line="600" w:lineRule="exact"/>
              <w:rPr>
                <w:rFonts w:hAnsi="宋体"/>
                <w:color w:val="auto"/>
                <w:sz w:val="24"/>
                <w:szCs w:val="24"/>
              </w:rPr>
            </w:pPr>
          </w:p>
        </w:tc>
      </w:tr>
      <w:tr w14:paraId="05632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4332722A">
            <w:pPr>
              <w:pStyle w:val="15"/>
              <w:spacing w:line="600" w:lineRule="exact"/>
              <w:rPr>
                <w:rFonts w:hAnsi="宋体"/>
                <w:color w:val="auto"/>
                <w:sz w:val="24"/>
                <w:szCs w:val="24"/>
              </w:rPr>
            </w:pPr>
          </w:p>
        </w:tc>
        <w:tc>
          <w:tcPr>
            <w:tcW w:w="1799" w:type="dxa"/>
          </w:tcPr>
          <w:p w14:paraId="758FF57D">
            <w:pPr>
              <w:pStyle w:val="15"/>
              <w:spacing w:line="400" w:lineRule="exact"/>
              <w:rPr>
                <w:rFonts w:hAnsi="宋体"/>
                <w:color w:val="auto"/>
                <w:sz w:val="24"/>
                <w:szCs w:val="24"/>
              </w:rPr>
            </w:pPr>
          </w:p>
        </w:tc>
        <w:tc>
          <w:tcPr>
            <w:tcW w:w="2151" w:type="dxa"/>
          </w:tcPr>
          <w:p w14:paraId="15B723A3">
            <w:pPr>
              <w:pStyle w:val="15"/>
              <w:spacing w:line="600" w:lineRule="exact"/>
              <w:rPr>
                <w:rFonts w:hAnsi="宋体"/>
                <w:color w:val="auto"/>
                <w:sz w:val="24"/>
                <w:szCs w:val="24"/>
              </w:rPr>
            </w:pPr>
          </w:p>
        </w:tc>
        <w:tc>
          <w:tcPr>
            <w:tcW w:w="2115" w:type="dxa"/>
          </w:tcPr>
          <w:p w14:paraId="6A6F90F1">
            <w:pPr>
              <w:pStyle w:val="15"/>
              <w:spacing w:line="600" w:lineRule="exact"/>
              <w:rPr>
                <w:rFonts w:hAnsi="宋体"/>
                <w:color w:val="auto"/>
                <w:sz w:val="24"/>
                <w:szCs w:val="24"/>
              </w:rPr>
            </w:pPr>
          </w:p>
        </w:tc>
        <w:tc>
          <w:tcPr>
            <w:tcW w:w="2468" w:type="dxa"/>
          </w:tcPr>
          <w:p w14:paraId="67336558">
            <w:pPr>
              <w:pStyle w:val="15"/>
              <w:spacing w:line="600" w:lineRule="exact"/>
              <w:rPr>
                <w:rFonts w:hAnsi="宋体"/>
                <w:color w:val="auto"/>
                <w:sz w:val="24"/>
                <w:szCs w:val="24"/>
              </w:rPr>
            </w:pPr>
          </w:p>
        </w:tc>
      </w:tr>
    </w:tbl>
    <w:p w14:paraId="3BBACC85">
      <w:pPr>
        <w:pStyle w:val="15"/>
        <w:spacing w:line="360" w:lineRule="auto"/>
        <w:rPr>
          <w:rFonts w:hAnsi="宋体" w:cs="宋体"/>
          <w:color w:val="auto"/>
          <w:sz w:val="24"/>
          <w:szCs w:val="24"/>
        </w:rPr>
      </w:pPr>
      <w:r>
        <w:rPr>
          <w:rFonts w:hint="eastAsia" w:hAnsi="宋体" w:cs="宋体"/>
          <w:color w:val="auto"/>
          <w:sz w:val="24"/>
          <w:szCs w:val="24"/>
        </w:rPr>
        <w:t>说明：</w:t>
      </w:r>
    </w:p>
    <w:p w14:paraId="1B945CE8">
      <w:pPr>
        <w:autoSpaceDE w:val="0"/>
        <w:autoSpaceDN w:val="0"/>
        <w:adjustRightInd w:val="0"/>
        <w:spacing w:line="360" w:lineRule="auto"/>
        <w:ind w:firstLine="480" w:firstLineChars="200"/>
        <w:rPr>
          <w:rFonts w:ascii="宋体" w:hAnsi="宋体" w:cs="宋体"/>
          <w:color w:val="auto"/>
          <w:sz w:val="24"/>
        </w:rPr>
      </w:pPr>
      <w:r>
        <w:rPr>
          <w:rFonts w:hint="eastAsia" w:ascii="宋体" w:hAnsi="宋体" w:cs="宋体"/>
          <w:color w:val="auto"/>
          <w:sz w:val="24"/>
        </w:rPr>
        <w:t>1、</w:t>
      </w:r>
      <w:r>
        <w:rPr>
          <w:rFonts w:hint="eastAsia" w:hAnsi="宋体"/>
          <w:color w:val="auto"/>
          <w:sz w:val="24"/>
        </w:rPr>
        <w:t>请按磋商项目的实际技术参数，逐条对应磋商文件的“第三章 招标要求及内容”，</w:t>
      </w:r>
      <w:r>
        <w:rPr>
          <w:rFonts w:hint="eastAsia" w:ascii="宋体" w:hAnsi="宋体" w:cs="宋体"/>
          <w:color w:val="auto"/>
          <w:sz w:val="24"/>
        </w:rPr>
        <w:t>除本表所列出偏离外，均视为供应商响应其余全部技术参数要求；如供应商响应磋商文件所有技术条款要求的，必须提交空白表，否则，其响应文件无效。</w:t>
      </w:r>
    </w:p>
    <w:p w14:paraId="762AAE7D">
      <w:pPr>
        <w:autoSpaceDE w:val="0"/>
        <w:autoSpaceDN w:val="0"/>
        <w:adjustRightInd w:val="0"/>
        <w:spacing w:line="360" w:lineRule="auto"/>
        <w:ind w:firstLine="480" w:firstLineChars="200"/>
        <w:rPr>
          <w:rFonts w:ascii="宋体" w:hAnsi="宋体" w:cs="宋体"/>
          <w:color w:val="auto"/>
          <w:sz w:val="24"/>
        </w:rPr>
      </w:pPr>
      <w:r>
        <w:rPr>
          <w:rFonts w:hint="eastAsia" w:ascii="宋体" w:hAnsi="宋体" w:cs="宋体"/>
          <w:color w:val="auto"/>
          <w:sz w:val="24"/>
        </w:rPr>
        <w:t>2、响应说明填写：优于、相同、低于。</w:t>
      </w:r>
    </w:p>
    <w:p w14:paraId="48CDF6A4">
      <w:pPr>
        <w:rPr>
          <w:rFonts w:ascii="宋体" w:hAnsi="宋体"/>
          <w:b/>
          <w:bCs/>
          <w:color w:val="auto"/>
        </w:rPr>
      </w:pPr>
    </w:p>
    <w:p w14:paraId="29724E8E">
      <w:pPr>
        <w:pStyle w:val="15"/>
        <w:rPr>
          <w:rFonts w:hAnsi="宋体"/>
          <w:color w:val="auto"/>
          <w:sz w:val="24"/>
          <w:szCs w:val="24"/>
        </w:rPr>
      </w:pPr>
    </w:p>
    <w:p w14:paraId="1F9D7CBF">
      <w:pPr>
        <w:pStyle w:val="15"/>
        <w:rPr>
          <w:rFonts w:hAnsi="宋体"/>
          <w:color w:val="auto"/>
          <w:sz w:val="24"/>
          <w:szCs w:val="24"/>
        </w:rPr>
      </w:pPr>
    </w:p>
    <w:p w14:paraId="435531B6">
      <w:pPr>
        <w:pStyle w:val="15"/>
        <w:rPr>
          <w:rFonts w:hAnsi="宋体"/>
          <w:color w:val="auto"/>
          <w:sz w:val="24"/>
          <w:szCs w:val="24"/>
        </w:rPr>
      </w:pPr>
      <w:r>
        <w:rPr>
          <w:rFonts w:hint="eastAsia" w:hAnsi="宋体"/>
          <w:color w:val="auto"/>
          <w:sz w:val="24"/>
          <w:szCs w:val="24"/>
        </w:rPr>
        <w:t xml:space="preserve"> 供应商（公章）：                       法定代表人或被授权人（签字）：    </w:t>
      </w:r>
    </w:p>
    <w:p w14:paraId="6B71752E">
      <w:pPr>
        <w:pStyle w:val="15"/>
        <w:rPr>
          <w:rFonts w:hAnsi="宋体"/>
          <w:color w:val="auto"/>
          <w:sz w:val="24"/>
          <w:szCs w:val="24"/>
        </w:rPr>
      </w:pPr>
    </w:p>
    <w:p w14:paraId="7992929C">
      <w:pPr>
        <w:spacing w:line="360" w:lineRule="atLeast"/>
        <w:rPr>
          <w:rFonts w:ascii="宋体" w:hAnsi="宋体"/>
          <w:color w:val="auto"/>
          <w:u w:val="single"/>
        </w:rPr>
      </w:pPr>
      <w:r>
        <w:rPr>
          <w:rFonts w:hAnsi="宋体"/>
          <w:color w:val="auto"/>
          <w:sz w:val="24"/>
        </w:rPr>
        <w:br w:type="page"/>
      </w:r>
      <w:r>
        <w:rPr>
          <w:rFonts w:hint="eastAsia" w:ascii="宋体" w:hAnsi="宋体" w:cs="宋体"/>
          <w:color w:val="auto"/>
          <w:sz w:val="24"/>
        </w:rPr>
        <w:t>附表3</w:t>
      </w:r>
    </w:p>
    <w:p w14:paraId="066374FF">
      <w:pPr>
        <w:adjustRightInd w:val="0"/>
        <w:snapToGrid w:val="0"/>
        <w:spacing w:line="360" w:lineRule="auto"/>
        <w:jc w:val="center"/>
        <w:rPr>
          <w:rFonts w:ascii="宋体" w:hAnsi="宋体" w:cs="Courier New"/>
          <w:b/>
          <w:bCs/>
          <w:color w:val="auto"/>
          <w:sz w:val="32"/>
          <w:szCs w:val="32"/>
        </w:rPr>
      </w:pPr>
      <w:r>
        <w:rPr>
          <w:rFonts w:hint="eastAsia" w:ascii="宋体" w:hAnsi="宋体" w:cs="Courier New"/>
          <w:b/>
          <w:bCs/>
          <w:color w:val="auto"/>
          <w:sz w:val="32"/>
          <w:szCs w:val="32"/>
        </w:rPr>
        <w:t>商务及合同主要条款响应说明</w:t>
      </w:r>
    </w:p>
    <w:p w14:paraId="76BC789C">
      <w:pPr>
        <w:kinsoku w:val="0"/>
        <w:spacing w:line="500" w:lineRule="exact"/>
        <w:ind w:left="-359" w:leftChars="-171" w:firstLine="358"/>
        <w:rPr>
          <w:rFonts w:ascii="宋体" w:hAnsi="宋体"/>
          <w:b/>
          <w:color w:val="auto"/>
          <w:sz w:val="24"/>
        </w:rPr>
      </w:pPr>
      <w:r>
        <w:rPr>
          <w:rFonts w:hint="eastAsia" w:ascii="宋体" w:hAnsi="宋体"/>
          <w:color w:val="auto"/>
          <w:sz w:val="24"/>
        </w:rPr>
        <w:t xml:space="preserve">项目名称：                                                    </w:t>
      </w:r>
    </w:p>
    <w:p w14:paraId="58105DF1">
      <w:pPr>
        <w:kinsoku w:val="0"/>
        <w:spacing w:line="540" w:lineRule="exact"/>
        <w:ind w:left="-359" w:leftChars="-171" w:firstLine="357"/>
        <w:rPr>
          <w:rFonts w:ascii="宋体" w:hAnsi="宋体"/>
          <w:b/>
          <w:color w:val="auto"/>
          <w:sz w:val="24"/>
        </w:rPr>
      </w:pPr>
      <w:r>
        <w:rPr>
          <w:rFonts w:hint="eastAsia" w:ascii="宋体" w:hAnsi="宋体"/>
          <w:color w:val="auto"/>
          <w:sz w:val="24"/>
        </w:rPr>
        <w:t>供应商：</w:t>
      </w:r>
      <w:r>
        <w:rPr>
          <w:rFonts w:hint="eastAsia" w:ascii="宋体" w:hAnsi="宋体"/>
          <w:color w:val="auto"/>
          <w:sz w:val="32"/>
          <w:szCs w:val="32"/>
        </w:rPr>
        <w:t xml:space="preserve">   </w:t>
      </w:r>
      <w:r>
        <w:rPr>
          <w:rFonts w:ascii="宋体" w:hAnsi="宋体"/>
          <w:color w:val="auto"/>
          <w:sz w:val="32"/>
          <w:szCs w:val="32"/>
        </w:rPr>
        <w:t xml:space="preserve">                       </w:t>
      </w:r>
    </w:p>
    <w:tbl>
      <w:tblPr>
        <w:tblStyle w:val="2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
        <w:gridCol w:w="3425"/>
        <w:gridCol w:w="2992"/>
        <w:gridCol w:w="1866"/>
      </w:tblGrid>
      <w:tr w14:paraId="7D484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332F56D1">
            <w:pPr>
              <w:spacing w:line="560" w:lineRule="exact"/>
              <w:ind w:right="-168" w:rightChars="-80" w:firstLine="120" w:firstLineChars="50"/>
              <w:rPr>
                <w:rFonts w:ascii="宋体" w:hAnsi="宋体"/>
                <w:color w:val="auto"/>
                <w:sz w:val="24"/>
              </w:rPr>
            </w:pPr>
            <w:r>
              <w:rPr>
                <w:rFonts w:hint="eastAsia" w:ascii="宋体" w:hAnsi="宋体"/>
                <w:color w:val="auto"/>
                <w:sz w:val="24"/>
              </w:rPr>
              <w:t>序号</w:t>
            </w:r>
          </w:p>
        </w:tc>
        <w:tc>
          <w:tcPr>
            <w:tcW w:w="3425" w:type="dxa"/>
            <w:vAlign w:val="center"/>
          </w:tcPr>
          <w:p w14:paraId="1B076B77">
            <w:pPr>
              <w:spacing w:line="560" w:lineRule="exact"/>
              <w:ind w:right="-168" w:rightChars="-80"/>
              <w:jc w:val="center"/>
              <w:rPr>
                <w:rFonts w:ascii="宋体" w:hAnsi="宋体"/>
                <w:color w:val="auto"/>
                <w:sz w:val="24"/>
              </w:rPr>
            </w:pPr>
            <w:r>
              <w:rPr>
                <w:rFonts w:hint="eastAsia" w:ascii="宋体" w:hAnsi="宋体"/>
                <w:color w:val="auto"/>
                <w:sz w:val="24"/>
              </w:rPr>
              <w:t>磋商文件要求</w:t>
            </w:r>
          </w:p>
        </w:tc>
        <w:tc>
          <w:tcPr>
            <w:tcW w:w="2992" w:type="dxa"/>
            <w:vAlign w:val="center"/>
          </w:tcPr>
          <w:p w14:paraId="0AB42423">
            <w:pPr>
              <w:spacing w:line="560" w:lineRule="exact"/>
              <w:ind w:right="-168" w:rightChars="-80" w:firstLine="360" w:firstLineChars="150"/>
              <w:rPr>
                <w:rFonts w:ascii="宋体" w:hAnsi="宋体"/>
                <w:color w:val="auto"/>
                <w:sz w:val="24"/>
              </w:rPr>
            </w:pPr>
            <w:r>
              <w:rPr>
                <w:rFonts w:hint="eastAsia" w:ascii="宋体" w:hAnsi="宋体"/>
                <w:color w:val="auto"/>
                <w:sz w:val="24"/>
              </w:rPr>
              <w:t>响应文件实际数据</w:t>
            </w:r>
          </w:p>
        </w:tc>
        <w:tc>
          <w:tcPr>
            <w:tcW w:w="1866" w:type="dxa"/>
            <w:vAlign w:val="center"/>
          </w:tcPr>
          <w:p w14:paraId="5B58F537">
            <w:pPr>
              <w:spacing w:line="560" w:lineRule="exact"/>
              <w:ind w:right="-168" w:rightChars="-80" w:firstLine="360" w:firstLineChars="150"/>
              <w:rPr>
                <w:rFonts w:ascii="宋体" w:hAnsi="宋体"/>
                <w:color w:val="auto"/>
                <w:sz w:val="24"/>
              </w:rPr>
            </w:pPr>
            <w:r>
              <w:rPr>
                <w:rFonts w:hint="eastAsia" w:ascii="宋体" w:hAnsi="宋体"/>
                <w:color w:val="auto"/>
                <w:sz w:val="24"/>
              </w:rPr>
              <w:t>响应说明</w:t>
            </w:r>
          </w:p>
        </w:tc>
      </w:tr>
      <w:tr w14:paraId="71131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0FBD7620">
            <w:pPr>
              <w:spacing w:line="560" w:lineRule="exact"/>
              <w:ind w:right="-168" w:rightChars="-80"/>
              <w:jc w:val="center"/>
              <w:rPr>
                <w:rFonts w:ascii="宋体" w:hAnsi="宋体"/>
                <w:color w:val="auto"/>
                <w:sz w:val="24"/>
                <w:highlight w:val="yellow"/>
              </w:rPr>
            </w:pPr>
          </w:p>
        </w:tc>
        <w:tc>
          <w:tcPr>
            <w:tcW w:w="3425" w:type="dxa"/>
            <w:vAlign w:val="center"/>
          </w:tcPr>
          <w:p w14:paraId="52017929">
            <w:pPr>
              <w:spacing w:line="560" w:lineRule="exact"/>
              <w:ind w:right="-168" w:rightChars="-80"/>
              <w:jc w:val="center"/>
              <w:rPr>
                <w:rFonts w:ascii="宋体" w:hAnsi="宋体"/>
                <w:color w:val="auto"/>
                <w:sz w:val="24"/>
                <w:highlight w:val="yellow"/>
              </w:rPr>
            </w:pPr>
          </w:p>
        </w:tc>
        <w:tc>
          <w:tcPr>
            <w:tcW w:w="2992" w:type="dxa"/>
            <w:vAlign w:val="center"/>
          </w:tcPr>
          <w:p w14:paraId="46DD8BAE">
            <w:pPr>
              <w:spacing w:line="560" w:lineRule="exact"/>
              <w:ind w:right="-168" w:rightChars="-80"/>
              <w:jc w:val="center"/>
              <w:rPr>
                <w:rFonts w:ascii="宋体" w:hAnsi="宋体"/>
                <w:color w:val="auto"/>
                <w:sz w:val="24"/>
                <w:highlight w:val="yellow"/>
              </w:rPr>
            </w:pPr>
          </w:p>
        </w:tc>
        <w:tc>
          <w:tcPr>
            <w:tcW w:w="1866" w:type="dxa"/>
            <w:vAlign w:val="center"/>
          </w:tcPr>
          <w:p w14:paraId="0527AA3A">
            <w:pPr>
              <w:spacing w:line="560" w:lineRule="exact"/>
              <w:ind w:right="-168" w:rightChars="-80"/>
              <w:jc w:val="center"/>
              <w:rPr>
                <w:rFonts w:ascii="宋体" w:hAnsi="宋体"/>
                <w:color w:val="auto"/>
                <w:sz w:val="24"/>
                <w:highlight w:val="yellow"/>
              </w:rPr>
            </w:pPr>
          </w:p>
        </w:tc>
      </w:tr>
      <w:tr w14:paraId="6E4B9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57D1E43B">
            <w:pPr>
              <w:spacing w:line="560" w:lineRule="exact"/>
              <w:ind w:right="-168" w:rightChars="-80"/>
              <w:jc w:val="center"/>
              <w:rPr>
                <w:rFonts w:ascii="宋体" w:hAnsi="宋体"/>
                <w:color w:val="auto"/>
                <w:sz w:val="24"/>
                <w:highlight w:val="yellow"/>
              </w:rPr>
            </w:pPr>
          </w:p>
        </w:tc>
        <w:tc>
          <w:tcPr>
            <w:tcW w:w="3425" w:type="dxa"/>
            <w:vAlign w:val="center"/>
          </w:tcPr>
          <w:p w14:paraId="21AC0087">
            <w:pPr>
              <w:spacing w:line="560" w:lineRule="exact"/>
              <w:ind w:right="-168" w:rightChars="-80"/>
              <w:jc w:val="center"/>
              <w:rPr>
                <w:rFonts w:ascii="宋体" w:hAnsi="宋体"/>
                <w:color w:val="auto"/>
                <w:sz w:val="24"/>
                <w:highlight w:val="yellow"/>
              </w:rPr>
            </w:pPr>
          </w:p>
        </w:tc>
        <w:tc>
          <w:tcPr>
            <w:tcW w:w="2992" w:type="dxa"/>
            <w:vAlign w:val="center"/>
          </w:tcPr>
          <w:p w14:paraId="1ABDF9C6">
            <w:pPr>
              <w:spacing w:line="560" w:lineRule="exact"/>
              <w:ind w:right="-168" w:rightChars="-80"/>
              <w:jc w:val="center"/>
              <w:rPr>
                <w:rFonts w:ascii="宋体" w:hAnsi="宋体"/>
                <w:color w:val="auto"/>
                <w:sz w:val="24"/>
                <w:highlight w:val="yellow"/>
              </w:rPr>
            </w:pPr>
          </w:p>
        </w:tc>
        <w:tc>
          <w:tcPr>
            <w:tcW w:w="1866" w:type="dxa"/>
            <w:vAlign w:val="center"/>
          </w:tcPr>
          <w:p w14:paraId="10A38C2D">
            <w:pPr>
              <w:spacing w:line="560" w:lineRule="exact"/>
              <w:ind w:right="-168" w:rightChars="-80"/>
              <w:jc w:val="center"/>
              <w:rPr>
                <w:rFonts w:ascii="宋体" w:hAnsi="宋体"/>
                <w:color w:val="auto"/>
                <w:sz w:val="24"/>
                <w:highlight w:val="yellow"/>
              </w:rPr>
            </w:pPr>
          </w:p>
        </w:tc>
      </w:tr>
      <w:tr w14:paraId="5C2DC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57A8C58B">
            <w:pPr>
              <w:spacing w:line="560" w:lineRule="exact"/>
              <w:ind w:right="-168" w:rightChars="-80"/>
              <w:jc w:val="center"/>
              <w:rPr>
                <w:rFonts w:ascii="宋体" w:hAnsi="宋体"/>
                <w:color w:val="auto"/>
                <w:sz w:val="24"/>
                <w:highlight w:val="yellow"/>
              </w:rPr>
            </w:pPr>
          </w:p>
        </w:tc>
        <w:tc>
          <w:tcPr>
            <w:tcW w:w="3425" w:type="dxa"/>
            <w:vAlign w:val="center"/>
          </w:tcPr>
          <w:p w14:paraId="6E416792">
            <w:pPr>
              <w:spacing w:line="560" w:lineRule="exact"/>
              <w:ind w:right="-168" w:rightChars="-80"/>
              <w:jc w:val="center"/>
              <w:rPr>
                <w:rFonts w:ascii="宋体" w:hAnsi="宋体"/>
                <w:color w:val="auto"/>
                <w:sz w:val="24"/>
                <w:highlight w:val="yellow"/>
              </w:rPr>
            </w:pPr>
          </w:p>
        </w:tc>
        <w:tc>
          <w:tcPr>
            <w:tcW w:w="2992" w:type="dxa"/>
            <w:vAlign w:val="center"/>
          </w:tcPr>
          <w:p w14:paraId="3D3F10C1">
            <w:pPr>
              <w:spacing w:line="560" w:lineRule="exact"/>
              <w:ind w:right="-168" w:rightChars="-80"/>
              <w:jc w:val="center"/>
              <w:rPr>
                <w:rFonts w:ascii="宋体" w:hAnsi="宋体"/>
                <w:color w:val="auto"/>
                <w:sz w:val="24"/>
                <w:highlight w:val="yellow"/>
              </w:rPr>
            </w:pPr>
          </w:p>
        </w:tc>
        <w:tc>
          <w:tcPr>
            <w:tcW w:w="1866" w:type="dxa"/>
            <w:vAlign w:val="center"/>
          </w:tcPr>
          <w:p w14:paraId="338761BD">
            <w:pPr>
              <w:spacing w:line="560" w:lineRule="exact"/>
              <w:ind w:right="-168" w:rightChars="-80"/>
              <w:jc w:val="center"/>
              <w:rPr>
                <w:rFonts w:ascii="宋体" w:hAnsi="宋体"/>
                <w:color w:val="auto"/>
                <w:sz w:val="24"/>
                <w:highlight w:val="yellow"/>
              </w:rPr>
            </w:pPr>
          </w:p>
        </w:tc>
      </w:tr>
      <w:tr w14:paraId="35E12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17DA8B89">
            <w:pPr>
              <w:spacing w:line="560" w:lineRule="exact"/>
              <w:ind w:right="-168" w:rightChars="-80"/>
              <w:jc w:val="center"/>
              <w:rPr>
                <w:rFonts w:ascii="宋体" w:hAnsi="宋体"/>
                <w:color w:val="auto"/>
                <w:sz w:val="24"/>
                <w:highlight w:val="yellow"/>
              </w:rPr>
            </w:pPr>
          </w:p>
        </w:tc>
        <w:tc>
          <w:tcPr>
            <w:tcW w:w="3425" w:type="dxa"/>
            <w:vAlign w:val="center"/>
          </w:tcPr>
          <w:p w14:paraId="5BD29D47">
            <w:pPr>
              <w:spacing w:line="560" w:lineRule="exact"/>
              <w:ind w:right="-168" w:rightChars="-80"/>
              <w:jc w:val="center"/>
              <w:rPr>
                <w:rFonts w:ascii="宋体" w:hAnsi="宋体"/>
                <w:color w:val="auto"/>
                <w:sz w:val="24"/>
                <w:highlight w:val="yellow"/>
              </w:rPr>
            </w:pPr>
          </w:p>
        </w:tc>
        <w:tc>
          <w:tcPr>
            <w:tcW w:w="2992" w:type="dxa"/>
            <w:vAlign w:val="center"/>
          </w:tcPr>
          <w:p w14:paraId="621437E4">
            <w:pPr>
              <w:spacing w:line="560" w:lineRule="exact"/>
              <w:ind w:right="-168" w:rightChars="-80"/>
              <w:jc w:val="center"/>
              <w:rPr>
                <w:rFonts w:ascii="宋体" w:hAnsi="宋体"/>
                <w:color w:val="auto"/>
                <w:sz w:val="24"/>
                <w:highlight w:val="yellow"/>
              </w:rPr>
            </w:pPr>
          </w:p>
        </w:tc>
        <w:tc>
          <w:tcPr>
            <w:tcW w:w="1866" w:type="dxa"/>
            <w:vAlign w:val="center"/>
          </w:tcPr>
          <w:p w14:paraId="3551AC26">
            <w:pPr>
              <w:spacing w:line="560" w:lineRule="exact"/>
              <w:ind w:right="-168" w:rightChars="-80"/>
              <w:jc w:val="center"/>
              <w:rPr>
                <w:rFonts w:ascii="宋体" w:hAnsi="宋体"/>
                <w:color w:val="auto"/>
                <w:sz w:val="24"/>
                <w:highlight w:val="yellow"/>
              </w:rPr>
            </w:pPr>
          </w:p>
        </w:tc>
      </w:tr>
      <w:tr w14:paraId="4C03C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5E39D875">
            <w:pPr>
              <w:spacing w:line="560" w:lineRule="exact"/>
              <w:ind w:right="-168" w:rightChars="-80"/>
              <w:jc w:val="center"/>
              <w:rPr>
                <w:rFonts w:ascii="宋体" w:hAnsi="宋体"/>
                <w:color w:val="auto"/>
                <w:sz w:val="24"/>
                <w:highlight w:val="yellow"/>
              </w:rPr>
            </w:pPr>
          </w:p>
        </w:tc>
        <w:tc>
          <w:tcPr>
            <w:tcW w:w="3425" w:type="dxa"/>
            <w:vAlign w:val="center"/>
          </w:tcPr>
          <w:p w14:paraId="0AC83D6F">
            <w:pPr>
              <w:spacing w:line="560" w:lineRule="exact"/>
              <w:ind w:right="-168" w:rightChars="-80"/>
              <w:jc w:val="center"/>
              <w:rPr>
                <w:rFonts w:ascii="宋体" w:hAnsi="宋体"/>
                <w:color w:val="auto"/>
                <w:sz w:val="24"/>
                <w:highlight w:val="yellow"/>
              </w:rPr>
            </w:pPr>
          </w:p>
        </w:tc>
        <w:tc>
          <w:tcPr>
            <w:tcW w:w="2992" w:type="dxa"/>
            <w:vAlign w:val="center"/>
          </w:tcPr>
          <w:p w14:paraId="0016D0C3">
            <w:pPr>
              <w:spacing w:line="560" w:lineRule="exact"/>
              <w:ind w:right="-168" w:rightChars="-80"/>
              <w:jc w:val="center"/>
              <w:rPr>
                <w:rFonts w:ascii="宋体" w:hAnsi="宋体"/>
                <w:color w:val="auto"/>
                <w:sz w:val="24"/>
                <w:highlight w:val="yellow"/>
              </w:rPr>
            </w:pPr>
          </w:p>
        </w:tc>
        <w:tc>
          <w:tcPr>
            <w:tcW w:w="1866" w:type="dxa"/>
            <w:vAlign w:val="center"/>
          </w:tcPr>
          <w:p w14:paraId="6E44C13B">
            <w:pPr>
              <w:spacing w:line="560" w:lineRule="exact"/>
              <w:ind w:right="-168" w:rightChars="-80"/>
              <w:jc w:val="center"/>
              <w:rPr>
                <w:rFonts w:ascii="宋体" w:hAnsi="宋体"/>
                <w:color w:val="auto"/>
                <w:sz w:val="24"/>
                <w:highlight w:val="yellow"/>
              </w:rPr>
            </w:pPr>
          </w:p>
        </w:tc>
      </w:tr>
      <w:tr w14:paraId="624EC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565CF09C">
            <w:pPr>
              <w:spacing w:line="560" w:lineRule="exact"/>
              <w:ind w:right="-168" w:rightChars="-80"/>
              <w:jc w:val="center"/>
              <w:rPr>
                <w:rFonts w:ascii="宋体" w:hAnsi="宋体"/>
                <w:color w:val="auto"/>
                <w:sz w:val="24"/>
                <w:highlight w:val="yellow"/>
              </w:rPr>
            </w:pPr>
          </w:p>
        </w:tc>
        <w:tc>
          <w:tcPr>
            <w:tcW w:w="3425" w:type="dxa"/>
            <w:vAlign w:val="center"/>
          </w:tcPr>
          <w:p w14:paraId="306C3359">
            <w:pPr>
              <w:spacing w:line="560" w:lineRule="exact"/>
              <w:ind w:right="-168" w:rightChars="-80"/>
              <w:jc w:val="center"/>
              <w:rPr>
                <w:rFonts w:ascii="宋体" w:hAnsi="宋体"/>
                <w:color w:val="auto"/>
                <w:sz w:val="24"/>
                <w:highlight w:val="yellow"/>
              </w:rPr>
            </w:pPr>
          </w:p>
        </w:tc>
        <w:tc>
          <w:tcPr>
            <w:tcW w:w="2992" w:type="dxa"/>
            <w:vAlign w:val="center"/>
          </w:tcPr>
          <w:p w14:paraId="51D014A5">
            <w:pPr>
              <w:spacing w:line="560" w:lineRule="exact"/>
              <w:ind w:right="-168" w:rightChars="-80"/>
              <w:jc w:val="center"/>
              <w:rPr>
                <w:rFonts w:ascii="宋体" w:hAnsi="宋体"/>
                <w:color w:val="auto"/>
                <w:sz w:val="24"/>
                <w:highlight w:val="yellow"/>
              </w:rPr>
            </w:pPr>
          </w:p>
        </w:tc>
        <w:tc>
          <w:tcPr>
            <w:tcW w:w="1866" w:type="dxa"/>
            <w:vAlign w:val="center"/>
          </w:tcPr>
          <w:p w14:paraId="68BA3C16">
            <w:pPr>
              <w:spacing w:line="560" w:lineRule="exact"/>
              <w:ind w:right="-168" w:rightChars="-80"/>
              <w:jc w:val="center"/>
              <w:rPr>
                <w:rFonts w:ascii="宋体" w:hAnsi="宋体"/>
                <w:color w:val="auto"/>
                <w:sz w:val="24"/>
                <w:highlight w:val="yellow"/>
              </w:rPr>
            </w:pPr>
          </w:p>
        </w:tc>
      </w:tr>
      <w:tr w14:paraId="71E56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0B3AC5E1">
            <w:pPr>
              <w:spacing w:line="560" w:lineRule="exact"/>
              <w:ind w:right="-168" w:rightChars="-80"/>
              <w:jc w:val="center"/>
              <w:rPr>
                <w:rFonts w:ascii="宋体" w:hAnsi="宋体"/>
                <w:color w:val="auto"/>
                <w:sz w:val="24"/>
                <w:highlight w:val="yellow"/>
              </w:rPr>
            </w:pPr>
          </w:p>
        </w:tc>
        <w:tc>
          <w:tcPr>
            <w:tcW w:w="3425" w:type="dxa"/>
            <w:vAlign w:val="center"/>
          </w:tcPr>
          <w:p w14:paraId="7B783E45">
            <w:pPr>
              <w:spacing w:line="560" w:lineRule="exact"/>
              <w:ind w:right="-168" w:rightChars="-80"/>
              <w:jc w:val="center"/>
              <w:rPr>
                <w:rFonts w:ascii="宋体" w:hAnsi="宋体"/>
                <w:color w:val="auto"/>
                <w:sz w:val="24"/>
                <w:highlight w:val="yellow"/>
              </w:rPr>
            </w:pPr>
          </w:p>
        </w:tc>
        <w:tc>
          <w:tcPr>
            <w:tcW w:w="2992" w:type="dxa"/>
            <w:vAlign w:val="center"/>
          </w:tcPr>
          <w:p w14:paraId="4CCEDB95">
            <w:pPr>
              <w:spacing w:line="560" w:lineRule="exact"/>
              <w:ind w:right="-168" w:rightChars="-80"/>
              <w:jc w:val="center"/>
              <w:rPr>
                <w:rFonts w:ascii="宋体" w:hAnsi="宋体"/>
                <w:color w:val="auto"/>
                <w:sz w:val="24"/>
                <w:highlight w:val="yellow"/>
              </w:rPr>
            </w:pPr>
          </w:p>
        </w:tc>
        <w:tc>
          <w:tcPr>
            <w:tcW w:w="1866" w:type="dxa"/>
            <w:vAlign w:val="center"/>
          </w:tcPr>
          <w:p w14:paraId="5A6682B3">
            <w:pPr>
              <w:spacing w:line="560" w:lineRule="exact"/>
              <w:ind w:right="-168" w:rightChars="-80"/>
              <w:jc w:val="center"/>
              <w:rPr>
                <w:rFonts w:ascii="宋体" w:hAnsi="宋体"/>
                <w:color w:val="auto"/>
                <w:sz w:val="24"/>
                <w:highlight w:val="yellow"/>
              </w:rPr>
            </w:pPr>
          </w:p>
        </w:tc>
      </w:tr>
      <w:tr w14:paraId="4D215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207F93B6">
            <w:pPr>
              <w:spacing w:line="560" w:lineRule="exact"/>
              <w:ind w:right="-168" w:rightChars="-80"/>
              <w:jc w:val="center"/>
              <w:rPr>
                <w:rFonts w:ascii="宋体" w:hAnsi="宋体"/>
                <w:color w:val="auto"/>
                <w:sz w:val="24"/>
                <w:highlight w:val="yellow"/>
              </w:rPr>
            </w:pPr>
          </w:p>
        </w:tc>
        <w:tc>
          <w:tcPr>
            <w:tcW w:w="3425" w:type="dxa"/>
            <w:vAlign w:val="center"/>
          </w:tcPr>
          <w:p w14:paraId="03F2CF81">
            <w:pPr>
              <w:spacing w:line="560" w:lineRule="exact"/>
              <w:ind w:right="-168" w:rightChars="-80"/>
              <w:jc w:val="center"/>
              <w:rPr>
                <w:rFonts w:ascii="宋体" w:hAnsi="宋体"/>
                <w:color w:val="auto"/>
                <w:sz w:val="24"/>
                <w:highlight w:val="yellow"/>
              </w:rPr>
            </w:pPr>
          </w:p>
        </w:tc>
        <w:tc>
          <w:tcPr>
            <w:tcW w:w="2992" w:type="dxa"/>
            <w:vAlign w:val="center"/>
          </w:tcPr>
          <w:p w14:paraId="11EBC2FA">
            <w:pPr>
              <w:spacing w:line="560" w:lineRule="exact"/>
              <w:ind w:right="-168" w:rightChars="-80"/>
              <w:jc w:val="center"/>
              <w:rPr>
                <w:rFonts w:ascii="宋体" w:hAnsi="宋体"/>
                <w:color w:val="auto"/>
                <w:sz w:val="24"/>
                <w:highlight w:val="yellow"/>
              </w:rPr>
            </w:pPr>
          </w:p>
        </w:tc>
        <w:tc>
          <w:tcPr>
            <w:tcW w:w="1866" w:type="dxa"/>
            <w:vAlign w:val="center"/>
          </w:tcPr>
          <w:p w14:paraId="3300EB33">
            <w:pPr>
              <w:spacing w:line="560" w:lineRule="exact"/>
              <w:ind w:right="-168" w:rightChars="-80"/>
              <w:jc w:val="center"/>
              <w:rPr>
                <w:rFonts w:ascii="宋体" w:hAnsi="宋体"/>
                <w:color w:val="auto"/>
                <w:sz w:val="24"/>
                <w:highlight w:val="yellow"/>
              </w:rPr>
            </w:pPr>
          </w:p>
        </w:tc>
      </w:tr>
      <w:tr w14:paraId="36A94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19AE2AEA">
            <w:pPr>
              <w:spacing w:line="560" w:lineRule="exact"/>
              <w:ind w:right="-168" w:rightChars="-80"/>
              <w:jc w:val="center"/>
              <w:rPr>
                <w:rFonts w:ascii="宋体" w:hAnsi="宋体"/>
                <w:color w:val="auto"/>
                <w:sz w:val="24"/>
                <w:highlight w:val="yellow"/>
              </w:rPr>
            </w:pPr>
          </w:p>
        </w:tc>
        <w:tc>
          <w:tcPr>
            <w:tcW w:w="3425" w:type="dxa"/>
            <w:vAlign w:val="center"/>
          </w:tcPr>
          <w:p w14:paraId="2F3ACC78">
            <w:pPr>
              <w:spacing w:line="560" w:lineRule="exact"/>
              <w:ind w:right="-168" w:rightChars="-80"/>
              <w:jc w:val="center"/>
              <w:rPr>
                <w:rFonts w:ascii="宋体" w:hAnsi="宋体"/>
                <w:color w:val="auto"/>
                <w:sz w:val="24"/>
                <w:highlight w:val="yellow"/>
              </w:rPr>
            </w:pPr>
          </w:p>
        </w:tc>
        <w:tc>
          <w:tcPr>
            <w:tcW w:w="2992" w:type="dxa"/>
            <w:vAlign w:val="center"/>
          </w:tcPr>
          <w:p w14:paraId="7BAA5580">
            <w:pPr>
              <w:spacing w:line="560" w:lineRule="exact"/>
              <w:ind w:right="-168" w:rightChars="-80"/>
              <w:jc w:val="center"/>
              <w:rPr>
                <w:rFonts w:ascii="宋体" w:hAnsi="宋体"/>
                <w:color w:val="auto"/>
                <w:sz w:val="24"/>
                <w:highlight w:val="yellow"/>
              </w:rPr>
            </w:pPr>
          </w:p>
        </w:tc>
        <w:tc>
          <w:tcPr>
            <w:tcW w:w="1866" w:type="dxa"/>
            <w:vAlign w:val="center"/>
          </w:tcPr>
          <w:p w14:paraId="2F43EF2F">
            <w:pPr>
              <w:spacing w:line="560" w:lineRule="exact"/>
              <w:ind w:right="-168" w:rightChars="-80"/>
              <w:jc w:val="center"/>
              <w:rPr>
                <w:rFonts w:ascii="宋体" w:hAnsi="宋体"/>
                <w:color w:val="auto"/>
                <w:sz w:val="24"/>
                <w:highlight w:val="yellow"/>
              </w:rPr>
            </w:pPr>
          </w:p>
        </w:tc>
      </w:tr>
    </w:tbl>
    <w:p w14:paraId="6390B4A3">
      <w:pPr>
        <w:autoSpaceDE w:val="0"/>
        <w:autoSpaceDN w:val="0"/>
        <w:adjustRightInd w:val="0"/>
        <w:spacing w:line="360" w:lineRule="auto"/>
        <w:rPr>
          <w:rFonts w:ascii="宋体" w:hAnsi="宋体" w:cs="Courier New"/>
          <w:color w:val="auto"/>
          <w:sz w:val="24"/>
        </w:rPr>
      </w:pPr>
      <w:r>
        <w:rPr>
          <w:rFonts w:hint="eastAsia" w:ascii="宋体" w:hAnsi="宋体" w:cs="Courier New"/>
          <w:color w:val="auto"/>
          <w:sz w:val="24"/>
        </w:rPr>
        <w:t>说明：</w:t>
      </w:r>
    </w:p>
    <w:p w14:paraId="746B8F4C">
      <w:pPr>
        <w:autoSpaceDE w:val="0"/>
        <w:autoSpaceDN w:val="0"/>
        <w:adjustRightInd w:val="0"/>
        <w:spacing w:line="360" w:lineRule="auto"/>
        <w:ind w:firstLine="480" w:firstLineChars="200"/>
        <w:rPr>
          <w:rFonts w:ascii="宋体" w:hAnsi="宋体" w:cs="Courier New"/>
          <w:color w:val="auto"/>
          <w:sz w:val="24"/>
        </w:rPr>
      </w:pPr>
      <w:r>
        <w:rPr>
          <w:rFonts w:hint="eastAsia" w:ascii="宋体" w:hAnsi="宋体" w:cs="Courier New"/>
          <w:color w:val="auto"/>
          <w:sz w:val="24"/>
        </w:rPr>
        <w:t>1、响应文件根据“第四章  商务及合同主要条款”须如实填写。</w:t>
      </w:r>
    </w:p>
    <w:p w14:paraId="303339FE">
      <w:pPr>
        <w:autoSpaceDE w:val="0"/>
        <w:autoSpaceDN w:val="0"/>
        <w:adjustRightInd w:val="0"/>
        <w:spacing w:line="360" w:lineRule="auto"/>
        <w:ind w:firstLine="480" w:firstLineChars="200"/>
        <w:rPr>
          <w:rFonts w:ascii="宋体" w:hAnsi="宋体" w:cs="Courier New"/>
          <w:color w:val="auto"/>
          <w:sz w:val="24"/>
        </w:rPr>
      </w:pPr>
      <w:r>
        <w:rPr>
          <w:rFonts w:hint="eastAsia" w:ascii="宋体" w:hAnsi="宋体" w:cs="Courier New"/>
          <w:color w:val="auto"/>
          <w:sz w:val="24"/>
        </w:rPr>
        <w:t>2、响应说明填写：优于、相同、低于。</w:t>
      </w:r>
    </w:p>
    <w:p w14:paraId="64500BBF">
      <w:pPr>
        <w:autoSpaceDE w:val="0"/>
        <w:autoSpaceDN w:val="0"/>
        <w:adjustRightInd w:val="0"/>
        <w:spacing w:line="360" w:lineRule="auto"/>
        <w:ind w:firstLine="480" w:firstLineChars="200"/>
        <w:rPr>
          <w:rFonts w:ascii="宋体" w:hAnsi="宋体" w:cs="Courier New"/>
          <w:color w:val="auto"/>
          <w:sz w:val="24"/>
        </w:rPr>
      </w:pPr>
      <w:r>
        <w:rPr>
          <w:rFonts w:hint="eastAsia" w:ascii="宋体" w:hAnsi="宋体" w:cs="Courier New"/>
          <w:color w:val="auto"/>
          <w:sz w:val="24"/>
        </w:rPr>
        <w:t>3、若不填写本表，将视为完全接受“第四章  商务及合同主要条款”内容。</w:t>
      </w:r>
    </w:p>
    <w:p w14:paraId="28D746FC">
      <w:pPr>
        <w:autoSpaceDE w:val="0"/>
        <w:autoSpaceDN w:val="0"/>
        <w:adjustRightInd w:val="0"/>
        <w:spacing w:line="360" w:lineRule="auto"/>
        <w:ind w:firstLine="480" w:firstLineChars="200"/>
        <w:rPr>
          <w:rFonts w:ascii="宋体" w:hAnsi="宋体" w:cs="Courier New"/>
          <w:color w:val="auto"/>
          <w:sz w:val="24"/>
        </w:rPr>
      </w:pPr>
    </w:p>
    <w:p w14:paraId="07260A77">
      <w:pPr>
        <w:pStyle w:val="15"/>
        <w:ind w:firstLine="480" w:firstLineChars="200"/>
        <w:rPr>
          <w:rFonts w:hAnsi="宋体"/>
          <w:color w:val="auto"/>
          <w:sz w:val="24"/>
          <w:szCs w:val="24"/>
          <w:u w:val="single"/>
        </w:rPr>
      </w:pPr>
      <w:r>
        <w:rPr>
          <w:rFonts w:hint="eastAsia" w:hAnsi="宋体"/>
          <w:color w:val="auto"/>
          <w:sz w:val="24"/>
        </w:rPr>
        <w:t xml:space="preserve">供应商（公章）：                       法定代表人或被授权人（签字）： </w:t>
      </w:r>
      <w:r>
        <w:rPr>
          <w:rFonts w:hint="eastAsia" w:hAnsi="宋体"/>
          <w:color w:val="auto"/>
          <w:sz w:val="24"/>
          <w:szCs w:val="24"/>
        </w:rPr>
        <w:t xml:space="preserve">                                                    </w:t>
      </w:r>
    </w:p>
    <w:p w14:paraId="3873491F">
      <w:pPr>
        <w:spacing w:line="360" w:lineRule="atLeast"/>
        <w:jc w:val="center"/>
        <w:rPr>
          <w:rFonts w:ascii="宋体" w:hAnsi="宋体"/>
          <w:b/>
          <w:color w:val="auto"/>
          <w:sz w:val="32"/>
          <w:szCs w:val="32"/>
        </w:rPr>
      </w:pPr>
      <w:r>
        <w:rPr>
          <w:rFonts w:ascii="宋体" w:hAnsi="宋体"/>
          <w:color w:val="auto"/>
          <w:u w:val="single"/>
        </w:rPr>
        <w:br w:type="page"/>
      </w:r>
      <w:r>
        <w:rPr>
          <w:rFonts w:hint="eastAsia" w:ascii="宋体" w:hAnsi="宋体"/>
          <w:b/>
          <w:color w:val="auto"/>
          <w:sz w:val="32"/>
          <w:szCs w:val="32"/>
        </w:rPr>
        <w:t>第三部分   法定代表人证明书与法定代表人授权书</w:t>
      </w:r>
    </w:p>
    <w:p w14:paraId="3017FE8D">
      <w:pPr>
        <w:tabs>
          <w:tab w:val="left" w:pos="210"/>
        </w:tabs>
        <w:spacing w:line="320" w:lineRule="exact"/>
        <w:rPr>
          <w:rFonts w:ascii="宋体" w:hAnsi="宋体" w:cs="Arial"/>
          <w:b/>
          <w:color w:val="auto"/>
          <w:kern w:val="0"/>
          <w:sz w:val="32"/>
          <w:szCs w:val="32"/>
        </w:rPr>
      </w:pPr>
    </w:p>
    <w:p w14:paraId="27AE6C1F">
      <w:pPr>
        <w:tabs>
          <w:tab w:val="left" w:pos="210"/>
        </w:tabs>
        <w:spacing w:line="320" w:lineRule="exact"/>
        <w:jc w:val="center"/>
        <w:rPr>
          <w:rFonts w:ascii="宋体" w:hAnsi="宋体" w:cs="Arial"/>
          <w:b/>
          <w:color w:val="auto"/>
          <w:kern w:val="0"/>
          <w:sz w:val="32"/>
          <w:szCs w:val="32"/>
        </w:rPr>
      </w:pPr>
      <w:r>
        <w:rPr>
          <w:rFonts w:hint="eastAsia" w:ascii="宋体" w:hAnsi="宋体" w:cs="Arial"/>
          <w:b/>
          <w:color w:val="auto"/>
          <w:kern w:val="0"/>
          <w:sz w:val="32"/>
          <w:szCs w:val="32"/>
        </w:rPr>
        <w:t xml:space="preserve">  法定代表人证明书</w:t>
      </w:r>
    </w:p>
    <w:p w14:paraId="0508D994">
      <w:pPr>
        <w:tabs>
          <w:tab w:val="left" w:pos="210"/>
        </w:tabs>
        <w:spacing w:line="320" w:lineRule="exact"/>
        <w:jc w:val="center"/>
        <w:rPr>
          <w:rFonts w:ascii="宋体" w:hAnsi="宋体" w:cs="Arial"/>
          <w:b/>
          <w:color w:val="auto"/>
          <w:kern w:val="0"/>
          <w:sz w:val="32"/>
          <w:szCs w:val="32"/>
        </w:rPr>
      </w:pPr>
    </w:p>
    <w:tbl>
      <w:tblPr>
        <w:tblStyle w:val="28"/>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4"/>
        <w:gridCol w:w="2151"/>
        <w:gridCol w:w="2145"/>
        <w:gridCol w:w="184"/>
        <w:gridCol w:w="2145"/>
        <w:gridCol w:w="2097"/>
      </w:tblGrid>
      <w:tr w14:paraId="637C0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286" w:type="dxa"/>
            <w:gridSpan w:val="6"/>
            <w:vAlign w:val="center"/>
          </w:tcPr>
          <w:p w14:paraId="0636B476">
            <w:pPr>
              <w:tabs>
                <w:tab w:val="left" w:pos="210"/>
              </w:tabs>
              <w:spacing w:line="320" w:lineRule="exact"/>
              <w:rPr>
                <w:rFonts w:ascii="宋体" w:hAnsi="宋体" w:cs="Arial"/>
                <w:color w:val="auto"/>
                <w:kern w:val="0"/>
                <w:sz w:val="24"/>
              </w:rPr>
            </w:pPr>
            <w:r>
              <w:rPr>
                <w:rFonts w:hint="eastAsia" w:ascii="宋体" w:hAnsi="宋体" w:cs="Arial"/>
                <w:color w:val="auto"/>
                <w:kern w:val="0"/>
                <w:sz w:val="24"/>
              </w:rPr>
              <w:t>致：</w:t>
            </w:r>
            <w:r>
              <w:rPr>
                <w:rFonts w:hint="eastAsia" w:ascii="宋体" w:hAnsi="宋体" w:cs="Arial"/>
                <w:b/>
                <w:color w:val="auto"/>
                <w:kern w:val="0"/>
                <w:sz w:val="24"/>
              </w:rPr>
              <w:t>陕西国创招标有限公司</w:t>
            </w:r>
          </w:p>
        </w:tc>
      </w:tr>
      <w:tr w14:paraId="20538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restart"/>
            <w:vAlign w:val="center"/>
          </w:tcPr>
          <w:p w14:paraId="4761C599">
            <w:pPr>
              <w:tabs>
                <w:tab w:val="left" w:pos="210"/>
              </w:tabs>
              <w:spacing w:line="320" w:lineRule="exact"/>
              <w:jc w:val="center"/>
              <w:rPr>
                <w:rFonts w:ascii="宋体" w:hAnsi="宋体" w:cs="Arial"/>
                <w:color w:val="auto"/>
                <w:kern w:val="0"/>
                <w:sz w:val="24"/>
              </w:rPr>
            </w:pPr>
            <w:r>
              <w:rPr>
                <w:rFonts w:hint="eastAsia" w:ascii="宋体" w:hAnsi="宋体" w:cs="Arial"/>
                <w:color w:val="auto"/>
                <w:kern w:val="0"/>
                <w:sz w:val="24"/>
              </w:rPr>
              <w:t>企</w:t>
            </w:r>
          </w:p>
          <w:p w14:paraId="2282728B">
            <w:pPr>
              <w:tabs>
                <w:tab w:val="left" w:pos="210"/>
              </w:tabs>
              <w:spacing w:line="320" w:lineRule="exact"/>
              <w:jc w:val="center"/>
              <w:rPr>
                <w:rFonts w:ascii="宋体" w:hAnsi="宋体" w:cs="Arial"/>
                <w:color w:val="auto"/>
                <w:kern w:val="0"/>
                <w:sz w:val="24"/>
              </w:rPr>
            </w:pPr>
          </w:p>
          <w:p w14:paraId="4E25E681">
            <w:pPr>
              <w:tabs>
                <w:tab w:val="left" w:pos="210"/>
              </w:tabs>
              <w:spacing w:line="320" w:lineRule="exact"/>
              <w:jc w:val="center"/>
              <w:rPr>
                <w:rFonts w:ascii="宋体" w:hAnsi="宋体" w:cs="Arial"/>
                <w:color w:val="auto"/>
                <w:kern w:val="0"/>
                <w:sz w:val="24"/>
              </w:rPr>
            </w:pPr>
            <w:r>
              <w:rPr>
                <w:rFonts w:hint="eastAsia" w:ascii="宋体" w:hAnsi="宋体" w:cs="Arial"/>
                <w:color w:val="auto"/>
                <w:kern w:val="0"/>
                <w:sz w:val="24"/>
              </w:rPr>
              <w:t>业</w:t>
            </w:r>
          </w:p>
          <w:p w14:paraId="6A589ED0">
            <w:pPr>
              <w:tabs>
                <w:tab w:val="left" w:pos="210"/>
              </w:tabs>
              <w:spacing w:line="320" w:lineRule="exact"/>
              <w:jc w:val="center"/>
              <w:rPr>
                <w:rFonts w:ascii="宋体" w:hAnsi="宋体" w:cs="Arial"/>
                <w:color w:val="auto"/>
                <w:kern w:val="0"/>
                <w:sz w:val="24"/>
              </w:rPr>
            </w:pPr>
          </w:p>
          <w:p w14:paraId="405CDEB9">
            <w:pPr>
              <w:tabs>
                <w:tab w:val="left" w:pos="210"/>
              </w:tabs>
              <w:spacing w:line="320" w:lineRule="exact"/>
              <w:jc w:val="center"/>
              <w:rPr>
                <w:rFonts w:ascii="宋体" w:hAnsi="宋体" w:cs="Arial"/>
                <w:color w:val="auto"/>
                <w:kern w:val="0"/>
                <w:sz w:val="24"/>
              </w:rPr>
            </w:pPr>
            <w:r>
              <w:rPr>
                <w:rFonts w:hint="eastAsia" w:ascii="宋体" w:hAnsi="宋体" w:cs="Arial"/>
                <w:color w:val="auto"/>
                <w:kern w:val="0"/>
                <w:sz w:val="24"/>
              </w:rPr>
              <w:t>法</w:t>
            </w:r>
          </w:p>
          <w:p w14:paraId="53FCD0AD">
            <w:pPr>
              <w:tabs>
                <w:tab w:val="left" w:pos="210"/>
              </w:tabs>
              <w:spacing w:line="320" w:lineRule="exact"/>
              <w:jc w:val="center"/>
              <w:rPr>
                <w:rFonts w:ascii="宋体" w:hAnsi="宋体" w:cs="Arial"/>
                <w:color w:val="auto"/>
                <w:kern w:val="0"/>
                <w:sz w:val="24"/>
              </w:rPr>
            </w:pPr>
          </w:p>
          <w:p w14:paraId="7B584531">
            <w:pPr>
              <w:tabs>
                <w:tab w:val="left" w:pos="210"/>
              </w:tabs>
              <w:spacing w:line="320" w:lineRule="exact"/>
              <w:jc w:val="center"/>
              <w:rPr>
                <w:rFonts w:ascii="宋体" w:hAnsi="宋体" w:cs="Arial"/>
                <w:color w:val="auto"/>
                <w:kern w:val="0"/>
                <w:sz w:val="24"/>
              </w:rPr>
            </w:pPr>
            <w:r>
              <w:rPr>
                <w:rFonts w:hint="eastAsia" w:ascii="宋体" w:hAnsi="宋体" w:cs="Arial"/>
                <w:color w:val="auto"/>
                <w:kern w:val="0"/>
                <w:sz w:val="24"/>
              </w:rPr>
              <w:t>人</w:t>
            </w:r>
          </w:p>
        </w:tc>
        <w:tc>
          <w:tcPr>
            <w:tcW w:w="2151" w:type="dxa"/>
            <w:vAlign w:val="center"/>
          </w:tcPr>
          <w:p w14:paraId="6F4DA4B2">
            <w:pPr>
              <w:tabs>
                <w:tab w:val="left" w:pos="210"/>
              </w:tabs>
              <w:spacing w:line="320" w:lineRule="exact"/>
              <w:jc w:val="center"/>
              <w:rPr>
                <w:rFonts w:ascii="宋体" w:hAnsi="宋体" w:cs="Arial"/>
                <w:color w:val="auto"/>
                <w:kern w:val="0"/>
                <w:sz w:val="24"/>
              </w:rPr>
            </w:pPr>
            <w:r>
              <w:rPr>
                <w:rFonts w:hint="eastAsia" w:ascii="宋体" w:hAnsi="宋体" w:cs="Arial"/>
                <w:color w:val="auto"/>
                <w:kern w:val="0"/>
                <w:sz w:val="24"/>
              </w:rPr>
              <w:t>企业名称</w:t>
            </w:r>
          </w:p>
        </w:tc>
        <w:tc>
          <w:tcPr>
            <w:tcW w:w="6571" w:type="dxa"/>
            <w:gridSpan w:val="4"/>
            <w:vAlign w:val="center"/>
          </w:tcPr>
          <w:p w14:paraId="199CA97C">
            <w:pPr>
              <w:tabs>
                <w:tab w:val="left" w:pos="210"/>
              </w:tabs>
              <w:spacing w:line="320" w:lineRule="exact"/>
              <w:jc w:val="center"/>
              <w:rPr>
                <w:rFonts w:ascii="宋体" w:hAnsi="宋体" w:cs="Arial"/>
                <w:color w:val="auto"/>
                <w:kern w:val="0"/>
                <w:sz w:val="24"/>
              </w:rPr>
            </w:pPr>
          </w:p>
        </w:tc>
      </w:tr>
      <w:tr w14:paraId="3CCFC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continue"/>
            <w:vAlign w:val="center"/>
          </w:tcPr>
          <w:p w14:paraId="400420C5">
            <w:pPr>
              <w:tabs>
                <w:tab w:val="left" w:pos="210"/>
              </w:tabs>
              <w:spacing w:line="320" w:lineRule="exact"/>
              <w:jc w:val="center"/>
              <w:rPr>
                <w:rFonts w:ascii="宋体" w:hAnsi="宋体" w:cs="Arial"/>
                <w:color w:val="auto"/>
                <w:kern w:val="0"/>
                <w:sz w:val="24"/>
              </w:rPr>
            </w:pPr>
          </w:p>
        </w:tc>
        <w:tc>
          <w:tcPr>
            <w:tcW w:w="2151" w:type="dxa"/>
            <w:vAlign w:val="center"/>
          </w:tcPr>
          <w:p w14:paraId="13A10741">
            <w:pPr>
              <w:tabs>
                <w:tab w:val="left" w:pos="210"/>
              </w:tabs>
              <w:spacing w:line="320" w:lineRule="exact"/>
              <w:jc w:val="center"/>
              <w:rPr>
                <w:rFonts w:ascii="宋体" w:hAnsi="宋体" w:cs="Arial"/>
                <w:color w:val="auto"/>
                <w:kern w:val="0"/>
                <w:sz w:val="24"/>
              </w:rPr>
            </w:pPr>
            <w:r>
              <w:rPr>
                <w:rFonts w:hint="eastAsia" w:ascii="宋体" w:hAnsi="宋体" w:cs="Arial"/>
                <w:color w:val="auto"/>
                <w:kern w:val="0"/>
                <w:sz w:val="24"/>
              </w:rPr>
              <w:t>法定地址</w:t>
            </w:r>
          </w:p>
        </w:tc>
        <w:tc>
          <w:tcPr>
            <w:tcW w:w="6571" w:type="dxa"/>
            <w:gridSpan w:val="4"/>
            <w:vAlign w:val="center"/>
          </w:tcPr>
          <w:p w14:paraId="1B40B9DB">
            <w:pPr>
              <w:tabs>
                <w:tab w:val="left" w:pos="210"/>
              </w:tabs>
              <w:spacing w:line="320" w:lineRule="exact"/>
              <w:jc w:val="center"/>
              <w:rPr>
                <w:rFonts w:ascii="宋体" w:hAnsi="宋体" w:cs="Arial"/>
                <w:color w:val="auto"/>
                <w:kern w:val="0"/>
                <w:sz w:val="24"/>
              </w:rPr>
            </w:pPr>
          </w:p>
        </w:tc>
      </w:tr>
      <w:tr w14:paraId="5115E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continue"/>
            <w:vAlign w:val="center"/>
          </w:tcPr>
          <w:p w14:paraId="7DB7C363">
            <w:pPr>
              <w:tabs>
                <w:tab w:val="left" w:pos="210"/>
              </w:tabs>
              <w:spacing w:line="320" w:lineRule="exact"/>
              <w:jc w:val="center"/>
              <w:rPr>
                <w:rFonts w:ascii="宋体" w:hAnsi="宋体" w:cs="Arial"/>
                <w:color w:val="auto"/>
                <w:kern w:val="0"/>
                <w:sz w:val="24"/>
              </w:rPr>
            </w:pPr>
          </w:p>
        </w:tc>
        <w:tc>
          <w:tcPr>
            <w:tcW w:w="2151" w:type="dxa"/>
            <w:vAlign w:val="center"/>
          </w:tcPr>
          <w:p w14:paraId="5AD32DA0">
            <w:pPr>
              <w:tabs>
                <w:tab w:val="left" w:pos="210"/>
              </w:tabs>
              <w:spacing w:line="320" w:lineRule="exact"/>
              <w:jc w:val="center"/>
              <w:rPr>
                <w:rFonts w:ascii="宋体" w:hAnsi="宋体" w:cs="Arial"/>
                <w:color w:val="auto"/>
                <w:kern w:val="0"/>
                <w:sz w:val="24"/>
              </w:rPr>
            </w:pPr>
            <w:r>
              <w:rPr>
                <w:rFonts w:hint="eastAsia" w:ascii="宋体" w:hAnsi="宋体" w:cs="Arial"/>
                <w:color w:val="auto"/>
                <w:kern w:val="0"/>
                <w:sz w:val="24"/>
              </w:rPr>
              <w:t>邮政编码</w:t>
            </w:r>
          </w:p>
        </w:tc>
        <w:tc>
          <w:tcPr>
            <w:tcW w:w="6571" w:type="dxa"/>
            <w:gridSpan w:val="4"/>
            <w:vAlign w:val="center"/>
          </w:tcPr>
          <w:p w14:paraId="63321A82">
            <w:pPr>
              <w:tabs>
                <w:tab w:val="left" w:pos="210"/>
              </w:tabs>
              <w:spacing w:line="320" w:lineRule="exact"/>
              <w:jc w:val="center"/>
              <w:rPr>
                <w:rFonts w:ascii="宋体" w:hAnsi="宋体" w:cs="Arial"/>
                <w:color w:val="auto"/>
                <w:kern w:val="0"/>
                <w:sz w:val="24"/>
              </w:rPr>
            </w:pPr>
          </w:p>
        </w:tc>
      </w:tr>
      <w:tr w14:paraId="3AFCD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564" w:type="dxa"/>
            <w:vMerge w:val="continue"/>
            <w:vAlign w:val="center"/>
          </w:tcPr>
          <w:p w14:paraId="18FAA152">
            <w:pPr>
              <w:tabs>
                <w:tab w:val="left" w:pos="210"/>
              </w:tabs>
              <w:spacing w:line="320" w:lineRule="exact"/>
              <w:jc w:val="center"/>
              <w:rPr>
                <w:rFonts w:ascii="宋体" w:hAnsi="宋体" w:cs="Arial"/>
                <w:color w:val="auto"/>
                <w:kern w:val="0"/>
                <w:sz w:val="24"/>
              </w:rPr>
            </w:pPr>
          </w:p>
        </w:tc>
        <w:tc>
          <w:tcPr>
            <w:tcW w:w="2151" w:type="dxa"/>
            <w:vAlign w:val="center"/>
          </w:tcPr>
          <w:p w14:paraId="78161E08">
            <w:pPr>
              <w:tabs>
                <w:tab w:val="left" w:pos="210"/>
              </w:tabs>
              <w:spacing w:line="320" w:lineRule="exact"/>
              <w:jc w:val="center"/>
              <w:rPr>
                <w:rFonts w:ascii="宋体" w:hAnsi="宋体" w:cs="Arial"/>
                <w:color w:val="auto"/>
                <w:kern w:val="0"/>
                <w:sz w:val="24"/>
              </w:rPr>
            </w:pPr>
            <w:r>
              <w:rPr>
                <w:rFonts w:hint="eastAsia" w:ascii="宋体" w:hAnsi="宋体" w:cs="Arial"/>
                <w:color w:val="auto"/>
                <w:kern w:val="0"/>
                <w:sz w:val="24"/>
              </w:rPr>
              <w:t>工商登记机关</w:t>
            </w:r>
          </w:p>
        </w:tc>
        <w:tc>
          <w:tcPr>
            <w:tcW w:w="6571" w:type="dxa"/>
            <w:gridSpan w:val="4"/>
            <w:vAlign w:val="center"/>
          </w:tcPr>
          <w:p w14:paraId="67B29778">
            <w:pPr>
              <w:tabs>
                <w:tab w:val="left" w:pos="210"/>
              </w:tabs>
              <w:spacing w:line="320" w:lineRule="exact"/>
              <w:jc w:val="center"/>
              <w:rPr>
                <w:rFonts w:ascii="宋体" w:hAnsi="宋体" w:cs="Arial"/>
                <w:color w:val="auto"/>
                <w:kern w:val="0"/>
                <w:sz w:val="24"/>
              </w:rPr>
            </w:pPr>
          </w:p>
        </w:tc>
      </w:tr>
      <w:tr w14:paraId="38A9D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564" w:type="dxa"/>
            <w:vMerge w:val="continue"/>
            <w:vAlign w:val="center"/>
          </w:tcPr>
          <w:p w14:paraId="1743C8C0">
            <w:pPr>
              <w:tabs>
                <w:tab w:val="left" w:pos="210"/>
              </w:tabs>
              <w:spacing w:line="320" w:lineRule="exact"/>
              <w:jc w:val="center"/>
              <w:rPr>
                <w:rFonts w:ascii="宋体" w:hAnsi="宋体" w:cs="Arial"/>
                <w:color w:val="auto"/>
                <w:kern w:val="0"/>
                <w:sz w:val="24"/>
              </w:rPr>
            </w:pPr>
          </w:p>
        </w:tc>
        <w:tc>
          <w:tcPr>
            <w:tcW w:w="2151" w:type="dxa"/>
            <w:vAlign w:val="center"/>
          </w:tcPr>
          <w:p w14:paraId="3BA9DAFD">
            <w:pPr>
              <w:tabs>
                <w:tab w:val="left" w:pos="210"/>
              </w:tabs>
              <w:spacing w:line="320" w:lineRule="exact"/>
              <w:jc w:val="center"/>
              <w:rPr>
                <w:rFonts w:ascii="宋体" w:hAnsi="宋体" w:cs="Arial"/>
                <w:color w:val="auto"/>
                <w:kern w:val="0"/>
                <w:sz w:val="24"/>
              </w:rPr>
            </w:pPr>
            <w:r>
              <w:rPr>
                <w:rFonts w:hint="eastAsia" w:ascii="宋体" w:hAnsi="宋体" w:cs="Arial"/>
                <w:color w:val="auto"/>
                <w:kern w:val="0"/>
                <w:sz w:val="24"/>
              </w:rPr>
              <w:t>税务登记机关</w:t>
            </w:r>
          </w:p>
        </w:tc>
        <w:tc>
          <w:tcPr>
            <w:tcW w:w="6571" w:type="dxa"/>
            <w:gridSpan w:val="4"/>
            <w:vAlign w:val="center"/>
          </w:tcPr>
          <w:p w14:paraId="1D8637C2">
            <w:pPr>
              <w:tabs>
                <w:tab w:val="left" w:pos="210"/>
              </w:tabs>
              <w:spacing w:line="320" w:lineRule="exact"/>
              <w:rPr>
                <w:rFonts w:ascii="宋体" w:hAnsi="宋体" w:cs="Arial"/>
                <w:color w:val="auto"/>
                <w:kern w:val="0"/>
                <w:sz w:val="24"/>
              </w:rPr>
            </w:pPr>
          </w:p>
        </w:tc>
      </w:tr>
      <w:tr w14:paraId="1EF7D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564" w:type="dxa"/>
            <w:vMerge w:val="continue"/>
            <w:vAlign w:val="center"/>
          </w:tcPr>
          <w:p w14:paraId="2963C223">
            <w:pPr>
              <w:tabs>
                <w:tab w:val="left" w:pos="210"/>
              </w:tabs>
              <w:spacing w:line="320" w:lineRule="exact"/>
              <w:jc w:val="center"/>
              <w:rPr>
                <w:rFonts w:ascii="宋体" w:hAnsi="宋体" w:cs="Arial"/>
                <w:color w:val="auto"/>
                <w:kern w:val="0"/>
                <w:sz w:val="24"/>
              </w:rPr>
            </w:pPr>
          </w:p>
        </w:tc>
        <w:tc>
          <w:tcPr>
            <w:tcW w:w="2151" w:type="dxa"/>
            <w:vAlign w:val="center"/>
          </w:tcPr>
          <w:p w14:paraId="058ED5F9">
            <w:pPr>
              <w:tabs>
                <w:tab w:val="left" w:pos="210"/>
              </w:tabs>
              <w:spacing w:line="320" w:lineRule="exact"/>
              <w:jc w:val="center"/>
              <w:rPr>
                <w:rFonts w:ascii="宋体" w:hAnsi="宋体" w:cs="Arial"/>
                <w:color w:val="auto"/>
                <w:kern w:val="0"/>
                <w:sz w:val="24"/>
              </w:rPr>
            </w:pPr>
            <w:r>
              <w:rPr>
                <w:rFonts w:hint="eastAsia" w:ascii="宋体" w:hAnsi="宋体" w:cs="Arial"/>
                <w:color w:val="auto"/>
                <w:kern w:val="0"/>
                <w:sz w:val="24"/>
              </w:rPr>
              <w:t>机构代码证号</w:t>
            </w:r>
          </w:p>
        </w:tc>
        <w:tc>
          <w:tcPr>
            <w:tcW w:w="6571" w:type="dxa"/>
            <w:gridSpan w:val="4"/>
            <w:vAlign w:val="center"/>
          </w:tcPr>
          <w:p w14:paraId="62F4DFC8">
            <w:pPr>
              <w:tabs>
                <w:tab w:val="left" w:pos="210"/>
              </w:tabs>
              <w:spacing w:line="320" w:lineRule="exact"/>
              <w:jc w:val="center"/>
              <w:rPr>
                <w:rFonts w:ascii="宋体" w:hAnsi="宋体" w:cs="Arial"/>
                <w:color w:val="auto"/>
                <w:kern w:val="0"/>
                <w:sz w:val="24"/>
              </w:rPr>
            </w:pPr>
          </w:p>
        </w:tc>
      </w:tr>
      <w:tr w14:paraId="7AC96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restart"/>
            <w:vAlign w:val="center"/>
          </w:tcPr>
          <w:p w14:paraId="1CB0FFCD">
            <w:pPr>
              <w:tabs>
                <w:tab w:val="left" w:pos="210"/>
              </w:tabs>
              <w:spacing w:line="320" w:lineRule="exact"/>
              <w:jc w:val="center"/>
              <w:rPr>
                <w:rFonts w:ascii="宋体" w:hAnsi="宋体" w:cs="Arial"/>
                <w:color w:val="auto"/>
                <w:kern w:val="0"/>
                <w:sz w:val="24"/>
              </w:rPr>
            </w:pPr>
            <w:r>
              <w:rPr>
                <w:rFonts w:hint="eastAsia" w:ascii="宋体" w:hAnsi="宋体" w:cs="Arial"/>
                <w:color w:val="auto"/>
                <w:kern w:val="0"/>
                <w:sz w:val="24"/>
              </w:rPr>
              <w:t>法定代表人</w:t>
            </w:r>
          </w:p>
        </w:tc>
        <w:tc>
          <w:tcPr>
            <w:tcW w:w="2151" w:type="dxa"/>
            <w:vAlign w:val="center"/>
          </w:tcPr>
          <w:p w14:paraId="5B04611A">
            <w:pPr>
              <w:tabs>
                <w:tab w:val="left" w:pos="210"/>
              </w:tabs>
              <w:spacing w:line="320" w:lineRule="exact"/>
              <w:jc w:val="center"/>
              <w:rPr>
                <w:rFonts w:ascii="宋体" w:hAnsi="宋体" w:cs="Arial"/>
                <w:color w:val="auto"/>
                <w:kern w:val="0"/>
                <w:sz w:val="24"/>
              </w:rPr>
            </w:pPr>
            <w:r>
              <w:rPr>
                <w:rFonts w:hint="eastAsia" w:ascii="宋体" w:hAnsi="宋体" w:cs="Arial"/>
                <w:color w:val="auto"/>
                <w:kern w:val="0"/>
                <w:sz w:val="24"/>
              </w:rPr>
              <w:t>姓名</w:t>
            </w:r>
          </w:p>
        </w:tc>
        <w:tc>
          <w:tcPr>
            <w:tcW w:w="2329" w:type="dxa"/>
            <w:gridSpan w:val="2"/>
            <w:vAlign w:val="center"/>
          </w:tcPr>
          <w:p w14:paraId="649D61DE">
            <w:pPr>
              <w:tabs>
                <w:tab w:val="left" w:pos="210"/>
              </w:tabs>
              <w:spacing w:line="320" w:lineRule="exact"/>
              <w:jc w:val="center"/>
              <w:rPr>
                <w:rFonts w:ascii="宋体" w:hAnsi="宋体" w:cs="Arial"/>
                <w:color w:val="auto"/>
                <w:kern w:val="0"/>
                <w:sz w:val="24"/>
              </w:rPr>
            </w:pPr>
          </w:p>
        </w:tc>
        <w:tc>
          <w:tcPr>
            <w:tcW w:w="2145" w:type="dxa"/>
            <w:vAlign w:val="center"/>
          </w:tcPr>
          <w:p w14:paraId="018F84EA">
            <w:pPr>
              <w:tabs>
                <w:tab w:val="left" w:pos="210"/>
              </w:tabs>
              <w:spacing w:line="320" w:lineRule="exact"/>
              <w:jc w:val="center"/>
              <w:rPr>
                <w:rFonts w:ascii="宋体" w:hAnsi="宋体" w:cs="Arial"/>
                <w:color w:val="auto"/>
                <w:kern w:val="0"/>
                <w:sz w:val="24"/>
              </w:rPr>
            </w:pPr>
            <w:r>
              <w:rPr>
                <w:rFonts w:hint="eastAsia" w:ascii="宋体" w:hAnsi="宋体" w:cs="Arial"/>
                <w:color w:val="auto"/>
                <w:kern w:val="0"/>
                <w:sz w:val="24"/>
              </w:rPr>
              <w:t>性别</w:t>
            </w:r>
          </w:p>
        </w:tc>
        <w:tc>
          <w:tcPr>
            <w:tcW w:w="2097" w:type="dxa"/>
            <w:vAlign w:val="center"/>
          </w:tcPr>
          <w:p w14:paraId="6DACD02E">
            <w:pPr>
              <w:tabs>
                <w:tab w:val="left" w:pos="210"/>
              </w:tabs>
              <w:spacing w:line="320" w:lineRule="exact"/>
              <w:jc w:val="center"/>
              <w:rPr>
                <w:rFonts w:ascii="宋体" w:hAnsi="宋体" w:cs="Arial"/>
                <w:color w:val="auto"/>
                <w:kern w:val="0"/>
                <w:sz w:val="24"/>
              </w:rPr>
            </w:pPr>
          </w:p>
        </w:tc>
      </w:tr>
      <w:tr w14:paraId="50B54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continue"/>
            <w:vAlign w:val="center"/>
          </w:tcPr>
          <w:p w14:paraId="2BDF471D">
            <w:pPr>
              <w:tabs>
                <w:tab w:val="left" w:pos="210"/>
              </w:tabs>
              <w:spacing w:line="320" w:lineRule="exact"/>
              <w:jc w:val="center"/>
              <w:rPr>
                <w:rFonts w:ascii="宋体" w:hAnsi="宋体" w:cs="Arial"/>
                <w:color w:val="auto"/>
                <w:kern w:val="0"/>
                <w:sz w:val="24"/>
              </w:rPr>
            </w:pPr>
          </w:p>
        </w:tc>
        <w:tc>
          <w:tcPr>
            <w:tcW w:w="2151" w:type="dxa"/>
            <w:vAlign w:val="center"/>
          </w:tcPr>
          <w:p w14:paraId="68DC38C5">
            <w:pPr>
              <w:tabs>
                <w:tab w:val="left" w:pos="210"/>
              </w:tabs>
              <w:spacing w:line="320" w:lineRule="exact"/>
              <w:jc w:val="center"/>
              <w:rPr>
                <w:rFonts w:ascii="宋体" w:hAnsi="宋体" w:cs="Arial"/>
                <w:color w:val="auto"/>
                <w:kern w:val="0"/>
                <w:sz w:val="24"/>
              </w:rPr>
            </w:pPr>
            <w:r>
              <w:rPr>
                <w:rFonts w:hint="eastAsia" w:ascii="宋体" w:hAnsi="宋体" w:cs="Arial"/>
                <w:color w:val="auto"/>
                <w:kern w:val="0"/>
                <w:sz w:val="24"/>
              </w:rPr>
              <w:t>职务</w:t>
            </w:r>
          </w:p>
        </w:tc>
        <w:tc>
          <w:tcPr>
            <w:tcW w:w="2329" w:type="dxa"/>
            <w:gridSpan w:val="2"/>
            <w:vAlign w:val="center"/>
          </w:tcPr>
          <w:p w14:paraId="6B1F20EA">
            <w:pPr>
              <w:tabs>
                <w:tab w:val="left" w:pos="210"/>
              </w:tabs>
              <w:spacing w:line="320" w:lineRule="exact"/>
              <w:jc w:val="center"/>
              <w:rPr>
                <w:rFonts w:ascii="宋体" w:hAnsi="宋体" w:cs="Arial"/>
                <w:color w:val="auto"/>
                <w:kern w:val="0"/>
                <w:sz w:val="24"/>
              </w:rPr>
            </w:pPr>
          </w:p>
        </w:tc>
        <w:tc>
          <w:tcPr>
            <w:tcW w:w="2145" w:type="dxa"/>
            <w:vAlign w:val="center"/>
          </w:tcPr>
          <w:p w14:paraId="26E99822">
            <w:pPr>
              <w:tabs>
                <w:tab w:val="left" w:pos="210"/>
              </w:tabs>
              <w:spacing w:line="320" w:lineRule="exact"/>
              <w:jc w:val="center"/>
              <w:rPr>
                <w:rFonts w:ascii="宋体" w:hAnsi="宋体" w:cs="Arial"/>
                <w:color w:val="auto"/>
                <w:kern w:val="0"/>
                <w:sz w:val="24"/>
              </w:rPr>
            </w:pPr>
            <w:r>
              <w:rPr>
                <w:rFonts w:hint="eastAsia" w:ascii="宋体" w:hAnsi="宋体" w:cs="Arial"/>
                <w:color w:val="auto"/>
                <w:kern w:val="0"/>
                <w:sz w:val="24"/>
              </w:rPr>
              <w:t>联系电话</w:t>
            </w:r>
          </w:p>
        </w:tc>
        <w:tc>
          <w:tcPr>
            <w:tcW w:w="2097" w:type="dxa"/>
            <w:vAlign w:val="center"/>
          </w:tcPr>
          <w:p w14:paraId="68925D4A">
            <w:pPr>
              <w:tabs>
                <w:tab w:val="left" w:pos="210"/>
              </w:tabs>
              <w:spacing w:line="320" w:lineRule="exact"/>
              <w:jc w:val="center"/>
              <w:rPr>
                <w:rFonts w:ascii="宋体" w:hAnsi="宋体" w:cs="Arial"/>
                <w:color w:val="auto"/>
                <w:kern w:val="0"/>
                <w:sz w:val="24"/>
              </w:rPr>
            </w:pPr>
          </w:p>
        </w:tc>
      </w:tr>
      <w:tr w14:paraId="29216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564" w:type="dxa"/>
            <w:vMerge w:val="continue"/>
            <w:vAlign w:val="center"/>
          </w:tcPr>
          <w:p w14:paraId="4107191E">
            <w:pPr>
              <w:tabs>
                <w:tab w:val="left" w:pos="210"/>
              </w:tabs>
              <w:spacing w:line="320" w:lineRule="exact"/>
              <w:jc w:val="center"/>
              <w:rPr>
                <w:rFonts w:ascii="宋体" w:hAnsi="宋体" w:cs="Arial"/>
                <w:color w:val="auto"/>
                <w:kern w:val="0"/>
                <w:sz w:val="24"/>
              </w:rPr>
            </w:pPr>
          </w:p>
        </w:tc>
        <w:tc>
          <w:tcPr>
            <w:tcW w:w="2151" w:type="dxa"/>
            <w:vAlign w:val="center"/>
          </w:tcPr>
          <w:p w14:paraId="2D243429">
            <w:pPr>
              <w:tabs>
                <w:tab w:val="left" w:pos="210"/>
              </w:tabs>
              <w:spacing w:line="320" w:lineRule="exact"/>
              <w:jc w:val="center"/>
              <w:rPr>
                <w:rFonts w:ascii="宋体" w:hAnsi="宋体" w:cs="Arial"/>
                <w:color w:val="auto"/>
                <w:kern w:val="0"/>
                <w:sz w:val="24"/>
              </w:rPr>
            </w:pPr>
            <w:r>
              <w:rPr>
                <w:rFonts w:hint="eastAsia" w:ascii="宋体" w:hAnsi="宋体" w:cs="Arial"/>
                <w:color w:val="auto"/>
                <w:kern w:val="0"/>
                <w:sz w:val="24"/>
              </w:rPr>
              <w:t>传真</w:t>
            </w:r>
          </w:p>
        </w:tc>
        <w:tc>
          <w:tcPr>
            <w:tcW w:w="6571" w:type="dxa"/>
            <w:gridSpan w:val="4"/>
            <w:vAlign w:val="center"/>
          </w:tcPr>
          <w:p w14:paraId="519A7298">
            <w:pPr>
              <w:tabs>
                <w:tab w:val="left" w:pos="210"/>
              </w:tabs>
              <w:spacing w:line="320" w:lineRule="exact"/>
              <w:jc w:val="center"/>
              <w:rPr>
                <w:rFonts w:ascii="宋体" w:hAnsi="宋体" w:cs="Arial"/>
                <w:color w:val="auto"/>
                <w:kern w:val="0"/>
                <w:sz w:val="24"/>
              </w:rPr>
            </w:pPr>
          </w:p>
        </w:tc>
      </w:tr>
      <w:tr w14:paraId="048C2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5" w:hRule="atLeast"/>
          <w:jc w:val="center"/>
        </w:trPr>
        <w:tc>
          <w:tcPr>
            <w:tcW w:w="564" w:type="dxa"/>
            <w:vMerge w:val="restart"/>
            <w:vAlign w:val="center"/>
          </w:tcPr>
          <w:p w14:paraId="78DBE9CE">
            <w:pPr>
              <w:tabs>
                <w:tab w:val="left" w:pos="210"/>
              </w:tabs>
              <w:spacing w:line="320" w:lineRule="exact"/>
              <w:jc w:val="center"/>
              <w:rPr>
                <w:rFonts w:ascii="宋体" w:hAnsi="宋体" w:cs="Arial"/>
                <w:color w:val="auto"/>
                <w:kern w:val="0"/>
                <w:sz w:val="24"/>
              </w:rPr>
            </w:pPr>
            <w:r>
              <w:rPr>
                <w:rFonts w:hint="eastAsia" w:ascii="宋体" w:hAnsi="宋体" w:cs="Arial"/>
                <w:color w:val="auto"/>
                <w:kern w:val="0"/>
                <w:sz w:val="24"/>
              </w:rPr>
              <w:t>法定代表人身份证复印件</w:t>
            </w:r>
          </w:p>
        </w:tc>
        <w:tc>
          <w:tcPr>
            <w:tcW w:w="4296" w:type="dxa"/>
            <w:gridSpan w:val="2"/>
            <w:vMerge w:val="restart"/>
            <w:vAlign w:val="center"/>
          </w:tcPr>
          <w:p w14:paraId="651DDD63">
            <w:pPr>
              <w:tabs>
                <w:tab w:val="left" w:pos="210"/>
              </w:tabs>
              <w:spacing w:line="320" w:lineRule="exact"/>
              <w:jc w:val="center"/>
              <w:rPr>
                <w:rFonts w:ascii="宋体" w:hAnsi="宋体" w:cs="Arial"/>
                <w:color w:val="auto"/>
                <w:kern w:val="0"/>
                <w:sz w:val="24"/>
              </w:rPr>
            </w:pPr>
            <w:r>
              <w:rPr>
                <w:rFonts w:hint="eastAsia" w:ascii="宋体" w:hAnsi="宋体" w:cs="Arial"/>
                <w:color w:val="auto"/>
                <w:kern w:val="0"/>
                <w:sz w:val="24"/>
              </w:rPr>
              <w:t>（粘贴处）</w:t>
            </w:r>
          </w:p>
        </w:tc>
        <w:tc>
          <w:tcPr>
            <w:tcW w:w="4426" w:type="dxa"/>
            <w:gridSpan w:val="3"/>
            <w:vAlign w:val="center"/>
          </w:tcPr>
          <w:p w14:paraId="622BBB9C">
            <w:pPr>
              <w:tabs>
                <w:tab w:val="left" w:pos="210"/>
              </w:tabs>
              <w:spacing w:line="320" w:lineRule="exact"/>
              <w:jc w:val="center"/>
              <w:rPr>
                <w:rFonts w:ascii="宋体" w:hAnsi="宋体" w:cs="Arial"/>
                <w:color w:val="auto"/>
                <w:kern w:val="0"/>
                <w:sz w:val="24"/>
              </w:rPr>
            </w:pPr>
            <w:r>
              <w:rPr>
                <w:rFonts w:hint="eastAsia" w:ascii="宋体" w:hAnsi="宋体" w:cs="Arial"/>
                <w:color w:val="auto"/>
                <w:kern w:val="0"/>
                <w:sz w:val="24"/>
              </w:rPr>
              <w:t>法定代表人签字或盖章</w:t>
            </w:r>
          </w:p>
        </w:tc>
      </w:tr>
      <w:tr w14:paraId="2CE88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4" w:hRule="atLeast"/>
          <w:jc w:val="center"/>
        </w:trPr>
        <w:tc>
          <w:tcPr>
            <w:tcW w:w="564" w:type="dxa"/>
            <w:vMerge w:val="continue"/>
            <w:vAlign w:val="center"/>
          </w:tcPr>
          <w:p w14:paraId="5C99695D">
            <w:pPr>
              <w:tabs>
                <w:tab w:val="left" w:pos="210"/>
              </w:tabs>
              <w:spacing w:line="320" w:lineRule="exact"/>
              <w:jc w:val="center"/>
              <w:rPr>
                <w:rFonts w:ascii="宋体" w:hAnsi="宋体" w:cs="Arial"/>
                <w:color w:val="auto"/>
                <w:kern w:val="0"/>
                <w:sz w:val="24"/>
              </w:rPr>
            </w:pPr>
          </w:p>
        </w:tc>
        <w:tc>
          <w:tcPr>
            <w:tcW w:w="4296" w:type="dxa"/>
            <w:gridSpan w:val="2"/>
            <w:vMerge w:val="continue"/>
            <w:vAlign w:val="center"/>
          </w:tcPr>
          <w:p w14:paraId="7BE987B3">
            <w:pPr>
              <w:tabs>
                <w:tab w:val="left" w:pos="210"/>
              </w:tabs>
              <w:spacing w:line="320" w:lineRule="exact"/>
              <w:jc w:val="center"/>
              <w:rPr>
                <w:rFonts w:ascii="宋体" w:hAnsi="宋体" w:cs="Arial"/>
                <w:color w:val="auto"/>
                <w:kern w:val="0"/>
                <w:sz w:val="24"/>
              </w:rPr>
            </w:pPr>
          </w:p>
        </w:tc>
        <w:tc>
          <w:tcPr>
            <w:tcW w:w="4426" w:type="dxa"/>
            <w:gridSpan w:val="3"/>
            <w:vAlign w:val="bottom"/>
          </w:tcPr>
          <w:p w14:paraId="1DF61EB8">
            <w:pPr>
              <w:tabs>
                <w:tab w:val="left" w:pos="210"/>
              </w:tabs>
              <w:spacing w:line="320" w:lineRule="exact"/>
              <w:jc w:val="center"/>
              <w:rPr>
                <w:rFonts w:ascii="宋体" w:hAnsi="宋体" w:cs="Arial"/>
                <w:color w:val="auto"/>
                <w:kern w:val="0"/>
                <w:sz w:val="24"/>
              </w:rPr>
            </w:pPr>
            <w:r>
              <w:rPr>
                <w:rFonts w:hint="eastAsia" w:ascii="宋体" w:hAnsi="宋体" w:cs="Arial"/>
                <w:color w:val="auto"/>
                <w:kern w:val="0"/>
                <w:sz w:val="24"/>
              </w:rPr>
              <w:t>（公章）</w:t>
            </w:r>
          </w:p>
          <w:p w14:paraId="5DFDC9C6">
            <w:pPr>
              <w:tabs>
                <w:tab w:val="left" w:pos="210"/>
              </w:tabs>
              <w:spacing w:line="320" w:lineRule="exact"/>
              <w:jc w:val="center"/>
              <w:rPr>
                <w:rFonts w:ascii="宋体" w:hAnsi="宋体" w:cs="Arial"/>
                <w:color w:val="auto"/>
                <w:kern w:val="0"/>
                <w:sz w:val="24"/>
              </w:rPr>
            </w:pPr>
          </w:p>
          <w:p w14:paraId="19CBC2BF">
            <w:pPr>
              <w:tabs>
                <w:tab w:val="left" w:pos="210"/>
              </w:tabs>
              <w:spacing w:line="320" w:lineRule="exact"/>
              <w:jc w:val="center"/>
              <w:rPr>
                <w:rFonts w:ascii="宋体" w:hAnsi="宋体" w:cs="Arial"/>
                <w:color w:val="auto"/>
                <w:kern w:val="0"/>
                <w:sz w:val="24"/>
              </w:rPr>
            </w:pPr>
          </w:p>
          <w:p w14:paraId="2C7D1E8F">
            <w:pPr>
              <w:tabs>
                <w:tab w:val="left" w:pos="210"/>
              </w:tabs>
              <w:spacing w:line="320" w:lineRule="exact"/>
              <w:jc w:val="center"/>
              <w:rPr>
                <w:rFonts w:ascii="宋体" w:hAnsi="宋体" w:cs="Arial"/>
                <w:color w:val="auto"/>
                <w:kern w:val="0"/>
                <w:sz w:val="24"/>
              </w:rPr>
            </w:pPr>
          </w:p>
          <w:p w14:paraId="4E7EF5F1">
            <w:pPr>
              <w:tabs>
                <w:tab w:val="left" w:pos="210"/>
              </w:tabs>
              <w:spacing w:line="320" w:lineRule="exact"/>
              <w:jc w:val="right"/>
              <w:rPr>
                <w:rFonts w:ascii="宋体" w:hAnsi="宋体" w:cs="Arial"/>
                <w:color w:val="auto"/>
                <w:kern w:val="0"/>
                <w:sz w:val="24"/>
              </w:rPr>
            </w:pPr>
            <w:r>
              <w:rPr>
                <w:rFonts w:hint="eastAsia" w:ascii="宋体" w:hAnsi="宋体" w:cs="Arial"/>
                <w:color w:val="auto"/>
                <w:kern w:val="0"/>
                <w:sz w:val="24"/>
              </w:rPr>
              <w:t xml:space="preserve">年  月  日 </w:t>
            </w:r>
          </w:p>
        </w:tc>
      </w:tr>
    </w:tbl>
    <w:p w14:paraId="3BF2FFE5">
      <w:pPr>
        <w:tabs>
          <w:tab w:val="left" w:pos="210"/>
        </w:tabs>
        <w:spacing w:line="320" w:lineRule="exact"/>
        <w:jc w:val="center"/>
        <w:rPr>
          <w:rFonts w:ascii="宋体" w:hAnsi="宋体" w:cs="Arial"/>
          <w:b/>
          <w:color w:val="auto"/>
          <w:kern w:val="0"/>
          <w:sz w:val="32"/>
          <w:szCs w:val="32"/>
        </w:rPr>
      </w:pPr>
      <w:r>
        <w:rPr>
          <w:rFonts w:hint="eastAsia" w:ascii="宋体" w:hAnsi="宋体" w:cs="Arial"/>
          <w:b/>
          <w:color w:val="auto"/>
          <w:kern w:val="0"/>
          <w:sz w:val="28"/>
          <w:szCs w:val="28"/>
        </w:rPr>
        <w:t>（法定代表人直接投标，只须提供法定代表人证明书及身份证原件）</w:t>
      </w:r>
      <w:r>
        <w:rPr>
          <w:rFonts w:ascii="宋体" w:hAnsi="宋体" w:cs="Arial"/>
          <w:b/>
          <w:color w:val="auto"/>
          <w:kern w:val="0"/>
          <w:sz w:val="32"/>
          <w:szCs w:val="32"/>
        </w:rPr>
        <w:br w:type="page"/>
      </w:r>
      <w:r>
        <w:rPr>
          <w:rFonts w:hint="eastAsia" w:ascii="宋体" w:hAnsi="宋体" w:cs="Arial"/>
          <w:b/>
          <w:color w:val="auto"/>
          <w:kern w:val="0"/>
          <w:sz w:val="32"/>
          <w:szCs w:val="32"/>
        </w:rPr>
        <w:t>法定代表人授权书</w:t>
      </w:r>
    </w:p>
    <w:p w14:paraId="0E0BBC48">
      <w:pPr>
        <w:pStyle w:val="15"/>
        <w:spacing w:line="500" w:lineRule="exact"/>
        <w:rPr>
          <w:rFonts w:hAnsi="宋体"/>
          <w:b/>
          <w:bCs/>
          <w:color w:val="auto"/>
          <w:sz w:val="24"/>
          <w:szCs w:val="24"/>
        </w:rPr>
      </w:pPr>
      <w:r>
        <w:rPr>
          <w:rFonts w:hint="eastAsia" w:hAnsi="宋体"/>
          <w:b/>
          <w:color w:val="auto"/>
          <w:sz w:val="24"/>
          <w:szCs w:val="24"/>
        </w:rPr>
        <w:t>陕西国创招标有限公司</w:t>
      </w:r>
      <w:r>
        <w:rPr>
          <w:rFonts w:hint="eastAsia" w:hAnsi="宋体"/>
          <w:color w:val="auto"/>
          <w:sz w:val="24"/>
          <w:szCs w:val="24"/>
        </w:rPr>
        <w:t>：</w:t>
      </w:r>
    </w:p>
    <w:p w14:paraId="37F7170C">
      <w:pPr>
        <w:pStyle w:val="15"/>
        <w:spacing w:line="500" w:lineRule="exact"/>
        <w:ind w:firstLine="420"/>
        <w:rPr>
          <w:rFonts w:hAnsi="宋体"/>
          <w:color w:val="auto"/>
          <w:sz w:val="24"/>
          <w:szCs w:val="24"/>
        </w:rPr>
      </w:pPr>
      <w:r>
        <w:rPr>
          <w:rFonts w:hint="eastAsia" w:hAnsi="宋体"/>
          <w:color w:val="auto"/>
          <w:sz w:val="24"/>
          <w:szCs w:val="24"/>
        </w:rPr>
        <w:t>本授权书声明：注册于（</w:t>
      </w:r>
      <w:r>
        <w:rPr>
          <w:rFonts w:hint="eastAsia" w:hAnsi="宋体"/>
          <w:color w:val="auto"/>
          <w:sz w:val="24"/>
          <w:szCs w:val="24"/>
          <w:u w:val="single"/>
        </w:rPr>
        <w:t xml:space="preserve"> 工商行政管理局名称）之（委托单位全称） </w:t>
      </w:r>
      <w:r>
        <w:rPr>
          <w:rFonts w:hint="eastAsia" w:hAnsi="宋体"/>
          <w:color w:val="auto"/>
          <w:sz w:val="24"/>
          <w:szCs w:val="24"/>
        </w:rPr>
        <w:t>的法定代表人</w:t>
      </w:r>
      <w:r>
        <w:rPr>
          <w:rFonts w:hint="eastAsia" w:hAnsi="宋体"/>
          <w:color w:val="auto"/>
          <w:sz w:val="24"/>
          <w:szCs w:val="24"/>
          <w:u w:val="single"/>
        </w:rPr>
        <w:t>（姓名、性别、职务）</w:t>
      </w:r>
      <w:r>
        <w:rPr>
          <w:rFonts w:hint="eastAsia" w:hAnsi="宋体"/>
          <w:color w:val="auto"/>
          <w:sz w:val="24"/>
          <w:szCs w:val="24"/>
        </w:rPr>
        <w:t>授权本公司的</w:t>
      </w:r>
      <w:r>
        <w:rPr>
          <w:rFonts w:hint="eastAsia" w:hAnsi="宋体"/>
          <w:color w:val="auto"/>
          <w:sz w:val="24"/>
          <w:szCs w:val="24"/>
          <w:u w:val="single"/>
        </w:rPr>
        <w:t>（被授权人姓名、性别、职务、身份证号）</w:t>
      </w:r>
      <w:r>
        <w:rPr>
          <w:rFonts w:hint="eastAsia" w:hAnsi="宋体"/>
          <w:color w:val="auto"/>
          <w:sz w:val="24"/>
          <w:szCs w:val="24"/>
        </w:rPr>
        <w:t>为合法代理人，就贵方组织的有关</w:t>
      </w:r>
      <w:r>
        <w:rPr>
          <w:rFonts w:hint="eastAsia" w:hAnsi="宋体"/>
          <w:color w:val="auto"/>
          <w:sz w:val="24"/>
          <w:szCs w:val="24"/>
          <w:u w:val="single"/>
        </w:rPr>
        <w:t>（项目名称）</w:t>
      </w:r>
      <w:r>
        <w:rPr>
          <w:rFonts w:hint="eastAsia" w:hAnsi="宋体"/>
          <w:color w:val="auto"/>
          <w:sz w:val="24"/>
          <w:szCs w:val="24"/>
        </w:rPr>
        <w:t>（项目编号：</w:t>
      </w:r>
      <w:r>
        <w:rPr>
          <w:rFonts w:hint="eastAsia" w:hAnsi="宋体"/>
          <w:color w:val="auto"/>
          <w:sz w:val="24"/>
          <w:szCs w:val="24"/>
          <w:u w:val="single"/>
        </w:rPr>
        <w:t xml:space="preserve">                 </w:t>
      </w:r>
      <w:r>
        <w:rPr>
          <w:rFonts w:hint="eastAsia" w:hAnsi="宋体"/>
          <w:color w:val="auto"/>
          <w:sz w:val="24"/>
          <w:szCs w:val="24"/>
        </w:rPr>
        <w:t>）的</w:t>
      </w:r>
      <w:r>
        <w:rPr>
          <w:rFonts w:hint="eastAsia" w:hAnsi="宋体"/>
          <w:color w:val="auto"/>
          <w:sz w:val="24"/>
        </w:rPr>
        <w:t>磋商</w:t>
      </w:r>
      <w:r>
        <w:rPr>
          <w:rFonts w:hint="eastAsia" w:hAnsi="宋体"/>
          <w:color w:val="auto"/>
          <w:sz w:val="24"/>
          <w:szCs w:val="24"/>
        </w:rPr>
        <w:t>、洽谈、执行等具体事务，签署全部有关文件、文书、协议、合同，本公司对被授权人在本项目中的签名承担全部法律责任。本授权书自</w:t>
      </w:r>
      <w:r>
        <w:rPr>
          <w:rFonts w:hint="eastAsia" w:hAnsi="宋体"/>
          <w:color w:val="auto"/>
          <w:sz w:val="24"/>
        </w:rPr>
        <w:t>磋商</w:t>
      </w:r>
      <w:r>
        <w:rPr>
          <w:rFonts w:hint="eastAsia" w:hAnsi="宋体"/>
          <w:color w:val="auto"/>
          <w:sz w:val="24"/>
          <w:szCs w:val="24"/>
        </w:rPr>
        <w:t>大会之日起计算有效期为</w:t>
      </w:r>
      <w:r>
        <w:rPr>
          <w:rFonts w:hint="eastAsia" w:hAnsi="宋体"/>
          <w:color w:val="auto"/>
          <w:sz w:val="24"/>
          <w:szCs w:val="24"/>
          <w:u w:val="single"/>
        </w:rPr>
        <w:t xml:space="preserve"> 90 </w:t>
      </w:r>
      <w:r>
        <w:rPr>
          <w:rFonts w:hint="eastAsia" w:hAnsi="宋体"/>
          <w:color w:val="auto"/>
          <w:sz w:val="24"/>
          <w:szCs w:val="24"/>
        </w:rPr>
        <w:t>天。</w:t>
      </w:r>
    </w:p>
    <w:p w14:paraId="3B14907C">
      <w:pPr>
        <w:pStyle w:val="15"/>
        <w:spacing w:line="500" w:lineRule="exact"/>
        <w:ind w:firstLine="480" w:firstLineChars="200"/>
        <w:rPr>
          <w:rFonts w:hAnsi="宋体"/>
          <w:color w:val="auto"/>
          <w:sz w:val="24"/>
          <w:szCs w:val="24"/>
        </w:rPr>
      </w:pPr>
      <w:r>
        <w:rPr>
          <w:rFonts w:hint="eastAsia" w:hAnsi="宋体"/>
          <w:color w:val="auto"/>
          <w:sz w:val="24"/>
          <w:szCs w:val="24"/>
        </w:rPr>
        <w:t>委托单位：    （公章）                  法定代表人（签字或盖章）：</w:t>
      </w:r>
    </w:p>
    <w:p w14:paraId="56700D45">
      <w:pPr>
        <w:pStyle w:val="15"/>
        <w:spacing w:line="500" w:lineRule="exact"/>
        <w:ind w:firstLine="480" w:firstLineChars="200"/>
        <w:rPr>
          <w:rFonts w:hAnsi="宋体"/>
          <w:color w:val="auto"/>
          <w:sz w:val="24"/>
          <w:szCs w:val="24"/>
        </w:rPr>
      </w:pPr>
      <w:r>
        <w:rPr>
          <w:rFonts w:hint="eastAsia" w:hAnsi="宋体"/>
          <w:color w:val="auto"/>
          <w:sz w:val="24"/>
          <w:szCs w:val="24"/>
        </w:rPr>
        <w:t>签发日期：</w:t>
      </w:r>
      <w:r>
        <w:rPr>
          <w:rFonts w:hint="eastAsia" w:hAnsi="宋体"/>
          <w:color w:val="auto"/>
          <w:sz w:val="24"/>
          <w:szCs w:val="24"/>
          <w:u w:val="single"/>
        </w:rPr>
        <w:t xml:space="preserve">     </w:t>
      </w:r>
      <w:r>
        <w:rPr>
          <w:rFonts w:hint="eastAsia" w:hAnsi="宋体"/>
          <w:color w:val="auto"/>
          <w:sz w:val="24"/>
          <w:szCs w:val="24"/>
        </w:rPr>
        <w:t>年</w:t>
      </w:r>
      <w:r>
        <w:rPr>
          <w:rFonts w:hint="eastAsia" w:hAnsi="宋体"/>
          <w:color w:val="auto"/>
          <w:sz w:val="24"/>
          <w:szCs w:val="24"/>
          <w:u w:val="single"/>
        </w:rPr>
        <w:t xml:space="preserve">    </w:t>
      </w:r>
      <w:r>
        <w:rPr>
          <w:rFonts w:hint="eastAsia" w:hAnsi="宋体"/>
          <w:color w:val="auto"/>
          <w:sz w:val="24"/>
          <w:szCs w:val="24"/>
        </w:rPr>
        <w:t>月</w:t>
      </w:r>
      <w:r>
        <w:rPr>
          <w:rFonts w:hint="eastAsia" w:hAnsi="宋体"/>
          <w:color w:val="auto"/>
          <w:sz w:val="24"/>
          <w:szCs w:val="24"/>
          <w:u w:val="single"/>
        </w:rPr>
        <w:t xml:space="preserve">    </w:t>
      </w:r>
      <w:r>
        <w:rPr>
          <w:rFonts w:hint="eastAsia" w:hAnsi="宋体"/>
          <w:color w:val="auto"/>
          <w:sz w:val="24"/>
          <w:szCs w:val="24"/>
        </w:rPr>
        <w:t>日</w:t>
      </w:r>
    </w:p>
    <w:p w14:paraId="2904C91A">
      <w:pPr>
        <w:pStyle w:val="15"/>
        <w:spacing w:line="500" w:lineRule="exact"/>
        <w:ind w:firstLine="480" w:firstLineChars="200"/>
        <w:rPr>
          <w:rFonts w:hAnsi="宋体"/>
          <w:color w:val="auto"/>
          <w:sz w:val="24"/>
          <w:szCs w:val="24"/>
        </w:rPr>
      </w:pPr>
      <w:r>
        <w:rPr>
          <w:rFonts w:hint="eastAsia" w:hAnsi="宋体"/>
          <w:color w:val="auto"/>
          <w:sz w:val="24"/>
          <w:szCs w:val="24"/>
        </w:rPr>
        <w:t>附：被授权人姓名：</w:t>
      </w:r>
      <w:r>
        <w:rPr>
          <w:rFonts w:hint="eastAsia" w:hAnsi="宋体"/>
          <w:color w:val="auto"/>
          <w:sz w:val="24"/>
          <w:szCs w:val="24"/>
          <w:u w:val="single"/>
        </w:rPr>
        <w:t xml:space="preserve">              </w:t>
      </w:r>
      <w:r>
        <w:rPr>
          <w:rFonts w:hint="eastAsia" w:hAnsi="宋体"/>
          <w:color w:val="auto"/>
          <w:sz w:val="24"/>
          <w:szCs w:val="24"/>
        </w:rPr>
        <w:t>性别：</w:t>
      </w:r>
      <w:r>
        <w:rPr>
          <w:rFonts w:hint="eastAsia" w:hAnsi="宋体"/>
          <w:color w:val="auto"/>
          <w:sz w:val="24"/>
          <w:szCs w:val="24"/>
          <w:u w:val="single"/>
        </w:rPr>
        <w:t xml:space="preserve">       </w:t>
      </w:r>
      <w:r>
        <w:rPr>
          <w:rFonts w:hint="eastAsia" w:hAnsi="宋体"/>
          <w:color w:val="auto"/>
          <w:sz w:val="24"/>
          <w:szCs w:val="24"/>
        </w:rPr>
        <w:t>职务：</w:t>
      </w:r>
      <w:r>
        <w:rPr>
          <w:rFonts w:hint="eastAsia" w:hAnsi="宋体"/>
          <w:color w:val="auto"/>
          <w:sz w:val="24"/>
          <w:szCs w:val="24"/>
          <w:u w:val="single"/>
        </w:rPr>
        <w:t xml:space="preserve">             </w:t>
      </w:r>
    </w:p>
    <w:p w14:paraId="01569465">
      <w:pPr>
        <w:pStyle w:val="15"/>
        <w:spacing w:line="500" w:lineRule="exact"/>
        <w:ind w:firstLine="960" w:firstLineChars="400"/>
        <w:rPr>
          <w:rFonts w:hAnsi="宋体"/>
          <w:color w:val="auto"/>
          <w:sz w:val="24"/>
          <w:szCs w:val="24"/>
          <w:u w:val="single"/>
        </w:rPr>
      </w:pPr>
      <w:r>
        <w:rPr>
          <w:rFonts w:hint="eastAsia" w:hAnsi="宋体"/>
          <w:color w:val="auto"/>
          <w:sz w:val="24"/>
          <w:szCs w:val="24"/>
        </w:rPr>
        <w:t xml:space="preserve">联系地址：  </w:t>
      </w:r>
      <w:r>
        <w:rPr>
          <w:rFonts w:hint="eastAsia" w:hAnsi="宋体"/>
          <w:color w:val="auto"/>
          <w:sz w:val="24"/>
          <w:szCs w:val="24"/>
          <w:u w:val="single"/>
        </w:rPr>
        <w:t xml:space="preserve">                                                </w:t>
      </w:r>
    </w:p>
    <w:p w14:paraId="0D2FBBF1">
      <w:pPr>
        <w:pStyle w:val="15"/>
        <w:spacing w:line="500" w:lineRule="exact"/>
        <w:ind w:firstLine="960" w:firstLineChars="400"/>
        <w:rPr>
          <w:rFonts w:hAnsi="宋体"/>
          <w:color w:val="auto"/>
          <w:sz w:val="24"/>
          <w:szCs w:val="24"/>
          <w:u w:val="single"/>
        </w:rPr>
      </w:pPr>
      <w:r>
        <w:rPr>
          <w:rFonts w:hint="eastAsia" w:hAnsi="宋体"/>
          <w:color w:val="auto"/>
          <w:sz w:val="24"/>
          <w:szCs w:val="24"/>
        </w:rPr>
        <w:t>联系电话：</w:t>
      </w:r>
      <w:r>
        <w:rPr>
          <w:rFonts w:hint="eastAsia" w:hAnsi="宋体"/>
          <w:color w:val="auto"/>
          <w:sz w:val="24"/>
          <w:szCs w:val="24"/>
          <w:u w:val="single"/>
        </w:rPr>
        <w:t xml:space="preserve">                  </w:t>
      </w:r>
      <w:r>
        <w:rPr>
          <w:rFonts w:hint="eastAsia" w:hAnsi="宋体"/>
          <w:color w:val="auto"/>
          <w:sz w:val="24"/>
          <w:szCs w:val="24"/>
        </w:rPr>
        <w:t>传真：</w:t>
      </w:r>
      <w:r>
        <w:rPr>
          <w:rFonts w:hint="eastAsia" w:hAnsi="宋体"/>
          <w:color w:val="auto"/>
          <w:sz w:val="24"/>
          <w:szCs w:val="24"/>
          <w:u w:val="single"/>
        </w:rPr>
        <w:t xml:space="preserve">                          </w:t>
      </w:r>
    </w:p>
    <w:p w14:paraId="6652790E">
      <w:pPr>
        <w:pStyle w:val="15"/>
        <w:spacing w:line="500" w:lineRule="exact"/>
        <w:ind w:firstLine="2760" w:firstLineChars="1150"/>
        <w:rPr>
          <w:rFonts w:hAnsi="宋体"/>
          <w:color w:val="auto"/>
          <w:sz w:val="24"/>
          <w:szCs w:val="24"/>
        </w:rPr>
      </w:pPr>
      <w:r>
        <w:rPr>
          <w:rFonts w:hint="eastAsia" w:hAnsi="宋体"/>
          <w:color w:val="auto"/>
          <w:sz w:val="24"/>
          <w:szCs w:val="24"/>
        </w:rPr>
        <w:t>法定代表人及被授权人身份证复印件</w:t>
      </w:r>
    </w:p>
    <w:tbl>
      <w:tblPr>
        <w:tblStyle w:val="28"/>
        <w:tblW w:w="83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193"/>
        <w:gridCol w:w="4193"/>
      </w:tblGrid>
      <w:tr w14:paraId="748DF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193" w:type="dxa"/>
            <w:shd w:val="clear" w:color="auto" w:fill="E0E0E0"/>
            <w:vAlign w:val="center"/>
          </w:tcPr>
          <w:p w14:paraId="7C694C0C">
            <w:pPr>
              <w:pStyle w:val="15"/>
              <w:spacing w:line="500" w:lineRule="exact"/>
              <w:jc w:val="center"/>
              <w:rPr>
                <w:rFonts w:hAnsi="宋体"/>
                <w:color w:val="auto"/>
                <w:sz w:val="24"/>
                <w:szCs w:val="24"/>
                <w:shd w:val="pct10" w:color="auto" w:fill="FFFFFF"/>
              </w:rPr>
            </w:pPr>
            <w:r>
              <w:rPr>
                <w:rFonts w:hint="eastAsia" w:hAnsi="宋体"/>
                <w:color w:val="auto"/>
                <w:sz w:val="24"/>
                <w:szCs w:val="24"/>
                <w:shd w:val="pct10" w:color="auto" w:fill="FFFFFF"/>
              </w:rPr>
              <w:t>法定代表人身份证复印件</w:t>
            </w:r>
          </w:p>
        </w:tc>
        <w:tc>
          <w:tcPr>
            <w:tcW w:w="4193" w:type="dxa"/>
            <w:shd w:val="clear" w:color="auto" w:fill="E0E0E0"/>
            <w:vAlign w:val="center"/>
          </w:tcPr>
          <w:p w14:paraId="0ABB4E87">
            <w:pPr>
              <w:pStyle w:val="15"/>
              <w:spacing w:line="500" w:lineRule="exact"/>
              <w:jc w:val="center"/>
              <w:rPr>
                <w:rFonts w:hAnsi="宋体"/>
                <w:color w:val="auto"/>
                <w:sz w:val="24"/>
                <w:szCs w:val="24"/>
                <w:shd w:val="pct10" w:color="auto" w:fill="FFFFFF"/>
              </w:rPr>
            </w:pPr>
            <w:r>
              <w:rPr>
                <w:rFonts w:hint="eastAsia" w:hAnsi="宋体"/>
                <w:color w:val="auto"/>
                <w:sz w:val="24"/>
                <w:szCs w:val="24"/>
                <w:shd w:val="pct10" w:color="auto" w:fill="FFFFFF"/>
              </w:rPr>
              <w:t>被授权人身份证复印件</w:t>
            </w:r>
          </w:p>
        </w:tc>
      </w:tr>
      <w:tr w14:paraId="203DB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792" w:hRule="atLeast"/>
          <w:jc w:val="center"/>
        </w:trPr>
        <w:tc>
          <w:tcPr>
            <w:tcW w:w="4193" w:type="dxa"/>
            <w:shd w:val="clear" w:color="auto" w:fill="E0E0E0"/>
            <w:vAlign w:val="center"/>
          </w:tcPr>
          <w:p w14:paraId="7317831C">
            <w:pPr>
              <w:pStyle w:val="15"/>
              <w:spacing w:line="500" w:lineRule="exact"/>
              <w:jc w:val="center"/>
              <w:rPr>
                <w:rFonts w:hAnsi="宋体"/>
                <w:color w:val="auto"/>
                <w:sz w:val="24"/>
                <w:szCs w:val="24"/>
                <w:shd w:val="pct10" w:color="auto" w:fill="FFFFFF"/>
              </w:rPr>
            </w:pPr>
            <w:r>
              <w:rPr>
                <w:rFonts w:hint="eastAsia" w:hAnsi="宋体"/>
                <w:color w:val="auto"/>
                <w:sz w:val="24"/>
                <w:szCs w:val="24"/>
                <w:shd w:val="pct10" w:color="auto" w:fill="FFFFFF"/>
              </w:rPr>
              <w:t>法定代表人身份证复印件</w:t>
            </w:r>
          </w:p>
        </w:tc>
        <w:tc>
          <w:tcPr>
            <w:tcW w:w="4193" w:type="dxa"/>
            <w:shd w:val="clear" w:color="auto" w:fill="E0E0E0"/>
            <w:vAlign w:val="center"/>
          </w:tcPr>
          <w:p w14:paraId="6AAB496C">
            <w:pPr>
              <w:pStyle w:val="15"/>
              <w:spacing w:line="500" w:lineRule="exact"/>
              <w:jc w:val="center"/>
              <w:rPr>
                <w:rFonts w:hAnsi="宋体"/>
                <w:color w:val="auto"/>
                <w:sz w:val="24"/>
                <w:szCs w:val="24"/>
                <w:shd w:val="pct10" w:color="auto" w:fill="FFFFFF"/>
              </w:rPr>
            </w:pPr>
            <w:r>
              <w:rPr>
                <w:rFonts w:hint="eastAsia" w:hAnsi="宋体"/>
                <w:color w:val="auto"/>
                <w:sz w:val="24"/>
                <w:szCs w:val="24"/>
                <w:shd w:val="pct10" w:color="auto" w:fill="FFFFFF"/>
              </w:rPr>
              <w:t>被授权人身份证复印件</w:t>
            </w:r>
          </w:p>
        </w:tc>
      </w:tr>
    </w:tbl>
    <w:p w14:paraId="1AA3975C">
      <w:pPr>
        <w:pStyle w:val="15"/>
        <w:spacing w:line="500" w:lineRule="exact"/>
        <w:ind w:firstLine="480" w:firstLineChars="200"/>
        <w:rPr>
          <w:rFonts w:hAnsi="宋体"/>
          <w:color w:val="auto"/>
          <w:sz w:val="24"/>
          <w:szCs w:val="24"/>
        </w:rPr>
      </w:pPr>
      <w:r>
        <w:rPr>
          <w:rFonts w:hint="eastAsia" w:hAnsi="宋体"/>
          <w:color w:val="auto"/>
          <w:sz w:val="24"/>
          <w:szCs w:val="24"/>
        </w:rPr>
        <w:t>说明：</w:t>
      </w:r>
    </w:p>
    <w:p w14:paraId="0D8BA8D0">
      <w:pPr>
        <w:pStyle w:val="15"/>
        <w:spacing w:line="440" w:lineRule="exact"/>
        <w:ind w:firstLine="480" w:firstLineChars="200"/>
        <w:rPr>
          <w:rFonts w:hAnsi="宋体"/>
          <w:color w:val="auto"/>
          <w:sz w:val="24"/>
          <w:szCs w:val="24"/>
        </w:rPr>
      </w:pPr>
      <w:r>
        <w:rPr>
          <w:rFonts w:hint="eastAsia" w:hAnsi="宋体"/>
          <w:color w:val="auto"/>
          <w:sz w:val="24"/>
          <w:szCs w:val="24"/>
        </w:rPr>
        <w:t>1．本授权书有效期自</w:t>
      </w:r>
      <w:r>
        <w:rPr>
          <w:rFonts w:hint="eastAsia" w:hAnsi="宋体"/>
          <w:color w:val="auto"/>
          <w:sz w:val="24"/>
        </w:rPr>
        <w:t>磋商</w:t>
      </w:r>
      <w:r>
        <w:rPr>
          <w:rFonts w:hint="eastAsia" w:hAnsi="宋体"/>
          <w:color w:val="auto"/>
          <w:sz w:val="24"/>
          <w:szCs w:val="24"/>
        </w:rPr>
        <w:t>大会之日计算不得少于九十天。</w:t>
      </w:r>
    </w:p>
    <w:p w14:paraId="13AF0B73">
      <w:pPr>
        <w:pStyle w:val="15"/>
        <w:spacing w:line="440" w:lineRule="exact"/>
        <w:ind w:firstLine="480" w:firstLineChars="200"/>
        <w:rPr>
          <w:rFonts w:hAnsi="宋体"/>
          <w:color w:val="auto"/>
          <w:sz w:val="24"/>
          <w:szCs w:val="24"/>
        </w:rPr>
      </w:pPr>
      <w:r>
        <w:rPr>
          <w:rFonts w:hint="eastAsia" w:hAnsi="宋体"/>
          <w:color w:val="auto"/>
          <w:sz w:val="24"/>
          <w:szCs w:val="24"/>
        </w:rPr>
        <w:t>2．授权书内容填写要明确，文字要工整清楚，涂改无效。</w:t>
      </w:r>
    </w:p>
    <w:p w14:paraId="61311EAA">
      <w:pPr>
        <w:spacing w:line="360" w:lineRule="atLeast"/>
        <w:jc w:val="center"/>
        <w:rPr>
          <w:rFonts w:ascii="宋体" w:hAnsi="宋体"/>
          <w:b/>
          <w:color w:val="auto"/>
          <w:sz w:val="32"/>
          <w:szCs w:val="32"/>
        </w:rPr>
      </w:pPr>
    </w:p>
    <w:p w14:paraId="49472C53">
      <w:pPr>
        <w:spacing w:line="360" w:lineRule="atLeast"/>
        <w:jc w:val="center"/>
        <w:rPr>
          <w:rFonts w:ascii="宋体" w:hAnsi="宋体"/>
          <w:b/>
          <w:color w:val="auto"/>
          <w:sz w:val="32"/>
          <w:szCs w:val="32"/>
        </w:rPr>
      </w:pPr>
      <w:r>
        <w:rPr>
          <w:rFonts w:hint="eastAsia" w:ascii="宋体" w:hAnsi="宋体"/>
          <w:b/>
          <w:color w:val="auto"/>
          <w:sz w:val="32"/>
          <w:szCs w:val="32"/>
        </w:rPr>
        <w:t>第四部分  供应商资质证明文件</w:t>
      </w:r>
    </w:p>
    <w:p w14:paraId="210A5602">
      <w:pPr>
        <w:spacing w:line="440" w:lineRule="exact"/>
        <w:ind w:firstLine="480" w:firstLineChars="200"/>
        <w:rPr>
          <w:rFonts w:ascii="宋体" w:hAnsi="宋体"/>
          <w:color w:val="auto"/>
          <w:sz w:val="24"/>
        </w:rPr>
      </w:pPr>
      <w:r>
        <w:rPr>
          <w:rFonts w:hint="eastAsia" w:ascii="宋体" w:hAnsi="宋体"/>
          <w:color w:val="auto"/>
          <w:sz w:val="24"/>
        </w:rPr>
        <w:t>1、具有独立承担民事责任能力的法人、其他组织或自然人，并出具合法有效的营业执照或事业单位法人证书等国家规定的相关证明，自然人参与的提供其身份证明；</w:t>
      </w:r>
    </w:p>
    <w:p w14:paraId="280B7F8A">
      <w:pPr>
        <w:spacing w:line="440" w:lineRule="exact"/>
        <w:ind w:firstLine="480" w:firstLineChars="200"/>
        <w:rPr>
          <w:rFonts w:ascii="宋体" w:hAnsi="宋体"/>
          <w:color w:val="auto"/>
          <w:sz w:val="24"/>
        </w:rPr>
      </w:pPr>
      <w:r>
        <w:rPr>
          <w:rFonts w:hint="eastAsia" w:ascii="宋体" w:hAnsi="宋体"/>
          <w:color w:val="auto"/>
          <w:sz w:val="24"/>
        </w:rPr>
        <w:t>2、财务状况报告：提供注册会计师行业统一监管平台(网址http://acc.mof.gov.cn)赋码可查询的2025年度审计报告，或提交投标文件截止时间前六个月内其基本账户开户银行出具的资信证明（提供银行出具的资信证明的需同时提供开户许可证或基本银行账户信息复印件加盖公章）；其他组织和自然人提供银行出具的资信证明或财务报表；</w:t>
      </w:r>
    </w:p>
    <w:p w14:paraId="67EC3A57">
      <w:pPr>
        <w:spacing w:line="520" w:lineRule="exact"/>
        <w:ind w:firstLine="480" w:firstLineChars="200"/>
        <w:rPr>
          <w:rFonts w:ascii="宋体" w:hAnsi="宋体" w:cs="宋体"/>
          <w:color w:val="auto"/>
          <w:sz w:val="24"/>
        </w:rPr>
      </w:pPr>
      <w:r>
        <w:rPr>
          <w:rFonts w:hint="eastAsia" w:ascii="宋体" w:hAnsi="宋体" w:cs="宋体"/>
          <w:color w:val="auto"/>
          <w:sz w:val="24"/>
        </w:rPr>
        <w:t>3、税收缴纳证明：提供响应文件递交截止日前一年内已缴存的至少一个月的纳税证明或完税证明。依法免税的投标人应提供相关文件证明；</w:t>
      </w:r>
    </w:p>
    <w:p w14:paraId="414C1CCD">
      <w:pPr>
        <w:spacing w:line="520" w:lineRule="exact"/>
        <w:ind w:firstLine="480" w:firstLineChars="200"/>
        <w:rPr>
          <w:rFonts w:ascii="宋体" w:hAnsi="宋体" w:cs="宋体"/>
          <w:color w:val="auto"/>
          <w:sz w:val="24"/>
        </w:rPr>
      </w:pPr>
      <w:r>
        <w:rPr>
          <w:rFonts w:hint="eastAsia" w:ascii="宋体" w:hAnsi="宋体" w:cs="宋体"/>
          <w:color w:val="auto"/>
          <w:sz w:val="24"/>
        </w:rPr>
        <w:t>4、社会保障资金缴纳证明：提供响应文件递交截止日前一年内已缴存的至少一个月的社会保障资金缴存单据或社保机构开具的社会保险参保缴费情况证明，依法不需要缴纳社会保障资金的单位应提供相关证明材料；</w:t>
      </w:r>
    </w:p>
    <w:p w14:paraId="5C0F0A9B">
      <w:pPr>
        <w:spacing w:line="520" w:lineRule="exact"/>
        <w:ind w:firstLine="480" w:firstLineChars="200"/>
        <w:rPr>
          <w:rFonts w:ascii="宋体" w:hAnsi="宋体" w:cs="宋体"/>
          <w:color w:val="auto"/>
          <w:sz w:val="24"/>
        </w:rPr>
      </w:pPr>
      <w:r>
        <w:rPr>
          <w:rFonts w:hint="eastAsia" w:ascii="宋体" w:hAnsi="宋体" w:cs="宋体"/>
          <w:color w:val="auto"/>
          <w:sz w:val="24"/>
        </w:rPr>
        <w:t>5、书面声明：参加本次采购活动前三年内在经营活动中没有重大违纪，以及未被列入失信被执行人、重大税收违法案件当事人名单、政府采购严重违法失信行为记录名单的书面声明；本项目拒绝被列入失信被执行人、重大税收违法案件当事人名单、政府采购严重违法失信行为的供应商参与；</w:t>
      </w:r>
    </w:p>
    <w:p w14:paraId="170F1686">
      <w:pPr>
        <w:spacing w:line="520" w:lineRule="exact"/>
        <w:ind w:firstLine="480" w:firstLineChars="200"/>
        <w:rPr>
          <w:rFonts w:ascii="宋体" w:hAnsi="宋体" w:cs="宋体"/>
          <w:color w:val="auto"/>
          <w:sz w:val="24"/>
        </w:rPr>
      </w:pPr>
      <w:r>
        <w:rPr>
          <w:rFonts w:hint="eastAsia" w:ascii="宋体" w:hAnsi="宋体" w:cs="宋体"/>
          <w:color w:val="auto"/>
          <w:sz w:val="24"/>
        </w:rPr>
        <w:t>6、具有履行合同所必需的设备和专业技术能力的承诺及说明；</w:t>
      </w:r>
    </w:p>
    <w:p w14:paraId="131519B9">
      <w:pPr>
        <w:spacing w:line="520" w:lineRule="exact"/>
        <w:ind w:firstLine="480" w:firstLineChars="200"/>
        <w:rPr>
          <w:rFonts w:ascii="宋体" w:hAnsi="宋体" w:cs="宋体"/>
          <w:color w:val="auto"/>
          <w:sz w:val="24"/>
        </w:rPr>
      </w:pPr>
      <w:r>
        <w:rPr>
          <w:rFonts w:hint="eastAsia" w:ascii="宋体" w:hAnsi="宋体" w:cs="宋体"/>
          <w:color w:val="auto"/>
          <w:sz w:val="24"/>
        </w:rPr>
        <w:t>7、供应商应授权合法的人员参加磋商，其中法定代表人直接参加的，须出具身份证；被授权代表参加的，须出具法定代表人授权书及被授权人身份证；（非法人单位的负责人均参照执行）；</w:t>
      </w:r>
    </w:p>
    <w:p w14:paraId="2894B4AB">
      <w:pPr>
        <w:spacing w:line="520" w:lineRule="exact"/>
        <w:ind w:firstLine="480" w:firstLineChars="200"/>
        <w:rPr>
          <w:rFonts w:ascii="宋体" w:hAnsi="宋体" w:cs="宋体"/>
          <w:color w:val="auto"/>
          <w:sz w:val="24"/>
        </w:rPr>
      </w:pPr>
      <w:r>
        <w:rPr>
          <w:rFonts w:hint="eastAsia" w:ascii="宋体" w:hAnsi="宋体" w:cs="宋体"/>
          <w:color w:val="auto"/>
          <w:sz w:val="24"/>
        </w:rPr>
        <w:t>8、提供磋商保证金的银行转账或电汇凭证；</w:t>
      </w:r>
    </w:p>
    <w:p w14:paraId="345C929D">
      <w:pPr>
        <w:spacing w:line="440" w:lineRule="exact"/>
        <w:ind w:firstLine="480" w:firstLineChars="200"/>
        <w:rPr>
          <w:rFonts w:ascii="宋体" w:hAnsi="宋体"/>
          <w:color w:val="auto"/>
          <w:sz w:val="24"/>
        </w:rPr>
      </w:pPr>
      <w:r>
        <w:rPr>
          <w:rFonts w:hint="eastAsia" w:ascii="宋体" w:hAnsi="宋体"/>
          <w:color w:val="auto"/>
          <w:sz w:val="24"/>
        </w:rPr>
        <w:t>9、</w:t>
      </w:r>
      <w:r>
        <w:rPr>
          <w:rFonts w:hint="eastAsia" w:ascii="宋体" w:hAnsi="宋体" w:cs="宋体"/>
          <w:color w:val="auto"/>
          <w:sz w:val="24"/>
        </w:rPr>
        <w:t>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p w14:paraId="23F41AA9">
      <w:pPr>
        <w:spacing w:line="440" w:lineRule="exact"/>
        <w:ind w:firstLine="480" w:firstLineChars="200"/>
        <w:rPr>
          <w:rFonts w:ascii="宋体" w:hAnsi="宋体"/>
          <w:color w:val="auto"/>
          <w:sz w:val="24"/>
        </w:rPr>
      </w:pPr>
      <w:r>
        <w:rPr>
          <w:rFonts w:hint="eastAsia" w:ascii="宋体" w:hAnsi="宋体"/>
          <w:color w:val="auto"/>
          <w:sz w:val="24"/>
        </w:rPr>
        <w:t>10、供应商具备投标人须具备公安部第三研究所颁发的《网络安全服务认证证书等级保护测评服务认证》或《网络安全等级测评与检测评估机构服务认证证书》</w:t>
      </w:r>
      <w:r>
        <w:rPr>
          <w:rFonts w:hint="eastAsia" w:ascii="宋体" w:hAnsi="宋体" w:cs="宋体"/>
          <w:color w:val="auto"/>
          <w:sz w:val="24"/>
        </w:rPr>
        <w:t>；</w:t>
      </w:r>
    </w:p>
    <w:p w14:paraId="01CEF92F">
      <w:pPr>
        <w:pStyle w:val="15"/>
        <w:spacing w:line="400" w:lineRule="exact"/>
        <w:ind w:firstLine="480" w:firstLineChars="200"/>
        <w:rPr>
          <w:rFonts w:hAnsi="宋体"/>
          <w:color w:val="auto"/>
          <w:sz w:val="24"/>
        </w:rPr>
      </w:pPr>
      <w:r>
        <w:rPr>
          <w:rFonts w:hint="eastAsia" w:hAnsi="宋体"/>
          <w:color w:val="auto"/>
          <w:sz w:val="24"/>
        </w:rPr>
        <w:t>11、单位负责人为同一人或存在直接控股、管理关系的不同单位，不得同时参加本项目投标活动。</w:t>
      </w:r>
    </w:p>
    <w:p w14:paraId="63010BB6">
      <w:pPr>
        <w:pStyle w:val="15"/>
        <w:spacing w:line="400" w:lineRule="exact"/>
        <w:ind w:firstLine="482" w:firstLineChars="200"/>
        <w:rPr>
          <w:rFonts w:hAnsi="宋体"/>
          <w:color w:val="auto"/>
          <w:sz w:val="24"/>
          <w:szCs w:val="24"/>
        </w:rPr>
      </w:pPr>
      <w:r>
        <w:rPr>
          <w:rFonts w:hint="eastAsia" w:hAnsi="宋体"/>
          <w:b/>
          <w:bCs/>
          <w:color w:val="auto"/>
          <w:sz w:val="24"/>
          <w:szCs w:val="24"/>
        </w:rPr>
        <w:t>注：资格证明文件按照以上顺序逐条响应。</w:t>
      </w:r>
    </w:p>
    <w:p w14:paraId="12F35A88">
      <w:pPr>
        <w:spacing w:line="360" w:lineRule="atLeast"/>
        <w:jc w:val="center"/>
        <w:rPr>
          <w:rFonts w:ascii="宋体" w:hAnsi="宋体"/>
          <w:b/>
          <w:color w:val="auto"/>
          <w:sz w:val="32"/>
          <w:szCs w:val="32"/>
        </w:rPr>
        <w:sectPr>
          <w:headerReference r:id="rId11" w:type="default"/>
          <w:footerReference r:id="rId12" w:type="default"/>
          <w:pgSz w:w="11906" w:h="16838"/>
          <w:pgMar w:top="1304" w:right="1418" w:bottom="1304" w:left="1418" w:header="851" w:footer="992" w:gutter="0"/>
          <w:cols w:space="720" w:num="1"/>
          <w:docGrid w:type="lines" w:linePitch="312" w:charSpace="0"/>
        </w:sectPr>
      </w:pPr>
    </w:p>
    <w:p w14:paraId="6DD74CB9">
      <w:pPr>
        <w:spacing w:line="360" w:lineRule="atLeast"/>
        <w:jc w:val="center"/>
        <w:rPr>
          <w:rFonts w:ascii="宋体" w:hAnsi="宋体"/>
          <w:b/>
          <w:color w:val="auto"/>
          <w:sz w:val="32"/>
          <w:szCs w:val="32"/>
        </w:rPr>
      </w:pPr>
      <w:r>
        <w:rPr>
          <w:rFonts w:hint="eastAsia" w:ascii="宋体" w:hAnsi="宋体"/>
          <w:b/>
          <w:color w:val="auto"/>
          <w:sz w:val="32"/>
          <w:szCs w:val="32"/>
        </w:rPr>
        <w:t>近</w:t>
      </w:r>
      <w:r>
        <w:rPr>
          <w:rFonts w:ascii="宋体" w:hAnsi="宋体"/>
          <w:b/>
          <w:color w:val="auto"/>
          <w:sz w:val="32"/>
          <w:szCs w:val="32"/>
        </w:rPr>
        <w:t>三年无重大</w:t>
      </w:r>
      <w:r>
        <w:rPr>
          <w:rFonts w:hint="eastAsia" w:ascii="宋体" w:hAnsi="宋体"/>
          <w:b/>
          <w:color w:val="auto"/>
          <w:sz w:val="32"/>
          <w:szCs w:val="32"/>
        </w:rPr>
        <w:t>违法</w:t>
      </w:r>
      <w:r>
        <w:rPr>
          <w:rFonts w:ascii="宋体" w:hAnsi="宋体"/>
          <w:b/>
          <w:color w:val="auto"/>
          <w:sz w:val="32"/>
          <w:szCs w:val="32"/>
        </w:rPr>
        <w:t>、违纪</w:t>
      </w:r>
      <w:r>
        <w:rPr>
          <w:rFonts w:hint="eastAsia" w:ascii="宋体" w:hAnsi="宋体"/>
          <w:b/>
          <w:color w:val="auto"/>
          <w:sz w:val="32"/>
          <w:szCs w:val="32"/>
        </w:rPr>
        <w:t>书面声明</w:t>
      </w:r>
    </w:p>
    <w:p w14:paraId="65004622">
      <w:pPr>
        <w:spacing w:line="360" w:lineRule="atLeast"/>
        <w:jc w:val="left"/>
        <w:rPr>
          <w:rFonts w:ascii="宋体" w:hAnsi="宋体"/>
          <w:color w:val="auto"/>
          <w:sz w:val="24"/>
        </w:rPr>
      </w:pPr>
    </w:p>
    <w:p w14:paraId="782CE2BC">
      <w:pPr>
        <w:spacing w:line="360" w:lineRule="auto"/>
        <w:jc w:val="left"/>
        <w:rPr>
          <w:rFonts w:ascii="宋体" w:hAnsi="宋体"/>
          <w:color w:val="auto"/>
          <w:sz w:val="24"/>
        </w:rPr>
      </w:pPr>
      <w:r>
        <w:rPr>
          <w:rFonts w:hint="eastAsia" w:ascii="宋体" w:hAnsi="宋体" w:cs="Arial"/>
          <w:color w:val="auto"/>
          <w:kern w:val="0"/>
          <w:sz w:val="24"/>
        </w:rPr>
        <w:t>致：陕西国创招标有限公司</w:t>
      </w:r>
    </w:p>
    <w:p w14:paraId="66B0FF42">
      <w:pPr>
        <w:spacing w:line="360" w:lineRule="auto"/>
        <w:ind w:firstLine="480" w:firstLineChars="200"/>
        <w:jc w:val="left"/>
        <w:rPr>
          <w:rFonts w:ascii="宋体" w:hAnsi="宋体"/>
          <w:b/>
          <w:color w:val="auto"/>
          <w:sz w:val="32"/>
          <w:szCs w:val="32"/>
        </w:rPr>
      </w:pPr>
      <w:r>
        <w:rPr>
          <w:rFonts w:hint="eastAsia" w:ascii="宋体" w:hAnsi="宋体"/>
          <w:color w:val="auto"/>
          <w:sz w:val="24"/>
        </w:rPr>
        <w:t>我单位声明参加本次政府采购活动前三年内，在经营活动中没有重大违纪，以及未被列入失信被执行人、重大税收违法案件当事人名单、政府采购严重违法失信行为记录名单中。</w:t>
      </w:r>
    </w:p>
    <w:p w14:paraId="7D488872">
      <w:pPr>
        <w:spacing w:line="360" w:lineRule="auto"/>
        <w:ind w:firstLine="424" w:firstLineChars="177"/>
        <w:jc w:val="left"/>
        <w:rPr>
          <w:rFonts w:ascii="宋体" w:hAnsi="宋体"/>
          <w:b/>
          <w:color w:val="auto"/>
          <w:sz w:val="32"/>
          <w:szCs w:val="32"/>
        </w:rPr>
      </w:pPr>
      <w:r>
        <w:rPr>
          <w:rFonts w:hint="eastAsia" w:ascii="宋体" w:hAnsi="宋体"/>
          <w:color w:val="auto"/>
          <w:sz w:val="24"/>
        </w:rPr>
        <w:t>以</w:t>
      </w:r>
      <w:r>
        <w:rPr>
          <w:rFonts w:ascii="宋体" w:hAnsi="宋体"/>
          <w:color w:val="auto"/>
          <w:sz w:val="24"/>
        </w:rPr>
        <w:t>上如</w:t>
      </w:r>
      <w:r>
        <w:rPr>
          <w:rFonts w:hint="eastAsia" w:ascii="宋体" w:hAnsi="宋体"/>
          <w:color w:val="auto"/>
          <w:sz w:val="24"/>
        </w:rPr>
        <w:t>构成</w:t>
      </w:r>
      <w:r>
        <w:rPr>
          <w:rFonts w:ascii="宋体" w:hAnsi="宋体"/>
          <w:color w:val="auto"/>
          <w:sz w:val="24"/>
        </w:rPr>
        <w:t>虚</w:t>
      </w:r>
      <w:r>
        <w:rPr>
          <w:rFonts w:hint="eastAsia" w:ascii="宋体" w:hAnsi="宋体"/>
          <w:color w:val="auto"/>
          <w:sz w:val="24"/>
        </w:rPr>
        <w:t>假</w:t>
      </w:r>
      <w:r>
        <w:rPr>
          <w:rFonts w:ascii="宋体" w:hAnsi="宋体"/>
          <w:color w:val="auto"/>
          <w:sz w:val="24"/>
        </w:rPr>
        <w:t>，自愿承担相关法律责任。</w:t>
      </w:r>
    </w:p>
    <w:p w14:paraId="5EEE7CD9">
      <w:pPr>
        <w:spacing w:line="360" w:lineRule="auto"/>
        <w:jc w:val="left"/>
        <w:rPr>
          <w:rFonts w:ascii="宋体" w:hAnsi="宋体"/>
          <w:b/>
          <w:color w:val="auto"/>
          <w:sz w:val="32"/>
          <w:szCs w:val="32"/>
        </w:rPr>
      </w:pPr>
    </w:p>
    <w:p w14:paraId="599B86F9">
      <w:pPr>
        <w:spacing w:line="360" w:lineRule="auto"/>
        <w:ind w:firstLine="480" w:firstLineChars="200"/>
        <w:jc w:val="left"/>
        <w:rPr>
          <w:rFonts w:ascii="宋体" w:hAnsi="宋体"/>
          <w:color w:val="auto"/>
          <w:sz w:val="24"/>
        </w:rPr>
      </w:pPr>
      <w:r>
        <w:rPr>
          <w:rFonts w:hint="eastAsia" w:ascii="宋体" w:hAnsi="宋体"/>
          <w:color w:val="auto"/>
          <w:sz w:val="24"/>
        </w:rPr>
        <w:t>特此声明！</w:t>
      </w:r>
    </w:p>
    <w:p w14:paraId="68771450">
      <w:pPr>
        <w:spacing w:line="360" w:lineRule="auto"/>
        <w:ind w:firstLine="480" w:firstLineChars="200"/>
        <w:jc w:val="left"/>
        <w:rPr>
          <w:rFonts w:ascii="宋体" w:hAnsi="宋体"/>
          <w:color w:val="auto"/>
          <w:sz w:val="24"/>
        </w:rPr>
      </w:pPr>
    </w:p>
    <w:p w14:paraId="3682C093">
      <w:pPr>
        <w:spacing w:line="480" w:lineRule="auto"/>
        <w:ind w:firstLine="480" w:firstLineChars="200"/>
        <w:jc w:val="left"/>
        <w:rPr>
          <w:rFonts w:ascii="宋体" w:hAnsi="宋体"/>
          <w:color w:val="auto"/>
          <w:sz w:val="24"/>
        </w:rPr>
      </w:pPr>
    </w:p>
    <w:p w14:paraId="440E7F93">
      <w:pPr>
        <w:spacing w:line="480" w:lineRule="auto"/>
        <w:ind w:firstLine="480" w:firstLineChars="200"/>
        <w:jc w:val="left"/>
        <w:rPr>
          <w:rFonts w:ascii="宋体" w:hAnsi="宋体"/>
          <w:color w:val="auto"/>
          <w:sz w:val="24"/>
          <w:u w:val="single"/>
        </w:rPr>
      </w:pPr>
      <w:r>
        <w:rPr>
          <w:rFonts w:hint="eastAsia" w:ascii="宋体" w:hAnsi="宋体"/>
          <w:color w:val="auto"/>
          <w:sz w:val="24"/>
        </w:rPr>
        <w:t xml:space="preserve">                              声明</w:t>
      </w:r>
      <w:r>
        <w:rPr>
          <w:rFonts w:ascii="宋体" w:hAnsi="宋体"/>
          <w:color w:val="auto"/>
          <w:sz w:val="24"/>
        </w:rPr>
        <w:t>人</w:t>
      </w:r>
      <w:r>
        <w:rPr>
          <w:rFonts w:hint="eastAsia" w:ascii="宋体" w:hAnsi="宋体"/>
          <w:color w:val="auto"/>
          <w:sz w:val="24"/>
        </w:rPr>
        <w:t>（公章</w:t>
      </w:r>
      <w:r>
        <w:rPr>
          <w:rFonts w:ascii="宋体" w:hAnsi="宋体"/>
          <w:color w:val="auto"/>
          <w:sz w:val="24"/>
        </w:rPr>
        <w:t>）：</w:t>
      </w:r>
      <w:r>
        <w:rPr>
          <w:rFonts w:hint="eastAsia" w:ascii="宋体" w:hAnsi="宋体"/>
          <w:color w:val="auto"/>
          <w:sz w:val="24"/>
          <w:u w:val="single"/>
        </w:rPr>
        <w:t xml:space="preserve">                 </w:t>
      </w:r>
      <w:r>
        <w:rPr>
          <w:rFonts w:ascii="宋体" w:hAnsi="宋体"/>
          <w:color w:val="auto"/>
          <w:sz w:val="24"/>
          <w:u w:val="single"/>
        </w:rPr>
        <w:t xml:space="preserve">          </w:t>
      </w:r>
    </w:p>
    <w:p w14:paraId="00D13E64">
      <w:pPr>
        <w:spacing w:line="480" w:lineRule="auto"/>
        <w:ind w:firstLine="480" w:firstLineChars="200"/>
        <w:jc w:val="left"/>
        <w:rPr>
          <w:rFonts w:ascii="宋体" w:hAnsi="宋体"/>
          <w:color w:val="auto"/>
          <w:sz w:val="24"/>
          <w:u w:val="single"/>
        </w:rPr>
      </w:pPr>
      <w:r>
        <w:rPr>
          <w:rFonts w:ascii="宋体" w:hAnsi="宋体"/>
          <w:color w:val="auto"/>
          <w:sz w:val="24"/>
        </w:rPr>
        <w:t xml:space="preserve">                              </w:t>
      </w:r>
      <w:r>
        <w:rPr>
          <w:rFonts w:hint="eastAsia" w:ascii="宋体" w:hAnsi="宋体"/>
          <w:color w:val="auto"/>
          <w:sz w:val="24"/>
        </w:rPr>
        <w:t>法定代表人或被授权人（签字或盖章）：</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 </w:t>
      </w:r>
      <w:r>
        <w:rPr>
          <w:rFonts w:ascii="宋体" w:hAnsi="宋体"/>
          <w:color w:val="auto"/>
          <w:sz w:val="24"/>
          <w:u w:val="single"/>
        </w:rPr>
        <w:t xml:space="preserve"> </w:t>
      </w:r>
    </w:p>
    <w:p w14:paraId="4F140B49">
      <w:pPr>
        <w:spacing w:line="480" w:lineRule="auto"/>
        <w:ind w:firstLine="480" w:firstLineChars="200"/>
        <w:jc w:val="left"/>
        <w:rPr>
          <w:rFonts w:ascii="宋体" w:hAnsi="宋体"/>
          <w:color w:val="auto"/>
          <w:sz w:val="24"/>
        </w:rPr>
      </w:pPr>
      <w:r>
        <w:rPr>
          <w:rFonts w:hint="eastAsia" w:ascii="宋体" w:hAnsi="宋体"/>
          <w:color w:val="auto"/>
          <w:sz w:val="24"/>
        </w:rPr>
        <w:t xml:space="preserve">                              日  </w:t>
      </w:r>
      <w:r>
        <w:rPr>
          <w:rFonts w:ascii="宋体" w:hAnsi="宋体"/>
          <w:color w:val="auto"/>
          <w:sz w:val="24"/>
        </w:rPr>
        <w:t xml:space="preserve"> </w:t>
      </w:r>
      <w:r>
        <w:rPr>
          <w:rFonts w:hint="eastAsia" w:ascii="宋体" w:hAnsi="宋体"/>
          <w:color w:val="auto"/>
          <w:sz w:val="24"/>
        </w:rPr>
        <w:t>期</w:t>
      </w:r>
      <w:r>
        <w:rPr>
          <w:rFonts w:ascii="宋体" w:hAnsi="宋体"/>
          <w:color w:val="auto"/>
          <w:sz w:val="24"/>
        </w:rPr>
        <w:t>：</w:t>
      </w:r>
      <w:r>
        <w:rPr>
          <w:rFonts w:hint="eastAsia" w:ascii="宋体" w:hAnsi="宋体"/>
          <w:color w:val="auto"/>
          <w:sz w:val="24"/>
        </w:rPr>
        <w:t xml:space="preserve">      年    月    日</w:t>
      </w:r>
      <w:r>
        <w:rPr>
          <w:rFonts w:ascii="宋体" w:hAnsi="宋体"/>
          <w:color w:val="auto"/>
          <w:sz w:val="24"/>
        </w:rPr>
        <w:t xml:space="preserve"> </w:t>
      </w:r>
    </w:p>
    <w:p w14:paraId="685AC9F7">
      <w:pPr>
        <w:spacing w:line="480" w:lineRule="auto"/>
        <w:ind w:firstLine="480" w:firstLineChars="200"/>
        <w:jc w:val="left"/>
        <w:rPr>
          <w:rFonts w:ascii="宋体" w:hAnsi="宋体"/>
          <w:color w:val="auto"/>
          <w:sz w:val="24"/>
        </w:rPr>
      </w:pPr>
    </w:p>
    <w:p w14:paraId="147E847A">
      <w:pPr>
        <w:spacing w:line="480" w:lineRule="auto"/>
        <w:ind w:firstLine="480" w:firstLineChars="200"/>
        <w:jc w:val="left"/>
        <w:rPr>
          <w:rFonts w:ascii="宋体" w:hAnsi="宋体"/>
          <w:color w:val="auto"/>
          <w:sz w:val="24"/>
        </w:rPr>
      </w:pPr>
    </w:p>
    <w:p w14:paraId="23591667">
      <w:pPr>
        <w:spacing w:line="360" w:lineRule="atLeast"/>
        <w:jc w:val="center"/>
        <w:rPr>
          <w:rFonts w:ascii="宋体" w:hAnsi="宋体"/>
          <w:b/>
          <w:color w:val="auto"/>
          <w:sz w:val="32"/>
          <w:szCs w:val="32"/>
        </w:rPr>
      </w:pPr>
    </w:p>
    <w:p w14:paraId="6DB4FCB5">
      <w:pPr>
        <w:pStyle w:val="110"/>
        <w:rPr>
          <w:color w:val="auto"/>
        </w:rPr>
      </w:pPr>
    </w:p>
    <w:p w14:paraId="3079B1E1">
      <w:pPr>
        <w:pStyle w:val="110"/>
        <w:rPr>
          <w:color w:val="auto"/>
        </w:rPr>
      </w:pPr>
    </w:p>
    <w:p w14:paraId="439993F9">
      <w:pPr>
        <w:pStyle w:val="110"/>
        <w:rPr>
          <w:color w:val="auto"/>
        </w:rPr>
      </w:pPr>
    </w:p>
    <w:p w14:paraId="294BC468">
      <w:pPr>
        <w:pStyle w:val="110"/>
        <w:rPr>
          <w:color w:val="auto"/>
        </w:rPr>
      </w:pPr>
    </w:p>
    <w:p w14:paraId="5799A683">
      <w:pPr>
        <w:spacing w:line="360" w:lineRule="atLeast"/>
        <w:jc w:val="left"/>
        <w:rPr>
          <w:rFonts w:ascii="宋体" w:hAnsi="宋体"/>
          <w:b/>
          <w:color w:val="auto"/>
          <w:sz w:val="24"/>
        </w:rPr>
      </w:pPr>
    </w:p>
    <w:p w14:paraId="1015BD2E">
      <w:pPr>
        <w:pStyle w:val="15"/>
        <w:adjustRightInd w:val="0"/>
        <w:snapToGrid w:val="0"/>
        <w:spacing w:line="360" w:lineRule="auto"/>
        <w:jc w:val="center"/>
        <w:rPr>
          <w:rFonts w:ascii="仿宋_GB2312" w:eastAsia="仿宋_GB2312"/>
          <w:b/>
          <w:color w:val="auto"/>
          <w:sz w:val="32"/>
          <w:szCs w:val="32"/>
        </w:rPr>
      </w:pPr>
      <w:r>
        <w:rPr>
          <w:color w:val="auto"/>
        </w:rPr>
        <w:br w:type="page"/>
      </w:r>
      <w:r>
        <w:rPr>
          <w:rFonts w:hint="eastAsia" w:hAnsi="宋体" w:cs="Times New Roman"/>
          <w:b/>
          <w:color w:val="auto"/>
          <w:sz w:val="30"/>
          <w:szCs w:val="30"/>
        </w:rPr>
        <w:t>具有履行合同所必需的设备和专业技术能力的说明及承诺</w:t>
      </w:r>
    </w:p>
    <w:p w14:paraId="6E07555B">
      <w:pPr>
        <w:pStyle w:val="15"/>
        <w:adjustRightInd w:val="0"/>
        <w:snapToGrid w:val="0"/>
        <w:spacing w:line="360" w:lineRule="auto"/>
        <w:jc w:val="center"/>
        <w:rPr>
          <w:b/>
          <w:color w:val="auto"/>
          <w:sz w:val="44"/>
          <w:szCs w:val="44"/>
        </w:rPr>
      </w:pPr>
    </w:p>
    <w:p w14:paraId="33A64862">
      <w:pPr>
        <w:spacing w:line="360" w:lineRule="auto"/>
        <w:rPr>
          <w:rFonts w:ascii="宋体" w:hAnsi="宋体" w:cs="宋体"/>
          <w:color w:val="auto"/>
          <w:spacing w:val="4"/>
          <w:sz w:val="24"/>
          <w:u w:val="single"/>
        </w:rPr>
      </w:pPr>
      <w:r>
        <w:rPr>
          <w:rFonts w:hint="eastAsia" w:ascii="宋体" w:hAnsi="宋体" w:cs="宋体"/>
          <w:color w:val="auto"/>
          <w:spacing w:val="4"/>
          <w:sz w:val="24"/>
          <w:u w:val="single"/>
        </w:rPr>
        <w:t xml:space="preserve">   （采购人名称）    ：</w:t>
      </w:r>
    </w:p>
    <w:p w14:paraId="357B9E69">
      <w:pPr>
        <w:spacing w:before="312" w:beforeLines="100" w:after="156" w:afterLines="50" w:line="360" w:lineRule="auto"/>
        <w:ind w:firstLine="620" w:firstLineChars="250"/>
        <w:rPr>
          <w:rFonts w:ascii="宋体" w:hAnsi="宋体" w:cs="宋体"/>
          <w:color w:val="auto"/>
          <w:spacing w:val="4"/>
          <w:sz w:val="24"/>
        </w:rPr>
      </w:pPr>
      <w:r>
        <w:rPr>
          <w:rFonts w:hint="eastAsia" w:ascii="宋体" w:hAnsi="宋体" w:cs="宋体"/>
          <w:color w:val="auto"/>
          <w:spacing w:val="4"/>
          <w:sz w:val="24"/>
          <w:u w:val="single"/>
        </w:rPr>
        <w:t xml:space="preserve">   （供应商名称）    </w:t>
      </w:r>
      <w:r>
        <w:rPr>
          <w:rFonts w:hint="eastAsia" w:ascii="宋体" w:hAnsi="宋体" w:cs="宋体"/>
          <w:color w:val="auto"/>
          <w:spacing w:val="4"/>
          <w:sz w:val="24"/>
        </w:rPr>
        <w:t xml:space="preserve"> 于</w:t>
      </w:r>
      <w:r>
        <w:rPr>
          <w:rFonts w:hint="eastAsia" w:ascii="宋体" w:hAnsi="宋体" w:cs="宋体"/>
          <w:color w:val="auto"/>
          <w:spacing w:val="4"/>
          <w:sz w:val="24"/>
          <w:u w:val="single"/>
        </w:rPr>
        <w:t xml:space="preserve">     </w:t>
      </w:r>
      <w:r>
        <w:rPr>
          <w:rFonts w:hint="eastAsia" w:ascii="宋体" w:hAnsi="宋体" w:cs="宋体"/>
          <w:color w:val="auto"/>
          <w:spacing w:val="4"/>
          <w:sz w:val="24"/>
        </w:rPr>
        <w:t>年</w:t>
      </w:r>
      <w:r>
        <w:rPr>
          <w:rFonts w:hint="eastAsia" w:ascii="宋体" w:hAnsi="宋体" w:cs="宋体"/>
          <w:color w:val="auto"/>
          <w:spacing w:val="4"/>
          <w:sz w:val="24"/>
          <w:u w:val="single"/>
        </w:rPr>
        <w:t xml:space="preserve">    </w:t>
      </w:r>
      <w:r>
        <w:rPr>
          <w:rFonts w:hint="eastAsia" w:ascii="宋体" w:hAnsi="宋体" w:cs="宋体"/>
          <w:color w:val="auto"/>
          <w:spacing w:val="4"/>
          <w:sz w:val="24"/>
        </w:rPr>
        <w:t>月</w:t>
      </w:r>
      <w:r>
        <w:rPr>
          <w:rFonts w:hint="eastAsia" w:ascii="宋体" w:hAnsi="宋体" w:cs="宋体"/>
          <w:color w:val="auto"/>
          <w:spacing w:val="4"/>
          <w:sz w:val="24"/>
          <w:u w:val="single"/>
        </w:rPr>
        <w:t xml:space="preserve">   </w:t>
      </w:r>
      <w:r>
        <w:rPr>
          <w:rFonts w:hint="eastAsia" w:ascii="宋体" w:hAnsi="宋体" w:cs="宋体"/>
          <w:color w:val="auto"/>
          <w:spacing w:val="4"/>
          <w:sz w:val="24"/>
        </w:rPr>
        <w:t>日在中华人民共和国境内</w:t>
      </w:r>
      <w:r>
        <w:rPr>
          <w:rFonts w:hint="eastAsia" w:ascii="宋体" w:hAnsi="宋体" w:cs="宋体"/>
          <w:color w:val="auto"/>
          <w:spacing w:val="4"/>
          <w:sz w:val="24"/>
          <w:u w:val="single"/>
        </w:rPr>
        <w:t xml:space="preserve">               （详细注册地址）     </w:t>
      </w:r>
      <w:r>
        <w:rPr>
          <w:rFonts w:hint="eastAsia" w:ascii="宋体" w:hAnsi="宋体" w:cs="宋体"/>
          <w:color w:val="auto"/>
          <w:spacing w:val="4"/>
          <w:sz w:val="24"/>
        </w:rPr>
        <w:t>合法注册并经营，公司主营业务为</w:t>
      </w:r>
      <w:r>
        <w:rPr>
          <w:rFonts w:hint="eastAsia" w:ascii="宋体" w:hAnsi="宋体" w:cs="宋体"/>
          <w:color w:val="auto"/>
          <w:spacing w:val="4"/>
          <w:sz w:val="24"/>
          <w:u w:val="single"/>
        </w:rPr>
        <w:t xml:space="preserve">                          </w:t>
      </w:r>
      <w:r>
        <w:rPr>
          <w:rFonts w:hint="eastAsia" w:ascii="宋体" w:hAnsi="宋体" w:cs="宋体"/>
          <w:color w:val="auto"/>
          <w:spacing w:val="4"/>
          <w:sz w:val="24"/>
        </w:rPr>
        <w:t>，营业（生产经营）面积为</w:t>
      </w:r>
      <w:r>
        <w:rPr>
          <w:rFonts w:hint="eastAsia" w:ascii="宋体" w:hAnsi="宋体" w:cs="宋体"/>
          <w:color w:val="auto"/>
          <w:spacing w:val="4"/>
          <w:sz w:val="24"/>
          <w:u w:val="single"/>
        </w:rPr>
        <w:t xml:space="preserve">             </w:t>
      </w:r>
      <w:r>
        <w:rPr>
          <w:rFonts w:hint="eastAsia" w:ascii="宋体" w:hAnsi="宋体" w:cs="宋体"/>
          <w:color w:val="auto"/>
          <w:spacing w:val="4"/>
          <w:sz w:val="24"/>
        </w:rPr>
        <w:t xml:space="preserve"> ，现有员工数量为</w:t>
      </w:r>
      <w:r>
        <w:rPr>
          <w:rFonts w:hint="eastAsia" w:ascii="宋体" w:hAnsi="宋体" w:cs="宋体"/>
          <w:color w:val="auto"/>
          <w:spacing w:val="4"/>
          <w:sz w:val="24"/>
          <w:u w:val="single"/>
        </w:rPr>
        <w:t xml:space="preserve">         </w:t>
      </w:r>
      <w:r>
        <w:rPr>
          <w:rFonts w:hint="eastAsia" w:ascii="宋体" w:hAnsi="宋体" w:cs="宋体"/>
          <w:color w:val="auto"/>
          <w:spacing w:val="4"/>
          <w:sz w:val="24"/>
        </w:rPr>
        <w:t>，其中与履行本合同相关的专业技术人员有（</w:t>
      </w:r>
      <w:r>
        <w:rPr>
          <w:rFonts w:hint="eastAsia" w:ascii="宋体" w:hAnsi="宋体" w:cs="宋体"/>
          <w:color w:val="auto"/>
          <w:spacing w:val="4"/>
          <w:sz w:val="24"/>
          <w:u w:val="single"/>
        </w:rPr>
        <w:t xml:space="preserve">  专业能力、数量 </w:t>
      </w:r>
      <w:r>
        <w:rPr>
          <w:rFonts w:hint="eastAsia" w:ascii="宋体" w:hAnsi="宋体" w:cs="宋体"/>
          <w:color w:val="auto"/>
          <w:spacing w:val="4"/>
          <w:sz w:val="24"/>
        </w:rPr>
        <w:t>），本公司郑重承诺，具有履行本合同所必需的设备和专业技术能力。</w:t>
      </w:r>
    </w:p>
    <w:p w14:paraId="072ADAD1">
      <w:pPr>
        <w:spacing w:before="312" w:beforeLines="100" w:after="156" w:afterLines="50" w:line="360" w:lineRule="auto"/>
        <w:ind w:firstLine="170"/>
        <w:rPr>
          <w:rFonts w:ascii="宋体" w:hAnsi="宋体" w:cs="宋体"/>
          <w:color w:val="auto"/>
          <w:spacing w:val="4"/>
          <w:sz w:val="24"/>
        </w:rPr>
      </w:pPr>
    </w:p>
    <w:p w14:paraId="53268930">
      <w:pPr>
        <w:spacing w:before="312" w:beforeLines="100" w:after="156" w:afterLines="50" w:line="360" w:lineRule="auto"/>
        <w:ind w:firstLine="170"/>
        <w:rPr>
          <w:rFonts w:ascii="宋体" w:hAnsi="宋体" w:cs="宋体"/>
          <w:color w:val="auto"/>
          <w:spacing w:val="4"/>
          <w:sz w:val="24"/>
        </w:rPr>
      </w:pPr>
    </w:p>
    <w:p w14:paraId="7BA3E78F">
      <w:pPr>
        <w:pStyle w:val="19"/>
        <w:rPr>
          <w:rFonts w:ascii="宋体" w:hAnsi="宋体" w:cs="宋体"/>
          <w:color w:val="auto"/>
          <w:sz w:val="24"/>
          <w:szCs w:val="24"/>
        </w:rPr>
      </w:pPr>
    </w:p>
    <w:p w14:paraId="357B6169">
      <w:pPr>
        <w:pStyle w:val="86"/>
        <w:spacing w:line="360" w:lineRule="auto"/>
        <w:ind w:firstLine="2400" w:firstLineChars="1000"/>
        <w:jc w:val="both"/>
        <w:rPr>
          <w:rFonts w:hAnsi="宋体" w:cs="仿宋"/>
          <w:b w:val="0"/>
          <w:color w:val="auto"/>
          <w:sz w:val="24"/>
          <w:szCs w:val="24"/>
          <w:lang w:val="zh-CN"/>
        </w:rPr>
      </w:pPr>
      <w:r>
        <w:rPr>
          <w:rFonts w:hint="eastAsia" w:hAnsi="宋体" w:cs="仿宋"/>
          <w:b w:val="0"/>
          <w:color w:val="auto"/>
          <w:sz w:val="24"/>
          <w:szCs w:val="24"/>
          <w:lang w:val="zh-CN"/>
        </w:rPr>
        <w:t>供应商：</w:t>
      </w:r>
      <w:r>
        <w:rPr>
          <w:rFonts w:hint="eastAsia" w:hAnsi="宋体" w:cs="仿宋"/>
          <w:b w:val="0"/>
          <w:color w:val="auto"/>
          <w:sz w:val="24"/>
          <w:szCs w:val="24"/>
          <w:u w:val="single"/>
          <w:lang w:val="zh-CN"/>
        </w:rPr>
        <w:t xml:space="preserve">          </w:t>
      </w:r>
      <w:r>
        <w:rPr>
          <w:rFonts w:hint="eastAsia" w:hAnsi="宋体" w:cs="仿宋"/>
          <w:b w:val="0"/>
          <w:color w:val="auto"/>
          <w:sz w:val="24"/>
          <w:szCs w:val="24"/>
          <w:u w:val="single"/>
        </w:rPr>
        <w:t xml:space="preserve">  </w:t>
      </w:r>
      <w:r>
        <w:rPr>
          <w:rFonts w:hint="eastAsia" w:hAnsi="宋体" w:cs="仿宋"/>
          <w:b w:val="0"/>
          <w:color w:val="auto"/>
          <w:sz w:val="24"/>
          <w:szCs w:val="24"/>
          <w:u w:val="single"/>
          <w:lang w:val="zh-CN"/>
        </w:rPr>
        <w:t xml:space="preserve">      </w:t>
      </w:r>
      <w:r>
        <w:rPr>
          <w:rFonts w:hint="eastAsia" w:hAnsi="宋体" w:cs="仿宋"/>
          <w:b w:val="0"/>
          <w:color w:val="auto"/>
          <w:sz w:val="24"/>
          <w:szCs w:val="24"/>
          <w:u w:val="single"/>
        </w:rPr>
        <w:t xml:space="preserve">  </w:t>
      </w:r>
      <w:r>
        <w:rPr>
          <w:rFonts w:hint="eastAsia" w:hAnsi="宋体" w:cs="仿宋"/>
          <w:b w:val="0"/>
          <w:color w:val="auto"/>
          <w:sz w:val="24"/>
          <w:szCs w:val="24"/>
          <w:lang w:val="zh-CN"/>
        </w:rPr>
        <w:t>（公</w:t>
      </w:r>
      <w:r>
        <w:rPr>
          <w:rFonts w:hint="eastAsia" w:hAnsi="宋体" w:cs="仿宋"/>
          <w:b w:val="0"/>
          <w:color w:val="auto"/>
          <w:sz w:val="24"/>
          <w:szCs w:val="24"/>
        </w:rPr>
        <w:t xml:space="preserve">      </w:t>
      </w:r>
      <w:r>
        <w:rPr>
          <w:rFonts w:hint="eastAsia" w:hAnsi="宋体" w:cs="仿宋"/>
          <w:b w:val="0"/>
          <w:color w:val="auto"/>
          <w:sz w:val="24"/>
          <w:szCs w:val="24"/>
          <w:lang w:val="zh-CN"/>
        </w:rPr>
        <w:t>章）</w:t>
      </w:r>
    </w:p>
    <w:p w14:paraId="5D6A1CC6">
      <w:pPr>
        <w:pStyle w:val="86"/>
        <w:spacing w:line="360" w:lineRule="auto"/>
        <w:ind w:firstLine="2400" w:firstLineChars="1000"/>
        <w:jc w:val="both"/>
        <w:rPr>
          <w:rFonts w:hAnsi="宋体" w:cs="仿宋"/>
          <w:b w:val="0"/>
          <w:color w:val="auto"/>
          <w:sz w:val="24"/>
          <w:szCs w:val="24"/>
          <w:lang w:val="zh-CN"/>
        </w:rPr>
      </w:pPr>
      <w:r>
        <w:rPr>
          <w:rFonts w:hint="eastAsia" w:hAnsi="宋体" w:cs="仿宋"/>
          <w:b w:val="0"/>
          <w:color w:val="auto"/>
          <w:sz w:val="24"/>
          <w:szCs w:val="24"/>
          <w:lang w:val="zh-CN"/>
        </w:rPr>
        <w:t>法定代表人或被授权委托人：</w:t>
      </w:r>
      <w:r>
        <w:rPr>
          <w:rFonts w:hint="eastAsia" w:hAnsi="宋体" w:cs="仿宋"/>
          <w:b w:val="0"/>
          <w:color w:val="auto"/>
          <w:sz w:val="24"/>
          <w:szCs w:val="24"/>
          <w:u w:val="single"/>
          <w:lang w:val="zh-CN"/>
        </w:rPr>
        <w:t xml:space="preserve">      </w:t>
      </w:r>
      <w:r>
        <w:rPr>
          <w:rFonts w:hint="eastAsia" w:hAnsi="宋体" w:cs="仿宋"/>
          <w:b w:val="0"/>
          <w:color w:val="auto"/>
          <w:sz w:val="24"/>
          <w:szCs w:val="24"/>
          <w:lang w:val="zh-CN"/>
        </w:rPr>
        <w:t>（签字或盖章）</w:t>
      </w:r>
    </w:p>
    <w:p w14:paraId="099CCA10">
      <w:pPr>
        <w:pStyle w:val="110"/>
        <w:spacing w:line="360" w:lineRule="auto"/>
        <w:ind w:firstLine="2400" w:firstLineChars="1000"/>
        <w:rPr>
          <w:color w:val="auto"/>
        </w:rPr>
      </w:pPr>
      <w:r>
        <w:rPr>
          <w:rFonts w:hint="eastAsia" w:hAnsi="宋体" w:cs="仿宋"/>
          <w:color w:val="auto"/>
          <w:sz w:val="24"/>
          <w:szCs w:val="24"/>
          <w:lang w:val="zh-CN"/>
        </w:rPr>
        <w:t xml:space="preserve">日   </w:t>
      </w:r>
      <w:r>
        <w:rPr>
          <w:rFonts w:hint="eastAsia" w:hAnsi="宋体" w:cs="仿宋"/>
          <w:color w:val="auto"/>
          <w:sz w:val="24"/>
          <w:szCs w:val="24"/>
        </w:rPr>
        <w:t xml:space="preserve"> </w:t>
      </w:r>
      <w:r>
        <w:rPr>
          <w:rFonts w:hint="eastAsia" w:hAnsi="宋体" w:cs="仿宋"/>
          <w:color w:val="auto"/>
          <w:sz w:val="24"/>
          <w:szCs w:val="24"/>
          <w:lang w:val="zh-CN"/>
        </w:rPr>
        <w:t xml:space="preserve">  期：</w:t>
      </w:r>
      <w:r>
        <w:rPr>
          <w:rFonts w:hint="eastAsia" w:hAnsi="宋体" w:cs="仿宋"/>
          <w:color w:val="auto"/>
          <w:sz w:val="24"/>
          <w:szCs w:val="24"/>
          <w:u w:val="single"/>
          <w:lang w:val="zh-CN"/>
        </w:rPr>
        <w:t xml:space="preserve">        </w:t>
      </w:r>
      <w:r>
        <w:rPr>
          <w:rFonts w:hint="eastAsia" w:hAnsi="宋体" w:cs="仿宋"/>
          <w:color w:val="auto"/>
          <w:sz w:val="24"/>
          <w:szCs w:val="24"/>
          <w:lang w:val="zh-CN"/>
        </w:rPr>
        <w:t>年</w:t>
      </w:r>
      <w:r>
        <w:rPr>
          <w:rFonts w:hint="eastAsia" w:hAnsi="宋体" w:cs="仿宋"/>
          <w:color w:val="auto"/>
          <w:sz w:val="24"/>
          <w:szCs w:val="24"/>
          <w:u w:val="single"/>
          <w:lang w:val="zh-CN"/>
        </w:rPr>
        <w:t xml:space="preserve">    </w:t>
      </w:r>
      <w:r>
        <w:rPr>
          <w:rFonts w:hint="eastAsia" w:hAnsi="宋体" w:cs="仿宋"/>
          <w:color w:val="auto"/>
          <w:sz w:val="24"/>
          <w:szCs w:val="24"/>
          <w:lang w:val="zh-CN"/>
        </w:rPr>
        <w:t>月</w:t>
      </w:r>
      <w:r>
        <w:rPr>
          <w:rFonts w:hint="eastAsia" w:hAnsi="宋体" w:cs="仿宋"/>
          <w:color w:val="auto"/>
          <w:sz w:val="24"/>
          <w:szCs w:val="24"/>
          <w:u w:val="single"/>
          <w:lang w:val="zh-CN"/>
        </w:rPr>
        <w:t xml:space="preserve">    </w:t>
      </w:r>
      <w:r>
        <w:rPr>
          <w:rFonts w:hint="eastAsia" w:hAnsi="宋体" w:cs="仿宋"/>
          <w:color w:val="auto"/>
          <w:sz w:val="24"/>
          <w:szCs w:val="24"/>
          <w:lang w:val="zh-CN"/>
        </w:rPr>
        <w:t>日</w:t>
      </w:r>
    </w:p>
    <w:p w14:paraId="7CFECE4C">
      <w:pPr>
        <w:pStyle w:val="110"/>
        <w:spacing w:line="360" w:lineRule="auto"/>
        <w:ind w:firstLine="2100" w:firstLineChars="1000"/>
        <w:rPr>
          <w:color w:val="auto"/>
        </w:rPr>
      </w:pPr>
    </w:p>
    <w:p w14:paraId="10DA4D56">
      <w:pPr>
        <w:autoSpaceDE w:val="0"/>
        <w:autoSpaceDN w:val="0"/>
        <w:adjustRightInd w:val="0"/>
        <w:spacing w:line="336" w:lineRule="auto"/>
        <w:jc w:val="center"/>
        <w:rPr>
          <w:rFonts w:ascii="宋体" w:hAnsi="宋体" w:cs="宋体"/>
          <w:b/>
          <w:bCs/>
          <w:color w:val="auto"/>
          <w:sz w:val="28"/>
          <w:szCs w:val="28"/>
          <w:lang w:val="zh-CN"/>
        </w:rPr>
      </w:pPr>
      <w:r>
        <w:rPr>
          <w:color w:val="auto"/>
        </w:rPr>
        <w:br w:type="page"/>
      </w:r>
      <w:r>
        <w:rPr>
          <w:rFonts w:hint="eastAsia" w:ascii="宋体" w:hAnsi="宋体" w:cs="宋体"/>
          <w:b/>
          <w:bCs/>
          <w:color w:val="auto"/>
          <w:sz w:val="28"/>
          <w:szCs w:val="28"/>
        </w:rPr>
        <w:t>供应商</w:t>
      </w:r>
      <w:r>
        <w:rPr>
          <w:rFonts w:hint="eastAsia" w:ascii="宋体" w:hAnsi="宋体" w:cs="宋体"/>
          <w:b/>
          <w:bCs/>
          <w:color w:val="auto"/>
          <w:sz w:val="28"/>
          <w:szCs w:val="28"/>
          <w:lang w:val="zh-CN"/>
        </w:rPr>
        <w:t>企业关系关联承诺书</w:t>
      </w:r>
    </w:p>
    <w:p w14:paraId="3EA1FCC7">
      <w:pPr>
        <w:autoSpaceDE w:val="0"/>
        <w:autoSpaceDN w:val="0"/>
        <w:adjustRightInd w:val="0"/>
        <w:spacing w:line="336" w:lineRule="auto"/>
        <w:jc w:val="center"/>
        <w:rPr>
          <w:rFonts w:ascii="宋体" w:hAnsi="宋体" w:cs="宋体"/>
          <w:b/>
          <w:bCs/>
          <w:color w:val="auto"/>
          <w:sz w:val="28"/>
          <w:szCs w:val="28"/>
          <w:lang w:val="zh-CN"/>
        </w:rPr>
      </w:pPr>
    </w:p>
    <w:p w14:paraId="220544DC">
      <w:pPr>
        <w:autoSpaceDE w:val="0"/>
        <w:autoSpaceDN w:val="0"/>
        <w:adjustRightInd w:val="0"/>
        <w:spacing w:line="336" w:lineRule="auto"/>
        <w:ind w:firstLine="560" w:firstLineChars="200"/>
        <w:rPr>
          <w:rFonts w:ascii="宋体" w:hAnsi="宋体" w:cs="宋体"/>
          <w:color w:val="auto"/>
          <w:sz w:val="28"/>
          <w:szCs w:val="28"/>
        </w:rPr>
      </w:pPr>
      <w:r>
        <w:rPr>
          <w:rFonts w:hint="eastAsia" w:ascii="宋体" w:hAnsi="宋体" w:cs="宋体"/>
          <w:color w:val="auto"/>
          <w:sz w:val="28"/>
          <w:szCs w:val="28"/>
        </w:rPr>
        <w:t>1、供应商在本项目投标中，不存在与其他供应商负责人为同一人，有直接控股、管理关系的承诺。</w:t>
      </w:r>
    </w:p>
    <w:p w14:paraId="3C048C08">
      <w:pPr>
        <w:autoSpaceDE w:val="0"/>
        <w:autoSpaceDN w:val="0"/>
        <w:adjustRightInd w:val="0"/>
        <w:spacing w:line="336" w:lineRule="auto"/>
        <w:ind w:firstLine="560" w:firstLineChars="200"/>
        <w:rPr>
          <w:rFonts w:ascii="宋体" w:hAnsi="宋体" w:cs="宋体"/>
          <w:color w:val="auto"/>
          <w:sz w:val="28"/>
          <w:szCs w:val="28"/>
        </w:rPr>
      </w:pPr>
      <w:r>
        <w:rPr>
          <w:rFonts w:hint="eastAsia" w:ascii="宋体" w:hAnsi="宋体" w:cs="宋体"/>
          <w:color w:val="auto"/>
          <w:sz w:val="28"/>
          <w:szCs w:val="28"/>
        </w:rPr>
        <w:t>1-1、管理关系说明：</w:t>
      </w:r>
    </w:p>
    <w:p w14:paraId="19AE7079">
      <w:pPr>
        <w:autoSpaceDE w:val="0"/>
        <w:autoSpaceDN w:val="0"/>
        <w:adjustRightInd w:val="0"/>
        <w:spacing w:line="336" w:lineRule="auto"/>
        <w:ind w:firstLine="560" w:firstLineChars="200"/>
        <w:rPr>
          <w:rFonts w:ascii="宋体" w:hAnsi="宋体" w:cs="宋体"/>
          <w:color w:val="auto"/>
          <w:sz w:val="28"/>
          <w:szCs w:val="28"/>
        </w:rPr>
      </w:pPr>
      <w:r>
        <w:rPr>
          <w:rFonts w:hint="eastAsia" w:ascii="宋体" w:hAnsi="宋体" w:cs="宋体"/>
          <w:color w:val="auto"/>
          <w:sz w:val="28"/>
          <w:szCs w:val="28"/>
        </w:rPr>
        <w:t>我单位管理的具有独立法人的下属单位有：</w:t>
      </w:r>
      <w:r>
        <w:rPr>
          <w:rFonts w:hint="eastAsia" w:ascii="宋体" w:hAnsi="宋体" w:cs="宋体"/>
          <w:color w:val="auto"/>
          <w:sz w:val="28"/>
          <w:szCs w:val="28"/>
          <w:u w:val="single"/>
        </w:rPr>
        <w:t xml:space="preserve">        </w:t>
      </w:r>
      <w:r>
        <w:rPr>
          <w:rFonts w:hint="eastAsia" w:ascii="宋体" w:hAnsi="宋体" w:cs="宋体"/>
          <w:color w:val="auto"/>
          <w:sz w:val="28"/>
          <w:szCs w:val="28"/>
        </w:rPr>
        <w:t>。</w:t>
      </w:r>
    </w:p>
    <w:p w14:paraId="525CE155">
      <w:pPr>
        <w:autoSpaceDE w:val="0"/>
        <w:autoSpaceDN w:val="0"/>
        <w:adjustRightInd w:val="0"/>
        <w:spacing w:line="336" w:lineRule="auto"/>
        <w:ind w:firstLine="560" w:firstLineChars="200"/>
        <w:rPr>
          <w:rFonts w:ascii="宋体" w:hAnsi="宋体" w:cs="宋体"/>
          <w:color w:val="auto"/>
          <w:sz w:val="28"/>
          <w:szCs w:val="28"/>
        </w:rPr>
      </w:pPr>
      <w:r>
        <w:rPr>
          <w:rFonts w:hint="eastAsia" w:ascii="宋体" w:hAnsi="宋体" w:cs="宋体"/>
          <w:color w:val="auto"/>
          <w:sz w:val="28"/>
          <w:szCs w:val="28"/>
        </w:rPr>
        <w:t>我单位的上级管理单位有</w:t>
      </w:r>
      <w:r>
        <w:rPr>
          <w:rFonts w:hint="eastAsia" w:ascii="宋体" w:hAnsi="宋体" w:cs="宋体"/>
          <w:color w:val="auto"/>
          <w:sz w:val="28"/>
          <w:szCs w:val="28"/>
          <w:u w:val="single"/>
        </w:rPr>
        <w:t xml:space="preserve">              </w:t>
      </w:r>
      <w:r>
        <w:rPr>
          <w:rFonts w:hint="eastAsia" w:ascii="宋体" w:hAnsi="宋体" w:cs="宋体"/>
          <w:color w:val="auto"/>
          <w:sz w:val="28"/>
          <w:szCs w:val="28"/>
        </w:rPr>
        <w:t>。</w:t>
      </w:r>
    </w:p>
    <w:p w14:paraId="6423BA64">
      <w:pPr>
        <w:autoSpaceDE w:val="0"/>
        <w:autoSpaceDN w:val="0"/>
        <w:adjustRightInd w:val="0"/>
        <w:spacing w:line="336" w:lineRule="auto"/>
        <w:ind w:firstLine="560" w:firstLineChars="200"/>
        <w:rPr>
          <w:rFonts w:ascii="宋体" w:hAnsi="宋体" w:cs="宋体"/>
          <w:color w:val="auto"/>
          <w:sz w:val="28"/>
          <w:szCs w:val="28"/>
        </w:rPr>
      </w:pPr>
      <w:r>
        <w:rPr>
          <w:rFonts w:hint="eastAsia" w:ascii="宋体" w:hAnsi="宋体" w:cs="宋体"/>
          <w:color w:val="auto"/>
          <w:sz w:val="28"/>
          <w:szCs w:val="28"/>
        </w:rPr>
        <w:t>1-2、股权关系说明：</w:t>
      </w:r>
    </w:p>
    <w:p w14:paraId="118D4CDD">
      <w:pPr>
        <w:autoSpaceDE w:val="0"/>
        <w:autoSpaceDN w:val="0"/>
        <w:adjustRightInd w:val="0"/>
        <w:spacing w:line="336" w:lineRule="auto"/>
        <w:ind w:firstLine="560" w:firstLineChars="200"/>
        <w:rPr>
          <w:rFonts w:ascii="宋体" w:hAnsi="宋体" w:cs="宋体"/>
          <w:color w:val="auto"/>
          <w:sz w:val="28"/>
          <w:szCs w:val="28"/>
        </w:rPr>
      </w:pPr>
      <w:r>
        <w:rPr>
          <w:rFonts w:hint="eastAsia" w:ascii="宋体" w:hAnsi="宋体" w:cs="宋体"/>
          <w:color w:val="auto"/>
          <w:sz w:val="28"/>
          <w:szCs w:val="28"/>
        </w:rPr>
        <w:t>我单位控股的单位有</w:t>
      </w:r>
      <w:r>
        <w:rPr>
          <w:rFonts w:hint="eastAsia" w:ascii="宋体" w:hAnsi="宋体" w:cs="宋体"/>
          <w:color w:val="auto"/>
          <w:sz w:val="28"/>
          <w:szCs w:val="28"/>
          <w:u w:val="single"/>
        </w:rPr>
        <w:t xml:space="preserve">              </w:t>
      </w:r>
      <w:r>
        <w:rPr>
          <w:rFonts w:hint="eastAsia" w:ascii="宋体" w:hAnsi="宋体" w:cs="宋体"/>
          <w:color w:val="auto"/>
          <w:sz w:val="28"/>
          <w:szCs w:val="28"/>
        </w:rPr>
        <w:t>。</w:t>
      </w:r>
    </w:p>
    <w:p w14:paraId="3D3078F5">
      <w:pPr>
        <w:autoSpaceDE w:val="0"/>
        <w:autoSpaceDN w:val="0"/>
        <w:adjustRightInd w:val="0"/>
        <w:spacing w:line="336" w:lineRule="auto"/>
        <w:ind w:firstLine="560" w:firstLineChars="200"/>
        <w:rPr>
          <w:rFonts w:ascii="宋体" w:hAnsi="宋体" w:cs="宋体"/>
          <w:color w:val="auto"/>
          <w:sz w:val="28"/>
          <w:szCs w:val="28"/>
        </w:rPr>
      </w:pPr>
      <w:r>
        <w:rPr>
          <w:rFonts w:hint="eastAsia" w:ascii="宋体" w:hAnsi="宋体" w:cs="宋体"/>
          <w:color w:val="auto"/>
          <w:sz w:val="28"/>
          <w:szCs w:val="28"/>
        </w:rPr>
        <w:t>我单位被</w:t>
      </w:r>
      <w:r>
        <w:rPr>
          <w:rFonts w:hint="eastAsia" w:ascii="宋体" w:hAnsi="宋体" w:cs="宋体"/>
          <w:color w:val="auto"/>
          <w:sz w:val="28"/>
          <w:szCs w:val="28"/>
          <w:u w:val="single"/>
        </w:rPr>
        <w:t xml:space="preserve">              </w:t>
      </w:r>
      <w:r>
        <w:rPr>
          <w:rFonts w:hint="eastAsia" w:ascii="宋体" w:hAnsi="宋体" w:cs="宋体"/>
          <w:color w:val="auto"/>
          <w:sz w:val="28"/>
          <w:szCs w:val="28"/>
        </w:rPr>
        <w:t>单位控股。</w:t>
      </w:r>
    </w:p>
    <w:p w14:paraId="73F4A550">
      <w:pPr>
        <w:autoSpaceDE w:val="0"/>
        <w:autoSpaceDN w:val="0"/>
        <w:adjustRightInd w:val="0"/>
        <w:spacing w:line="336" w:lineRule="auto"/>
        <w:ind w:firstLine="560" w:firstLineChars="200"/>
        <w:rPr>
          <w:rFonts w:ascii="宋体" w:hAnsi="宋体" w:cs="宋体"/>
          <w:color w:val="auto"/>
          <w:sz w:val="28"/>
          <w:szCs w:val="28"/>
          <w:u w:val="single"/>
        </w:rPr>
      </w:pPr>
      <w:r>
        <w:rPr>
          <w:rFonts w:hint="eastAsia" w:ascii="宋体" w:hAnsi="宋体" w:cs="宋体"/>
          <w:color w:val="auto"/>
          <w:sz w:val="28"/>
          <w:szCs w:val="28"/>
        </w:rPr>
        <w:t>1-3、单位负责人：</w:t>
      </w:r>
      <w:r>
        <w:rPr>
          <w:rFonts w:hint="eastAsia" w:ascii="宋体" w:hAnsi="宋体" w:cs="宋体"/>
          <w:color w:val="auto"/>
          <w:sz w:val="28"/>
          <w:szCs w:val="28"/>
          <w:u w:val="single"/>
        </w:rPr>
        <w:t xml:space="preserve">         </w:t>
      </w:r>
    </w:p>
    <w:p w14:paraId="7665F122">
      <w:pPr>
        <w:autoSpaceDE w:val="0"/>
        <w:autoSpaceDN w:val="0"/>
        <w:adjustRightInd w:val="0"/>
        <w:spacing w:line="336" w:lineRule="auto"/>
        <w:ind w:firstLine="560" w:firstLineChars="200"/>
        <w:rPr>
          <w:rFonts w:ascii="宋体" w:hAnsi="宋体" w:cs="宋体"/>
          <w:color w:val="auto"/>
          <w:sz w:val="28"/>
          <w:szCs w:val="28"/>
        </w:rPr>
      </w:pPr>
      <w:r>
        <w:rPr>
          <w:rFonts w:hint="eastAsia" w:ascii="宋体" w:hAnsi="宋体" w:cs="宋体"/>
          <w:color w:val="auto"/>
          <w:sz w:val="28"/>
          <w:szCs w:val="28"/>
        </w:rPr>
        <w:t>我单位承诺以上说明真实有效，无虚假内容或隐瞒。</w:t>
      </w:r>
    </w:p>
    <w:p w14:paraId="033768C0">
      <w:pPr>
        <w:autoSpaceDE w:val="0"/>
        <w:autoSpaceDN w:val="0"/>
        <w:adjustRightInd w:val="0"/>
        <w:spacing w:line="336" w:lineRule="auto"/>
        <w:ind w:left="638" w:leftChars="304"/>
        <w:rPr>
          <w:rFonts w:ascii="宋体" w:hAnsi="宋体" w:cs="宋体"/>
          <w:color w:val="auto"/>
          <w:sz w:val="28"/>
          <w:szCs w:val="28"/>
        </w:rPr>
      </w:pPr>
    </w:p>
    <w:p w14:paraId="2C208257">
      <w:pPr>
        <w:autoSpaceDE w:val="0"/>
        <w:autoSpaceDN w:val="0"/>
        <w:adjustRightInd w:val="0"/>
        <w:spacing w:line="336" w:lineRule="auto"/>
        <w:ind w:left="638" w:leftChars="304"/>
        <w:rPr>
          <w:rFonts w:ascii="宋体" w:hAnsi="宋体" w:cs="宋体"/>
          <w:color w:val="auto"/>
          <w:sz w:val="28"/>
          <w:szCs w:val="28"/>
        </w:rPr>
      </w:pPr>
      <w:r>
        <w:rPr>
          <w:rFonts w:hint="eastAsia" w:ascii="宋体" w:hAnsi="宋体" w:cs="宋体"/>
          <w:color w:val="auto"/>
          <w:sz w:val="28"/>
          <w:szCs w:val="28"/>
        </w:rPr>
        <w:t>供应商名称(公章)：____________</w:t>
      </w:r>
    </w:p>
    <w:p w14:paraId="18688122">
      <w:pPr>
        <w:autoSpaceDE w:val="0"/>
        <w:autoSpaceDN w:val="0"/>
        <w:adjustRightInd w:val="0"/>
        <w:spacing w:line="336" w:lineRule="auto"/>
        <w:ind w:firstLine="560" w:firstLineChars="200"/>
        <w:rPr>
          <w:rFonts w:ascii="宋体" w:hAnsi="宋体" w:cs="宋体"/>
          <w:color w:val="auto"/>
          <w:sz w:val="28"/>
          <w:szCs w:val="28"/>
        </w:rPr>
      </w:pPr>
      <w:r>
        <w:rPr>
          <w:rFonts w:hint="eastAsia" w:ascii="宋体" w:hAnsi="宋体" w:cs="宋体"/>
          <w:color w:val="auto"/>
          <w:sz w:val="28"/>
          <w:szCs w:val="28"/>
        </w:rPr>
        <w:t>日期：______年____月____日</w:t>
      </w:r>
    </w:p>
    <w:p w14:paraId="741DB9DC">
      <w:pPr>
        <w:autoSpaceDE w:val="0"/>
        <w:autoSpaceDN w:val="0"/>
        <w:adjustRightInd w:val="0"/>
        <w:spacing w:line="336" w:lineRule="auto"/>
        <w:ind w:firstLine="560" w:firstLineChars="200"/>
        <w:rPr>
          <w:rFonts w:ascii="宋体" w:hAnsi="宋体" w:cs="宋体"/>
          <w:color w:val="auto"/>
          <w:sz w:val="28"/>
          <w:szCs w:val="28"/>
        </w:rPr>
      </w:pPr>
      <w:r>
        <w:rPr>
          <w:rFonts w:hint="eastAsia" w:ascii="宋体" w:hAnsi="宋体" w:cs="宋体"/>
          <w:color w:val="auto"/>
          <w:sz w:val="28"/>
          <w:szCs w:val="28"/>
        </w:rPr>
        <w:t>说明：授权用投标专用章的，与公章具有相同法律效力。</w:t>
      </w:r>
    </w:p>
    <w:p w14:paraId="699400BA">
      <w:pPr>
        <w:spacing w:line="336" w:lineRule="auto"/>
        <w:jc w:val="center"/>
        <w:rPr>
          <w:rFonts w:ascii="宋体" w:hAnsi="宋体" w:cs="宋体"/>
          <w:color w:val="auto"/>
          <w:sz w:val="28"/>
          <w:szCs w:val="28"/>
        </w:rPr>
      </w:pPr>
    </w:p>
    <w:p w14:paraId="15D71755">
      <w:pPr>
        <w:spacing w:line="336" w:lineRule="auto"/>
        <w:jc w:val="center"/>
        <w:rPr>
          <w:rFonts w:ascii="宋体" w:hAnsi="宋体" w:cs="宋体"/>
          <w:color w:val="auto"/>
          <w:sz w:val="28"/>
          <w:szCs w:val="28"/>
        </w:rPr>
      </w:pPr>
    </w:p>
    <w:p w14:paraId="59B6D842">
      <w:pPr>
        <w:spacing w:line="360" w:lineRule="atLeast"/>
        <w:jc w:val="center"/>
        <w:rPr>
          <w:rFonts w:ascii="宋体" w:hAnsi="宋体"/>
          <w:b/>
          <w:color w:val="auto"/>
          <w:sz w:val="32"/>
          <w:szCs w:val="32"/>
        </w:rPr>
      </w:pPr>
      <w:r>
        <w:rPr>
          <w:rFonts w:hint="eastAsia" w:ascii="宋体" w:hAnsi="宋体" w:cs="宋体"/>
          <w:b/>
          <w:color w:val="auto"/>
          <w:kern w:val="0"/>
          <w:sz w:val="28"/>
          <w:szCs w:val="28"/>
          <w:lang w:val="zh-CN"/>
        </w:rPr>
        <w:t>备注：如果被举报经查实出具虚假承诺函的，将被取消投标资格，并按有关规定予以处理。</w:t>
      </w:r>
      <w:r>
        <w:rPr>
          <w:color w:val="auto"/>
        </w:rPr>
        <w:br w:type="page"/>
      </w:r>
      <w:r>
        <w:rPr>
          <w:rFonts w:hint="eastAsia" w:ascii="宋体" w:hAnsi="宋体"/>
          <w:b/>
          <w:color w:val="auto"/>
          <w:sz w:val="32"/>
          <w:szCs w:val="32"/>
        </w:rPr>
        <w:t>第五部分  响应方案说明</w:t>
      </w:r>
    </w:p>
    <w:p w14:paraId="0C3805CC">
      <w:pPr>
        <w:spacing w:line="500" w:lineRule="exact"/>
        <w:ind w:firstLine="480" w:firstLineChars="200"/>
        <w:rPr>
          <w:rFonts w:ascii="宋体" w:hAnsi="宋体"/>
          <w:color w:val="auto"/>
          <w:sz w:val="24"/>
        </w:rPr>
      </w:pPr>
      <w:r>
        <w:rPr>
          <w:rFonts w:hint="eastAsia" w:ascii="宋体" w:hAnsi="宋体"/>
          <w:color w:val="auto"/>
          <w:sz w:val="24"/>
        </w:rPr>
        <w:t>一、供应商企业简介。</w:t>
      </w:r>
    </w:p>
    <w:p w14:paraId="43C4C1FF">
      <w:pPr>
        <w:spacing w:line="500" w:lineRule="exact"/>
        <w:ind w:firstLine="480" w:firstLineChars="200"/>
        <w:rPr>
          <w:rFonts w:ascii="宋体" w:hAnsi="宋体"/>
          <w:color w:val="auto"/>
          <w:sz w:val="24"/>
        </w:rPr>
      </w:pPr>
      <w:r>
        <w:rPr>
          <w:rFonts w:hint="eastAsia" w:ascii="宋体" w:hAnsi="宋体"/>
          <w:color w:val="auto"/>
          <w:sz w:val="24"/>
        </w:rPr>
        <w:t>二、供应商完成项目的组织机构、服务方案、实施方案。</w:t>
      </w:r>
    </w:p>
    <w:p w14:paraId="7A3B7B62">
      <w:pPr>
        <w:spacing w:line="500" w:lineRule="exact"/>
        <w:ind w:firstLine="480" w:firstLineChars="200"/>
        <w:rPr>
          <w:rFonts w:ascii="宋体" w:hAnsi="宋体"/>
          <w:color w:val="auto"/>
          <w:sz w:val="24"/>
        </w:rPr>
      </w:pPr>
      <w:r>
        <w:rPr>
          <w:rFonts w:hint="eastAsia" w:ascii="宋体" w:hAnsi="宋体"/>
          <w:color w:val="auto"/>
          <w:sz w:val="24"/>
        </w:rPr>
        <w:t>三、供应商完成项目的保障能力。</w:t>
      </w:r>
    </w:p>
    <w:p w14:paraId="22A7E68C">
      <w:pPr>
        <w:spacing w:line="500" w:lineRule="exact"/>
        <w:ind w:firstLine="480" w:firstLineChars="200"/>
        <w:rPr>
          <w:rFonts w:ascii="宋体" w:hAnsi="宋体"/>
          <w:color w:val="auto"/>
          <w:sz w:val="24"/>
        </w:rPr>
      </w:pPr>
      <w:r>
        <w:rPr>
          <w:rFonts w:hint="eastAsia" w:ascii="宋体" w:hAnsi="宋体"/>
          <w:color w:val="auto"/>
          <w:sz w:val="24"/>
        </w:rPr>
        <w:t>四、供应商类似业绩合同。</w:t>
      </w:r>
    </w:p>
    <w:p w14:paraId="22B7F6D8">
      <w:pPr>
        <w:pStyle w:val="110"/>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五、供应商认为有必要说明的问题。</w:t>
      </w:r>
    </w:p>
    <w:p w14:paraId="2CBD8C3E">
      <w:pPr>
        <w:pStyle w:val="110"/>
        <w:spacing w:line="360" w:lineRule="auto"/>
        <w:rPr>
          <w:color w:val="auto"/>
        </w:rPr>
      </w:pPr>
      <w:r>
        <w:rPr>
          <w:rFonts w:hint="eastAsia" w:ascii="宋体" w:hAnsi="宋体"/>
          <w:b/>
          <w:color w:val="auto"/>
          <w:sz w:val="24"/>
        </w:rPr>
        <w:t>（各供应商根据采购内容及评审要素，可自主编写方案说明，不限于以上内容）</w:t>
      </w:r>
    </w:p>
    <w:p w14:paraId="5D91350C">
      <w:pPr>
        <w:pStyle w:val="110"/>
        <w:spacing w:line="360" w:lineRule="auto"/>
        <w:rPr>
          <w:color w:val="auto"/>
          <w:highlight w:val="yellow"/>
        </w:rPr>
      </w:pPr>
    </w:p>
    <w:p w14:paraId="7E0015B4">
      <w:pPr>
        <w:pStyle w:val="110"/>
        <w:spacing w:line="360" w:lineRule="auto"/>
        <w:rPr>
          <w:color w:val="auto"/>
        </w:rPr>
      </w:pPr>
    </w:p>
    <w:p w14:paraId="24C08690">
      <w:pPr>
        <w:spacing w:line="360" w:lineRule="atLeast"/>
        <w:jc w:val="center"/>
        <w:rPr>
          <w:rFonts w:ascii="宋体" w:hAnsi="宋体" w:cs="Courier New"/>
          <w:b/>
          <w:color w:val="auto"/>
          <w:sz w:val="32"/>
          <w:szCs w:val="21"/>
        </w:rPr>
      </w:pPr>
      <w:r>
        <w:rPr>
          <w:color w:val="auto"/>
          <w:sz w:val="24"/>
        </w:rPr>
        <w:br w:type="page"/>
      </w:r>
      <w:r>
        <w:rPr>
          <w:rFonts w:hint="eastAsia" w:ascii="宋体" w:hAnsi="宋体" w:cs="Courier New"/>
          <w:b/>
          <w:color w:val="auto"/>
          <w:sz w:val="32"/>
          <w:szCs w:val="21"/>
        </w:rPr>
        <w:t>第六部分  供应商承诺书</w:t>
      </w:r>
    </w:p>
    <w:p w14:paraId="24151E6A">
      <w:pPr>
        <w:pStyle w:val="15"/>
        <w:jc w:val="center"/>
        <w:rPr>
          <w:rFonts w:hAnsi="宋体"/>
          <w:b/>
          <w:color w:val="auto"/>
          <w:sz w:val="32"/>
        </w:rPr>
      </w:pPr>
      <w:r>
        <w:rPr>
          <w:rFonts w:hint="eastAsia" w:hAnsi="宋体"/>
          <w:b/>
          <w:color w:val="auto"/>
          <w:sz w:val="32"/>
        </w:rPr>
        <w:t>陕西省政府采购供应商拒绝政府采购领域商业贿赂承诺书</w:t>
      </w:r>
      <w:r>
        <w:rPr>
          <w:rFonts w:hint="eastAsia" w:hAnsi="宋体"/>
          <w:b/>
          <w:color w:val="auto"/>
          <w:sz w:val="32"/>
          <w:szCs w:val="32"/>
        </w:rPr>
        <w:t>Ⅰ</w:t>
      </w:r>
    </w:p>
    <w:p w14:paraId="090F75E7">
      <w:pPr>
        <w:rPr>
          <w:rFonts w:ascii="宋体" w:hAnsi="宋体"/>
          <w:color w:val="auto"/>
        </w:rPr>
      </w:pPr>
    </w:p>
    <w:p w14:paraId="5208C724">
      <w:pPr>
        <w:spacing w:line="360" w:lineRule="auto"/>
        <w:ind w:firstLine="360" w:firstLineChars="150"/>
        <w:rPr>
          <w:rFonts w:ascii="宋体" w:hAnsi="宋体"/>
          <w:color w:val="auto"/>
          <w:sz w:val="24"/>
          <w:szCs w:val="28"/>
        </w:rPr>
      </w:pPr>
      <w:r>
        <w:rPr>
          <w:rFonts w:hint="eastAsia" w:ascii="宋体" w:hAnsi="宋体"/>
          <w:color w:val="auto"/>
          <w:sz w:val="24"/>
          <w:szCs w:val="28"/>
        </w:rPr>
        <w:t xml:space="preserve"> 为响应党中央、国务院关于治理政府采购领域商业贿赂行为的号召，我公司在此庄严承诺：</w:t>
      </w:r>
    </w:p>
    <w:p w14:paraId="5FBFAE1F">
      <w:pPr>
        <w:spacing w:line="360" w:lineRule="auto"/>
        <w:ind w:firstLine="480" w:firstLineChars="200"/>
        <w:rPr>
          <w:rFonts w:ascii="宋体" w:hAnsi="宋体"/>
          <w:color w:val="auto"/>
          <w:sz w:val="24"/>
          <w:szCs w:val="28"/>
        </w:rPr>
      </w:pPr>
      <w:r>
        <w:rPr>
          <w:rFonts w:hint="eastAsia" w:ascii="宋体" w:hAnsi="宋体"/>
          <w:color w:val="auto"/>
          <w:sz w:val="24"/>
          <w:szCs w:val="28"/>
        </w:rPr>
        <w:t>1、在参与政府采购活动中遵纪守法、诚信经营、公平竞标。</w:t>
      </w:r>
    </w:p>
    <w:p w14:paraId="18B5F20A">
      <w:pPr>
        <w:spacing w:line="360" w:lineRule="auto"/>
        <w:ind w:firstLine="480" w:firstLineChars="200"/>
        <w:rPr>
          <w:rFonts w:ascii="宋体" w:hAnsi="宋体"/>
          <w:color w:val="auto"/>
          <w:sz w:val="24"/>
          <w:szCs w:val="28"/>
        </w:rPr>
      </w:pPr>
      <w:r>
        <w:rPr>
          <w:rFonts w:hint="eastAsia" w:ascii="宋体" w:hAnsi="宋体"/>
          <w:color w:val="auto"/>
          <w:sz w:val="24"/>
          <w:szCs w:val="28"/>
        </w:rPr>
        <w:t>2、不向政府采购人、采购代理机构和政府采购评审专家进行任何形式的商业贿赂以谋取交易机会。</w:t>
      </w:r>
    </w:p>
    <w:p w14:paraId="036A4CFE">
      <w:pPr>
        <w:spacing w:line="360" w:lineRule="auto"/>
        <w:ind w:firstLine="480" w:firstLineChars="200"/>
        <w:rPr>
          <w:rFonts w:ascii="宋体" w:hAnsi="宋体"/>
          <w:color w:val="auto"/>
          <w:sz w:val="24"/>
          <w:szCs w:val="28"/>
        </w:rPr>
      </w:pPr>
      <w:r>
        <w:rPr>
          <w:rFonts w:hint="eastAsia" w:ascii="宋体" w:hAnsi="宋体"/>
          <w:color w:val="auto"/>
          <w:sz w:val="24"/>
          <w:szCs w:val="28"/>
        </w:rPr>
        <w:t>3、不向政府采购代理机构和采购人提供虚假资质文件或采用虚假应标方式参与政府采购市场竞争并谋取成交。</w:t>
      </w:r>
    </w:p>
    <w:p w14:paraId="5E2CD3ED">
      <w:pPr>
        <w:spacing w:line="360" w:lineRule="auto"/>
        <w:ind w:firstLine="480" w:firstLineChars="200"/>
        <w:rPr>
          <w:rFonts w:ascii="宋体" w:hAnsi="宋体"/>
          <w:color w:val="auto"/>
          <w:sz w:val="24"/>
          <w:szCs w:val="28"/>
        </w:rPr>
      </w:pPr>
      <w:r>
        <w:rPr>
          <w:rFonts w:hint="eastAsia" w:ascii="宋体" w:hAnsi="宋体"/>
          <w:color w:val="auto"/>
          <w:sz w:val="24"/>
          <w:szCs w:val="28"/>
        </w:rPr>
        <w:t>4、不采取“围标、陪标”等商业欺诈手段获得政府采购订单。</w:t>
      </w:r>
    </w:p>
    <w:p w14:paraId="65BFED51">
      <w:pPr>
        <w:spacing w:line="360" w:lineRule="auto"/>
        <w:ind w:firstLine="480" w:firstLineChars="200"/>
        <w:rPr>
          <w:rFonts w:ascii="宋体" w:hAnsi="宋体"/>
          <w:color w:val="auto"/>
          <w:sz w:val="24"/>
          <w:szCs w:val="28"/>
        </w:rPr>
      </w:pPr>
      <w:r>
        <w:rPr>
          <w:rFonts w:hint="eastAsia" w:ascii="宋体" w:hAnsi="宋体"/>
          <w:color w:val="auto"/>
          <w:sz w:val="24"/>
          <w:szCs w:val="28"/>
        </w:rPr>
        <w:t>5、不采取不正当手段诋毁、排挤其他供应商。</w:t>
      </w:r>
    </w:p>
    <w:p w14:paraId="5475A770">
      <w:pPr>
        <w:spacing w:line="360" w:lineRule="auto"/>
        <w:ind w:firstLine="480" w:firstLineChars="200"/>
        <w:rPr>
          <w:rFonts w:ascii="宋体" w:hAnsi="宋体"/>
          <w:color w:val="auto"/>
          <w:sz w:val="24"/>
          <w:szCs w:val="28"/>
        </w:rPr>
      </w:pPr>
      <w:r>
        <w:rPr>
          <w:rFonts w:hint="eastAsia" w:ascii="宋体" w:hAnsi="宋体"/>
          <w:color w:val="auto"/>
          <w:sz w:val="24"/>
          <w:szCs w:val="28"/>
        </w:rPr>
        <w:t>6、不在提供商品和服务时“偷梁换柱、以次充好”损害采购人的合法权益。</w:t>
      </w:r>
    </w:p>
    <w:p w14:paraId="79DFE403">
      <w:pPr>
        <w:spacing w:line="360" w:lineRule="auto"/>
        <w:ind w:left="239" w:leftChars="114" w:firstLine="240" w:firstLineChars="100"/>
        <w:rPr>
          <w:rFonts w:ascii="宋体" w:hAnsi="宋体"/>
          <w:color w:val="auto"/>
          <w:sz w:val="24"/>
          <w:szCs w:val="28"/>
        </w:rPr>
      </w:pPr>
      <w:r>
        <w:rPr>
          <w:rFonts w:hint="eastAsia" w:ascii="宋体" w:hAnsi="宋体"/>
          <w:color w:val="auto"/>
          <w:sz w:val="24"/>
          <w:szCs w:val="28"/>
        </w:rPr>
        <w:t>7、不与采购人、采购代理机构政府采购评审专家或其它供应商恶意串通，进行质疑和投诉，维护政府采购市场秩序。</w:t>
      </w:r>
    </w:p>
    <w:p w14:paraId="23714C5B">
      <w:pPr>
        <w:spacing w:line="360" w:lineRule="auto"/>
        <w:ind w:left="239" w:leftChars="114" w:firstLine="240" w:firstLineChars="100"/>
        <w:rPr>
          <w:rFonts w:ascii="宋体" w:hAnsi="宋体"/>
          <w:color w:val="auto"/>
          <w:sz w:val="24"/>
          <w:szCs w:val="28"/>
        </w:rPr>
      </w:pPr>
      <w:r>
        <w:rPr>
          <w:rFonts w:hint="eastAsia" w:ascii="宋体" w:hAnsi="宋体"/>
          <w:color w:val="auto"/>
          <w:sz w:val="24"/>
          <w:szCs w:val="28"/>
        </w:rPr>
        <w:t>8、尊重和接受政府采购监督管理部门的监督和政府采购代理机构的采购要求，承担因违约行为给采购人造成的损失。</w:t>
      </w:r>
    </w:p>
    <w:p w14:paraId="3175AB5D">
      <w:pPr>
        <w:spacing w:line="360" w:lineRule="auto"/>
        <w:ind w:firstLine="480" w:firstLineChars="200"/>
        <w:rPr>
          <w:rFonts w:ascii="宋体" w:hAnsi="宋体"/>
          <w:color w:val="auto"/>
          <w:sz w:val="24"/>
          <w:szCs w:val="28"/>
        </w:rPr>
      </w:pPr>
      <w:r>
        <w:rPr>
          <w:rFonts w:hint="eastAsia" w:ascii="宋体" w:hAnsi="宋体"/>
          <w:color w:val="auto"/>
          <w:sz w:val="24"/>
          <w:szCs w:val="28"/>
        </w:rPr>
        <w:t>9、不发生其它有悖于政府采购公开、公平、公正和诚信原则的行为。</w:t>
      </w:r>
    </w:p>
    <w:p w14:paraId="76D959EE">
      <w:pPr>
        <w:spacing w:line="360" w:lineRule="auto"/>
        <w:ind w:firstLine="360" w:firstLineChars="150"/>
        <w:rPr>
          <w:rFonts w:ascii="宋体" w:hAnsi="宋体"/>
          <w:color w:val="auto"/>
          <w:sz w:val="24"/>
          <w:szCs w:val="28"/>
        </w:rPr>
      </w:pPr>
    </w:p>
    <w:p w14:paraId="03E75528">
      <w:pPr>
        <w:spacing w:line="360" w:lineRule="auto"/>
        <w:ind w:firstLine="360" w:firstLineChars="150"/>
        <w:rPr>
          <w:rFonts w:ascii="宋体" w:hAnsi="宋体"/>
          <w:color w:val="auto"/>
          <w:sz w:val="24"/>
          <w:szCs w:val="28"/>
        </w:rPr>
      </w:pPr>
      <w:r>
        <w:rPr>
          <w:rFonts w:hint="eastAsia" w:ascii="宋体" w:hAnsi="宋体"/>
          <w:color w:val="auto"/>
          <w:sz w:val="24"/>
          <w:szCs w:val="28"/>
        </w:rPr>
        <w:t>承诺单位：（盖章）</w:t>
      </w:r>
    </w:p>
    <w:p w14:paraId="7777D90E">
      <w:pPr>
        <w:spacing w:line="360" w:lineRule="auto"/>
        <w:ind w:firstLine="360" w:firstLineChars="150"/>
        <w:rPr>
          <w:rFonts w:ascii="宋体" w:hAnsi="宋体"/>
          <w:color w:val="auto"/>
          <w:sz w:val="24"/>
          <w:szCs w:val="28"/>
        </w:rPr>
      </w:pPr>
    </w:p>
    <w:p w14:paraId="236B5061">
      <w:pPr>
        <w:spacing w:line="360" w:lineRule="auto"/>
        <w:ind w:firstLine="360" w:firstLineChars="150"/>
        <w:rPr>
          <w:rFonts w:ascii="宋体" w:hAnsi="宋体"/>
          <w:color w:val="auto"/>
          <w:sz w:val="24"/>
          <w:szCs w:val="28"/>
        </w:rPr>
      </w:pPr>
      <w:r>
        <w:rPr>
          <w:rFonts w:hint="eastAsia" w:ascii="宋体" w:hAnsi="宋体"/>
          <w:color w:val="auto"/>
          <w:sz w:val="24"/>
          <w:szCs w:val="28"/>
        </w:rPr>
        <w:t>法定代表人：（签字）</w:t>
      </w:r>
    </w:p>
    <w:p w14:paraId="68E4184E">
      <w:pPr>
        <w:spacing w:line="360" w:lineRule="auto"/>
        <w:ind w:firstLine="360" w:firstLineChars="150"/>
        <w:rPr>
          <w:rFonts w:ascii="宋体" w:hAnsi="宋体"/>
          <w:color w:val="auto"/>
          <w:sz w:val="24"/>
          <w:szCs w:val="28"/>
        </w:rPr>
      </w:pPr>
    </w:p>
    <w:p w14:paraId="42447336">
      <w:pPr>
        <w:spacing w:line="360" w:lineRule="auto"/>
        <w:ind w:firstLine="360" w:firstLineChars="150"/>
        <w:rPr>
          <w:rFonts w:ascii="宋体" w:hAnsi="宋体"/>
          <w:color w:val="auto"/>
          <w:sz w:val="24"/>
          <w:szCs w:val="28"/>
        </w:rPr>
      </w:pPr>
      <w:r>
        <w:rPr>
          <w:rFonts w:hint="eastAsia" w:ascii="宋体" w:hAnsi="宋体"/>
          <w:color w:val="auto"/>
          <w:sz w:val="24"/>
          <w:szCs w:val="28"/>
        </w:rPr>
        <w:t>地址：                              邮编：</w:t>
      </w:r>
    </w:p>
    <w:p w14:paraId="78A5E088">
      <w:pPr>
        <w:spacing w:line="360" w:lineRule="auto"/>
        <w:ind w:firstLine="360" w:firstLineChars="150"/>
        <w:rPr>
          <w:rFonts w:ascii="宋体" w:hAnsi="宋体"/>
          <w:color w:val="auto"/>
          <w:sz w:val="24"/>
          <w:szCs w:val="28"/>
        </w:rPr>
      </w:pPr>
    </w:p>
    <w:p w14:paraId="7F3C6740">
      <w:pPr>
        <w:spacing w:line="360" w:lineRule="auto"/>
        <w:ind w:firstLine="360" w:firstLineChars="150"/>
        <w:rPr>
          <w:rFonts w:ascii="宋体" w:hAnsi="宋体"/>
          <w:color w:val="auto"/>
          <w:sz w:val="24"/>
          <w:szCs w:val="28"/>
        </w:rPr>
      </w:pPr>
      <w:r>
        <w:rPr>
          <w:rFonts w:hint="eastAsia" w:ascii="宋体" w:hAnsi="宋体"/>
          <w:color w:val="auto"/>
          <w:sz w:val="24"/>
          <w:szCs w:val="28"/>
        </w:rPr>
        <w:t>电话：</w:t>
      </w:r>
    </w:p>
    <w:p w14:paraId="0B0DC4F0">
      <w:pPr>
        <w:spacing w:line="360" w:lineRule="auto"/>
        <w:ind w:firstLine="360" w:firstLineChars="150"/>
        <w:rPr>
          <w:rFonts w:ascii="宋体" w:hAnsi="宋体"/>
          <w:color w:val="auto"/>
          <w:sz w:val="24"/>
          <w:szCs w:val="28"/>
        </w:rPr>
      </w:pPr>
    </w:p>
    <w:p w14:paraId="334535F5">
      <w:pPr>
        <w:spacing w:line="360" w:lineRule="auto"/>
        <w:ind w:right="480" w:firstLine="360" w:firstLineChars="150"/>
        <w:jc w:val="center"/>
        <w:rPr>
          <w:rFonts w:ascii="宋体" w:hAnsi="宋体"/>
          <w:color w:val="auto"/>
          <w:sz w:val="24"/>
          <w:szCs w:val="28"/>
        </w:rPr>
      </w:pPr>
      <w:r>
        <w:rPr>
          <w:rFonts w:hint="eastAsia" w:ascii="宋体" w:hAnsi="宋体"/>
          <w:color w:val="auto"/>
          <w:sz w:val="24"/>
          <w:szCs w:val="28"/>
        </w:rPr>
        <w:t xml:space="preserve">                                                 年  月  日</w:t>
      </w:r>
    </w:p>
    <w:p w14:paraId="7CC0737C">
      <w:pPr>
        <w:spacing w:line="360" w:lineRule="atLeast"/>
        <w:rPr>
          <w:rFonts w:ascii="宋体" w:hAnsi="宋体"/>
          <w:b/>
          <w:color w:val="auto"/>
          <w:sz w:val="32"/>
          <w:szCs w:val="32"/>
        </w:rPr>
      </w:pPr>
    </w:p>
    <w:p w14:paraId="776DC522">
      <w:pPr>
        <w:spacing w:line="336" w:lineRule="auto"/>
        <w:jc w:val="center"/>
        <w:rPr>
          <w:rFonts w:ascii="宋体" w:hAnsi="宋体"/>
          <w:b/>
          <w:color w:val="auto"/>
          <w:sz w:val="36"/>
          <w:szCs w:val="44"/>
        </w:rPr>
      </w:pPr>
      <w:r>
        <w:rPr>
          <w:rFonts w:hint="eastAsia" w:ascii="宋体" w:hAnsi="宋体"/>
          <w:b/>
          <w:color w:val="auto"/>
          <w:sz w:val="36"/>
          <w:szCs w:val="44"/>
        </w:rPr>
        <w:t>承诺书Ⅱ</w:t>
      </w:r>
    </w:p>
    <w:p w14:paraId="7A957738">
      <w:pPr>
        <w:spacing w:line="360" w:lineRule="auto"/>
        <w:ind w:firstLine="480" w:firstLineChars="200"/>
        <w:rPr>
          <w:rFonts w:ascii="宋体" w:hAnsi="宋体"/>
          <w:color w:val="auto"/>
          <w:sz w:val="24"/>
          <w:szCs w:val="28"/>
        </w:rPr>
      </w:pPr>
      <w:r>
        <w:rPr>
          <w:rFonts w:hint="eastAsia" w:ascii="宋体" w:hAnsi="宋体"/>
          <w:color w:val="auto"/>
          <w:sz w:val="24"/>
          <w:szCs w:val="28"/>
        </w:rPr>
        <w:t>致：陕西国创招标有限公司</w:t>
      </w:r>
    </w:p>
    <w:p w14:paraId="0B50070A">
      <w:pPr>
        <w:spacing w:line="360" w:lineRule="auto"/>
        <w:ind w:firstLine="480" w:firstLineChars="200"/>
        <w:rPr>
          <w:rFonts w:ascii="宋体" w:hAnsi="宋体"/>
          <w:color w:val="auto"/>
          <w:sz w:val="24"/>
          <w:szCs w:val="28"/>
        </w:rPr>
      </w:pPr>
      <w:r>
        <w:rPr>
          <w:rFonts w:hint="eastAsia" w:ascii="宋体" w:hAnsi="宋体"/>
          <w:color w:val="auto"/>
          <w:sz w:val="24"/>
          <w:szCs w:val="28"/>
        </w:rPr>
        <w:t>为了诚实、客观、有序地参与陕西省政府采购活动，愿就以下内容作出承诺：</w:t>
      </w:r>
    </w:p>
    <w:p w14:paraId="73CC301C">
      <w:pPr>
        <w:spacing w:line="360" w:lineRule="auto"/>
        <w:ind w:firstLine="480" w:firstLineChars="200"/>
        <w:rPr>
          <w:rFonts w:ascii="宋体" w:hAnsi="宋体"/>
          <w:color w:val="auto"/>
          <w:sz w:val="24"/>
          <w:szCs w:val="28"/>
        </w:rPr>
      </w:pPr>
      <w:r>
        <w:rPr>
          <w:rFonts w:hint="eastAsia" w:ascii="宋体" w:hAnsi="宋体"/>
          <w:color w:val="auto"/>
          <w:sz w:val="24"/>
          <w:szCs w:val="28"/>
        </w:rPr>
        <w:t>1、参加采购代理机构组织的政府采购活动时，严格按照招标文件的规定和要求提供所需的相关材料，并对所提供的各类资料的真实性负责，不虚假应标，不虚列业绩。</w:t>
      </w:r>
    </w:p>
    <w:p w14:paraId="06C70245">
      <w:pPr>
        <w:spacing w:line="360" w:lineRule="auto"/>
        <w:ind w:firstLine="480" w:firstLineChars="200"/>
        <w:rPr>
          <w:rFonts w:ascii="宋体" w:hAnsi="宋体"/>
          <w:color w:val="auto"/>
          <w:sz w:val="24"/>
          <w:szCs w:val="28"/>
        </w:rPr>
      </w:pPr>
      <w:r>
        <w:rPr>
          <w:rFonts w:hint="eastAsia" w:ascii="宋体" w:hAnsi="宋体"/>
          <w:color w:val="auto"/>
          <w:sz w:val="24"/>
          <w:szCs w:val="28"/>
        </w:rPr>
        <w:t>2、尊重参与政府采购活动各相关方的合法行为，接受政府采购活动依法形成的意见、结果。</w:t>
      </w:r>
    </w:p>
    <w:p w14:paraId="176EF2E1">
      <w:pPr>
        <w:spacing w:line="360" w:lineRule="auto"/>
        <w:ind w:firstLine="480" w:firstLineChars="200"/>
        <w:rPr>
          <w:rFonts w:ascii="宋体" w:hAnsi="宋体"/>
          <w:color w:val="auto"/>
          <w:sz w:val="24"/>
          <w:szCs w:val="28"/>
        </w:rPr>
      </w:pPr>
      <w:r>
        <w:rPr>
          <w:rFonts w:hint="eastAsia" w:ascii="宋体" w:hAnsi="宋体"/>
          <w:color w:val="auto"/>
          <w:sz w:val="24"/>
          <w:szCs w:val="28"/>
        </w:rPr>
        <w:t>3、依法参加政府采购活动，不围标、串标，维护市场秩序，不提供“三无”产品、以次充好，保证为正品。近三年因项目质量问题（水货、替代品、次品、翻新品等）的不法行为记录为</w:t>
      </w:r>
      <w:r>
        <w:rPr>
          <w:rFonts w:hint="eastAsia" w:ascii="宋体" w:hAnsi="宋体"/>
          <w:color w:val="auto"/>
          <w:sz w:val="24"/>
          <w:szCs w:val="28"/>
          <w:u w:val="single"/>
        </w:rPr>
        <w:t xml:space="preserve">   </w:t>
      </w:r>
      <w:r>
        <w:rPr>
          <w:rFonts w:hint="eastAsia" w:ascii="宋体" w:hAnsi="宋体"/>
          <w:color w:val="auto"/>
          <w:sz w:val="24"/>
          <w:szCs w:val="28"/>
        </w:rPr>
        <w:t>次（没有填零），如有隐瞒实情，愿承担一切责任及后果。</w:t>
      </w:r>
    </w:p>
    <w:p w14:paraId="354DA377">
      <w:pPr>
        <w:spacing w:line="360" w:lineRule="auto"/>
        <w:ind w:firstLine="480" w:firstLineChars="200"/>
        <w:rPr>
          <w:rFonts w:ascii="宋体" w:hAnsi="宋体"/>
          <w:color w:val="auto"/>
          <w:sz w:val="24"/>
          <w:szCs w:val="28"/>
        </w:rPr>
      </w:pPr>
      <w:r>
        <w:rPr>
          <w:rFonts w:hint="eastAsia" w:ascii="宋体" w:hAnsi="宋体"/>
          <w:color w:val="auto"/>
          <w:sz w:val="24"/>
          <w:szCs w:val="28"/>
        </w:rPr>
        <w:t>4、作为参加贵公司组织的招标采购项目的投标人，本公司承诺：在参加本项目招标之前不存在被依法禁止经营行为、财产被接管或冻结的情况，如有隐瞒实情，愿承担一切责任及后果。</w:t>
      </w:r>
    </w:p>
    <w:p w14:paraId="5E681403">
      <w:pPr>
        <w:spacing w:line="360" w:lineRule="auto"/>
        <w:ind w:firstLine="480" w:firstLineChars="200"/>
        <w:rPr>
          <w:rFonts w:ascii="宋体" w:hAnsi="宋体"/>
          <w:color w:val="auto"/>
          <w:sz w:val="24"/>
          <w:szCs w:val="28"/>
        </w:rPr>
      </w:pPr>
      <w:r>
        <w:rPr>
          <w:rFonts w:hint="eastAsia" w:ascii="宋体" w:hAnsi="宋体"/>
          <w:color w:val="auto"/>
          <w:sz w:val="24"/>
          <w:szCs w:val="28"/>
        </w:rPr>
        <w:t>5、近三年受到有关行政主管部门的行政处理、不良行为记录为</w:t>
      </w:r>
      <w:r>
        <w:rPr>
          <w:rFonts w:hint="eastAsia" w:ascii="宋体" w:hAnsi="宋体"/>
          <w:color w:val="auto"/>
          <w:sz w:val="24"/>
          <w:szCs w:val="28"/>
          <w:u w:val="single"/>
        </w:rPr>
        <w:t xml:space="preserve">    </w:t>
      </w:r>
      <w:r>
        <w:rPr>
          <w:rFonts w:hint="eastAsia" w:ascii="宋体" w:hAnsi="宋体"/>
          <w:color w:val="auto"/>
          <w:sz w:val="24"/>
          <w:szCs w:val="28"/>
        </w:rPr>
        <w:t>次（没有填零），如有隐瞒实情，愿承担一切责任及后果。</w:t>
      </w:r>
    </w:p>
    <w:p w14:paraId="7E07BA9A">
      <w:pPr>
        <w:spacing w:line="360" w:lineRule="auto"/>
        <w:ind w:firstLine="480" w:firstLineChars="200"/>
        <w:rPr>
          <w:rFonts w:ascii="宋体" w:hAnsi="宋体"/>
          <w:color w:val="auto"/>
          <w:sz w:val="24"/>
          <w:szCs w:val="28"/>
        </w:rPr>
      </w:pPr>
      <w:r>
        <w:rPr>
          <w:rFonts w:hint="eastAsia" w:ascii="宋体" w:hAnsi="宋体"/>
          <w:color w:val="auto"/>
          <w:sz w:val="24"/>
          <w:szCs w:val="28"/>
        </w:rPr>
        <w:t>6、参加本次投标提交的所有资质证明文件及业绩证明是真实的、有效的，如有隐瞒实情，愿承担一切责任及后果。</w:t>
      </w:r>
    </w:p>
    <w:p w14:paraId="08BB9BE8">
      <w:pPr>
        <w:spacing w:line="360" w:lineRule="auto"/>
        <w:ind w:firstLine="480" w:firstLineChars="200"/>
        <w:rPr>
          <w:rFonts w:ascii="宋体" w:hAnsi="宋体"/>
          <w:color w:val="auto"/>
          <w:sz w:val="24"/>
          <w:szCs w:val="28"/>
        </w:rPr>
      </w:pPr>
      <w:r>
        <w:rPr>
          <w:rFonts w:hint="eastAsia" w:ascii="宋体" w:hAnsi="宋体"/>
          <w:color w:val="auto"/>
          <w:sz w:val="24"/>
          <w:szCs w:val="28"/>
        </w:rPr>
        <w:t>7、积极推动政府采购活动健康开展，对采购活动有疑问、异议时，按法律规定的程序实名（加盖单位章和法定代表人签名）反映情况，不恶意中伤、无事生非，以和谐、平等的心态参加政府采购活动。</w:t>
      </w:r>
    </w:p>
    <w:p w14:paraId="21304B31">
      <w:pPr>
        <w:spacing w:line="360" w:lineRule="auto"/>
        <w:ind w:firstLine="480" w:firstLineChars="200"/>
        <w:rPr>
          <w:rFonts w:ascii="宋体" w:hAnsi="宋体"/>
          <w:color w:val="auto"/>
          <w:sz w:val="24"/>
          <w:szCs w:val="28"/>
        </w:rPr>
      </w:pPr>
      <w:r>
        <w:rPr>
          <w:rFonts w:hint="eastAsia" w:ascii="宋体" w:hAnsi="宋体"/>
          <w:color w:val="auto"/>
          <w:sz w:val="24"/>
          <w:szCs w:val="28"/>
        </w:rPr>
        <w:t>8、认真履行中标人应承担的责任和义务，全面执行采购合同规定的各项内容，保质保量地按时提供采购物品。</w:t>
      </w:r>
    </w:p>
    <w:p w14:paraId="389EACA7">
      <w:pPr>
        <w:spacing w:line="360" w:lineRule="auto"/>
        <w:ind w:firstLine="480" w:firstLineChars="200"/>
        <w:rPr>
          <w:rFonts w:ascii="宋体" w:hAnsi="宋体"/>
          <w:color w:val="auto"/>
          <w:sz w:val="24"/>
          <w:szCs w:val="28"/>
        </w:rPr>
      </w:pPr>
      <w:r>
        <w:rPr>
          <w:rFonts w:hint="eastAsia" w:ascii="宋体" w:hAnsi="宋体"/>
          <w:color w:val="auto"/>
          <w:sz w:val="24"/>
          <w:szCs w:val="28"/>
        </w:rPr>
        <w:t>若本企业（单位）发生有悖于上述承诺的行为，愿意接受《中华人民共和国政府采购法》和《中华人民共和国政府采购法实施条例》中对投标人的相关处理。</w:t>
      </w:r>
    </w:p>
    <w:p w14:paraId="7EABCD11">
      <w:pPr>
        <w:spacing w:line="360" w:lineRule="auto"/>
        <w:ind w:firstLine="480" w:firstLineChars="200"/>
        <w:rPr>
          <w:rFonts w:ascii="宋体" w:hAnsi="宋体"/>
          <w:color w:val="auto"/>
          <w:sz w:val="24"/>
          <w:szCs w:val="28"/>
        </w:rPr>
      </w:pPr>
      <w:r>
        <w:rPr>
          <w:rFonts w:hint="eastAsia" w:ascii="宋体" w:hAnsi="宋体"/>
          <w:color w:val="auto"/>
          <w:sz w:val="24"/>
          <w:szCs w:val="28"/>
        </w:rPr>
        <w:t>本承诺是采购项目投标文件的组成部分。</w:t>
      </w:r>
    </w:p>
    <w:p w14:paraId="4A2A67D0">
      <w:pPr>
        <w:spacing w:line="360" w:lineRule="auto"/>
        <w:ind w:firstLine="480" w:firstLineChars="200"/>
        <w:rPr>
          <w:rFonts w:ascii="宋体" w:hAnsi="宋体"/>
          <w:color w:val="auto"/>
          <w:sz w:val="24"/>
          <w:szCs w:val="28"/>
        </w:rPr>
      </w:pPr>
      <w:r>
        <w:rPr>
          <w:rFonts w:hint="eastAsia" w:ascii="宋体" w:hAnsi="宋体"/>
          <w:color w:val="auto"/>
          <w:sz w:val="24"/>
          <w:szCs w:val="28"/>
        </w:rPr>
        <w:t>承诺单位：（盖章）</w:t>
      </w:r>
    </w:p>
    <w:p w14:paraId="68ADA7C4">
      <w:pPr>
        <w:spacing w:line="360" w:lineRule="auto"/>
        <w:ind w:firstLine="480" w:firstLineChars="200"/>
        <w:rPr>
          <w:rFonts w:ascii="宋体" w:hAnsi="宋体"/>
          <w:color w:val="auto"/>
          <w:sz w:val="24"/>
          <w:szCs w:val="28"/>
        </w:rPr>
      </w:pPr>
      <w:r>
        <w:rPr>
          <w:rFonts w:hint="eastAsia" w:ascii="宋体" w:hAnsi="宋体"/>
          <w:color w:val="auto"/>
          <w:sz w:val="24"/>
          <w:szCs w:val="28"/>
        </w:rPr>
        <w:t>法定代表人或被授权人：（签字）</w:t>
      </w:r>
    </w:p>
    <w:p w14:paraId="43BA1BAE">
      <w:pPr>
        <w:spacing w:line="360" w:lineRule="auto"/>
        <w:ind w:firstLine="480" w:firstLineChars="200"/>
        <w:rPr>
          <w:rFonts w:ascii="宋体" w:hAnsi="宋体"/>
          <w:color w:val="auto"/>
          <w:sz w:val="24"/>
          <w:szCs w:val="28"/>
        </w:rPr>
      </w:pPr>
      <w:r>
        <w:rPr>
          <w:rFonts w:hint="eastAsia" w:ascii="宋体" w:hAnsi="宋体"/>
          <w:color w:val="auto"/>
          <w:sz w:val="24"/>
          <w:szCs w:val="28"/>
        </w:rPr>
        <w:t xml:space="preserve">地址：                              </w:t>
      </w:r>
    </w:p>
    <w:p w14:paraId="63C92B7D">
      <w:pPr>
        <w:spacing w:line="360" w:lineRule="auto"/>
        <w:ind w:firstLine="480" w:firstLineChars="200"/>
        <w:rPr>
          <w:rFonts w:ascii="宋体" w:hAnsi="宋体"/>
          <w:color w:val="auto"/>
          <w:sz w:val="24"/>
          <w:szCs w:val="28"/>
        </w:rPr>
      </w:pPr>
      <w:r>
        <w:rPr>
          <w:rFonts w:hint="eastAsia" w:ascii="宋体" w:hAnsi="宋体"/>
          <w:color w:val="auto"/>
          <w:sz w:val="24"/>
          <w:szCs w:val="28"/>
        </w:rPr>
        <w:t>邮编：                                              年  月  日</w:t>
      </w:r>
    </w:p>
    <w:p w14:paraId="7FAE970E">
      <w:pPr>
        <w:spacing w:line="360" w:lineRule="atLeast"/>
        <w:jc w:val="center"/>
        <w:rPr>
          <w:rFonts w:ascii="宋体" w:hAnsi="宋体" w:cs="仿宋"/>
          <w:b/>
          <w:bCs/>
          <w:color w:val="auto"/>
          <w:sz w:val="32"/>
          <w:szCs w:val="32"/>
        </w:rPr>
      </w:pPr>
      <w:bookmarkStart w:id="21" w:name="_Toc25411"/>
      <w:bookmarkStart w:id="22" w:name="_Toc11970"/>
      <w:r>
        <w:rPr>
          <w:rFonts w:hint="eastAsia" w:ascii="宋体" w:hAnsi="宋体" w:cs="仿宋"/>
          <w:b/>
          <w:bCs/>
          <w:color w:val="auto"/>
          <w:sz w:val="32"/>
          <w:szCs w:val="32"/>
        </w:rPr>
        <w:t>第七部分  附件</w:t>
      </w:r>
    </w:p>
    <w:p w14:paraId="0CB3CCD6">
      <w:pPr>
        <w:spacing w:line="360" w:lineRule="auto"/>
        <w:jc w:val="center"/>
        <w:rPr>
          <w:rFonts w:ascii="宋体" w:hAnsi="宋体" w:cs="仿宋"/>
          <w:b/>
          <w:bCs/>
          <w:color w:val="auto"/>
          <w:sz w:val="32"/>
          <w:szCs w:val="32"/>
        </w:rPr>
      </w:pPr>
      <w:bookmarkStart w:id="23" w:name="_Toc20607"/>
      <w:bookmarkStart w:id="24" w:name="_Toc17249"/>
      <w:r>
        <w:rPr>
          <w:rFonts w:hint="eastAsia" w:ascii="宋体" w:hAnsi="宋体" w:cs="仿宋"/>
          <w:b/>
          <w:bCs/>
          <w:color w:val="auto"/>
          <w:sz w:val="32"/>
          <w:szCs w:val="32"/>
        </w:rPr>
        <w:t>一.</w:t>
      </w:r>
      <w:bookmarkEnd w:id="23"/>
      <w:bookmarkEnd w:id="24"/>
      <w:r>
        <w:rPr>
          <w:rFonts w:hint="eastAsia" w:ascii="宋体" w:hAnsi="宋体" w:cs="仿宋"/>
          <w:b/>
          <w:bCs/>
          <w:color w:val="auto"/>
          <w:sz w:val="32"/>
          <w:szCs w:val="32"/>
        </w:rPr>
        <w:t>中小企业声明函</w:t>
      </w:r>
    </w:p>
    <w:p w14:paraId="537D6B6E">
      <w:pPr>
        <w:pStyle w:val="25"/>
        <w:spacing w:before="0" w:beforeAutospacing="0" w:after="0" w:afterAutospacing="0" w:line="360" w:lineRule="auto"/>
        <w:ind w:firstLine="480" w:firstLineChars="200"/>
        <w:rPr>
          <w:color w:val="auto"/>
        </w:rPr>
      </w:pPr>
      <w:r>
        <w:rPr>
          <w:rFonts w:hint="eastAsia"/>
          <w:color w:val="auto"/>
        </w:rPr>
        <w:t>本公司（联合体）郑重声明，根据《政府采购促进中小企业发展管理办法》（财库〔2020）46 号）的规定，本公司（联合体）参加</w:t>
      </w:r>
      <w:r>
        <w:rPr>
          <w:rFonts w:hint="eastAsia"/>
          <w:color w:val="auto"/>
          <w:u w:val="single"/>
        </w:rPr>
        <w:t xml:space="preserve"> （单位名称）</w:t>
      </w:r>
      <w:r>
        <w:rPr>
          <w:rFonts w:hint="eastAsia"/>
          <w:color w:val="auto"/>
        </w:rPr>
        <w:t>的</w:t>
      </w:r>
      <w:r>
        <w:rPr>
          <w:rFonts w:hint="eastAsia"/>
          <w:color w:val="auto"/>
          <w:u w:val="single"/>
        </w:rPr>
        <w:t xml:space="preserve"> （项目名称） </w:t>
      </w:r>
      <w:r>
        <w:rPr>
          <w:rFonts w:hint="eastAsia"/>
          <w:color w:val="auto"/>
        </w:rPr>
        <w:t>采购活动，工程的施工单位全部为符合政策要求的中小企业（或： 服务全部由符合政策要求的中小企业承接 ）。相关企业（含联合体中的中小企业、签订分包意向协议的中小企业）的具体情况如下：</w:t>
      </w:r>
    </w:p>
    <w:p w14:paraId="3CB15BD1">
      <w:pPr>
        <w:pStyle w:val="25"/>
        <w:spacing w:before="0" w:beforeAutospacing="0" w:after="0" w:afterAutospacing="0" w:line="360" w:lineRule="auto"/>
        <w:ind w:firstLine="480" w:firstLineChars="200"/>
        <w:rPr>
          <w:color w:val="auto"/>
          <w:u w:val="single"/>
        </w:rPr>
      </w:pPr>
      <w:r>
        <w:rPr>
          <w:rFonts w:hint="eastAsia"/>
          <w:color w:val="auto"/>
        </w:rPr>
        <w:t>1.</w:t>
      </w:r>
      <w:r>
        <w:rPr>
          <w:rFonts w:hint="eastAsia"/>
          <w:color w:val="auto"/>
          <w:u w:val="single"/>
        </w:rPr>
        <w:t xml:space="preserve"> （标的名称） </w:t>
      </w:r>
      <w:r>
        <w:rPr>
          <w:rFonts w:hint="eastAsia"/>
          <w:color w:val="auto"/>
        </w:rPr>
        <w:t>，属于</w:t>
      </w:r>
      <w:r>
        <w:rPr>
          <w:rFonts w:hint="eastAsia"/>
          <w:color w:val="auto"/>
          <w:u w:val="single"/>
        </w:rPr>
        <w:t xml:space="preserve">（采购文件中明确的所属行业）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w:t>
      </w:r>
      <w:r>
        <w:rPr>
          <w:rFonts w:hint="eastAsia"/>
          <w:color w:val="auto"/>
          <w:position w:val="-8"/>
        </w:rPr>
        <w:object>
          <v:shape id="_x0000_i1025" o:spt="75" type="#_x0000_t75" style="height:17pt;width:18pt;" o:ole="t" filled="f" o:preferrelative="t" stroked="f" coordsize="21600,21600">
            <v:path/>
            <v:fill on="f" focussize="0,0"/>
            <v:stroke on="f" joinstyle="miter"/>
            <v:imagedata r:id="rId18" o:title=""/>
            <o:lock v:ext="edit" aspectratio="t"/>
            <w10:wrap type="none"/>
            <w10:anchorlock/>
          </v:shape>
          <o:OLEObject Type="Embed" ProgID="Equation.KSEE3" ShapeID="_x0000_i1025" DrawAspect="Content" ObjectID="_1468075725" r:id="rId17">
            <o:LockedField>false</o:LockedField>
          </o:OLEObject>
        </w:object>
      </w:r>
      <w:r>
        <w:rPr>
          <w:rFonts w:hint="eastAsia"/>
          <w:color w:val="auto"/>
        </w:rPr>
        <w:t>，属于</w:t>
      </w:r>
      <w:r>
        <w:rPr>
          <w:rFonts w:hint="eastAsia"/>
          <w:color w:val="auto"/>
          <w:u w:val="single"/>
        </w:rPr>
        <w:t>（中型企业、小型企业、微型企业）；</w:t>
      </w:r>
    </w:p>
    <w:p w14:paraId="02E43ECF">
      <w:pPr>
        <w:pStyle w:val="25"/>
        <w:spacing w:before="0" w:beforeAutospacing="0" w:after="0" w:afterAutospacing="0" w:line="360" w:lineRule="auto"/>
        <w:ind w:firstLine="480" w:firstLineChars="200"/>
        <w:rPr>
          <w:color w:val="auto"/>
          <w:u w:val="single"/>
        </w:rPr>
      </w:pPr>
      <w:r>
        <w:rPr>
          <w:rFonts w:hint="eastAsia"/>
          <w:color w:val="auto"/>
        </w:rPr>
        <w:t>2.</w:t>
      </w:r>
      <w:r>
        <w:rPr>
          <w:rFonts w:hint="eastAsia"/>
          <w:color w:val="auto"/>
          <w:u w:val="single"/>
        </w:rPr>
        <w:t xml:space="preserve"> （标的名称） </w:t>
      </w:r>
      <w:r>
        <w:rPr>
          <w:rFonts w:hint="eastAsia"/>
          <w:color w:val="auto"/>
        </w:rPr>
        <w:t>，属于</w:t>
      </w:r>
      <w:r>
        <w:rPr>
          <w:rFonts w:hint="eastAsia"/>
          <w:color w:val="auto"/>
          <w:u w:val="single"/>
        </w:rPr>
        <w:t xml:space="preserve">（采购文件中明确的所属行业）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（中型企业、小型企业、微型企业）；</w:t>
      </w:r>
    </w:p>
    <w:p w14:paraId="39A5DB6C">
      <w:pPr>
        <w:spacing w:line="360" w:lineRule="auto"/>
        <w:ind w:firstLine="480" w:firstLineChars="200"/>
        <w:rPr>
          <w:rFonts w:ascii="宋体" w:hAnsi="宋体" w:cs="宋体"/>
          <w:color w:val="auto"/>
          <w:sz w:val="24"/>
        </w:rPr>
      </w:pPr>
      <w:r>
        <w:rPr>
          <w:rFonts w:hint="eastAsia" w:ascii="宋体" w:hAnsi="宋体" w:cs="宋体"/>
          <w:color w:val="auto"/>
          <w:sz w:val="24"/>
        </w:rPr>
        <w:t>… …</w:t>
      </w:r>
    </w:p>
    <w:p w14:paraId="23980794">
      <w:pPr>
        <w:pStyle w:val="25"/>
        <w:spacing w:before="0" w:beforeAutospacing="0" w:after="0" w:afterAutospacing="0" w:line="360" w:lineRule="auto"/>
        <w:ind w:firstLine="480" w:firstLineChars="200"/>
        <w:rPr>
          <w:color w:val="auto"/>
        </w:rPr>
      </w:pPr>
      <w:r>
        <w:rPr>
          <w:rFonts w:hint="eastAsia"/>
          <w:color w:val="auto"/>
        </w:rPr>
        <w:t>以上企业，不属于大企业的分支机构，不存在控股股东为大企业的情形，也不存在与大企业的负责人为同一人的情形。</w:t>
      </w:r>
    </w:p>
    <w:p w14:paraId="43BD9931">
      <w:pPr>
        <w:pStyle w:val="25"/>
        <w:spacing w:before="0" w:beforeAutospacing="0" w:after="0" w:afterAutospacing="0" w:line="360" w:lineRule="auto"/>
        <w:ind w:firstLine="480" w:firstLineChars="200"/>
        <w:rPr>
          <w:color w:val="auto"/>
        </w:rPr>
      </w:pPr>
      <w:r>
        <w:rPr>
          <w:rFonts w:hint="eastAsia"/>
          <w:color w:val="auto"/>
        </w:rPr>
        <w:t>本企业对上述声明内容的真实性负责。如有虚假，将依法承担相应责任。</w:t>
      </w:r>
    </w:p>
    <w:p w14:paraId="68115E8B">
      <w:pPr>
        <w:pStyle w:val="25"/>
        <w:spacing w:before="0" w:beforeAutospacing="0" w:after="0" w:afterAutospacing="0" w:line="360" w:lineRule="auto"/>
        <w:rPr>
          <w:color w:val="auto"/>
        </w:rPr>
      </w:pPr>
    </w:p>
    <w:p w14:paraId="522A5DC3">
      <w:pPr>
        <w:pStyle w:val="25"/>
        <w:spacing w:before="0" w:beforeAutospacing="0" w:after="0" w:afterAutospacing="0" w:line="360" w:lineRule="auto"/>
        <w:rPr>
          <w:color w:val="auto"/>
        </w:rPr>
      </w:pPr>
    </w:p>
    <w:p w14:paraId="3819DCAD">
      <w:pPr>
        <w:pStyle w:val="25"/>
        <w:spacing w:before="0" w:beforeAutospacing="0" w:after="0" w:afterAutospacing="0" w:line="360" w:lineRule="auto"/>
        <w:ind w:firstLine="4800" w:firstLineChars="2000"/>
        <w:rPr>
          <w:color w:val="auto"/>
        </w:rPr>
      </w:pPr>
      <w:r>
        <w:rPr>
          <w:rFonts w:hint="eastAsia"/>
          <w:color w:val="auto"/>
        </w:rPr>
        <w:t>企业名称（盖章）∶</w:t>
      </w:r>
    </w:p>
    <w:p w14:paraId="6C1F1C09">
      <w:pPr>
        <w:pStyle w:val="25"/>
        <w:spacing w:before="0" w:beforeAutospacing="0" w:after="0" w:afterAutospacing="0" w:line="360" w:lineRule="auto"/>
        <w:ind w:firstLine="4800" w:firstLineChars="2000"/>
        <w:rPr>
          <w:color w:val="auto"/>
        </w:rPr>
      </w:pPr>
      <w:r>
        <w:rPr>
          <w:rFonts w:hint="eastAsia"/>
          <w:color w:val="auto"/>
        </w:rPr>
        <w:t>日期∶</w:t>
      </w:r>
    </w:p>
    <w:p w14:paraId="0AF96E2E">
      <w:pPr>
        <w:pStyle w:val="25"/>
        <w:spacing w:before="0" w:beforeAutospacing="0" w:after="0" w:afterAutospacing="0" w:line="360" w:lineRule="auto"/>
        <w:rPr>
          <w:color w:val="auto"/>
        </w:rPr>
      </w:pPr>
    </w:p>
    <w:p w14:paraId="2B52B0C6">
      <w:pPr>
        <w:pStyle w:val="25"/>
        <w:spacing w:before="0" w:beforeAutospacing="0" w:after="0" w:afterAutospacing="0" w:line="360" w:lineRule="auto"/>
        <w:rPr>
          <w:color w:val="auto"/>
        </w:rPr>
      </w:pPr>
    </w:p>
    <w:p w14:paraId="278454C1">
      <w:pPr>
        <w:pStyle w:val="86"/>
        <w:spacing w:line="500" w:lineRule="atLeast"/>
        <w:jc w:val="both"/>
        <w:rPr>
          <w:rFonts w:ascii="仿宋" w:hAnsi="仿宋" w:eastAsia="仿宋" w:cs="仿宋"/>
          <w:b w:val="0"/>
          <w:bCs/>
          <w:color w:val="auto"/>
          <w:sz w:val="32"/>
          <w:szCs w:val="32"/>
        </w:rPr>
      </w:pPr>
      <w:r>
        <w:rPr>
          <w:rFonts w:hint="eastAsia" w:hAnsi="宋体" w:cs="宋体"/>
          <w:color w:val="auto"/>
          <w:position w:val="-4"/>
          <w:sz w:val="24"/>
          <w:szCs w:val="24"/>
        </w:rPr>
        <w:object>
          <v:shape id="_x0000_i1026" o:spt="75" type="#_x0000_t75" style="height:15pt;width:6pt;" o:ole="t" filled="f" o:preferrelative="t" stroked="f" coordsize="21600,21600">
            <v:path/>
            <v:fill on="f" focussize="0,0"/>
            <v:stroke on="f" joinstyle="miter"/>
            <v:imagedata r:id="rId20" o:title=""/>
            <o:lock v:ext="edit" aspectratio="t"/>
            <w10:wrap type="none"/>
            <w10:anchorlock/>
          </v:shape>
          <o:OLEObject Type="Embed" ProgID="Equation.KSEE3" ShapeID="_x0000_i1026" DrawAspect="Content" ObjectID="_1468075726" r:id="rId19">
            <o:LockedField>false</o:LockedField>
          </o:OLEObject>
        </w:object>
      </w:r>
      <w:r>
        <w:rPr>
          <w:rFonts w:hint="eastAsia" w:hAnsi="宋体" w:cs="宋体"/>
          <w:color w:val="auto"/>
          <w:sz w:val="24"/>
          <w:szCs w:val="24"/>
        </w:rPr>
        <w:t>从业人员、营业收入、资产总额填报上一年度数据，无上一年度数据的新成立企业可不填报。</w:t>
      </w:r>
    </w:p>
    <w:p w14:paraId="24EFD937">
      <w:pPr>
        <w:tabs>
          <w:tab w:val="left" w:pos="1755"/>
        </w:tabs>
        <w:spacing w:line="500" w:lineRule="atLeast"/>
        <w:jc w:val="center"/>
        <w:rPr>
          <w:rFonts w:ascii="宋体" w:hAnsi="宋体" w:cs="仿宋"/>
          <w:b/>
          <w:bCs/>
          <w:color w:val="auto"/>
          <w:sz w:val="24"/>
        </w:rPr>
      </w:pPr>
    </w:p>
    <w:p w14:paraId="6552B06B">
      <w:pPr>
        <w:tabs>
          <w:tab w:val="left" w:pos="1755"/>
        </w:tabs>
        <w:spacing w:line="500" w:lineRule="atLeast"/>
        <w:jc w:val="center"/>
        <w:rPr>
          <w:rFonts w:ascii="仿宋" w:hAnsi="仿宋" w:eastAsia="仿宋" w:cs="仿宋"/>
          <w:b/>
          <w:bCs/>
          <w:color w:val="auto"/>
          <w:sz w:val="32"/>
          <w:szCs w:val="32"/>
        </w:rPr>
      </w:pPr>
    </w:p>
    <w:p w14:paraId="1A9740C8">
      <w:pPr>
        <w:tabs>
          <w:tab w:val="left" w:pos="1755"/>
        </w:tabs>
        <w:spacing w:line="500" w:lineRule="atLeast"/>
        <w:jc w:val="center"/>
        <w:rPr>
          <w:rFonts w:ascii="仿宋" w:hAnsi="仿宋" w:eastAsia="仿宋" w:cs="仿宋"/>
          <w:b/>
          <w:bCs/>
          <w:color w:val="auto"/>
          <w:sz w:val="32"/>
          <w:szCs w:val="32"/>
        </w:rPr>
      </w:pPr>
    </w:p>
    <w:p w14:paraId="222E5D8C">
      <w:pPr>
        <w:tabs>
          <w:tab w:val="left" w:pos="1755"/>
        </w:tabs>
        <w:spacing w:line="360" w:lineRule="auto"/>
        <w:jc w:val="center"/>
        <w:rPr>
          <w:rFonts w:ascii="宋体" w:hAnsi="宋体" w:cs="仿宋"/>
          <w:b/>
          <w:bCs/>
          <w:color w:val="auto"/>
          <w:sz w:val="28"/>
          <w:szCs w:val="28"/>
        </w:rPr>
      </w:pPr>
      <w:bookmarkStart w:id="25" w:name="_Toc32499"/>
      <w:bookmarkStart w:id="26" w:name="_Toc26990"/>
      <w:r>
        <w:rPr>
          <w:rFonts w:hint="eastAsia" w:ascii="宋体" w:hAnsi="宋体" w:cs="仿宋"/>
          <w:b/>
          <w:bCs/>
          <w:color w:val="auto"/>
          <w:sz w:val="28"/>
          <w:szCs w:val="28"/>
        </w:rPr>
        <w:t>二、</w:t>
      </w:r>
      <w:r>
        <w:rPr>
          <w:rFonts w:hint="eastAsia" w:ascii="宋体" w:hAnsi="宋体" w:cs="宋体"/>
          <w:b/>
          <w:color w:val="auto"/>
          <w:kern w:val="0"/>
          <w:sz w:val="28"/>
          <w:szCs w:val="28"/>
          <w:lang w:val="zh-CN"/>
        </w:rPr>
        <w:t>残疾人福利性单位声明函（非</w:t>
      </w:r>
      <w:r>
        <w:rPr>
          <w:rFonts w:ascii="宋体" w:hAnsi="宋体" w:cs="仿宋"/>
          <w:b/>
          <w:bCs/>
          <w:color w:val="auto"/>
          <w:sz w:val="28"/>
          <w:szCs w:val="28"/>
        </w:rPr>
        <w:t>残疾人</w:t>
      </w:r>
      <w:r>
        <w:rPr>
          <w:rFonts w:hint="eastAsia" w:ascii="宋体" w:hAnsi="宋体" w:cs="仿宋"/>
          <w:b/>
          <w:bCs/>
          <w:color w:val="auto"/>
          <w:sz w:val="28"/>
          <w:szCs w:val="28"/>
        </w:rPr>
        <w:t>福利企业</w:t>
      </w:r>
      <w:r>
        <w:rPr>
          <w:rFonts w:hint="eastAsia" w:ascii="宋体" w:hAnsi="宋体" w:cs="宋体"/>
          <w:b/>
          <w:color w:val="auto"/>
          <w:kern w:val="0"/>
          <w:sz w:val="28"/>
          <w:szCs w:val="28"/>
          <w:lang w:val="zh-CN"/>
        </w:rPr>
        <w:t>不</w:t>
      </w:r>
      <w:r>
        <w:rPr>
          <w:rFonts w:hint="eastAsia" w:ascii="宋体" w:hAnsi="宋体" w:cs="仿宋"/>
          <w:b/>
          <w:bCs/>
          <w:color w:val="auto"/>
          <w:kern w:val="0"/>
          <w:sz w:val="28"/>
          <w:szCs w:val="28"/>
        </w:rPr>
        <w:t>填写</w:t>
      </w:r>
      <w:r>
        <w:rPr>
          <w:rFonts w:hint="eastAsia" w:ascii="宋体" w:hAnsi="宋体" w:cs="宋体"/>
          <w:b/>
          <w:color w:val="auto"/>
          <w:kern w:val="0"/>
          <w:sz w:val="28"/>
          <w:szCs w:val="28"/>
          <w:lang w:val="zh-CN"/>
        </w:rPr>
        <w:t>）</w:t>
      </w:r>
    </w:p>
    <w:p w14:paraId="2B97A81F">
      <w:pPr>
        <w:spacing w:line="360" w:lineRule="auto"/>
        <w:rPr>
          <w:rFonts w:ascii="宋体" w:hAnsi="宋体"/>
          <w:b/>
          <w:color w:val="auto"/>
          <w:spacing w:val="6"/>
          <w:sz w:val="32"/>
          <w:szCs w:val="32"/>
          <w:shd w:val="pct10" w:color="auto" w:fill="FFFFFF"/>
        </w:rPr>
      </w:pPr>
    </w:p>
    <w:p w14:paraId="11CA3026">
      <w:pPr>
        <w:spacing w:line="360" w:lineRule="auto"/>
        <w:ind w:firstLine="480" w:firstLineChars="200"/>
        <w:rPr>
          <w:rFonts w:ascii="宋体" w:hAnsi="宋体" w:cs="仿宋"/>
          <w:color w:val="auto"/>
          <w:sz w:val="24"/>
        </w:rPr>
      </w:pPr>
      <w:r>
        <w:rPr>
          <w:rFonts w:hint="eastAsia" w:ascii="宋体" w:hAnsi="宋体" w:cs="仿宋"/>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cs="仿宋"/>
          <w:color w:val="auto"/>
          <w:sz w:val="24"/>
          <w:u w:val="single"/>
        </w:rPr>
        <w:t>_     ___</w:t>
      </w:r>
      <w:r>
        <w:rPr>
          <w:rFonts w:hint="eastAsia" w:ascii="宋体" w:hAnsi="宋体" w:cs="仿宋"/>
          <w:color w:val="auto"/>
          <w:sz w:val="24"/>
        </w:rPr>
        <w:t>项目采购活动提供本单位制造的货物（由本单位承担工程/提供服务），或者提供其他残疾人福利性单位制造的货物（不包括使用非残疾人福利性单位注册商标的货物）。</w:t>
      </w:r>
    </w:p>
    <w:p w14:paraId="72935C15">
      <w:pPr>
        <w:spacing w:line="360" w:lineRule="auto"/>
        <w:ind w:firstLine="480" w:firstLineChars="200"/>
        <w:rPr>
          <w:rFonts w:ascii="宋体" w:hAnsi="宋体" w:cs="仿宋"/>
          <w:color w:val="auto"/>
          <w:sz w:val="24"/>
        </w:rPr>
      </w:pPr>
      <w:r>
        <w:rPr>
          <w:rFonts w:hint="eastAsia" w:ascii="宋体" w:hAnsi="宋体" w:cs="仿宋"/>
          <w:color w:val="auto"/>
          <w:sz w:val="24"/>
        </w:rPr>
        <w:t>本单位对上述声明的真实性负责。如有虚假，将依法承担相应责任。</w:t>
      </w:r>
    </w:p>
    <w:p w14:paraId="0C899A95">
      <w:pPr>
        <w:spacing w:line="360" w:lineRule="auto"/>
        <w:ind w:firstLine="480" w:firstLineChars="200"/>
        <w:rPr>
          <w:rFonts w:ascii="宋体" w:hAnsi="宋体" w:cs="仿宋"/>
          <w:color w:val="auto"/>
          <w:sz w:val="24"/>
        </w:rPr>
      </w:pPr>
    </w:p>
    <w:p w14:paraId="05B69F61">
      <w:pPr>
        <w:spacing w:line="360" w:lineRule="auto"/>
        <w:ind w:firstLine="480" w:firstLineChars="200"/>
        <w:rPr>
          <w:rFonts w:ascii="宋体" w:hAnsi="宋体" w:cs="仿宋"/>
          <w:color w:val="auto"/>
          <w:sz w:val="24"/>
        </w:rPr>
      </w:pPr>
    </w:p>
    <w:p w14:paraId="707F7B8D">
      <w:pPr>
        <w:tabs>
          <w:tab w:val="left" w:pos="4860"/>
          <w:tab w:val="left" w:pos="8040"/>
          <w:tab w:val="left" w:pos="8160"/>
        </w:tabs>
        <w:spacing w:line="360" w:lineRule="auto"/>
        <w:ind w:right="862" w:firstLine="480" w:firstLineChars="200"/>
        <w:jc w:val="center"/>
        <w:rPr>
          <w:rFonts w:ascii="宋体" w:hAnsi="宋体" w:cs="仿宋"/>
          <w:color w:val="auto"/>
          <w:sz w:val="24"/>
          <w:u w:val="single"/>
        </w:rPr>
      </w:pPr>
      <w:r>
        <w:rPr>
          <w:rFonts w:hint="eastAsia" w:ascii="宋体" w:hAnsi="宋体" w:cs="仿宋"/>
          <w:color w:val="auto"/>
          <w:sz w:val="24"/>
        </w:rPr>
        <w:t xml:space="preserve">            投标人全称（公章）：</w:t>
      </w:r>
      <w:r>
        <w:rPr>
          <w:rFonts w:hint="eastAsia" w:ascii="宋体" w:hAnsi="宋体" w:cs="仿宋"/>
          <w:color w:val="auto"/>
          <w:sz w:val="24"/>
          <w:u w:val="single"/>
        </w:rPr>
        <w:t xml:space="preserve">                   </w:t>
      </w:r>
    </w:p>
    <w:p w14:paraId="5024BDD4">
      <w:pPr>
        <w:tabs>
          <w:tab w:val="left" w:pos="4860"/>
        </w:tabs>
        <w:spacing w:line="360" w:lineRule="auto"/>
        <w:ind w:right="1560" w:firstLine="480" w:firstLineChars="200"/>
        <w:jc w:val="center"/>
        <w:rPr>
          <w:rFonts w:ascii="宋体" w:hAnsi="宋体" w:cs="仿宋"/>
          <w:color w:val="auto"/>
          <w:sz w:val="24"/>
        </w:rPr>
      </w:pPr>
      <w:r>
        <w:rPr>
          <w:rFonts w:hint="eastAsia" w:ascii="宋体" w:hAnsi="宋体" w:cs="仿宋"/>
          <w:color w:val="auto"/>
          <w:sz w:val="24"/>
        </w:rPr>
        <w:t xml:space="preserve">       </w:t>
      </w:r>
    </w:p>
    <w:p w14:paraId="0B4C8060">
      <w:pPr>
        <w:tabs>
          <w:tab w:val="left" w:pos="4860"/>
        </w:tabs>
        <w:spacing w:line="360" w:lineRule="auto"/>
        <w:ind w:right="1560" w:firstLine="480" w:firstLineChars="200"/>
        <w:jc w:val="center"/>
        <w:rPr>
          <w:rFonts w:ascii="宋体" w:hAnsi="宋体" w:cs="仿宋"/>
          <w:color w:val="auto"/>
          <w:sz w:val="24"/>
        </w:rPr>
      </w:pPr>
      <w:r>
        <w:rPr>
          <w:rFonts w:hint="eastAsia" w:ascii="宋体" w:hAnsi="宋体" w:cs="仿宋"/>
          <w:color w:val="auto"/>
          <w:sz w:val="24"/>
        </w:rPr>
        <w:t xml:space="preserve">                            日  期：</w:t>
      </w:r>
      <w:r>
        <w:rPr>
          <w:rFonts w:hint="eastAsia" w:ascii="宋体" w:hAnsi="宋体" w:cs="仿宋"/>
          <w:color w:val="auto"/>
          <w:sz w:val="24"/>
          <w:u w:val="single"/>
        </w:rPr>
        <w:t xml:space="preserve">      </w:t>
      </w:r>
      <w:r>
        <w:rPr>
          <w:rFonts w:hint="eastAsia" w:ascii="宋体" w:hAnsi="宋体" w:cs="仿宋"/>
          <w:color w:val="auto"/>
          <w:sz w:val="24"/>
        </w:rPr>
        <w:t>年</w:t>
      </w:r>
      <w:r>
        <w:rPr>
          <w:rFonts w:hint="eastAsia" w:ascii="宋体" w:hAnsi="宋体" w:cs="仿宋"/>
          <w:color w:val="auto"/>
          <w:sz w:val="24"/>
          <w:u w:val="single"/>
        </w:rPr>
        <w:t xml:space="preserve">     </w:t>
      </w:r>
      <w:r>
        <w:rPr>
          <w:rFonts w:hint="eastAsia" w:ascii="宋体" w:hAnsi="宋体" w:cs="仿宋"/>
          <w:color w:val="auto"/>
          <w:sz w:val="24"/>
        </w:rPr>
        <w:t>月</w:t>
      </w:r>
      <w:r>
        <w:rPr>
          <w:rFonts w:hint="eastAsia" w:ascii="宋体" w:hAnsi="宋体" w:cs="仿宋"/>
          <w:color w:val="auto"/>
          <w:sz w:val="24"/>
          <w:u w:val="single"/>
        </w:rPr>
        <w:t xml:space="preserve">      </w:t>
      </w:r>
      <w:r>
        <w:rPr>
          <w:rFonts w:hint="eastAsia" w:ascii="宋体" w:hAnsi="宋体" w:cs="仿宋"/>
          <w:color w:val="auto"/>
          <w:sz w:val="24"/>
        </w:rPr>
        <w:t>日</w:t>
      </w:r>
    </w:p>
    <w:p w14:paraId="10D53DFC">
      <w:pPr>
        <w:spacing w:line="360" w:lineRule="auto"/>
        <w:ind w:firstLine="506" w:firstLineChars="200"/>
        <w:rPr>
          <w:rFonts w:ascii="宋体" w:hAnsi="宋体" w:cs="仿宋"/>
          <w:b/>
          <w:color w:val="auto"/>
          <w:spacing w:val="6"/>
          <w:sz w:val="24"/>
          <w:shd w:val="pct10" w:color="auto" w:fill="FFFFFF"/>
        </w:rPr>
      </w:pPr>
    </w:p>
    <w:p w14:paraId="6A3BF993">
      <w:pPr>
        <w:spacing w:line="360" w:lineRule="auto"/>
        <w:ind w:firstLine="506" w:firstLineChars="200"/>
        <w:rPr>
          <w:rFonts w:ascii="宋体" w:hAnsi="宋体" w:cs="仿宋"/>
          <w:b/>
          <w:color w:val="auto"/>
          <w:spacing w:val="6"/>
          <w:sz w:val="24"/>
          <w:shd w:val="pct10" w:color="auto" w:fill="FFFFFF"/>
        </w:rPr>
      </w:pPr>
    </w:p>
    <w:p w14:paraId="6ECE8649">
      <w:pPr>
        <w:kinsoku w:val="0"/>
        <w:spacing w:line="360" w:lineRule="auto"/>
        <w:ind w:firstLine="480" w:firstLineChars="200"/>
        <w:rPr>
          <w:rFonts w:ascii="宋体" w:hAnsi="宋体" w:cs="宋体"/>
          <w:color w:val="auto"/>
          <w:kern w:val="0"/>
          <w:sz w:val="24"/>
          <w:lang w:val="zh-CN"/>
        </w:rPr>
      </w:pPr>
      <w:r>
        <w:rPr>
          <w:rFonts w:hint="eastAsia" w:ascii="宋体" w:hAnsi="宋体" w:cs="仿宋"/>
          <w:color w:val="auto"/>
          <w:kern w:val="0"/>
          <w:sz w:val="24"/>
          <w:lang w:val="zh-CN"/>
        </w:rPr>
        <w:t>备注：投标人提供的《残疾人福利性单位声明函》必须真实有效，如果被举报经查实出具虚假声明函的，将被取消投标资格，并按有关规定予以处理。</w:t>
      </w:r>
    </w:p>
    <w:p w14:paraId="78995B58">
      <w:pPr>
        <w:tabs>
          <w:tab w:val="left" w:pos="1755"/>
        </w:tabs>
        <w:spacing w:line="500" w:lineRule="atLeast"/>
        <w:jc w:val="center"/>
        <w:outlineLvl w:val="2"/>
        <w:rPr>
          <w:rFonts w:ascii="宋体" w:hAnsi="宋体" w:cs="仿宋"/>
          <w:b/>
          <w:bCs/>
          <w:color w:val="auto"/>
          <w:sz w:val="28"/>
          <w:szCs w:val="28"/>
        </w:rPr>
      </w:pPr>
    </w:p>
    <w:p w14:paraId="5177531F">
      <w:pPr>
        <w:tabs>
          <w:tab w:val="left" w:pos="1755"/>
        </w:tabs>
        <w:spacing w:line="500" w:lineRule="atLeast"/>
        <w:jc w:val="center"/>
        <w:outlineLvl w:val="2"/>
        <w:rPr>
          <w:rFonts w:ascii="宋体" w:hAnsi="宋体" w:cs="仿宋"/>
          <w:b/>
          <w:bCs/>
          <w:color w:val="auto"/>
          <w:sz w:val="28"/>
          <w:szCs w:val="28"/>
        </w:rPr>
      </w:pPr>
    </w:p>
    <w:p w14:paraId="799C253B">
      <w:pPr>
        <w:tabs>
          <w:tab w:val="left" w:pos="1755"/>
        </w:tabs>
        <w:spacing w:line="500" w:lineRule="atLeast"/>
        <w:jc w:val="center"/>
        <w:outlineLvl w:val="2"/>
        <w:rPr>
          <w:rFonts w:ascii="宋体" w:hAnsi="宋体" w:cs="仿宋"/>
          <w:b/>
          <w:bCs/>
          <w:color w:val="auto"/>
          <w:sz w:val="28"/>
          <w:szCs w:val="28"/>
        </w:rPr>
      </w:pPr>
    </w:p>
    <w:p w14:paraId="4C22DB92">
      <w:pPr>
        <w:tabs>
          <w:tab w:val="left" w:pos="1755"/>
        </w:tabs>
        <w:spacing w:line="500" w:lineRule="atLeast"/>
        <w:jc w:val="center"/>
        <w:outlineLvl w:val="2"/>
        <w:rPr>
          <w:rFonts w:ascii="宋体" w:hAnsi="宋体" w:cs="仿宋"/>
          <w:b/>
          <w:bCs/>
          <w:color w:val="auto"/>
          <w:sz w:val="28"/>
          <w:szCs w:val="28"/>
        </w:rPr>
      </w:pPr>
    </w:p>
    <w:p w14:paraId="3458C7C5">
      <w:pPr>
        <w:tabs>
          <w:tab w:val="left" w:pos="1755"/>
        </w:tabs>
        <w:spacing w:line="500" w:lineRule="atLeast"/>
        <w:jc w:val="center"/>
        <w:outlineLvl w:val="2"/>
        <w:rPr>
          <w:rFonts w:ascii="宋体" w:hAnsi="宋体" w:cs="仿宋"/>
          <w:b/>
          <w:bCs/>
          <w:color w:val="auto"/>
          <w:sz w:val="28"/>
          <w:szCs w:val="28"/>
        </w:rPr>
      </w:pPr>
    </w:p>
    <w:p w14:paraId="2F84F020">
      <w:pPr>
        <w:tabs>
          <w:tab w:val="left" w:pos="1755"/>
        </w:tabs>
        <w:spacing w:line="500" w:lineRule="atLeast"/>
        <w:jc w:val="center"/>
        <w:outlineLvl w:val="2"/>
        <w:rPr>
          <w:rFonts w:ascii="宋体" w:hAnsi="宋体" w:cs="仿宋"/>
          <w:b/>
          <w:bCs/>
          <w:color w:val="auto"/>
          <w:sz w:val="28"/>
          <w:szCs w:val="28"/>
        </w:rPr>
      </w:pPr>
    </w:p>
    <w:p w14:paraId="0D1E251A">
      <w:pPr>
        <w:tabs>
          <w:tab w:val="left" w:pos="1755"/>
        </w:tabs>
        <w:spacing w:line="500" w:lineRule="atLeast"/>
        <w:outlineLvl w:val="2"/>
        <w:rPr>
          <w:rFonts w:ascii="宋体" w:hAnsi="宋体" w:cs="仿宋"/>
          <w:b/>
          <w:bCs/>
          <w:color w:val="auto"/>
          <w:sz w:val="28"/>
          <w:szCs w:val="28"/>
        </w:rPr>
      </w:pPr>
    </w:p>
    <w:p w14:paraId="5A3DCA8E">
      <w:pPr>
        <w:tabs>
          <w:tab w:val="left" w:pos="1755"/>
        </w:tabs>
        <w:spacing w:line="500" w:lineRule="atLeast"/>
        <w:jc w:val="center"/>
        <w:outlineLvl w:val="2"/>
        <w:rPr>
          <w:rFonts w:ascii="宋体" w:hAnsi="宋体" w:cs="仿宋"/>
          <w:b/>
          <w:bCs/>
          <w:color w:val="auto"/>
          <w:sz w:val="28"/>
          <w:szCs w:val="28"/>
        </w:rPr>
      </w:pPr>
    </w:p>
    <w:p w14:paraId="54D1C5E9">
      <w:pPr>
        <w:tabs>
          <w:tab w:val="left" w:pos="1755"/>
        </w:tabs>
        <w:spacing w:line="500" w:lineRule="atLeast"/>
        <w:jc w:val="center"/>
        <w:outlineLvl w:val="2"/>
        <w:rPr>
          <w:rFonts w:ascii="宋体" w:hAnsi="宋体" w:cs="仿宋"/>
          <w:b/>
          <w:bCs/>
          <w:color w:val="auto"/>
          <w:sz w:val="28"/>
          <w:szCs w:val="28"/>
        </w:rPr>
      </w:pPr>
    </w:p>
    <w:bookmarkEnd w:id="25"/>
    <w:bookmarkEnd w:id="26"/>
    <w:p w14:paraId="262CF799">
      <w:pPr>
        <w:jc w:val="center"/>
        <w:rPr>
          <w:rFonts w:ascii="宋体" w:hAnsi="宋体" w:cs="仿宋"/>
          <w:b/>
          <w:bCs/>
          <w:color w:val="auto"/>
          <w:sz w:val="28"/>
          <w:szCs w:val="28"/>
        </w:rPr>
      </w:pPr>
      <w:r>
        <w:rPr>
          <w:rFonts w:hint="eastAsia" w:ascii="宋体" w:hAnsi="宋体" w:cs="仿宋"/>
          <w:b/>
          <w:bCs/>
          <w:color w:val="auto"/>
          <w:sz w:val="28"/>
          <w:szCs w:val="28"/>
        </w:rPr>
        <w:t>三、</w:t>
      </w:r>
      <w:bookmarkStart w:id="27" w:name="_Hlk18049907"/>
      <w:r>
        <w:rPr>
          <w:rFonts w:hint="eastAsia" w:ascii="宋体" w:hAnsi="宋体" w:cs="仿宋"/>
          <w:b/>
          <w:color w:val="auto"/>
          <w:kern w:val="0"/>
          <w:sz w:val="28"/>
          <w:szCs w:val="28"/>
          <w:lang w:val="zh-CN"/>
        </w:rPr>
        <w:t>监狱、戒毒企业</w:t>
      </w:r>
      <w:bookmarkEnd w:id="27"/>
      <w:r>
        <w:rPr>
          <w:rFonts w:hint="eastAsia" w:ascii="宋体" w:hAnsi="宋体" w:cs="仿宋"/>
          <w:b/>
          <w:color w:val="auto"/>
          <w:kern w:val="0"/>
          <w:sz w:val="28"/>
          <w:szCs w:val="28"/>
          <w:lang w:val="zh-CN"/>
        </w:rPr>
        <w:t>声明函（非监狱、戒毒企业不</w:t>
      </w:r>
      <w:r>
        <w:rPr>
          <w:rFonts w:hint="eastAsia" w:ascii="宋体" w:hAnsi="宋体" w:cs="仿宋"/>
          <w:b/>
          <w:bCs/>
          <w:color w:val="auto"/>
          <w:kern w:val="0"/>
          <w:sz w:val="28"/>
          <w:szCs w:val="28"/>
        </w:rPr>
        <w:t>填写</w:t>
      </w:r>
      <w:r>
        <w:rPr>
          <w:rFonts w:hint="eastAsia" w:ascii="宋体" w:hAnsi="宋体" w:cs="仿宋"/>
          <w:b/>
          <w:color w:val="auto"/>
          <w:kern w:val="0"/>
          <w:sz w:val="28"/>
          <w:szCs w:val="28"/>
          <w:lang w:val="zh-CN"/>
        </w:rPr>
        <w:t>）</w:t>
      </w:r>
    </w:p>
    <w:p w14:paraId="24021BA8">
      <w:pPr>
        <w:spacing w:line="360" w:lineRule="auto"/>
        <w:rPr>
          <w:rFonts w:ascii="宋体" w:hAnsi="宋体" w:cs="仿宋"/>
          <w:b/>
          <w:color w:val="auto"/>
          <w:spacing w:val="6"/>
          <w:sz w:val="32"/>
          <w:szCs w:val="32"/>
          <w:shd w:val="pct10" w:color="auto" w:fill="FFFFFF"/>
        </w:rPr>
      </w:pPr>
    </w:p>
    <w:p w14:paraId="0944C5FD">
      <w:pPr>
        <w:spacing w:line="360" w:lineRule="auto"/>
        <w:ind w:firstLine="480" w:firstLineChars="200"/>
        <w:rPr>
          <w:rFonts w:ascii="宋体" w:hAnsi="宋体" w:cs="仿宋"/>
          <w:color w:val="auto"/>
          <w:sz w:val="24"/>
        </w:rPr>
      </w:pPr>
      <w:r>
        <w:rPr>
          <w:rFonts w:hint="eastAsia" w:ascii="宋体" w:hAnsi="宋体" w:cs="仿宋"/>
          <w:color w:val="auto"/>
          <w:sz w:val="24"/>
        </w:rPr>
        <w:t>本单位郑重声明，根据《</w:t>
      </w:r>
      <w:r>
        <w:rPr>
          <w:rFonts w:hint="eastAsia" w:ascii="宋体" w:hAnsi="宋体" w:cs="仿宋"/>
          <w:color w:val="auto"/>
          <w:spacing w:val="-4"/>
          <w:kern w:val="0"/>
          <w:sz w:val="24"/>
        </w:rPr>
        <w:t>财政部 司法部 关于政府采购支持监狱企业发展有关问题的通知</w:t>
      </w:r>
      <w:r>
        <w:rPr>
          <w:rFonts w:hint="eastAsia" w:ascii="宋体" w:hAnsi="宋体" w:cs="仿宋"/>
          <w:color w:val="auto"/>
          <w:sz w:val="24"/>
        </w:rPr>
        <w:t>》（财库〔2014〕 68号）的规定，本单位为符合条件的监狱、戒毒企业，且本单位参加的</w:t>
      </w:r>
      <w:r>
        <w:rPr>
          <w:rFonts w:hint="eastAsia" w:ascii="宋体" w:hAnsi="宋体" w:cs="仿宋"/>
          <w:color w:val="auto"/>
          <w:sz w:val="24"/>
          <w:u w:val="single"/>
        </w:rPr>
        <w:t>_     ___</w:t>
      </w:r>
      <w:r>
        <w:rPr>
          <w:rFonts w:hint="eastAsia" w:ascii="宋体" w:hAnsi="宋体" w:cs="仿宋"/>
          <w:color w:val="auto"/>
          <w:sz w:val="24"/>
        </w:rPr>
        <w:t>项目采购活动提供本单位制造的货物（由本单位承担工程/提供服务），或者提供其他监狱、戒毒企业制造的货物（不包括使用非监狱、戒毒企业注册商标的货物）。</w:t>
      </w:r>
    </w:p>
    <w:p w14:paraId="3B1D50F6">
      <w:pPr>
        <w:spacing w:line="360" w:lineRule="auto"/>
        <w:ind w:firstLine="480" w:firstLineChars="200"/>
        <w:rPr>
          <w:rFonts w:ascii="宋体" w:hAnsi="宋体" w:cs="仿宋"/>
          <w:color w:val="auto"/>
          <w:sz w:val="24"/>
        </w:rPr>
      </w:pPr>
      <w:r>
        <w:rPr>
          <w:rFonts w:hint="eastAsia" w:ascii="宋体" w:hAnsi="宋体" w:cs="仿宋"/>
          <w:color w:val="auto"/>
          <w:sz w:val="24"/>
        </w:rPr>
        <w:t>本单位对上述声明的真实性负责。如有虚假，将依法承担相应责任。</w:t>
      </w:r>
    </w:p>
    <w:p w14:paraId="7E7C2A46">
      <w:pPr>
        <w:spacing w:line="360" w:lineRule="auto"/>
        <w:ind w:firstLine="480" w:firstLineChars="200"/>
        <w:rPr>
          <w:rFonts w:ascii="宋体" w:hAnsi="宋体" w:cs="仿宋"/>
          <w:color w:val="auto"/>
          <w:sz w:val="24"/>
        </w:rPr>
      </w:pPr>
    </w:p>
    <w:p w14:paraId="22F051FE">
      <w:pPr>
        <w:spacing w:line="360" w:lineRule="auto"/>
        <w:ind w:firstLine="480" w:firstLineChars="200"/>
        <w:rPr>
          <w:rFonts w:ascii="宋体" w:hAnsi="宋体" w:cs="仿宋"/>
          <w:color w:val="auto"/>
          <w:sz w:val="24"/>
        </w:rPr>
      </w:pPr>
    </w:p>
    <w:p w14:paraId="3BCCFBDC">
      <w:pPr>
        <w:tabs>
          <w:tab w:val="left" w:pos="4860"/>
          <w:tab w:val="left" w:pos="8040"/>
          <w:tab w:val="left" w:pos="8160"/>
        </w:tabs>
        <w:spacing w:line="360" w:lineRule="auto"/>
        <w:ind w:right="862" w:firstLine="480" w:firstLineChars="200"/>
        <w:jc w:val="center"/>
        <w:rPr>
          <w:rFonts w:ascii="宋体" w:hAnsi="宋体" w:cs="仿宋"/>
          <w:color w:val="auto"/>
          <w:sz w:val="24"/>
          <w:u w:val="single"/>
        </w:rPr>
      </w:pPr>
      <w:r>
        <w:rPr>
          <w:rFonts w:hint="eastAsia" w:ascii="宋体" w:hAnsi="宋体" w:cs="仿宋"/>
          <w:color w:val="auto"/>
          <w:sz w:val="24"/>
        </w:rPr>
        <w:t xml:space="preserve">            投标人全称（公章）：</w:t>
      </w:r>
      <w:r>
        <w:rPr>
          <w:rFonts w:hint="eastAsia" w:ascii="宋体" w:hAnsi="宋体" w:cs="仿宋"/>
          <w:color w:val="auto"/>
          <w:sz w:val="24"/>
          <w:u w:val="single"/>
        </w:rPr>
        <w:t xml:space="preserve">                   </w:t>
      </w:r>
    </w:p>
    <w:p w14:paraId="7C43403C">
      <w:pPr>
        <w:tabs>
          <w:tab w:val="left" w:pos="4860"/>
        </w:tabs>
        <w:spacing w:line="360" w:lineRule="auto"/>
        <w:ind w:right="1560" w:firstLine="480" w:firstLineChars="200"/>
        <w:jc w:val="center"/>
        <w:rPr>
          <w:rFonts w:ascii="宋体" w:hAnsi="宋体" w:cs="仿宋"/>
          <w:color w:val="auto"/>
          <w:sz w:val="24"/>
        </w:rPr>
      </w:pPr>
      <w:r>
        <w:rPr>
          <w:rFonts w:hint="eastAsia" w:ascii="宋体" w:hAnsi="宋体" w:cs="仿宋"/>
          <w:color w:val="auto"/>
          <w:sz w:val="24"/>
        </w:rPr>
        <w:t xml:space="preserve">       </w:t>
      </w:r>
    </w:p>
    <w:p w14:paraId="696475B0">
      <w:pPr>
        <w:tabs>
          <w:tab w:val="left" w:pos="4860"/>
        </w:tabs>
        <w:spacing w:line="360" w:lineRule="auto"/>
        <w:ind w:right="1560" w:firstLine="480" w:firstLineChars="200"/>
        <w:jc w:val="center"/>
        <w:rPr>
          <w:rFonts w:ascii="宋体" w:hAnsi="宋体" w:cs="仿宋"/>
          <w:color w:val="auto"/>
          <w:sz w:val="24"/>
        </w:rPr>
      </w:pPr>
      <w:r>
        <w:rPr>
          <w:rFonts w:hint="eastAsia" w:ascii="宋体" w:hAnsi="宋体" w:cs="仿宋"/>
          <w:color w:val="auto"/>
          <w:sz w:val="24"/>
        </w:rPr>
        <w:t xml:space="preserve">                            日  期：</w:t>
      </w:r>
      <w:r>
        <w:rPr>
          <w:rFonts w:hint="eastAsia" w:ascii="宋体" w:hAnsi="宋体" w:cs="仿宋"/>
          <w:color w:val="auto"/>
          <w:sz w:val="24"/>
          <w:u w:val="single"/>
        </w:rPr>
        <w:t xml:space="preserve">      </w:t>
      </w:r>
      <w:r>
        <w:rPr>
          <w:rFonts w:hint="eastAsia" w:ascii="宋体" w:hAnsi="宋体" w:cs="仿宋"/>
          <w:color w:val="auto"/>
          <w:sz w:val="24"/>
        </w:rPr>
        <w:t>年</w:t>
      </w:r>
      <w:r>
        <w:rPr>
          <w:rFonts w:hint="eastAsia" w:ascii="宋体" w:hAnsi="宋体" w:cs="仿宋"/>
          <w:color w:val="auto"/>
          <w:sz w:val="24"/>
          <w:u w:val="single"/>
        </w:rPr>
        <w:t xml:space="preserve">     </w:t>
      </w:r>
      <w:r>
        <w:rPr>
          <w:rFonts w:hint="eastAsia" w:ascii="宋体" w:hAnsi="宋体" w:cs="仿宋"/>
          <w:color w:val="auto"/>
          <w:sz w:val="24"/>
        </w:rPr>
        <w:t>月</w:t>
      </w:r>
      <w:r>
        <w:rPr>
          <w:rFonts w:hint="eastAsia" w:ascii="宋体" w:hAnsi="宋体" w:cs="仿宋"/>
          <w:color w:val="auto"/>
          <w:sz w:val="24"/>
          <w:u w:val="single"/>
        </w:rPr>
        <w:t xml:space="preserve">      </w:t>
      </w:r>
      <w:r>
        <w:rPr>
          <w:rFonts w:hint="eastAsia" w:ascii="宋体" w:hAnsi="宋体" w:cs="仿宋"/>
          <w:color w:val="auto"/>
          <w:sz w:val="24"/>
        </w:rPr>
        <w:t>日</w:t>
      </w:r>
    </w:p>
    <w:p w14:paraId="4493E21A">
      <w:pPr>
        <w:spacing w:line="360" w:lineRule="auto"/>
        <w:ind w:firstLine="506" w:firstLineChars="200"/>
        <w:rPr>
          <w:rFonts w:ascii="宋体" w:hAnsi="宋体" w:cs="仿宋"/>
          <w:b/>
          <w:color w:val="auto"/>
          <w:spacing w:val="6"/>
          <w:sz w:val="24"/>
          <w:shd w:val="pct10" w:color="auto" w:fill="FFFFFF"/>
        </w:rPr>
      </w:pPr>
    </w:p>
    <w:p w14:paraId="364521FF">
      <w:pPr>
        <w:spacing w:line="360" w:lineRule="auto"/>
        <w:ind w:firstLine="506" w:firstLineChars="200"/>
        <w:rPr>
          <w:rFonts w:ascii="宋体" w:hAnsi="宋体" w:cs="仿宋"/>
          <w:b/>
          <w:color w:val="auto"/>
          <w:spacing w:val="6"/>
          <w:sz w:val="24"/>
          <w:shd w:val="pct10" w:color="auto" w:fill="FFFFFF"/>
        </w:rPr>
      </w:pPr>
    </w:p>
    <w:p w14:paraId="6C62C09D">
      <w:pPr>
        <w:pStyle w:val="110"/>
        <w:spacing w:line="500" w:lineRule="exact"/>
        <w:ind w:firstLine="480" w:firstLineChars="200"/>
        <w:rPr>
          <w:rFonts w:ascii="宋体" w:hAnsi="宋体"/>
          <w:color w:val="auto"/>
        </w:rPr>
      </w:pPr>
      <w:r>
        <w:rPr>
          <w:rFonts w:hint="eastAsia" w:ascii="宋体" w:hAnsi="宋体" w:cs="仿宋"/>
          <w:color w:val="auto"/>
          <w:kern w:val="0"/>
          <w:sz w:val="24"/>
          <w:lang w:val="zh-CN"/>
        </w:rPr>
        <w:t>备注：投标人提供的《</w:t>
      </w:r>
      <w:r>
        <w:rPr>
          <w:rFonts w:hint="eastAsia" w:ascii="宋体" w:hAnsi="宋体" w:cs="仿宋"/>
          <w:color w:val="auto"/>
          <w:sz w:val="24"/>
        </w:rPr>
        <w:t>监狱、戒毒企业</w:t>
      </w:r>
      <w:r>
        <w:rPr>
          <w:rFonts w:hint="eastAsia" w:ascii="宋体" w:hAnsi="宋体" w:cs="仿宋"/>
          <w:color w:val="auto"/>
          <w:kern w:val="0"/>
          <w:sz w:val="24"/>
          <w:lang w:val="zh-CN"/>
        </w:rPr>
        <w:t>声明函》必须真实有效，</w:t>
      </w:r>
      <w:r>
        <w:rPr>
          <w:rFonts w:hint="eastAsia" w:ascii="宋体" w:hAnsi="宋体" w:cs="仿宋"/>
          <w:color w:val="auto"/>
          <w:sz w:val="24"/>
        </w:rPr>
        <w:t>投标人应当提供由省级以上监狱管理局、戒毒管理局(含新疆生产建设兵团)出具的属于监狱企业的证明文件。</w:t>
      </w:r>
    </w:p>
    <w:p w14:paraId="525F9F1A">
      <w:pPr>
        <w:spacing w:before="156" w:beforeLines="50" w:after="312" w:afterLines="100"/>
        <w:rPr>
          <w:rFonts w:ascii="宋体"/>
          <w:b/>
          <w:color w:val="auto"/>
          <w:szCs w:val="21"/>
        </w:rPr>
      </w:pPr>
    </w:p>
    <w:p w14:paraId="383ED460">
      <w:pPr>
        <w:pStyle w:val="9"/>
        <w:rPr>
          <w:color w:val="auto"/>
        </w:rPr>
      </w:pPr>
    </w:p>
    <w:p w14:paraId="4EE5FEF5">
      <w:pPr>
        <w:pStyle w:val="9"/>
        <w:rPr>
          <w:color w:val="auto"/>
        </w:rPr>
      </w:pPr>
    </w:p>
    <w:p w14:paraId="47274938">
      <w:pPr>
        <w:pStyle w:val="9"/>
        <w:rPr>
          <w:color w:val="auto"/>
        </w:rPr>
      </w:pPr>
    </w:p>
    <w:p w14:paraId="68759AF8">
      <w:pPr>
        <w:pStyle w:val="110"/>
        <w:spacing w:line="360" w:lineRule="auto"/>
        <w:jc w:val="center"/>
        <w:rPr>
          <w:rFonts w:ascii="宋体" w:hAnsi="宋体" w:cs="仿宋"/>
          <w:b/>
          <w:bCs/>
          <w:color w:val="auto"/>
          <w:sz w:val="32"/>
          <w:szCs w:val="32"/>
        </w:rPr>
      </w:pPr>
    </w:p>
    <w:p w14:paraId="5D6CA5BF">
      <w:pPr>
        <w:pStyle w:val="110"/>
        <w:spacing w:line="360" w:lineRule="auto"/>
        <w:jc w:val="center"/>
        <w:rPr>
          <w:rFonts w:ascii="宋体" w:hAnsi="宋体" w:cs="仿宋"/>
          <w:b/>
          <w:bCs/>
          <w:color w:val="auto"/>
          <w:sz w:val="32"/>
          <w:szCs w:val="32"/>
        </w:rPr>
      </w:pPr>
    </w:p>
    <w:p w14:paraId="5E9A8EC6">
      <w:pPr>
        <w:pStyle w:val="110"/>
        <w:spacing w:line="360" w:lineRule="auto"/>
        <w:jc w:val="center"/>
        <w:rPr>
          <w:rFonts w:ascii="宋体" w:hAnsi="宋体" w:cs="仿宋"/>
          <w:b/>
          <w:bCs/>
          <w:color w:val="auto"/>
          <w:sz w:val="32"/>
          <w:szCs w:val="32"/>
        </w:rPr>
      </w:pPr>
    </w:p>
    <w:p w14:paraId="038DF1BA">
      <w:pPr>
        <w:pStyle w:val="110"/>
        <w:spacing w:line="360" w:lineRule="auto"/>
        <w:jc w:val="center"/>
        <w:rPr>
          <w:rFonts w:ascii="宋体" w:hAnsi="宋体" w:cs="仿宋"/>
          <w:b/>
          <w:bCs/>
          <w:color w:val="auto"/>
          <w:sz w:val="32"/>
          <w:szCs w:val="32"/>
        </w:rPr>
      </w:pPr>
      <w:r>
        <w:rPr>
          <w:rFonts w:hint="eastAsia" w:ascii="宋体" w:hAnsi="宋体" w:cs="仿宋"/>
          <w:b/>
          <w:bCs/>
          <w:color w:val="auto"/>
          <w:sz w:val="32"/>
          <w:szCs w:val="32"/>
        </w:rPr>
        <w:t xml:space="preserve">第八部分  </w:t>
      </w:r>
      <w:bookmarkEnd w:id="21"/>
      <w:bookmarkEnd w:id="22"/>
      <w:r>
        <w:rPr>
          <w:rFonts w:hint="eastAsia" w:ascii="宋体" w:hAnsi="宋体"/>
          <w:b/>
          <w:bCs/>
          <w:color w:val="auto"/>
          <w:sz w:val="32"/>
        </w:rPr>
        <w:t>封袋正面标识式样</w:t>
      </w:r>
    </w:p>
    <w:p w14:paraId="6F787EF3">
      <w:pPr>
        <w:spacing w:line="460" w:lineRule="exact"/>
        <w:rPr>
          <w:rFonts w:ascii="宋体" w:hAnsi="宋体"/>
          <w:b/>
          <w:color w:val="auto"/>
          <w:sz w:val="24"/>
        </w:rPr>
      </w:pPr>
      <w:r>
        <w:rPr>
          <w:rFonts w:hint="eastAsia" w:ascii="宋体" w:hAnsi="宋体"/>
          <w:b/>
          <w:color w:val="auto"/>
          <w:sz w:val="24"/>
        </w:rPr>
        <w:t>响应文件封袋正面标识式样</w:t>
      </w:r>
    </w:p>
    <w:p w14:paraId="00C59D57">
      <w:pPr>
        <w:spacing w:line="460" w:lineRule="exact"/>
        <w:ind w:firstLine="482" w:firstLineChars="200"/>
        <w:rPr>
          <w:rFonts w:ascii="宋体" w:hAnsi="宋体"/>
          <w:b/>
          <w:color w:val="auto"/>
          <w:sz w:val="24"/>
        </w:rPr>
      </w:pPr>
      <w:r>
        <w:rPr>
          <w:rFonts w:hint="eastAsia" w:ascii="宋体" w:hAnsi="宋体"/>
          <w:b/>
          <w:color w:val="auto"/>
          <w:sz w:val="24"/>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153035</wp:posOffset>
                </wp:positionV>
                <wp:extent cx="5867400" cy="3244215"/>
                <wp:effectExtent l="4445" t="5080" r="14605" b="8255"/>
                <wp:wrapNone/>
                <wp:docPr id="1" name="文本框 2"/>
                <wp:cNvGraphicFramePr/>
                <a:graphic xmlns:a="http://schemas.openxmlformats.org/drawingml/2006/main">
                  <a:graphicData uri="http://schemas.microsoft.com/office/word/2010/wordprocessingShape">
                    <wps:wsp>
                      <wps:cNvSpPr txBox="1"/>
                      <wps:spPr>
                        <a:xfrm>
                          <a:off x="0" y="0"/>
                          <a:ext cx="5867400" cy="324421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CE1E26C">
                            <w:pPr>
                              <w:rPr>
                                <w:sz w:val="28"/>
                                <w:szCs w:val="28"/>
                              </w:rPr>
                            </w:pPr>
                            <w:r>
                              <w:rPr>
                                <w:rFonts w:hint="eastAsia"/>
                                <w:sz w:val="28"/>
                                <w:szCs w:val="28"/>
                              </w:rPr>
                              <w:t>致：</w:t>
                            </w:r>
                            <w:r>
                              <w:rPr>
                                <w:rFonts w:hint="eastAsia"/>
                                <w:b/>
                                <w:sz w:val="28"/>
                                <w:szCs w:val="28"/>
                              </w:rPr>
                              <w:t>陕西国创招标有限公司</w:t>
                            </w:r>
                          </w:p>
                          <w:p w14:paraId="325CA5BB">
                            <w:pPr>
                              <w:rPr>
                                <w:color w:val="FF0000"/>
                                <w:sz w:val="28"/>
                                <w:szCs w:val="28"/>
                              </w:rPr>
                            </w:pPr>
                            <w:r>
                              <w:rPr>
                                <w:rFonts w:hint="eastAsia"/>
                                <w:sz w:val="28"/>
                                <w:szCs w:val="28"/>
                              </w:rPr>
                              <w:t xml:space="preserve">项目编号：                                       </w:t>
                            </w:r>
                            <w:r>
                              <w:rPr>
                                <w:rFonts w:hint="eastAsia"/>
                                <w:color w:val="FF0000"/>
                                <w:sz w:val="28"/>
                                <w:szCs w:val="28"/>
                              </w:rPr>
                              <w:t xml:space="preserve">  </w:t>
                            </w:r>
                          </w:p>
                          <w:p w14:paraId="1FD400A6">
                            <w:pPr>
                              <w:rPr>
                                <w:color w:val="FF0000"/>
                                <w:sz w:val="28"/>
                                <w:szCs w:val="28"/>
                              </w:rPr>
                            </w:pPr>
                            <w:r>
                              <w:rPr>
                                <w:rFonts w:hint="eastAsia"/>
                                <w:sz w:val="28"/>
                                <w:szCs w:val="28"/>
                              </w:rPr>
                              <w:t xml:space="preserve">项目名称：                             </w:t>
                            </w:r>
                          </w:p>
                          <w:p w14:paraId="734EE28A">
                            <w:pPr>
                              <w:jc w:val="center"/>
                              <w:rPr>
                                <w:b/>
                                <w:sz w:val="44"/>
                                <w:szCs w:val="44"/>
                              </w:rPr>
                            </w:pPr>
                            <w:r>
                              <w:rPr>
                                <w:rFonts w:hint="eastAsia"/>
                                <w:b/>
                                <w:sz w:val="44"/>
                                <w:szCs w:val="44"/>
                              </w:rPr>
                              <w:t>响应文件（正本或副本）</w:t>
                            </w:r>
                          </w:p>
                          <w:p w14:paraId="5723ED57">
                            <w:pPr>
                              <w:jc w:val="center"/>
                              <w:rPr>
                                <w:sz w:val="28"/>
                                <w:szCs w:val="28"/>
                              </w:rPr>
                            </w:pPr>
                            <w:r>
                              <w:rPr>
                                <w:rFonts w:hint="eastAsia"/>
                                <w:sz w:val="28"/>
                                <w:szCs w:val="28"/>
                              </w:rPr>
                              <w:t>（非磋商大会不得启封）</w:t>
                            </w:r>
                          </w:p>
                          <w:p w14:paraId="2714FE1A">
                            <w:pPr>
                              <w:rPr>
                                <w:sz w:val="28"/>
                                <w:szCs w:val="28"/>
                              </w:rPr>
                            </w:pPr>
                          </w:p>
                          <w:p w14:paraId="5202CA38">
                            <w:pPr>
                              <w:rPr>
                                <w:sz w:val="28"/>
                                <w:szCs w:val="28"/>
                              </w:rPr>
                            </w:pPr>
                            <w:r>
                              <w:rPr>
                                <w:rFonts w:hint="eastAsia"/>
                                <w:sz w:val="28"/>
                                <w:szCs w:val="28"/>
                              </w:rPr>
                              <w:t>供应商名称：            （公章）</w:t>
                            </w:r>
                          </w:p>
                          <w:p w14:paraId="060DA90F">
                            <w:pPr>
                              <w:rPr>
                                <w:sz w:val="28"/>
                                <w:szCs w:val="28"/>
                              </w:rPr>
                            </w:pPr>
                            <w:r>
                              <w:rPr>
                                <w:rFonts w:hint="eastAsia"/>
                                <w:sz w:val="28"/>
                                <w:szCs w:val="28"/>
                              </w:rPr>
                              <w:t xml:space="preserve">                                </w:t>
                            </w:r>
                          </w:p>
                        </w:txbxContent>
                      </wps:txbx>
                      <wps:bodyPr wrap="square" upright="1"/>
                    </wps:wsp>
                  </a:graphicData>
                </a:graphic>
              </wp:anchor>
            </w:drawing>
          </mc:Choice>
          <mc:Fallback>
            <w:pict>
              <v:shape id="文本框 2" o:spid="_x0000_s1026" o:spt="202" type="#_x0000_t202" style="position:absolute;left:0pt;margin-left:0pt;margin-top:12.05pt;height:255.45pt;width:462pt;z-index:251660288;mso-width-relative:page;mso-height-relative:page;" fillcolor="#FFFFFF" filled="t" stroked="t" coordsize="21600,21600" o:gfxdata="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CAtNkNcAAAAHAQAADwAAAAAA&#10;AAABACAAAAAiAAAAZHJzL2Rvd25yZXYueG1sUEsBAhQAFAAAAAgAh07iQN8zfN4UAgAARQQAAA4A&#10;AAAAAAAAAQAgAAAAJgEAAGRycy9lMm9Eb2MueG1sUEsFBgAAAAAGAAYAWQEAAKwFAAAAAA==&#10;">
                <v:fill on="t" focussize="0,0"/>
                <v:stroke color="#000000" joinstyle="miter"/>
                <v:imagedata o:title=""/>
                <o:lock v:ext="edit" aspectratio="f"/>
                <v:textbox>
                  <w:txbxContent>
                    <w:p w14:paraId="4CE1E26C">
                      <w:pPr>
                        <w:rPr>
                          <w:sz w:val="28"/>
                          <w:szCs w:val="28"/>
                        </w:rPr>
                      </w:pPr>
                      <w:r>
                        <w:rPr>
                          <w:rFonts w:hint="eastAsia"/>
                          <w:sz w:val="28"/>
                          <w:szCs w:val="28"/>
                        </w:rPr>
                        <w:t>致：</w:t>
                      </w:r>
                      <w:r>
                        <w:rPr>
                          <w:rFonts w:hint="eastAsia"/>
                          <w:b/>
                          <w:sz w:val="28"/>
                          <w:szCs w:val="28"/>
                        </w:rPr>
                        <w:t>陕西国创招标有限公司</w:t>
                      </w:r>
                    </w:p>
                    <w:p w14:paraId="325CA5BB">
                      <w:pPr>
                        <w:rPr>
                          <w:color w:val="FF0000"/>
                          <w:sz w:val="28"/>
                          <w:szCs w:val="28"/>
                        </w:rPr>
                      </w:pPr>
                      <w:r>
                        <w:rPr>
                          <w:rFonts w:hint="eastAsia"/>
                          <w:sz w:val="28"/>
                          <w:szCs w:val="28"/>
                        </w:rPr>
                        <w:t xml:space="preserve">项目编号：                                       </w:t>
                      </w:r>
                      <w:r>
                        <w:rPr>
                          <w:rFonts w:hint="eastAsia"/>
                          <w:color w:val="FF0000"/>
                          <w:sz w:val="28"/>
                          <w:szCs w:val="28"/>
                        </w:rPr>
                        <w:t xml:space="preserve">  </w:t>
                      </w:r>
                    </w:p>
                    <w:p w14:paraId="1FD400A6">
                      <w:pPr>
                        <w:rPr>
                          <w:color w:val="FF0000"/>
                          <w:sz w:val="28"/>
                          <w:szCs w:val="28"/>
                        </w:rPr>
                      </w:pPr>
                      <w:r>
                        <w:rPr>
                          <w:rFonts w:hint="eastAsia"/>
                          <w:sz w:val="28"/>
                          <w:szCs w:val="28"/>
                        </w:rPr>
                        <w:t xml:space="preserve">项目名称：                             </w:t>
                      </w:r>
                    </w:p>
                    <w:p w14:paraId="734EE28A">
                      <w:pPr>
                        <w:jc w:val="center"/>
                        <w:rPr>
                          <w:b/>
                          <w:sz w:val="44"/>
                          <w:szCs w:val="44"/>
                        </w:rPr>
                      </w:pPr>
                      <w:r>
                        <w:rPr>
                          <w:rFonts w:hint="eastAsia"/>
                          <w:b/>
                          <w:sz w:val="44"/>
                          <w:szCs w:val="44"/>
                        </w:rPr>
                        <w:t>响应文件（正本或副本）</w:t>
                      </w:r>
                    </w:p>
                    <w:p w14:paraId="5723ED57">
                      <w:pPr>
                        <w:jc w:val="center"/>
                        <w:rPr>
                          <w:sz w:val="28"/>
                          <w:szCs w:val="28"/>
                        </w:rPr>
                      </w:pPr>
                      <w:r>
                        <w:rPr>
                          <w:rFonts w:hint="eastAsia"/>
                          <w:sz w:val="28"/>
                          <w:szCs w:val="28"/>
                        </w:rPr>
                        <w:t>（非磋商大会不得启封）</w:t>
                      </w:r>
                    </w:p>
                    <w:p w14:paraId="2714FE1A">
                      <w:pPr>
                        <w:rPr>
                          <w:sz w:val="28"/>
                          <w:szCs w:val="28"/>
                        </w:rPr>
                      </w:pPr>
                    </w:p>
                    <w:p w14:paraId="5202CA38">
                      <w:pPr>
                        <w:rPr>
                          <w:sz w:val="28"/>
                          <w:szCs w:val="28"/>
                        </w:rPr>
                      </w:pPr>
                      <w:r>
                        <w:rPr>
                          <w:rFonts w:hint="eastAsia"/>
                          <w:sz w:val="28"/>
                          <w:szCs w:val="28"/>
                        </w:rPr>
                        <w:t>供应商名称：            （公章）</w:t>
                      </w:r>
                    </w:p>
                    <w:p w14:paraId="060DA90F">
                      <w:pPr>
                        <w:rPr>
                          <w:sz w:val="28"/>
                          <w:szCs w:val="28"/>
                        </w:rPr>
                      </w:pPr>
                      <w:r>
                        <w:rPr>
                          <w:rFonts w:hint="eastAsia"/>
                          <w:sz w:val="28"/>
                          <w:szCs w:val="28"/>
                        </w:rPr>
                        <w:t xml:space="preserve">                                </w:t>
                      </w:r>
                    </w:p>
                  </w:txbxContent>
                </v:textbox>
              </v:shape>
            </w:pict>
          </mc:Fallback>
        </mc:AlternateContent>
      </w:r>
    </w:p>
    <w:p w14:paraId="7707AF24">
      <w:pPr>
        <w:spacing w:line="460" w:lineRule="exact"/>
        <w:ind w:firstLine="482" w:firstLineChars="200"/>
        <w:rPr>
          <w:rFonts w:ascii="宋体" w:hAnsi="宋体"/>
          <w:b/>
          <w:color w:val="auto"/>
          <w:sz w:val="24"/>
        </w:rPr>
      </w:pPr>
    </w:p>
    <w:p w14:paraId="61404B39">
      <w:pPr>
        <w:spacing w:line="460" w:lineRule="exact"/>
        <w:ind w:firstLine="482" w:firstLineChars="200"/>
        <w:rPr>
          <w:rFonts w:ascii="宋体" w:hAnsi="宋体"/>
          <w:b/>
          <w:color w:val="auto"/>
          <w:sz w:val="24"/>
        </w:rPr>
      </w:pPr>
    </w:p>
    <w:p w14:paraId="62D29D58">
      <w:pPr>
        <w:spacing w:line="360" w:lineRule="atLeast"/>
        <w:ind w:firstLine="2108" w:firstLineChars="500"/>
        <w:rPr>
          <w:rFonts w:ascii="宋体" w:hAnsi="宋体"/>
          <w:b/>
          <w:color w:val="auto"/>
          <w:sz w:val="42"/>
          <w:szCs w:val="42"/>
        </w:rPr>
      </w:pPr>
    </w:p>
    <w:p w14:paraId="0569CE26">
      <w:pPr>
        <w:spacing w:line="360" w:lineRule="atLeast"/>
        <w:ind w:firstLine="2108" w:firstLineChars="500"/>
        <w:rPr>
          <w:rFonts w:ascii="宋体" w:hAnsi="宋体"/>
          <w:b/>
          <w:color w:val="auto"/>
          <w:sz w:val="42"/>
          <w:szCs w:val="42"/>
        </w:rPr>
      </w:pPr>
    </w:p>
    <w:p w14:paraId="2D026893">
      <w:pPr>
        <w:spacing w:line="360" w:lineRule="atLeast"/>
        <w:ind w:firstLine="2108" w:firstLineChars="500"/>
        <w:rPr>
          <w:rFonts w:ascii="宋体" w:hAnsi="宋体"/>
          <w:b/>
          <w:color w:val="auto"/>
          <w:sz w:val="42"/>
          <w:szCs w:val="42"/>
        </w:rPr>
      </w:pPr>
    </w:p>
    <w:p w14:paraId="222D2F01">
      <w:pPr>
        <w:spacing w:line="360" w:lineRule="atLeast"/>
        <w:ind w:firstLine="2108" w:firstLineChars="500"/>
        <w:rPr>
          <w:rFonts w:ascii="宋体" w:hAnsi="宋体"/>
          <w:b/>
          <w:color w:val="auto"/>
          <w:sz w:val="42"/>
          <w:szCs w:val="42"/>
        </w:rPr>
      </w:pPr>
    </w:p>
    <w:p w14:paraId="5FA5ECA1">
      <w:pPr>
        <w:spacing w:line="360" w:lineRule="atLeast"/>
        <w:ind w:firstLine="2108" w:firstLineChars="500"/>
        <w:rPr>
          <w:rFonts w:ascii="宋体" w:hAnsi="宋体"/>
          <w:b/>
          <w:color w:val="auto"/>
          <w:sz w:val="42"/>
          <w:szCs w:val="42"/>
        </w:rPr>
      </w:pPr>
    </w:p>
    <w:p w14:paraId="4BF86A30">
      <w:pPr>
        <w:spacing w:line="360" w:lineRule="atLeast"/>
        <w:ind w:firstLine="2108" w:firstLineChars="500"/>
        <w:rPr>
          <w:rFonts w:ascii="宋体" w:hAnsi="宋体"/>
          <w:b/>
          <w:color w:val="auto"/>
          <w:sz w:val="42"/>
          <w:szCs w:val="42"/>
        </w:rPr>
      </w:pPr>
    </w:p>
    <w:p w14:paraId="3070FC3E">
      <w:pPr>
        <w:spacing w:line="360" w:lineRule="atLeast"/>
        <w:ind w:firstLine="2108" w:firstLineChars="500"/>
        <w:rPr>
          <w:rFonts w:ascii="宋体" w:hAnsi="宋体"/>
          <w:b/>
          <w:color w:val="auto"/>
          <w:sz w:val="42"/>
          <w:szCs w:val="42"/>
        </w:rPr>
      </w:pPr>
    </w:p>
    <w:p w14:paraId="1BFF918A">
      <w:pPr>
        <w:spacing w:line="500" w:lineRule="exact"/>
        <w:jc w:val="center"/>
        <w:rPr>
          <w:rFonts w:ascii="宋体" w:hAnsi="宋体"/>
          <w:b/>
          <w:bCs/>
          <w:color w:val="auto"/>
          <w:sz w:val="32"/>
        </w:rPr>
      </w:pPr>
    </w:p>
    <w:p w14:paraId="13E01A21">
      <w:pPr>
        <w:spacing w:line="360" w:lineRule="auto"/>
        <w:ind w:right="456"/>
        <w:rPr>
          <w:rFonts w:ascii="宋体" w:hAnsi="宋体"/>
          <w:b/>
          <w:color w:val="auto"/>
          <w:sz w:val="24"/>
        </w:rPr>
      </w:pPr>
      <w:r>
        <w:rPr>
          <w:rFonts w:hint="eastAsia" w:ascii="宋体" w:hAnsi="宋体"/>
          <w:b/>
          <w:color w:val="auto"/>
          <w:sz w:val="24"/>
        </w:rPr>
        <w:t>电子版响应文件正面标识式</w:t>
      </w:r>
    </w:p>
    <w:p w14:paraId="2376D893">
      <w:pPr>
        <w:spacing w:line="360" w:lineRule="auto"/>
        <w:ind w:right="456"/>
        <w:rPr>
          <w:rFonts w:ascii="宋体"/>
          <w:color w:val="auto"/>
        </w:rPr>
        <w:sectPr>
          <w:pgSz w:w="11906" w:h="16838"/>
          <w:pgMar w:top="1418" w:right="1418" w:bottom="1418" w:left="1418" w:header="851" w:footer="992" w:gutter="0"/>
          <w:cols w:space="720" w:num="1"/>
          <w:docGrid w:type="lines" w:linePitch="312" w:charSpace="0"/>
        </w:sectPr>
      </w:pPr>
      <w:r>
        <w:rPr>
          <w:color w:val="auto"/>
        </w:rPr>
        <mc:AlternateContent>
          <mc:Choice Requires="wps">
            <w:drawing>
              <wp:anchor distT="0" distB="0" distL="114300" distR="114300" simplePos="0" relativeHeight="251661312" behindDoc="0" locked="0" layoutInCell="1" allowOverlap="1">
                <wp:simplePos x="0" y="0"/>
                <wp:positionH relativeFrom="column">
                  <wp:posOffset>28575</wp:posOffset>
                </wp:positionH>
                <wp:positionV relativeFrom="paragraph">
                  <wp:posOffset>126365</wp:posOffset>
                </wp:positionV>
                <wp:extent cx="5686425" cy="3312795"/>
                <wp:effectExtent l="4445" t="4445" r="5080" b="16510"/>
                <wp:wrapNone/>
                <wp:docPr id="2" name="文本框 4"/>
                <wp:cNvGraphicFramePr/>
                <a:graphic xmlns:a="http://schemas.openxmlformats.org/drawingml/2006/main">
                  <a:graphicData uri="http://schemas.microsoft.com/office/word/2010/wordprocessingShape">
                    <wps:wsp>
                      <wps:cNvSpPr txBox="1"/>
                      <wps:spPr>
                        <a:xfrm>
                          <a:off x="0" y="0"/>
                          <a:ext cx="5686425" cy="331279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D0A9FC4">
                            <w:pPr>
                              <w:rPr>
                                <w:sz w:val="28"/>
                                <w:szCs w:val="28"/>
                              </w:rPr>
                            </w:pPr>
                            <w:r>
                              <w:rPr>
                                <w:rFonts w:hint="eastAsia"/>
                                <w:sz w:val="28"/>
                                <w:szCs w:val="28"/>
                              </w:rPr>
                              <w:t>致：</w:t>
                            </w:r>
                            <w:r>
                              <w:rPr>
                                <w:rFonts w:hint="eastAsia"/>
                                <w:b/>
                                <w:sz w:val="28"/>
                                <w:szCs w:val="28"/>
                              </w:rPr>
                              <w:t>陕西国创招标有限公司</w:t>
                            </w:r>
                          </w:p>
                          <w:p w14:paraId="42A2E187">
                            <w:pPr>
                              <w:rPr>
                                <w:color w:val="FF0000"/>
                                <w:sz w:val="28"/>
                                <w:szCs w:val="28"/>
                              </w:rPr>
                            </w:pPr>
                            <w:r>
                              <w:rPr>
                                <w:rFonts w:hint="eastAsia"/>
                                <w:sz w:val="28"/>
                                <w:szCs w:val="28"/>
                              </w:rPr>
                              <w:t>项目编号：</w:t>
                            </w:r>
                            <w:r>
                              <w:rPr>
                                <w:sz w:val="28"/>
                                <w:szCs w:val="28"/>
                              </w:rPr>
                              <w:t xml:space="preserve">                                        </w:t>
                            </w:r>
                          </w:p>
                          <w:p w14:paraId="31FD3FB0">
                            <w:pPr>
                              <w:rPr>
                                <w:color w:val="FF0000"/>
                                <w:sz w:val="28"/>
                                <w:szCs w:val="28"/>
                              </w:rPr>
                            </w:pPr>
                            <w:r>
                              <w:rPr>
                                <w:rFonts w:hint="eastAsia"/>
                                <w:sz w:val="28"/>
                                <w:szCs w:val="28"/>
                              </w:rPr>
                              <w:t>项目名称：</w:t>
                            </w:r>
                            <w:r>
                              <w:rPr>
                                <w:sz w:val="28"/>
                                <w:szCs w:val="28"/>
                              </w:rPr>
                              <w:t xml:space="preserve">                               </w:t>
                            </w:r>
                          </w:p>
                          <w:p w14:paraId="42639D67">
                            <w:pPr>
                              <w:jc w:val="center"/>
                              <w:rPr>
                                <w:b/>
                                <w:sz w:val="44"/>
                                <w:szCs w:val="44"/>
                              </w:rPr>
                            </w:pPr>
                            <w:r>
                              <w:rPr>
                                <w:rFonts w:hint="eastAsia"/>
                                <w:b/>
                                <w:sz w:val="44"/>
                                <w:szCs w:val="44"/>
                              </w:rPr>
                              <w:t>电子版响应文件</w:t>
                            </w:r>
                          </w:p>
                          <w:p w14:paraId="6A429B1C">
                            <w:pPr>
                              <w:jc w:val="center"/>
                              <w:rPr>
                                <w:sz w:val="28"/>
                                <w:szCs w:val="28"/>
                              </w:rPr>
                            </w:pPr>
                            <w:r>
                              <w:rPr>
                                <w:rFonts w:hint="eastAsia"/>
                                <w:sz w:val="28"/>
                                <w:szCs w:val="28"/>
                              </w:rPr>
                              <w:t>（非公开唱标不得启封）</w:t>
                            </w:r>
                          </w:p>
                          <w:p w14:paraId="128BBD7C">
                            <w:pPr>
                              <w:jc w:val="center"/>
                              <w:rPr>
                                <w:sz w:val="28"/>
                                <w:szCs w:val="28"/>
                              </w:rPr>
                            </w:pPr>
                          </w:p>
                          <w:p w14:paraId="5EC804EA">
                            <w:pPr>
                              <w:rPr>
                                <w:sz w:val="28"/>
                                <w:szCs w:val="28"/>
                              </w:rPr>
                            </w:pPr>
                            <w:r>
                              <w:rPr>
                                <w:rFonts w:hint="eastAsia"/>
                                <w:sz w:val="28"/>
                                <w:szCs w:val="28"/>
                              </w:rPr>
                              <w:t>供应商名称：</w:t>
                            </w:r>
                            <w:r>
                              <w:rPr>
                                <w:sz w:val="28"/>
                                <w:szCs w:val="28"/>
                              </w:rPr>
                              <w:t xml:space="preserve">       </w:t>
                            </w:r>
                            <w:r>
                              <w:rPr>
                                <w:rFonts w:hint="eastAsia"/>
                                <w:sz w:val="28"/>
                                <w:szCs w:val="28"/>
                              </w:rPr>
                              <w:t>（公章）</w:t>
                            </w:r>
                          </w:p>
                          <w:p w14:paraId="702CD2BA">
                            <w:pPr>
                              <w:rPr>
                                <w:sz w:val="28"/>
                                <w:szCs w:val="28"/>
                              </w:rPr>
                            </w:pPr>
                            <w:r>
                              <w:rPr>
                                <w:rFonts w:hint="eastAsia"/>
                                <w:sz w:val="28"/>
                                <w:szCs w:val="28"/>
                              </w:rPr>
                              <w:t>封袋内容：电子版标书（</w:t>
                            </w:r>
                            <w:r>
                              <w:rPr>
                                <w:rFonts w:ascii="宋体" w:hAnsi="宋体"/>
                                <w:sz w:val="28"/>
                                <w:szCs w:val="28"/>
                              </w:rPr>
                              <w:t>U</w:t>
                            </w:r>
                            <w:r>
                              <w:rPr>
                                <w:rFonts w:hint="eastAsia"/>
                                <w:sz w:val="28"/>
                                <w:szCs w:val="28"/>
                              </w:rPr>
                              <w:t>盘）</w:t>
                            </w:r>
                            <w:r>
                              <w:rPr>
                                <w:sz w:val="28"/>
                                <w:szCs w:val="28"/>
                              </w:rPr>
                              <w:t xml:space="preserve">                    </w:t>
                            </w:r>
                          </w:p>
                        </w:txbxContent>
                      </wps:txbx>
                      <wps:bodyPr wrap="square" upright="1"/>
                    </wps:wsp>
                  </a:graphicData>
                </a:graphic>
              </wp:anchor>
            </w:drawing>
          </mc:Choice>
          <mc:Fallback>
            <w:pict>
              <v:shape id="文本框 4" o:spid="_x0000_s1026" o:spt="202" type="#_x0000_t202" style="position:absolute;left:0pt;margin-left:2.25pt;margin-top:9.95pt;height:260.85pt;width:447.75pt;z-index:251661312;mso-width-relative:page;mso-height-relative:page;" fillcolor="#FFFFFF" filled="t" stroked="t" coordsize="21600,21600" o:gfxdata="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1e+6x1wAAAAgBAAAPAAAA&#10;AAAAAAEAIAAAACIAAABkcnMvZG93bnJldi54bWxQSwECFAAUAAAACACHTuJAEHOYKBYCAABFBAAA&#10;DgAAAAAAAAABACAAAAAmAQAAZHJzL2Uyb0RvYy54bWxQSwUGAAAAAAYABgBZAQAArgUAAAAA&#10;">
                <v:fill on="t" focussize="0,0"/>
                <v:stroke color="#000000" joinstyle="miter"/>
                <v:imagedata o:title=""/>
                <o:lock v:ext="edit" aspectratio="f"/>
                <v:textbox>
                  <w:txbxContent>
                    <w:p w14:paraId="5D0A9FC4">
                      <w:pPr>
                        <w:rPr>
                          <w:sz w:val="28"/>
                          <w:szCs w:val="28"/>
                        </w:rPr>
                      </w:pPr>
                      <w:r>
                        <w:rPr>
                          <w:rFonts w:hint="eastAsia"/>
                          <w:sz w:val="28"/>
                          <w:szCs w:val="28"/>
                        </w:rPr>
                        <w:t>致：</w:t>
                      </w:r>
                      <w:r>
                        <w:rPr>
                          <w:rFonts w:hint="eastAsia"/>
                          <w:b/>
                          <w:sz w:val="28"/>
                          <w:szCs w:val="28"/>
                        </w:rPr>
                        <w:t>陕西国创招标有限公司</w:t>
                      </w:r>
                    </w:p>
                    <w:p w14:paraId="42A2E187">
                      <w:pPr>
                        <w:rPr>
                          <w:color w:val="FF0000"/>
                          <w:sz w:val="28"/>
                          <w:szCs w:val="28"/>
                        </w:rPr>
                      </w:pPr>
                      <w:r>
                        <w:rPr>
                          <w:rFonts w:hint="eastAsia"/>
                          <w:sz w:val="28"/>
                          <w:szCs w:val="28"/>
                        </w:rPr>
                        <w:t>项目编号：</w:t>
                      </w:r>
                      <w:r>
                        <w:rPr>
                          <w:sz w:val="28"/>
                          <w:szCs w:val="28"/>
                        </w:rPr>
                        <w:t xml:space="preserve">                                        </w:t>
                      </w:r>
                    </w:p>
                    <w:p w14:paraId="31FD3FB0">
                      <w:pPr>
                        <w:rPr>
                          <w:color w:val="FF0000"/>
                          <w:sz w:val="28"/>
                          <w:szCs w:val="28"/>
                        </w:rPr>
                      </w:pPr>
                      <w:r>
                        <w:rPr>
                          <w:rFonts w:hint="eastAsia"/>
                          <w:sz w:val="28"/>
                          <w:szCs w:val="28"/>
                        </w:rPr>
                        <w:t>项目名称：</w:t>
                      </w:r>
                      <w:r>
                        <w:rPr>
                          <w:sz w:val="28"/>
                          <w:szCs w:val="28"/>
                        </w:rPr>
                        <w:t xml:space="preserve">                               </w:t>
                      </w:r>
                    </w:p>
                    <w:p w14:paraId="42639D67">
                      <w:pPr>
                        <w:jc w:val="center"/>
                        <w:rPr>
                          <w:b/>
                          <w:sz w:val="44"/>
                          <w:szCs w:val="44"/>
                        </w:rPr>
                      </w:pPr>
                      <w:r>
                        <w:rPr>
                          <w:rFonts w:hint="eastAsia"/>
                          <w:b/>
                          <w:sz w:val="44"/>
                          <w:szCs w:val="44"/>
                        </w:rPr>
                        <w:t>电子版响应文件</w:t>
                      </w:r>
                    </w:p>
                    <w:p w14:paraId="6A429B1C">
                      <w:pPr>
                        <w:jc w:val="center"/>
                        <w:rPr>
                          <w:sz w:val="28"/>
                          <w:szCs w:val="28"/>
                        </w:rPr>
                      </w:pPr>
                      <w:r>
                        <w:rPr>
                          <w:rFonts w:hint="eastAsia"/>
                          <w:sz w:val="28"/>
                          <w:szCs w:val="28"/>
                        </w:rPr>
                        <w:t>（非公开唱标不得启封）</w:t>
                      </w:r>
                    </w:p>
                    <w:p w14:paraId="128BBD7C">
                      <w:pPr>
                        <w:jc w:val="center"/>
                        <w:rPr>
                          <w:sz w:val="28"/>
                          <w:szCs w:val="28"/>
                        </w:rPr>
                      </w:pPr>
                    </w:p>
                    <w:p w14:paraId="5EC804EA">
                      <w:pPr>
                        <w:rPr>
                          <w:sz w:val="28"/>
                          <w:szCs w:val="28"/>
                        </w:rPr>
                      </w:pPr>
                      <w:r>
                        <w:rPr>
                          <w:rFonts w:hint="eastAsia"/>
                          <w:sz w:val="28"/>
                          <w:szCs w:val="28"/>
                        </w:rPr>
                        <w:t>供应商名称：</w:t>
                      </w:r>
                      <w:r>
                        <w:rPr>
                          <w:sz w:val="28"/>
                          <w:szCs w:val="28"/>
                        </w:rPr>
                        <w:t xml:space="preserve">       </w:t>
                      </w:r>
                      <w:r>
                        <w:rPr>
                          <w:rFonts w:hint="eastAsia"/>
                          <w:sz w:val="28"/>
                          <w:szCs w:val="28"/>
                        </w:rPr>
                        <w:t>（公章）</w:t>
                      </w:r>
                    </w:p>
                    <w:p w14:paraId="702CD2BA">
                      <w:pPr>
                        <w:rPr>
                          <w:sz w:val="28"/>
                          <w:szCs w:val="28"/>
                        </w:rPr>
                      </w:pPr>
                      <w:r>
                        <w:rPr>
                          <w:rFonts w:hint="eastAsia"/>
                          <w:sz w:val="28"/>
                          <w:szCs w:val="28"/>
                        </w:rPr>
                        <w:t>封袋内容：电子版标书（</w:t>
                      </w:r>
                      <w:r>
                        <w:rPr>
                          <w:rFonts w:ascii="宋体" w:hAnsi="宋体"/>
                          <w:sz w:val="28"/>
                          <w:szCs w:val="28"/>
                        </w:rPr>
                        <w:t>U</w:t>
                      </w:r>
                      <w:r>
                        <w:rPr>
                          <w:rFonts w:hint="eastAsia"/>
                          <w:sz w:val="28"/>
                          <w:szCs w:val="28"/>
                        </w:rPr>
                        <w:t>盘）</w:t>
                      </w:r>
                      <w:r>
                        <w:rPr>
                          <w:sz w:val="28"/>
                          <w:szCs w:val="28"/>
                        </w:rPr>
                        <w:t xml:space="preserve">                    </w:t>
                      </w:r>
                    </w:p>
                  </w:txbxContent>
                </v:textbox>
              </v:shape>
            </w:pict>
          </mc:Fallback>
        </mc:AlternateContent>
      </w:r>
    </w:p>
    <w:p w14:paraId="1B4DD893">
      <w:pPr>
        <w:rPr>
          <w:color w:val="auto"/>
        </w:rPr>
      </w:pPr>
    </w:p>
    <w:p w14:paraId="6069F3A7">
      <w:pPr>
        <w:rPr>
          <w:color w:val="auto"/>
        </w:rPr>
      </w:pPr>
    </w:p>
    <w:p w14:paraId="02E290EB">
      <w:pPr>
        <w:rPr>
          <w:color w:val="auto"/>
        </w:rPr>
      </w:pPr>
    </w:p>
    <w:p w14:paraId="28669EAD">
      <w:pPr>
        <w:rPr>
          <w:color w:val="auto"/>
        </w:rPr>
      </w:pPr>
    </w:p>
    <w:p w14:paraId="01C4C93D">
      <w:pPr>
        <w:rPr>
          <w:color w:val="auto"/>
        </w:rPr>
      </w:pPr>
    </w:p>
    <w:p w14:paraId="61DF63E5">
      <w:pPr>
        <w:rPr>
          <w:color w:val="auto"/>
        </w:rPr>
      </w:pPr>
    </w:p>
    <w:p w14:paraId="4660B3D8">
      <w:pPr>
        <w:rPr>
          <w:color w:val="auto"/>
        </w:rPr>
      </w:pPr>
    </w:p>
    <w:p w14:paraId="6E28EA0B">
      <w:pPr>
        <w:rPr>
          <w:color w:val="auto"/>
        </w:rPr>
      </w:pPr>
    </w:p>
    <w:p w14:paraId="25D17852">
      <w:pPr>
        <w:rPr>
          <w:color w:val="auto"/>
        </w:rPr>
      </w:pPr>
    </w:p>
    <w:p w14:paraId="630F5F26">
      <w:pPr>
        <w:rPr>
          <w:color w:val="auto"/>
        </w:rPr>
      </w:pPr>
    </w:p>
    <w:p w14:paraId="6324AF68">
      <w:pPr>
        <w:rPr>
          <w:color w:val="auto"/>
        </w:rPr>
      </w:pPr>
    </w:p>
    <w:p w14:paraId="10EE3C2A">
      <w:pPr>
        <w:rPr>
          <w:color w:val="auto"/>
        </w:rPr>
      </w:pPr>
    </w:p>
    <w:p w14:paraId="15EA4620">
      <w:pPr>
        <w:rPr>
          <w:color w:val="auto"/>
        </w:rPr>
      </w:pPr>
    </w:p>
    <w:p w14:paraId="4D0950C3">
      <w:pPr>
        <w:rPr>
          <w:color w:val="auto"/>
        </w:rPr>
      </w:pPr>
    </w:p>
    <w:p w14:paraId="719D8B0C">
      <w:pPr>
        <w:rPr>
          <w:color w:val="auto"/>
        </w:rPr>
      </w:pPr>
    </w:p>
    <w:p w14:paraId="2FD3A7D3">
      <w:pPr>
        <w:rPr>
          <w:color w:val="auto"/>
        </w:rPr>
      </w:pPr>
    </w:p>
    <w:p w14:paraId="3FDFB697">
      <w:pPr>
        <w:rPr>
          <w:color w:val="auto"/>
        </w:rPr>
      </w:pPr>
    </w:p>
    <w:p w14:paraId="665D56EE">
      <w:pPr>
        <w:rPr>
          <w:color w:val="auto"/>
        </w:rPr>
      </w:pPr>
    </w:p>
    <w:p w14:paraId="1595A60A">
      <w:pPr>
        <w:rPr>
          <w:color w:val="auto"/>
        </w:rPr>
      </w:pPr>
    </w:p>
    <w:p w14:paraId="18B15AA0">
      <w:pPr>
        <w:pStyle w:val="110"/>
        <w:rPr>
          <w:color w:val="auto"/>
        </w:rPr>
      </w:pPr>
    </w:p>
    <w:p w14:paraId="6EED44D1">
      <w:pPr>
        <w:pStyle w:val="110"/>
        <w:rPr>
          <w:color w:val="auto"/>
        </w:rPr>
      </w:pPr>
    </w:p>
    <w:p w14:paraId="5C2AE396">
      <w:pPr>
        <w:pStyle w:val="110"/>
        <w:rPr>
          <w:color w:val="auto"/>
        </w:rPr>
      </w:pPr>
    </w:p>
    <w:p w14:paraId="3E8A6D71">
      <w:pPr>
        <w:pStyle w:val="110"/>
        <w:rPr>
          <w:color w:val="auto"/>
        </w:rPr>
      </w:pPr>
    </w:p>
    <w:p w14:paraId="440D54C2">
      <w:pPr>
        <w:rPr>
          <w:color w:val="auto"/>
        </w:rPr>
      </w:pPr>
    </w:p>
    <w:p w14:paraId="08AA13F2">
      <w:pPr>
        <w:spacing w:line="440" w:lineRule="exact"/>
        <w:ind w:firstLine="151" w:firstLineChars="50"/>
        <w:rPr>
          <w:rFonts w:ascii="宋体" w:hAnsi="宋体"/>
          <w:b/>
          <w:color w:val="auto"/>
          <w:sz w:val="30"/>
          <w:szCs w:val="30"/>
        </w:rPr>
      </w:pPr>
      <w:r>
        <w:rPr>
          <w:rFonts w:hint="eastAsia" w:ascii="宋体" w:hAnsi="宋体"/>
          <w:b/>
          <w:color w:val="auto"/>
          <w:sz w:val="30"/>
          <w:szCs w:val="30"/>
        </w:rPr>
        <w:t>陕西国创招标有限公司</w:t>
      </w:r>
    </w:p>
    <w:p w14:paraId="514C371F">
      <w:pPr>
        <w:spacing w:line="440" w:lineRule="exact"/>
        <w:jc w:val="center"/>
        <w:rPr>
          <w:rFonts w:ascii="宋体" w:hAnsi="宋体"/>
          <w:color w:val="auto"/>
          <w:sz w:val="32"/>
          <w:szCs w:val="32"/>
        </w:rPr>
      </w:pPr>
      <w:r>
        <w:rPr>
          <w:rFonts w:hint="eastAsia" w:ascii="宋体" w:hAnsi="宋体"/>
          <w:color w:val="auto"/>
          <w:sz w:val="32"/>
          <w:szCs w:val="32"/>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4" name="Line 5"/>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Line 5" o:spid="_x0000_s1026" o:spt="20" style="position:absolute;left:0pt;margin-left:0pt;margin-top:11pt;height:0pt;width:423pt;z-index:251663360;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OcKp9jTAAAABgEAAA8AAAAAAAAAAQAgAAAAIgAAAGRycy9k&#10;b3ducmV2LnhtbFBLAQIUABQAAAAIAIdO4kB9RTNEzgEAAK4DAAAOAAAAAAAAAAEAIAAAACIBAABk&#10;cnMvZTJvRG9jLnhtbFBLBQYAAAAABgAGAFkBAABiBQAAAAA=&#10;">
                <v:fill on="f" focussize="0,0"/>
                <v:stroke weight="1.5pt" color="#000000" joinstyle="round"/>
                <v:imagedata o:title=""/>
                <o:lock v:ext="edit" aspectratio="f"/>
              </v:line>
            </w:pict>
          </mc:Fallback>
        </mc:AlternateContent>
      </w:r>
    </w:p>
    <w:p w14:paraId="3D4BC0F1">
      <w:pPr>
        <w:autoSpaceDE w:val="0"/>
        <w:autoSpaceDN w:val="0"/>
        <w:spacing w:line="440" w:lineRule="exact"/>
        <w:ind w:firstLine="120" w:firstLineChars="50"/>
        <w:rPr>
          <w:rFonts w:ascii="宋体" w:hAnsi="宋体"/>
          <w:color w:val="auto"/>
          <w:sz w:val="24"/>
        </w:rPr>
      </w:pPr>
      <w:r>
        <w:rPr>
          <w:rFonts w:hint="eastAsia" w:ascii="宋体" w:hAnsi="宋体"/>
          <w:color w:val="auto"/>
          <w:sz w:val="24"/>
        </w:rPr>
        <w:t>地    址</w:t>
      </w:r>
      <w:r>
        <w:rPr>
          <w:rFonts w:hint="eastAsia" w:ascii="宋体" w:hAnsi="宋体"/>
          <w:color w:val="auto"/>
          <w:spacing w:val="-6"/>
          <w:sz w:val="24"/>
        </w:rPr>
        <w:t>：</w:t>
      </w:r>
      <w:r>
        <w:rPr>
          <w:rFonts w:hint="eastAsia" w:hAnsi="宋体"/>
          <w:color w:val="auto"/>
          <w:sz w:val="24"/>
        </w:rPr>
        <w:t>西安市莲湖区高</w:t>
      </w:r>
      <w:r>
        <w:rPr>
          <w:rFonts w:hint="eastAsia" w:ascii="宋体" w:hAnsi="宋体"/>
          <w:color w:val="auto"/>
          <w:sz w:val="24"/>
        </w:rPr>
        <w:t>新一路5号正信大厦A座24楼</w:t>
      </w:r>
    </w:p>
    <w:p w14:paraId="4C00E180">
      <w:pPr>
        <w:autoSpaceDE w:val="0"/>
        <w:autoSpaceDN w:val="0"/>
        <w:spacing w:line="440" w:lineRule="exact"/>
        <w:ind w:firstLine="120" w:firstLineChars="50"/>
        <w:rPr>
          <w:rFonts w:ascii="宋体" w:hAnsi="宋体"/>
          <w:color w:val="auto"/>
          <w:sz w:val="24"/>
        </w:rPr>
      </w:pPr>
      <w:r>
        <w:rPr>
          <w:rFonts w:hint="eastAsia" w:ascii="宋体" w:hAnsi="宋体"/>
          <w:color w:val="auto"/>
          <w:sz w:val="24"/>
        </w:rPr>
        <w:t>邮    编：</w:t>
      </w:r>
      <w:r>
        <w:rPr>
          <w:rFonts w:ascii="宋体" w:hAnsi="宋体"/>
          <w:color w:val="auto"/>
          <w:sz w:val="24"/>
        </w:rPr>
        <w:t>710077</w:t>
      </w:r>
    </w:p>
    <w:p w14:paraId="3ACD3F2F">
      <w:pPr>
        <w:autoSpaceDE w:val="0"/>
        <w:autoSpaceDN w:val="0"/>
        <w:spacing w:line="440" w:lineRule="exact"/>
        <w:ind w:firstLine="120" w:firstLineChars="50"/>
        <w:rPr>
          <w:rFonts w:ascii="宋体" w:hAnsi="宋体"/>
          <w:color w:val="auto"/>
          <w:sz w:val="24"/>
        </w:rPr>
      </w:pPr>
      <w:r>
        <w:rPr>
          <w:rFonts w:hint="eastAsia" w:ascii="宋体" w:hAnsi="宋体"/>
          <w:color w:val="auto"/>
          <w:sz w:val="24"/>
        </w:rPr>
        <w:t>电    话：</w:t>
      </w:r>
      <w:r>
        <w:rPr>
          <w:rFonts w:ascii="宋体" w:hAnsi="宋体"/>
          <w:color w:val="auto"/>
          <w:sz w:val="24"/>
        </w:rPr>
        <w:t>029-89286620</w:t>
      </w:r>
    </w:p>
    <w:p w14:paraId="7FE284D8">
      <w:pPr>
        <w:autoSpaceDE w:val="0"/>
        <w:autoSpaceDN w:val="0"/>
        <w:spacing w:line="440" w:lineRule="exact"/>
        <w:ind w:firstLine="120" w:firstLineChars="50"/>
        <w:rPr>
          <w:rFonts w:ascii="宋体" w:hAnsi="宋体"/>
          <w:color w:val="auto"/>
          <w:sz w:val="24"/>
        </w:rPr>
      </w:pPr>
      <w:r>
        <w:rPr>
          <w:rFonts w:hint="eastAsia" w:ascii="宋体" w:hAnsi="宋体"/>
          <w:color w:val="auto"/>
          <w:sz w:val="24"/>
        </w:rPr>
        <w:t>开户银行：招商银行股份有限公司西安高新技术开发区支行</w:t>
      </w:r>
    </w:p>
    <w:p w14:paraId="318726E7">
      <w:pPr>
        <w:autoSpaceDE w:val="0"/>
        <w:autoSpaceDN w:val="0"/>
        <w:spacing w:line="440" w:lineRule="exact"/>
        <w:ind w:firstLine="120" w:firstLineChars="50"/>
        <w:rPr>
          <w:rFonts w:ascii="宋体" w:hAnsi="宋体"/>
          <w:color w:val="auto"/>
          <w:sz w:val="24"/>
        </w:rPr>
      </w:pPr>
      <w:r>
        <w:rPr>
          <w:rFonts w:hint="eastAsia" w:ascii="宋体" w:hAnsi="宋体"/>
          <w:color w:val="auto"/>
          <w:sz w:val="24"/>
        </w:rPr>
        <w:t>帐    号：</w:t>
      </w:r>
      <w:r>
        <w:rPr>
          <w:rFonts w:ascii="宋体" w:hAnsi="宋体"/>
          <w:color w:val="auto"/>
          <w:sz w:val="24"/>
        </w:rPr>
        <w:t>129905629810401</w:t>
      </w:r>
      <w:r>
        <w:rPr>
          <w:rFonts w:hint="eastAsia" w:ascii="宋体" w:hAnsi="宋体"/>
          <w:color w:val="auto"/>
          <w:sz w:val="24"/>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480060</wp:posOffset>
                </wp:positionV>
                <wp:extent cx="5372100" cy="0"/>
                <wp:effectExtent l="0" t="9525" r="0" b="9525"/>
                <wp:wrapNone/>
                <wp:docPr id="3" name="Line 6"/>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Line 6" o:spid="_x0000_s1026" o:spt="20" style="position:absolute;left:0pt;margin-left:0pt;margin-top:37.8pt;height:0pt;width:423pt;z-index:251662336;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i+1gLTAAAABgEAAA8AAAAAAAAAAQAgAAAAIgAAAGRycy9k&#10;b3ducmV2LnhtbFBLAQIUABQAAAAIAIdO4kAr3OIezgEAAK4DAAAOAAAAAAAAAAEAIAAAACIBAABk&#10;cnMvZTJvRG9jLnhtbFBLBQYAAAAABgAGAFkBAABiBQAAAAA=&#10;">
                <v:fill on="f" focussize="0,0"/>
                <v:stroke weight="1.5pt" color="#000000" joinstyle="round"/>
                <v:imagedata o:title=""/>
                <o:lock v:ext="edit" aspectratio="f"/>
              </v:line>
            </w:pict>
          </mc:Fallback>
        </mc:AlternateContent>
      </w:r>
    </w:p>
    <w:p w14:paraId="31E894B7">
      <w:pPr>
        <w:autoSpaceDE w:val="0"/>
        <w:autoSpaceDN w:val="0"/>
        <w:spacing w:line="440" w:lineRule="exact"/>
        <w:rPr>
          <w:rFonts w:ascii="宋体" w:hAnsi="宋体"/>
          <w:color w:val="auto"/>
          <w:sz w:val="30"/>
          <w:szCs w:val="30"/>
        </w:rPr>
      </w:pPr>
    </w:p>
    <w:sectPr>
      <w:headerReference r:id="rId13" w:type="default"/>
      <w:footerReference r:id="rId14" w:type="default"/>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MingLiU_HKSCS">
    <w:altName w:val="PMingLiU-ExtB"/>
    <w:panose1 w:val="000000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ˎ̥">
    <w:altName w:val="Times New Roman"/>
    <w:panose1 w:val="00000000000000000000"/>
    <w:charset w:val="00"/>
    <w:family w:val="roman"/>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D6758">
    <w:pPr>
      <w:pStyle w:val="1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A5555">
    <w:pPr>
      <w:pStyle w:val="19"/>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24944">
    <w:pPr>
      <w:pStyle w:val="1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522A00D">
                          <w:pPr>
                            <w:pStyle w:val="19"/>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OqXm5zwAAAAUB&#10;AAAPAAAAAAAAAAEAIAAAACIAAABkcnMvZG93bnJldi54bWxQSwECFAAUAAAACACHTuJAgXDFZesB&#10;AADVAwAADgAAAAAAAAABACAAAAAeAQAAZHJzL2Uyb0RvYy54bWxQSwUGAAAAAAYABgBZAQAAewUA&#10;AAAA&#10;">
              <v:fill on="f" focussize="0,0"/>
              <v:stroke on="f"/>
              <v:imagedata o:title=""/>
              <o:lock v:ext="edit" aspectratio="f"/>
              <v:textbox inset="0mm,0mm,0mm,0mm" style="mso-fit-shape-to-text:t;">
                <w:txbxContent>
                  <w:p w14:paraId="2522A00D">
                    <w:pPr>
                      <w:pStyle w:val="19"/>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78745">
    <w:pPr>
      <w:pStyle w:val="1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EFC0C15">
                          <w:pPr>
                            <w:pStyle w:val="19"/>
                          </w:pPr>
                          <w:r>
                            <w:t xml:space="preserve">第 </w:t>
                          </w:r>
                          <w:r>
                            <w:fldChar w:fldCharType="begin"/>
                          </w:r>
                          <w:r>
                            <w:instrText xml:space="preserve"> PAGE  \* MERGEFORMAT </w:instrText>
                          </w:r>
                          <w:r>
                            <w:fldChar w:fldCharType="separate"/>
                          </w:r>
                          <w:r>
                            <w:t>80</w:t>
                          </w:r>
                          <w:r>
                            <w:fldChar w:fldCharType="end"/>
                          </w:r>
                          <w:r>
                            <w:t xml:space="preserve"> 页</w:t>
                          </w:r>
                        </w:p>
                      </w:txbxContent>
                    </wps:txbx>
                    <wps:bodyPr vert="horz" wrap="none" lIns="0" tIns="0" rIns="0" bIns="0" anchor="t">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oaYJL0wAAAAUBAAAPAAAAAAAAAAEAIAAA&#10;ACIAAABkcnMvZG93bnJldi54bWxQSwECFAAUAAAACACHTuJA+1+GedgBAACvAwAADgAAAAAAAAAB&#10;ACAAAAAiAQAAZHJzL2Uyb0RvYy54bWxQSwUGAAAAAAYABgBZAQAAbAUAAAAA&#10;">
              <v:fill on="f" focussize="0,0"/>
              <v:stroke on="f" weight="1.25pt"/>
              <v:imagedata o:title=""/>
              <o:lock v:ext="edit" aspectratio="f"/>
              <v:textbox inset="0mm,0mm,0mm,0mm" style="mso-fit-shape-to-text:t;">
                <w:txbxContent>
                  <w:p w14:paraId="0EFC0C15">
                    <w:pPr>
                      <w:pStyle w:val="19"/>
                    </w:pPr>
                    <w:r>
                      <w:t xml:space="preserve">第 </w:t>
                    </w:r>
                    <w:r>
                      <w:fldChar w:fldCharType="begin"/>
                    </w:r>
                    <w:r>
                      <w:instrText xml:space="preserve"> PAGE  \* MERGEFORMAT </w:instrText>
                    </w:r>
                    <w:r>
                      <w:fldChar w:fldCharType="separate"/>
                    </w:r>
                    <w:r>
                      <w:t>80</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78D20">
    <w:pPr>
      <w:pStyle w:val="1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4CC33">
    <w:pPr>
      <w:pStyle w:val="2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52B03">
    <w:pPr>
      <w:pStyle w:val="2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CCE95">
    <w:pPr>
      <w:pStyle w:val="20"/>
      <w:pBdr>
        <w:bottom w:val="single" w:color="auto" w:sz="6" w:space="2"/>
      </w:pBdr>
      <w:jc w:val="left"/>
    </w:pPr>
    <w:r>
      <w:rPr>
        <w:rFonts w:hint="eastAsia"/>
        <w:lang w:eastAsia="zh-CN"/>
      </w:rPr>
      <w:t>陕西警察学院2026年度信息系统等保测评服务项目</w:t>
    </w:r>
    <w:r>
      <w:rPr>
        <w:rFonts w:hint="eastAsia"/>
      </w:rPr>
      <w:t xml:space="preserve">                                        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43B8B">
    <w:pPr>
      <w:pStyle w:val="20"/>
      <w:pBdr>
        <w:bottom w:val="single" w:color="auto" w:sz="6" w:space="2"/>
      </w:pBdr>
      <w:jc w:val="left"/>
    </w:pPr>
    <w:r>
      <w:rPr>
        <w:rFonts w:hint="eastAsia"/>
        <w:lang w:eastAsia="zh-CN"/>
      </w:rPr>
      <w:t>陕西警察学院2026年度信息系统等保测评服务项目</w:t>
    </w:r>
    <w:r>
      <w:rPr>
        <w:rFonts w:hint="eastAsia"/>
      </w:rPr>
      <w:t xml:space="preserve">                                      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A2F2A">
    <w:pPr>
      <w:pStyle w:val="2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5E6C2E"/>
    <w:multiLevelType w:val="singleLevel"/>
    <w:tmpl w:val="9E5E6C2E"/>
    <w:lvl w:ilvl="0" w:tentative="0">
      <w:start w:val="1"/>
      <w:numFmt w:val="decimal"/>
      <w:suff w:val="nothing"/>
      <w:lvlText w:val="%1、"/>
      <w:lvlJc w:val="left"/>
      <w:rPr>
        <w:rFonts w:hint="default" w:ascii="宋体" w:hAnsi="宋体" w:eastAsia="宋体" w:cs="宋体"/>
        <w:color w:val="auto"/>
      </w:rPr>
    </w:lvl>
  </w:abstractNum>
  <w:abstractNum w:abstractNumId="1">
    <w:nsid w:val="D9CCA1D0"/>
    <w:multiLevelType w:val="singleLevel"/>
    <w:tmpl w:val="D9CCA1D0"/>
    <w:lvl w:ilvl="0" w:tentative="0">
      <w:start w:val="4"/>
      <w:numFmt w:val="decimal"/>
      <w:suff w:val="nothing"/>
      <w:lvlText w:val="%1、"/>
      <w:lvlJc w:val="left"/>
    </w:lvl>
  </w:abstractNum>
  <w:abstractNum w:abstractNumId="2">
    <w:nsid w:val="E76418BB"/>
    <w:multiLevelType w:val="singleLevel"/>
    <w:tmpl w:val="E76418BB"/>
    <w:lvl w:ilvl="0" w:tentative="0">
      <w:start w:val="12"/>
      <w:numFmt w:val="decimal"/>
      <w:suff w:val="nothing"/>
      <w:lvlText w:val="%1、"/>
      <w:lvlJc w:val="left"/>
    </w:lvl>
  </w:abstractNum>
  <w:abstractNum w:abstractNumId="3">
    <w:nsid w:val="F18342EA"/>
    <w:multiLevelType w:val="singleLevel"/>
    <w:tmpl w:val="F18342EA"/>
    <w:lvl w:ilvl="0" w:tentative="0">
      <w:start w:val="15"/>
      <w:numFmt w:val="decimal"/>
      <w:suff w:val="nothing"/>
      <w:lvlText w:val="%1、"/>
      <w:lvlJc w:val="left"/>
    </w:lvl>
  </w:abstractNum>
  <w:abstractNum w:abstractNumId="4">
    <w:nsid w:val="678D5E5A"/>
    <w:multiLevelType w:val="singleLevel"/>
    <w:tmpl w:val="678D5E5A"/>
    <w:lvl w:ilvl="0" w:tentative="0">
      <w:start w:val="1"/>
      <w:numFmt w:val="decimal"/>
      <w:lvlText w:val="%1."/>
      <w:lvlJc w:val="left"/>
      <w:pPr>
        <w:tabs>
          <w:tab w:val="left" w:pos="312"/>
        </w:tabs>
      </w:pPr>
    </w:lvl>
  </w:abstractNum>
  <w:abstractNum w:abstractNumId="5">
    <w:nsid w:val="6CA487AC"/>
    <w:multiLevelType w:val="singleLevel"/>
    <w:tmpl w:val="6CA487AC"/>
    <w:lvl w:ilvl="0" w:tentative="0">
      <w:start w:val="1"/>
      <w:numFmt w:val="decimal"/>
      <w:suff w:val="nothing"/>
      <w:lvlText w:val="%1、"/>
      <w:lvlJc w:val="left"/>
    </w:lvl>
  </w:abstractNum>
  <w:abstractNum w:abstractNumId="6">
    <w:nsid w:val="7C2BC286"/>
    <w:multiLevelType w:val="singleLevel"/>
    <w:tmpl w:val="7C2BC286"/>
    <w:lvl w:ilvl="0" w:tentative="0">
      <w:start w:val="1"/>
      <w:numFmt w:val="decimal"/>
      <w:suff w:val="nothing"/>
      <w:lvlText w:val="%1、"/>
      <w:lvlJc w:val="left"/>
    </w:lvl>
  </w:abstractNum>
  <w:num w:numId="1">
    <w:abstractNumId w:val="6"/>
  </w:num>
  <w:num w:numId="2">
    <w:abstractNumId w:val="5"/>
  </w:num>
  <w:num w:numId="3">
    <w:abstractNumId w:val="1"/>
  </w:num>
  <w:num w:numId="4">
    <w:abstractNumId w:val="0"/>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4"/>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Q3Mzk4NTY3MTFmZTk3ZGRkYmNhMDY0NzM1ZGU2MGUifQ=="/>
  </w:docVars>
  <w:rsids>
    <w:rsidRoot w:val="00172A27"/>
    <w:rsid w:val="00000B2A"/>
    <w:rsid w:val="00000D28"/>
    <w:rsid w:val="00003E86"/>
    <w:rsid w:val="00004AA3"/>
    <w:rsid w:val="000076E7"/>
    <w:rsid w:val="000111CC"/>
    <w:rsid w:val="000159C2"/>
    <w:rsid w:val="00017BA3"/>
    <w:rsid w:val="00021A80"/>
    <w:rsid w:val="00023CED"/>
    <w:rsid w:val="000308EF"/>
    <w:rsid w:val="00032AE8"/>
    <w:rsid w:val="00033911"/>
    <w:rsid w:val="000343BA"/>
    <w:rsid w:val="0004174F"/>
    <w:rsid w:val="00041B7B"/>
    <w:rsid w:val="0004283C"/>
    <w:rsid w:val="000431FD"/>
    <w:rsid w:val="00043904"/>
    <w:rsid w:val="00046823"/>
    <w:rsid w:val="000475D3"/>
    <w:rsid w:val="0004799A"/>
    <w:rsid w:val="000505AE"/>
    <w:rsid w:val="00050910"/>
    <w:rsid w:val="00051DE0"/>
    <w:rsid w:val="00054C87"/>
    <w:rsid w:val="00055064"/>
    <w:rsid w:val="000632E6"/>
    <w:rsid w:val="00063500"/>
    <w:rsid w:val="0006369A"/>
    <w:rsid w:val="00066837"/>
    <w:rsid w:val="00066980"/>
    <w:rsid w:val="00067B35"/>
    <w:rsid w:val="000705A2"/>
    <w:rsid w:val="000721BB"/>
    <w:rsid w:val="00073724"/>
    <w:rsid w:val="000737C4"/>
    <w:rsid w:val="00073BDD"/>
    <w:rsid w:val="00073CD3"/>
    <w:rsid w:val="00074B37"/>
    <w:rsid w:val="00075195"/>
    <w:rsid w:val="00075396"/>
    <w:rsid w:val="00075A44"/>
    <w:rsid w:val="0007694E"/>
    <w:rsid w:val="00077BAF"/>
    <w:rsid w:val="00080637"/>
    <w:rsid w:val="00080B25"/>
    <w:rsid w:val="00080CBB"/>
    <w:rsid w:val="00081E71"/>
    <w:rsid w:val="00083740"/>
    <w:rsid w:val="00083F5A"/>
    <w:rsid w:val="00084D6B"/>
    <w:rsid w:val="000854BF"/>
    <w:rsid w:val="00087800"/>
    <w:rsid w:val="00087AE8"/>
    <w:rsid w:val="0009620E"/>
    <w:rsid w:val="0009631B"/>
    <w:rsid w:val="0009633E"/>
    <w:rsid w:val="00096CEE"/>
    <w:rsid w:val="000972C3"/>
    <w:rsid w:val="000A007D"/>
    <w:rsid w:val="000A2B37"/>
    <w:rsid w:val="000A2E12"/>
    <w:rsid w:val="000A3E4A"/>
    <w:rsid w:val="000A4566"/>
    <w:rsid w:val="000A76D3"/>
    <w:rsid w:val="000A7971"/>
    <w:rsid w:val="000B4182"/>
    <w:rsid w:val="000B5439"/>
    <w:rsid w:val="000B6A39"/>
    <w:rsid w:val="000C253B"/>
    <w:rsid w:val="000C3313"/>
    <w:rsid w:val="000C7142"/>
    <w:rsid w:val="000D1A85"/>
    <w:rsid w:val="000D22CD"/>
    <w:rsid w:val="000D4A04"/>
    <w:rsid w:val="000D550F"/>
    <w:rsid w:val="000E09FE"/>
    <w:rsid w:val="000E39F7"/>
    <w:rsid w:val="000E59DE"/>
    <w:rsid w:val="000E644B"/>
    <w:rsid w:val="000E705E"/>
    <w:rsid w:val="000E737E"/>
    <w:rsid w:val="000E7F9B"/>
    <w:rsid w:val="000F3080"/>
    <w:rsid w:val="000F69A9"/>
    <w:rsid w:val="000F7835"/>
    <w:rsid w:val="00102373"/>
    <w:rsid w:val="00103947"/>
    <w:rsid w:val="00104BEA"/>
    <w:rsid w:val="00106A5C"/>
    <w:rsid w:val="00106C29"/>
    <w:rsid w:val="0011178B"/>
    <w:rsid w:val="00112952"/>
    <w:rsid w:val="001131F5"/>
    <w:rsid w:val="0011529E"/>
    <w:rsid w:val="0012009D"/>
    <w:rsid w:val="001212E1"/>
    <w:rsid w:val="0012552D"/>
    <w:rsid w:val="001255C3"/>
    <w:rsid w:val="001261F1"/>
    <w:rsid w:val="001327FC"/>
    <w:rsid w:val="00133AC8"/>
    <w:rsid w:val="0013538B"/>
    <w:rsid w:val="001371DC"/>
    <w:rsid w:val="001425BD"/>
    <w:rsid w:val="00142B8E"/>
    <w:rsid w:val="00143646"/>
    <w:rsid w:val="00145B5A"/>
    <w:rsid w:val="00147342"/>
    <w:rsid w:val="001529DB"/>
    <w:rsid w:val="00153000"/>
    <w:rsid w:val="00157075"/>
    <w:rsid w:val="00160507"/>
    <w:rsid w:val="00163990"/>
    <w:rsid w:val="001668F0"/>
    <w:rsid w:val="00166B15"/>
    <w:rsid w:val="001704A9"/>
    <w:rsid w:val="00170500"/>
    <w:rsid w:val="00170BE4"/>
    <w:rsid w:val="001714FE"/>
    <w:rsid w:val="00171581"/>
    <w:rsid w:val="00171A70"/>
    <w:rsid w:val="00172A27"/>
    <w:rsid w:val="00173119"/>
    <w:rsid w:val="00175B00"/>
    <w:rsid w:val="0017690F"/>
    <w:rsid w:val="001778A3"/>
    <w:rsid w:val="00180FDD"/>
    <w:rsid w:val="001829AA"/>
    <w:rsid w:val="001829B3"/>
    <w:rsid w:val="0018511E"/>
    <w:rsid w:val="00185577"/>
    <w:rsid w:val="001924C5"/>
    <w:rsid w:val="00192923"/>
    <w:rsid w:val="00192C87"/>
    <w:rsid w:val="00192FE1"/>
    <w:rsid w:val="00193A8E"/>
    <w:rsid w:val="00194E7C"/>
    <w:rsid w:val="001960DD"/>
    <w:rsid w:val="00196AD1"/>
    <w:rsid w:val="00196E22"/>
    <w:rsid w:val="001970DE"/>
    <w:rsid w:val="001A11FF"/>
    <w:rsid w:val="001A2438"/>
    <w:rsid w:val="001A467E"/>
    <w:rsid w:val="001A48D0"/>
    <w:rsid w:val="001A61D8"/>
    <w:rsid w:val="001B2D5E"/>
    <w:rsid w:val="001B3B84"/>
    <w:rsid w:val="001B5D52"/>
    <w:rsid w:val="001B6FBD"/>
    <w:rsid w:val="001C45AB"/>
    <w:rsid w:val="001C4B16"/>
    <w:rsid w:val="001C53FD"/>
    <w:rsid w:val="001C6199"/>
    <w:rsid w:val="001C6F74"/>
    <w:rsid w:val="001C720E"/>
    <w:rsid w:val="001C75B6"/>
    <w:rsid w:val="001D000B"/>
    <w:rsid w:val="001D0063"/>
    <w:rsid w:val="001D1D93"/>
    <w:rsid w:val="001D25A8"/>
    <w:rsid w:val="001D5702"/>
    <w:rsid w:val="001D5859"/>
    <w:rsid w:val="001D7240"/>
    <w:rsid w:val="001D798D"/>
    <w:rsid w:val="001D7AE2"/>
    <w:rsid w:val="001E2255"/>
    <w:rsid w:val="001E3997"/>
    <w:rsid w:val="001E4D31"/>
    <w:rsid w:val="001F0918"/>
    <w:rsid w:val="001F1943"/>
    <w:rsid w:val="001F210E"/>
    <w:rsid w:val="001F3C8D"/>
    <w:rsid w:val="001F48C7"/>
    <w:rsid w:val="001F5D17"/>
    <w:rsid w:val="001F609F"/>
    <w:rsid w:val="002009A4"/>
    <w:rsid w:val="00201A01"/>
    <w:rsid w:val="002055C9"/>
    <w:rsid w:val="00205B1E"/>
    <w:rsid w:val="0020770D"/>
    <w:rsid w:val="002130A7"/>
    <w:rsid w:val="00215EF5"/>
    <w:rsid w:val="0022017D"/>
    <w:rsid w:val="0022189A"/>
    <w:rsid w:val="00222E9F"/>
    <w:rsid w:val="002238E5"/>
    <w:rsid w:val="002249C1"/>
    <w:rsid w:val="002259EF"/>
    <w:rsid w:val="00225DA3"/>
    <w:rsid w:val="00227109"/>
    <w:rsid w:val="00230A55"/>
    <w:rsid w:val="00230D59"/>
    <w:rsid w:val="00232B70"/>
    <w:rsid w:val="0023404C"/>
    <w:rsid w:val="002340AF"/>
    <w:rsid w:val="00234AAF"/>
    <w:rsid w:val="002359E0"/>
    <w:rsid w:val="0023795D"/>
    <w:rsid w:val="00237D97"/>
    <w:rsid w:val="00240792"/>
    <w:rsid w:val="00240C9C"/>
    <w:rsid w:val="00243188"/>
    <w:rsid w:val="002436B6"/>
    <w:rsid w:val="00246E5B"/>
    <w:rsid w:val="00247704"/>
    <w:rsid w:val="00247C4B"/>
    <w:rsid w:val="002510F8"/>
    <w:rsid w:val="002514D5"/>
    <w:rsid w:val="002525BB"/>
    <w:rsid w:val="002529A6"/>
    <w:rsid w:val="002555A3"/>
    <w:rsid w:val="00255AF9"/>
    <w:rsid w:val="002628A7"/>
    <w:rsid w:val="00263697"/>
    <w:rsid w:val="00263992"/>
    <w:rsid w:val="002640C0"/>
    <w:rsid w:val="00264BA7"/>
    <w:rsid w:val="002658E1"/>
    <w:rsid w:val="0026694A"/>
    <w:rsid w:val="00266FA3"/>
    <w:rsid w:val="00267163"/>
    <w:rsid w:val="002702D5"/>
    <w:rsid w:val="00270F8B"/>
    <w:rsid w:val="00271259"/>
    <w:rsid w:val="002717F9"/>
    <w:rsid w:val="00272082"/>
    <w:rsid w:val="00272308"/>
    <w:rsid w:val="00273073"/>
    <w:rsid w:val="002737DC"/>
    <w:rsid w:val="00274795"/>
    <w:rsid w:val="00276C35"/>
    <w:rsid w:val="00276CAA"/>
    <w:rsid w:val="00277952"/>
    <w:rsid w:val="002779DB"/>
    <w:rsid w:val="00280BBB"/>
    <w:rsid w:val="00282948"/>
    <w:rsid w:val="00283860"/>
    <w:rsid w:val="002871AA"/>
    <w:rsid w:val="00287FE5"/>
    <w:rsid w:val="002901FE"/>
    <w:rsid w:val="0029259F"/>
    <w:rsid w:val="00292AF0"/>
    <w:rsid w:val="002947C9"/>
    <w:rsid w:val="00295396"/>
    <w:rsid w:val="0029706E"/>
    <w:rsid w:val="002A464F"/>
    <w:rsid w:val="002A50F2"/>
    <w:rsid w:val="002A5BA6"/>
    <w:rsid w:val="002A5C3B"/>
    <w:rsid w:val="002A5CC8"/>
    <w:rsid w:val="002A6719"/>
    <w:rsid w:val="002A6812"/>
    <w:rsid w:val="002A7E54"/>
    <w:rsid w:val="002B0315"/>
    <w:rsid w:val="002B1631"/>
    <w:rsid w:val="002B41AF"/>
    <w:rsid w:val="002B4E22"/>
    <w:rsid w:val="002B603A"/>
    <w:rsid w:val="002C21B3"/>
    <w:rsid w:val="002C3310"/>
    <w:rsid w:val="002C4763"/>
    <w:rsid w:val="002C5246"/>
    <w:rsid w:val="002C5778"/>
    <w:rsid w:val="002C5A2A"/>
    <w:rsid w:val="002C619A"/>
    <w:rsid w:val="002C63A4"/>
    <w:rsid w:val="002D0458"/>
    <w:rsid w:val="002D1775"/>
    <w:rsid w:val="002D4D5C"/>
    <w:rsid w:val="002E025C"/>
    <w:rsid w:val="002E417B"/>
    <w:rsid w:val="002E6E7A"/>
    <w:rsid w:val="002F00C9"/>
    <w:rsid w:val="002F0370"/>
    <w:rsid w:val="002F211B"/>
    <w:rsid w:val="002F4841"/>
    <w:rsid w:val="00302035"/>
    <w:rsid w:val="0030253D"/>
    <w:rsid w:val="0030484D"/>
    <w:rsid w:val="003101D1"/>
    <w:rsid w:val="00311885"/>
    <w:rsid w:val="00313533"/>
    <w:rsid w:val="00314E94"/>
    <w:rsid w:val="003209DF"/>
    <w:rsid w:val="00321513"/>
    <w:rsid w:val="003219A1"/>
    <w:rsid w:val="00322412"/>
    <w:rsid w:val="0032398F"/>
    <w:rsid w:val="00323A9E"/>
    <w:rsid w:val="00325ED2"/>
    <w:rsid w:val="00326D96"/>
    <w:rsid w:val="00330952"/>
    <w:rsid w:val="00334DDA"/>
    <w:rsid w:val="00342DB8"/>
    <w:rsid w:val="00344FC9"/>
    <w:rsid w:val="0034678F"/>
    <w:rsid w:val="003468E9"/>
    <w:rsid w:val="0034692D"/>
    <w:rsid w:val="00347B31"/>
    <w:rsid w:val="00347E9A"/>
    <w:rsid w:val="00350610"/>
    <w:rsid w:val="0035075A"/>
    <w:rsid w:val="003526E9"/>
    <w:rsid w:val="00352BF6"/>
    <w:rsid w:val="0035444D"/>
    <w:rsid w:val="00354BD0"/>
    <w:rsid w:val="00356B20"/>
    <w:rsid w:val="00357303"/>
    <w:rsid w:val="00357989"/>
    <w:rsid w:val="00357D1F"/>
    <w:rsid w:val="00360F4B"/>
    <w:rsid w:val="003707D3"/>
    <w:rsid w:val="00370DA7"/>
    <w:rsid w:val="003711E1"/>
    <w:rsid w:val="003724A0"/>
    <w:rsid w:val="00372C74"/>
    <w:rsid w:val="00373611"/>
    <w:rsid w:val="003756B1"/>
    <w:rsid w:val="00376F59"/>
    <w:rsid w:val="0037756E"/>
    <w:rsid w:val="003805C0"/>
    <w:rsid w:val="0038148F"/>
    <w:rsid w:val="00383BDF"/>
    <w:rsid w:val="0038599C"/>
    <w:rsid w:val="00391FE9"/>
    <w:rsid w:val="00394387"/>
    <w:rsid w:val="0039478C"/>
    <w:rsid w:val="00397690"/>
    <w:rsid w:val="003A3AF2"/>
    <w:rsid w:val="003A3AFE"/>
    <w:rsid w:val="003A58C4"/>
    <w:rsid w:val="003A6C53"/>
    <w:rsid w:val="003B0F85"/>
    <w:rsid w:val="003B2C0F"/>
    <w:rsid w:val="003B3685"/>
    <w:rsid w:val="003B3AA3"/>
    <w:rsid w:val="003C09E2"/>
    <w:rsid w:val="003C0D5B"/>
    <w:rsid w:val="003C0E32"/>
    <w:rsid w:val="003C1EC2"/>
    <w:rsid w:val="003C286B"/>
    <w:rsid w:val="003C37AC"/>
    <w:rsid w:val="003C533B"/>
    <w:rsid w:val="003C536C"/>
    <w:rsid w:val="003C6183"/>
    <w:rsid w:val="003D010A"/>
    <w:rsid w:val="003D21AE"/>
    <w:rsid w:val="003D2501"/>
    <w:rsid w:val="003D2B9F"/>
    <w:rsid w:val="003D4DEA"/>
    <w:rsid w:val="003D7F65"/>
    <w:rsid w:val="003E2EE4"/>
    <w:rsid w:val="003E2F64"/>
    <w:rsid w:val="003E30D8"/>
    <w:rsid w:val="003E3E51"/>
    <w:rsid w:val="003E4FA8"/>
    <w:rsid w:val="003E56CC"/>
    <w:rsid w:val="003F3409"/>
    <w:rsid w:val="003F4778"/>
    <w:rsid w:val="003F64C6"/>
    <w:rsid w:val="00400C7D"/>
    <w:rsid w:val="00401E0F"/>
    <w:rsid w:val="00402562"/>
    <w:rsid w:val="004030C5"/>
    <w:rsid w:val="00403DF2"/>
    <w:rsid w:val="004055E6"/>
    <w:rsid w:val="00407187"/>
    <w:rsid w:val="00413FFB"/>
    <w:rsid w:val="004141FD"/>
    <w:rsid w:val="00414B2F"/>
    <w:rsid w:val="00415E27"/>
    <w:rsid w:val="00416A3C"/>
    <w:rsid w:val="00421001"/>
    <w:rsid w:val="00422B0A"/>
    <w:rsid w:val="004234D8"/>
    <w:rsid w:val="00423E53"/>
    <w:rsid w:val="00425D61"/>
    <w:rsid w:val="0042692F"/>
    <w:rsid w:val="00426F49"/>
    <w:rsid w:val="0043496E"/>
    <w:rsid w:val="00434D1B"/>
    <w:rsid w:val="00436E28"/>
    <w:rsid w:val="0043734A"/>
    <w:rsid w:val="00437F9D"/>
    <w:rsid w:val="00440A6D"/>
    <w:rsid w:val="004434DD"/>
    <w:rsid w:val="00443CF3"/>
    <w:rsid w:val="00445A2F"/>
    <w:rsid w:val="00447B29"/>
    <w:rsid w:val="004505B2"/>
    <w:rsid w:val="00454200"/>
    <w:rsid w:val="004550D2"/>
    <w:rsid w:val="0045631E"/>
    <w:rsid w:val="00456514"/>
    <w:rsid w:val="00461B9A"/>
    <w:rsid w:val="00467943"/>
    <w:rsid w:val="0047028F"/>
    <w:rsid w:val="004739FC"/>
    <w:rsid w:val="004744B7"/>
    <w:rsid w:val="0047450C"/>
    <w:rsid w:val="00474818"/>
    <w:rsid w:val="00475BA1"/>
    <w:rsid w:val="00476405"/>
    <w:rsid w:val="00480FFA"/>
    <w:rsid w:val="00482311"/>
    <w:rsid w:val="00482D8E"/>
    <w:rsid w:val="00483F44"/>
    <w:rsid w:val="00485D00"/>
    <w:rsid w:val="00486523"/>
    <w:rsid w:val="00487C23"/>
    <w:rsid w:val="00490179"/>
    <w:rsid w:val="004903B2"/>
    <w:rsid w:val="004904CB"/>
    <w:rsid w:val="00490FBB"/>
    <w:rsid w:val="004915AC"/>
    <w:rsid w:val="00492220"/>
    <w:rsid w:val="004931F4"/>
    <w:rsid w:val="00493747"/>
    <w:rsid w:val="00493839"/>
    <w:rsid w:val="00495E89"/>
    <w:rsid w:val="00497386"/>
    <w:rsid w:val="004A11E1"/>
    <w:rsid w:val="004A1FDF"/>
    <w:rsid w:val="004A38E4"/>
    <w:rsid w:val="004A54F2"/>
    <w:rsid w:val="004A79A9"/>
    <w:rsid w:val="004B2726"/>
    <w:rsid w:val="004B2EF0"/>
    <w:rsid w:val="004B36A5"/>
    <w:rsid w:val="004B4E53"/>
    <w:rsid w:val="004B63B5"/>
    <w:rsid w:val="004B64ED"/>
    <w:rsid w:val="004B75E4"/>
    <w:rsid w:val="004C0072"/>
    <w:rsid w:val="004C0199"/>
    <w:rsid w:val="004C2CD3"/>
    <w:rsid w:val="004C4430"/>
    <w:rsid w:val="004C6763"/>
    <w:rsid w:val="004C7527"/>
    <w:rsid w:val="004C790E"/>
    <w:rsid w:val="004D0D73"/>
    <w:rsid w:val="004D1770"/>
    <w:rsid w:val="004D3C90"/>
    <w:rsid w:val="004D53DC"/>
    <w:rsid w:val="004D54B3"/>
    <w:rsid w:val="004E10D3"/>
    <w:rsid w:val="004E2370"/>
    <w:rsid w:val="004E48FF"/>
    <w:rsid w:val="004E5C52"/>
    <w:rsid w:val="004E70F5"/>
    <w:rsid w:val="004E7BA0"/>
    <w:rsid w:val="004F02E3"/>
    <w:rsid w:val="004F29F1"/>
    <w:rsid w:val="004F35DE"/>
    <w:rsid w:val="004F38AE"/>
    <w:rsid w:val="004F4691"/>
    <w:rsid w:val="0050038F"/>
    <w:rsid w:val="00500546"/>
    <w:rsid w:val="00501030"/>
    <w:rsid w:val="005036D0"/>
    <w:rsid w:val="00504E7B"/>
    <w:rsid w:val="005052D6"/>
    <w:rsid w:val="005060E3"/>
    <w:rsid w:val="005105D5"/>
    <w:rsid w:val="00511EF1"/>
    <w:rsid w:val="00512581"/>
    <w:rsid w:val="00512A42"/>
    <w:rsid w:val="00515D70"/>
    <w:rsid w:val="00516741"/>
    <w:rsid w:val="00516D08"/>
    <w:rsid w:val="005170BC"/>
    <w:rsid w:val="00521857"/>
    <w:rsid w:val="00523BAE"/>
    <w:rsid w:val="00523E56"/>
    <w:rsid w:val="0052452E"/>
    <w:rsid w:val="00531DDD"/>
    <w:rsid w:val="00532C94"/>
    <w:rsid w:val="00536E8F"/>
    <w:rsid w:val="00536FCB"/>
    <w:rsid w:val="00537E6D"/>
    <w:rsid w:val="00540169"/>
    <w:rsid w:val="0054094E"/>
    <w:rsid w:val="00541FAF"/>
    <w:rsid w:val="00544E71"/>
    <w:rsid w:val="005454D9"/>
    <w:rsid w:val="0054581E"/>
    <w:rsid w:val="00545846"/>
    <w:rsid w:val="00547713"/>
    <w:rsid w:val="00554705"/>
    <w:rsid w:val="00554BE0"/>
    <w:rsid w:val="005557AE"/>
    <w:rsid w:val="005569E4"/>
    <w:rsid w:val="00556AA7"/>
    <w:rsid w:val="00570369"/>
    <w:rsid w:val="00574CAE"/>
    <w:rsid w:val="005767A9"/>
    <w:rsid w:val="0058123B"/>
    <w:rsid w:val="00581BD0"/>
    <w:rsid w:val="00581C64"/>
    <w:rsid w:val="00581F15"/>
    <w:rsid w:val="00582EE3"/>
    <w:rsid w:val="00583986"/>
    <w:rsid w:val="005839E2"/>
    <w:rsid w:val="00584751"/>
    <w:rsid w:val="0058679B"/>
    <w:rsid w:val="0058719D"/>
    <w:rsid w:val="0059156A"/>
    <w:rsid w:val="005934C0"/>
    <w:rsid w:val="0059399C"/>
    <w:rsid w:val="00594267"/>
    <w:rsid w:val="0059449D"/>
    <w:rsid w:val="00594632"/>
    <w:rsid w:val="00594F18"/>
    <w:rsid w:val="00595E27"/>
    <w:rsid w:val="005961EA"/>
    <w:rsid w:val="0059643A"/>
    <w:rsid w:val="00596CE5"/>
    <w:rsid w:val="00597BB5"/>
    <w:rsid w:val="00597E58"/>
    <w:rsid w:val="00597EDD"/>
    <w:rsid w:val="005A1E16"/>
    <w:rsid w:val="005A5156"/>
    <w:rsid w:val="005A5A9E"/>
    <w:rsid w:val="005A6692"/>
    <w:rsid w:val="005A6EE5"/>
    <w:rsid w:val="005A74BA"/>
    <w:rsid w:val="005B0269"/>
    <w:rsid w:val="005B0E19"/>
    <w:rsid w:val="005B174F"/>
    <w:rsid w:val="005B1C2B"/>
    <w:rsid w:val="005B6813"/>
    <w:rsid w:val="005B781E"/>
    <w:rsid w:val="005B7AF8"/>
    <w:rsid w:val="005C37AB"/>
    <w:rsid w:val="005C3FEC"/>
    <w:rsid w:val="005C40BB"/>
    <w:rsid w:val="005C44EE"/>
    <w:rsid w:val="005C50A9"/>
    <w:rsid w:val="005C6ADC"/>
    <w:rsid w:val="005C7A50"/>
    <w:rsid w:val="005D151B"/>
    <w:rsid w:val="005D1D91"/>
    <w:rsid w:val="005D3503"/>
    <w:rsid w:val="005D350D"/>
    <w:rsid w:val="005D57F7"/>
    <w:rsid w:val="005D6B83"/>
    <w:rsid w:val="005D7B75"/>
    <w:rsid w:val="005E078A"/>
    <w:rsid w:val="005E0982"/>
    <w:rsid w:val="005E1672"/>
    <w:rsid w:val="005E1DE4"/>
    <w:rsid w:val="005E3299"/>
    <w:rsid w:val="005E6E48"/>
    <w:rsid w:val="005E7E05"/>
    <w:rsid w:val="005F0121"/>
    <w:rsid w:val="005F1A00"/>
    <w:rsid w:val="005F1DB2"/>
    <w:rsid w:val="005F33B0"/>
    <w:rsid w:val="005F5903"/>
    <w:rsid w:val="0060056E"/>
    <w:rsid w:val="00601293"/>
    <w:rsid w:val="00601B66"/>
    <w:rsid w:val="00611A54"/>
    <w:rsid w:val="0061451C"/>
    <w:rsid w:val="006151E9"/>
    <w:rsid w:val="00622C71"/>
    <w:rsid w:val="00624C94"/>
    <w:rsid w:val="00624DB7"/>
    <w:rsid w:val="006267BA"/>
    <w:rsid w:val="00632D43"/>
    <w:rsid w:val="00633CD9"/>
    <w:rsid w:val="006360BC"/>
    <w:rsid w:val="006418E6"/>
    <w:rsid w:val="00641CB9"/>
    <w:rsid w:val="00646141"/>
    <w:rsid w:val="006463D0"/>
    <w:rsid w:val="00646FA3"/>
    <w:rsid w:val="00647547"/>
    <w:rsid w:val="006509BF"/>
    <w:rsid w:val="00653405"/>
    <w:rsid w:val="00656858"/>
    <w:rsid w:val="00663380"/>
    <w:rsid w:val="006638DD"/>
    <w:rsid w:val="0066579D"/>
    <w:rsid w:val="0066724D"/>
    <w:rsid w:val="0067205F"/>
    <w:rsid w:val="00672C1A"/>
    <w:rsid w:val="00672E8C"/>
    <w:rsid w:val="00674182"/>
    <w:rsid w:val="00676D64"/>
    <w:rsid w:val="00677F3D"/>
    <w:rsid w:val="00680B88"/>
    <w:rsid w:val="006816ED"/>
    <w:rsid w:val="006819EA"/>
    <w:rsid w:val="006831C3"/>
    <w:rsid w:val="00683A89"/>
    <w:rsid w:val="006842EF"/>
    <w:rsid w:val="006843F6"/>
    <w:rsid w:val="00687F0D"/>
    <w:rsid w:val="0069685B"/>
    <w:rsid w:val="006969B2"/>
    <w:rsid w:val="006A2D58"/>
    <w:rsid w:val="006A5B74"/>
    <w:rsid w:val="006A6F9B"/>
    <w:rsid w:val="006B0BC8"/>
    <w:rsid w:val="006B14F7"/>
    <w:rsid w:val="006B27F8"/>
    <w:rsid w:val="006B2B10"/>
    <w:rsid w:val="006B3ADF"/>
    <w:rsid w:val="006B46CF"/>
    <w:rsid w:val="006B4A16"/>
    <w:rsid w:val="006B4B9A"/>
    <w:rsid w:val="006B4E72"/>
    <w:rsid w:val="006B5DC1"/>
    <w:rsid w:val="006B62E7"/>
    <w:rsid w:val="006B6A9A"/>
    <w:rsid w:val="006B7AC6"/>
    <w:rsid w:val="006B7CE5"/>
    <w:rsid w:val="006B7ED3"/>
    <w:rsid w:val="006C21CE"/>
    <w:rsid w:val="006C6894"/>
    <w:rsid w:val="006D0668"/>
    <w:rsid w:val="006D11DC"/>
    <w:rsid w:val="006D1BB7"/>
    <w:rsid w:val="006D2CE9"/>
    <w:rsid w:val="006D4DCA"/>
    <w:rsid w:val="006D5B15"/>
    <w:rsid w:val="006D5D83"/>
    <w:rsid w:val="006D5EC1"/>
    <w:rsid w:val="006D6A4C"/>
    <w:rsid w:val="006D6F64"/>
    <w:rsid w:val="006E1582"/>
    <w:rsid w:val="006E2B53"/>
    <w:rsid w:val="006E2DEF"/>
    <w:rsid w:val="006E4006"/>
    <w:rsid w:val="006E4D07"/>
    <w:rsid w:val="006E5265"/>
    <w:rsid w:val="006F047B"/>
    <w:rsid w:val="006F54BA"/>
    <w:rsid w:val="006F56CB"/>
    <w:rsid w:val="006F648B"/>
    <w:rsid w:val="007013F9"/>
    <w:rsid w:val="007023C6"/>
    <w:rsid w:val="0070240C"/>
    <w:rsid w:val="00703085"/>
    <w:rsid w:val="00704CB3"/>
    <w:rsid w:val="00705867"/>
    <w:rsid w:val="007068A9"/>
    <w:rsid w:val="007077AA"/>
    <w:rsid w:val="007100FA"/>
    <w:rsid w:val="00711671"/>
    <w:rsid w:val="00712E5D"/>
    <w:rsid w:val="00715D57"/>
    <w:rsid w:val="0072181D"/>
    <w:rsid w:val="00723AF6"/>
    <w:rsid w:val="00723E1C"/>
    <w:rsid w:val="0072410A"/>
    <w:rsid w:val="007263EA"/>
    <w:rsid w:val="007327A2"/>
    <w:rsid w:val="0073282B"/>
    <w:rsid w:val="00732A10"/>
    <w:rsid w:val="007336D9"/>
    <w:rsid w:val="00733F60"/>
    <w:rsid w:val="00734B58"/>
    <w:rsid w:val="00735562"/>
    <w:rsid w:val="00735D47"/>
    <w:rsid w:val="00736880"/>
    <w:rsid w:val="00740784"/>
    <w:rsid w:val="00740841"/>
    <w:rsid w:val="00740C4F"/>
    <w:rsid w:val="00742711"/>
    <w:rsid w:val="0074484B"/>
    <w:rsid w:val="00746623"/>
    <w:rsid w:val="00746994"/>
    <w:rsid w:val="00747AA8"/>
    <w:rsid w:val="00751200"/>
    <w:rsid w:val="00753382"/>
    <w:rsid w:val="0075352A"/>
    <w:rsid w:val="0075618A"/>
    <w:rsid w:val="00760F29"/>
    <w:rsid w:val="00761AC5"/>
    <w:rsid w:val="007622D6"/>
    <w:rsid w:val="0076433D"/>
    <w:rsid w:val="007662E1"/>
    <w:rsid w:val="00773DC2"/>
    <w:rsid w:val="00774B41"/>
    <w:rsid w:val="00776AF4"/>
    <w:rsid w:val="007777C3"/>
    <w:rsid w:val="00780730"/>
    <w:rsid w:val="00780963"/>
    <w:rsid w:val="00781CD8"/>
    <w:rsid w:val="00782E7A"/>
    <w:rsid w:val="00786215"/>
    <w:rsid w:val="00786DB6"/>
    <w:rsid w:val="0078718A"/>
    <w:rsid w:val="0079140F"/>
    <w:rsid w:val="007933D9"/>
    <w:rsid w:val="00793ED4"/>
    <w:rsid w:val="00795CF8"/>
    <w:rsid w:val="00797165"/>
    <w:rsid w:val="00797F2F"/>
    <w:rsid w:val="007A0B0D"/>
    <w:rsid w:val="007A0F11"/>
    <w:rsid w:val="007A288F"/>
    <w:rsid w:val="007A32CD"/>
    <w:rsid w:val="007A3495"/>
    <w:rsid w:val="007A6FD8"/>
    <w:rsid w:val="007B13FA"/>
    <w:rsid w:val="007B45D4"/>
    <w:rsid w:val="007B497D"/>
    <w:rsid w:val="007C013C"/>
    <w:rsid w:val="007C073D"/>
    <w:rsid w:val="007C0E78"/>
    <w:rsid w:val="007C1C2B"/>
    <w:rsid w:val="007C1CC5"/>
    <w:rsid w:val="007C1E7A"/>
    <w:rsid w:val="007C2BBD"/>
    <w:rsid w:val="007C654A"/>
    <w:rsid w:val="007C6C4E"/>
    <w:rsid w:val="007C702C"/>
    <w:rsid w:val="007C7F69"/>
    <w:rsid w:val="007D1CF3"/>
    <w:rsid w:val="007D2312"/>
    <w:rsid w:val="007D2C49"/>
    <w:rsid w:val="007D3E60"/>
    <w:rsid w:val="007D493C"/>
    <w:rsid w:val="007D64FB"/>
    <w:rsid w:val="007D6C03"/>
    <w:rsid w:val="007D766D"/>
    <w:rsid w:val="007E0700"/>
    <w:rsid w:val="007E310D"/>
    <w:rsid w:val="007E326B"/>
    <w:rsid w:val="007E32E5"/>
    <w:rsid w:val="007E5F78"/>
    <w:rsid w:val="007F0649"/>
    <w:rsid w:val="007F214E"/>
    <w:rsid w:val="007F31EB"/>
    <w:rsid w:val="007F3A49"/>
    <w:rsid w:val="007F4A80"/>
    <w:rsid w:val="007F7CD6"/>
    <w:rsid w:val="00803502"/>
    <w:rsid w:val="0080545F"/>
    <w:rsid w:val="0080671A"/>
    <w:rsid w:val="00806F18"/>
    <w:rsid w:val="008073F2"/>
    <w:rsid w:val="00813A3B"/>
    <w:rsid w:val="00817B67"/>
    <w:rsid w:val="00824590"/>
    <w:rsid w:val="00824839"/>
    <w:rsid w:val="008271DC"/>
    <w:rsid w:val="00830A21"/>
    <w:rsid w:val="00831DA4"/>
    <w:rsid w:val="00832A41"/>
    <w:rsid w:val="00834C3A"/>
    <w:rsid w:val="008355D8"/>
    <w:rsid w:val="00837663"/>
    <w:rsid w:val="00841943"/>
    <w:rsid w:val="00842459"/>
    <w:rsid w:val="008465EA"/>
    <w:rsid w:val="00847651"/>
    <w:rsid w:val="00851002"/>
    <w:rsid w:val="00851E03"/>
    <w:rsid w:val="008554FF"/>
    <w:rsid w:val="008556FC"/>
    <w:rsid w:val="008557BA"/>
    <w:rsid w:val="00855887"/>
    <w:rsid w:val="00856264"/>
    <w:rsid w:val="008567BA"/>
    <w:rsid w:val="00862699"/>
    <w:rsid w:val="00863A79"/>
    <w:rsid w:val="00866A4F"/>
    <w:rsid w:val="008701D3"/>
    <w:rsid w:val="008703D6"/>
    <w:rsid w:val="008729D2"/>
    <w:rsid w:val="00872DAD"/>
    <w:rsid w:val="00872DB5"/>
    <w:rsid w:val="0087398D"/>
    <w:rsid w:val="00874DED"/>
    <w:rsid w:val="00875554"/>
    <w:rsid w:val="008756EF"/>
    <w:rsid w:val="00876A51"/>
    <w:rsid w:val="00877777"/>
    <w:rsid w:val="00880FFE"/>
    <w:rsid w:val="0088165F"/>
    <w:rsid w:val="00885C18"/>
    <w:rsid w:val="00886E99"/>
    <w:rsid w:val="00887533"/>
    <w:rsid w:val="00887C0D"/>
    <w:rsid w:val="008901FA"/>
    <w:rsid w:val="008903F6"/>
    <w:rsid w:val="00893C76"/>
    <w:rsid w:val="0089524C"/>
    <w:rsid w:val="008955D1"/>
    <w:rsid w:val="0089753F"/>
    <w:rsid w:val="008A3CD0"/>
    <w:rsid w:val="008A5DDC"/>
    <w:rsid w:val="008A61BD"/>
    <w:rsid w:val="008A732A"/>
    <w:rsid w:val="008B0079"/>
    <w:rsid w:val="008B12B3"/>
    <w:rsid w:val="008B1DCA"/>
    <w:rsid w:val="008B39E1"/>
    <w:rsid w:val="008B40EC"/>
    <w:rsid w:val="008B440F"/>
    <w:rsid w:val="008B4F45"/>
    <w:rsid w:val="008B5B01"/>
    <w:rsid w:val="008B736A"/>
    <w:rsid w:val="008C1300"/>
    <w:rsid w:val="008C206B"/>
    <w:rsid w:val="008C29C9"/>
    <w:rsid w:val="008C6F3C"/>
    <w:rsid w:val="008C7058"/>
    <w:rsid w:val="008D0F5D"/>
    <w:rsid w:val="008D141A"/>
    <w:rsid w:val="008D5AA5"/>
    <w:rsid w:val="008D5B70"/>
    <w:rsid w:val="008D70CE"/>
    <w:rsid w:val="008E00A1"/>
    <w:rsid w:val="008E1005"/>
    <w:rsid w:val="008E199B"/>
    <w:rsid w:val="008E51ED"/>
    <w:rsid w:val="008E595B"/>
    <w:rsid w:val="008E6467"/>
    <w:rsid w:val="008E65F0"/>
    <w:rsid w:val="008E67F2"/>
    <w:rsid w:val="008E6A8A"/>
    <w:rsid w:val="008E6D02"/>
    <w:rsid w:val="008F0198"/>
    <w:rsid w:val="008F134D"/>
    <w:rsid w:val="008F1BC0"/>
    <w:rsid w:val="008F2253"/>
    <w:rsid w:val="008F2A30"/>
    <w:rsid w:val="008F447C"/>
    <w:rsid w:val="008F463A"/>
    <w:rsid w:val="008F4A95"/>
    <w:rsid w:val="008F64D6"/>
    <w:rsid w:val="0090018C"/>
    <w:rsid w:val="009011AF"/>
    <w:rsid w:val="00901CA1"/>
    <w:rsid w:val="00903514"/>
    <w:rsid w:val="0090592B"/>
    <w:rsid w:val="00910CBA"/>
    <w:rsid w:val="00913A1B"/>
    <w:rsid w:val="00915950"/>
    <w:rsid w:val="00920092"/>
    <w:rsid w:val="0092057D"/>
    <w:rsid w:val="0092065B"/>
    <w:rsid w:val="009208F0"/>
    <w:rsid w:val="009223C2"/>
    <w:rsid w:val="00922FB6"/>
    <w:rsid w:val="009246A1"/>
    <w:rsid w:val="0092591B"/>
    <w:rsid w:val="00926B58"/>
    <w:rsid w:val="00926CA8"/>
    <w:rsid w:val="00927BCF"/>
    <w:rsid w:val="00934AFE"/>
    <w:rsid w:val="00935529"/>
    <w:rsid w:val="00935DEE"/>
    <w:rsid w:val="009360EF"/>
    <w:rsid w:val="009377D3"/>
    <w:rsid w:val="00941B50"/>
    <w:rsid w:val="00942866"/>
    <w:rsid w:val="00942E0C"/>
    <w:rsid w:val="0094391F"/>
    <w:rsid w:val="00945206"/>
    <w:rsid w:val="00946887"/>
    <w:rsid w:val="00946DEF"/>
    <w:rsid w:val="00946E9D"/>
    <w:rsid w:val="00950876"/>
    <w:rsid w:val="009538AE"/>
    <w:rsid w:val="009568B7"/>
    <w:rsid w:val="00956A7F"/>
    <w:rsid w:val="00961E08"/>
    <w:rsid w:val="00963003"/>
    <w:rsid w:val="0096367B"/>
    <w:rsid w:val="00963D95"/>
    <w:rsid w:val="00965210"/>
    <w:rsid w:val="0096574B"/>
    <w:rsid w:val="00970565"/>
    <w:rsid w:val="0097290B"/>
    <w:rsid w:val="0097461E"/>
    <w:rsid w:val="00977F84"/>
    <w:rsid w:val="009813AE"/>
    <w:rsid w:val="009836F2"/>
    <w:rsid w:val="00984094"/>
    <w:rsid w:val="0098465D"/>
    <w:rsid w:val="0098588D"/>
    <w:rsid w:val="00985933"/>
    <w:rsid w:val="00986FB0"/>
    <w:rsid w:val="009870A5"/>
    <w:rsid w:val="009873ED"/>
    <w:rsid w:val="009905CF"/>
    <w:rsid w:val="009919FA"/>
    <w:rsid w:val="00992BC3"/>
    <w:rsid w:val="00992DF7"/>
    <w:rsid w:val="009964C9"/>
    <w:rsid w:val="009A1B49"/>
    <w:rsid w:val="009A208F"/>
    <w:rsid w:val="009A460F"/>
    <w:rsid w:val="009A4C75"/>
    <w:rsid w:val="009A6D5D"/>
    <w:rsid w:val="009B0EEB"/>
    <w:rsid w:val="009B1081"/>
    <w:rsid w:val="009B3E6C"/>
    <w:rsid w:val="009B4A64"/>
    <w:rsid w:val="009B5565"/>
    <w:rsid w:val="009B5A99"/>
    <w:rsid w:val="009B6177"/>
    <w:rsid w:val="009B7AF2"/>
    <w:rsid w:val="009C1A39"/>
    <w:rsid w:val="009C2A0F"/>
    <w:rsid w:val="009C3A05"/>
    <w:rsid w:val="009C3E67"/>
    <w:rsid w:val="009C41DA"/>
    <w:rsid w:val="009C65F5"/>
    <w:rsid w:val="009D0546"/>
    <w:rsid w:val="009D1167"/>
    <w:rsid w:val="009D2A6B"/>
    <w:rsid w:val="009D313E"/>
    <w:rsid w:val="009D5018"/>
    <w:rsid w:val="009D50BD"/>
    <w:rsid w:val="009D6B68"/>
    <w:rsid w:val="009E04E8"/>
    <w:rsid w:val="009E0D98"/>
    <w:rsid w:val="009E13E5"/>
    <w:rsid w:val="009E1F51"/>
    <w:rsid w:val="009E2189"/>
    <w:rsid w:val="009E253D"/>
    <w:rsid w:val="009E2991"/>
    <w:rsid w:val="009E2CD4"/>
    <w:rsid w:val="009E309B"/>
    <w:rsid w:val="009E3D76"/>
    <w:rsid w:val="009E3E50"/>
    <w:rsid w:val="009E5A8B"/>
    <w:rsid w:val="009E72C6"/>
    <w:rsid w:val="009E7655"/>
    <w:rsid w:val="009F02F0"/>
    <w:rsid w:val="009F1D9A"/>
    <w:rsid w:val="009F22AA"/>
    <w:rsid w:val="009F25B9"/>
    <w:rsid w:val="009F6148"/>
    <w:rsid w:val="00A00272"/>
    <w:rsid w:val="00A01C0E"/>
    <w:rsid w:val="00A02DA0"/>
    <w:rsid w:val="00A056A6"/>
    <w:rsid w:val="00A058D2"/>
    <w:rsid w:val="00A1087E"/>
    <w:rsid w:val="00A11F78"/>
    <w:rsid w:val="00A13039"/>
    <w:rsid w:val="00A14BD8"/>
    <w:rsid w:val="00A16059"/>
    <w:rsid w:val="00A20181"/>
    <w:rsid w:val="00A20EA1"/>
    <w:rsid w:val="00A232E2"/>
    <w:rsid w:val="00A235B0"/>
    <w:rsid w:val="00A23F9D"/>
    <w:rsid w:val="00A24AA2"/>
    <w:rsid w:val="00A25BD3"/>
    <w:rsid w:val="00A25E32"/>
    <w:rsid w:val="00A26E12"/>
    <w:rsid w:val="00A27FBD"/>
    <w:rsid w:val="00A308A2"/>
    <w:rsid w:val="00A32AE5"/>
    <w:rsid w:val="00A33884"/>
    <w:rsid w:val="00A349D3"/>
    <w:rsid w:val="00A36755"/>
    <w:rsid w:val="00A37218"/>
    <w:rsid w:val="00A41711"/>
    <w:rsid w:val="00A41E1B"/>
    <w:rsid w:val="00A42BFD"/>
    <w:rsid w:val="00A432EA"/>
    <w:rsid w:val="00A43BD7"/>
    <w:rsid w:val="00A468EF"/>
    <w:rsid w:val="00A46ED2"/>
    <w:rsid w:val="00A47304"/>
    <w:rsid w:val="00A5303F"/>
    <w:rsid w:val="00A53E98"/>
    <w:rsid w:val="00A55DE2"/>
    <w:rsid w:val="00A60CB5"/>
    <w:rsid w:val="00A61424"/>
    <w:rsid w:val="00A62434"/>
    <w:rsid w:val="00A6624D"/>
    <w:rsid w:val="00A662CA"/>
    <w:rsid w:val="00A7098A"/>
    <w:rsid w:val="00A70EAB"/>
    <w:rsid w:val="00A71C7B"/>
    <w:rsid w:val="00A71CFA"/>
    <w:rsid w:val="00A7214A"/>
    <w:rsid w:val="00A742CF"/>
    <w:rsid w:val="00A75E3A"/>
    <w:rsid w:val="00A763C7"/>
    <w:rsid w:val="00A767CD"/>
    <w:rsid w:val="00A77FEC"/>
    <w:rsid w:val="00A80FEA"/>
    <w:rsid w:val="00A810CF"/>
    <w:rsid w:val="00A81A44"/>
    <w:rsid w:val="00A83338"/>
    <w:rsid w:val="00A83BE8"/>
    <w:rsid w:val="00A844F5"/>
    <w:rsid w:val="00A90903"/>
    <w:rsid w:val="00A92FFE"/>
    <w:rsid w:val="00A9311E"/>
    <w:rsid w:val="00A94BA0"/>
    <w:rsid w:val="00A94D65"/>
    <w:rsid w:val="00A95A46"/>
    <w:rsid w:val="00A95DAF"/>
    <w:rsid w:val="00A964F7"/>
    <w:rsid w:val="00A9681C"/>
    <w:rsid w:val="00AA00A0"/>
    <w:rsid w:val="00AA1D03"/>
    <w:rsid w:val="00AA3587"/>
    <w:rsid w:val="00AA4C8E"/>
    <w:rsid w:val="00AA73CA"/>
    <w:rsid w:val="00AB262F"/>
    <w:rsid w:val="00AB5BF9"/>
    <w:rsid w:val="00AB7069"/>
    <w:rsid w:val="00AC1937"/>
    <w:rsid w:val="00AC2921"/>
    <w:rsid w:val="00AC4608"/>
    <w:rsid w:val="00AC471E"/>
    <w:rsid w:val="00AC6108"/>
    <w:rsid w:val="00AC78EA"/>
    <w:rsid w:val="00AD0881"/>
    <w:rsid w:val="00AD1EB2"/>
    <w:rsid w:val="00AD33D0"/>
    <w:rsid w:val="00AD450B"/>
    <w:rsid w:val="00AD669C"/>
    <w:rsid w:val="00AD7048"/>
    <w:rsid w:val="00AE0EB5"/>
    <w:rsid w:val="00AE1A53"/>
    <w:rsid w:val="00AE3575"/>
    <w:rsid w:val="00AE37DE"/>
    <w:rsid w:val="00AE3B57"/>
    <w:rsid w:val="00AE462A"/>
    <w:rsid w:val="00AE681D"/>
    <w:rsid w:val="00AF0CDB"/>
    <w:rsid w:val="00AF3B95"/>
    <w:rsid w:val="00AF3D93"/>
    <w:rsid w:val="00AF761D"/>
    <w:rsid w:val="00AF7E71"/>
    <w:rsid w:val="00B0208B"/>
    <w:rsid w:val="00B02B23"/>
    <w:rsid w:val="00B06AAA"/>
    <w:rsid w:val="00B07961"/>
    <w:rsid w:val="00B10ADE"/>
    <w:rsid w:val="00B125BD"/>
    <w:rsid w:val="00B1308F"/>
    <w:rsid w:val="00B139C1"/>
    <w:rsid w:val="00B13C4B"/>
    <w:rsid w:val="00B165FE"/>
    <w:rsid w:val="00B16DED"/>
    <w:rsid w:val="00B173DE"/>
    <w:rsid w:val="00B218EE"/>
    <w:rsid w:val="00B21B1F"/>
    <w:rsid w:val="00B22DEB"/>
    <w:rsid w:val="00B232F9"/>
    <w:rsid w:val="00B2445C"/>
    <w:rsid w:val="00B25722"/>
    <w:rsid w:val="00B25F9C"/>
    <w:rsid w:val="00B26D52"/>
    <w:rsid w:val="00B326F5"/>
    <w:rsid w:val="00B344C5"/>
    <w:rsid w:val="00B42991"/>
    <w:rsid w:val="00B453D6"/>
    <w:rsid w:val="00B45DF9"/>
    <w:rsid w:val="00B47539"/>
    <w:rsid w:val="00B475B8"/>
    <w:rsid w:val="00B47F97"/>
    <w:rsid w:val="00B50A54"/>
    <w:rsid w:val="00B51196"/>
    <w:rsid w:val="00B52458"/>
    <w:rsid w:val="00B55170"/>
    <w:rsid w:val="00B558EE"/>
    <w:rsid w:val="00B574F7"/>
    <w:rsid w:val="00B620F6"/>
    <w:rsid w:val="00B62931"/>
    <w:rsid w:val="00B65693"/>
    <w:rsid w:val="00B70145"/>
    <w:rsid w:val="00B703DF"/>
    <w:rsid w:val="00B72C73"/>
    <w:rsid w:val="00B737EC"/>
    <w:rsid w:val="00B74C12"/>
    <w:rsid w:val="00B74DA9"/>
    <w:rsid w:val="00B75889"/>
    <w:rsid w:val="00B817C8"/>
    <w:rsid w:val="00B8512D"/>
    <w:rsid w:val="00B8613A"/>
    <w:rsid w:val="00B86185"/>
    <w:rsid w:val="00B90A05"/>
    <w:rsid w:val="00B92784"/>
    <w:rsid w:val="00B94408"/>
    <w:rsid w:val="00B94E08"/>
    <w:rsid w:val="00B97A94"/>
    <w:rsid w:val="00BA005D"/>
    <w:rsid w:val="00BA095F"/>
    <w:rsid w:val="00BA5B26"/>
    <w:rsid w:val="00BA5B86"/>
    <w:rsid w:val="00BA6573"/>
    <w:rsid w:val="00BB1866"/>
    <w:rsid w:val="00BB1B73"/>
    <w:rsid w:val="00BB239B"/>
    <w:rsid w:val="00BB3E17"/>
    <w:rsid w:val="00BB4439"/>
    <w:rsid w:val="00BB517C"/>
    <w:rsid w:val="00BB6E74"/>
    <w:rsid w:val="00BB7508"/>
    <w:rsid w:val="00BC11EF"/>
    <w:rsid w:val="00BC1914"/>
    <w:rsid w:val="00BC501D"/>
    <w:rsid w:val="00BC533F"/>
    <w:rsid w:val="00BC53A0"/>
    <w:rsid w:val="00BC62E7"/>
    <w:rsid w:val="00BD14C2"/>
    <w:rsid w:val="00BD2AC0"/>
    <w:rsid w:val="00BD2BD5"/>
    <w:rsid w:val="00BD318F"/>
    <w:rsid w:val="00BD3492"/>
    <w:rsid w:val="00BD7F43"/>
    <w:rsid w:val="00BE0BA8"/>
    <w:rsid w:val="00BE189E"/>
    <w:rsid w:val="00BE3941"/>
    <w:rsid w:val="00BF1FF9"/>
    <w:rsid w:val="00BF2D45"/>
    <w:rsid w:val="00BF33D8"/>
    <w:rsid w:val="00BF4303"/>
    <w:rsid w:val="00BF4AD2"/>
    <w:rsid w:val="00BF52DF"/>
    <w:rsid w:val="00BF56A1"/>
    <w:rsid w:val="00C010DF"/>
    <w:rsid w:val="00C0413D"/>
    <w:rsid w:val="00C07D06"/>
    <w:rsid w:val="00C105EA"/>
    <w:rsid w:val="00C10D82"/>
    <w:rsid w:val="00C156CD"/>
    <w:rsid w:val="00C15969"/>
    <w:rsid w:val="00C15AA7"/>
    <w:rsid w:val="00C16A0A"/>
    <w:rsid w:val="00C16F34"/>
    <w:rsid w:val="00C16F61"/>
    <w:rsid w:val="00C20387"/>
    <w:rsid w:val="00C21456"/>
    <w:rsid w:val="00C2148B"/>
    <w:rsid w:val="00C22931"/>
    <w:rsid w:val="00C24F1B"/>
    <w:rsid w:val="00C24F5A"/>
    <w:rsid w:val="00C3149A"/>
    <w:rsid w:val="00C32B6A"/>
    <w:rsid w:val="00C33AA5"/>
    <w:rsid w:val="00C3401E"/>
    <w:rsid w:val="00C34772"/>
    <w:rsid w:val="00C36C81"/>
    <w:rsid w:val="00C4123D"/>
    <w:rsid w:val="00C42C6A"/>
    <w:rsid w:val="00C43883"/>
    <w:rsid w:val="00C43CAB"/>
    <w:rsid w:val="00C44312"/>
    <w:rsid w:val="00C4518B"/>
    <w:rsid w:val="00C46EF4"/>
    <w:rsid w:val="00C503DD"/>
    <w:rsid w:val="00C50752"/>
    <w:rsid w:val="00C515C3"/>
    <w:rsid w:val="00C51822"/>
    <w:rsid w:val="00C55260"/>
    <w:rsid w:val="00C55753"/>
    <w:rsid w:val="00C558FE"/>
    <w:rsid w:val="00C55D71"/>
    <w:rsid w:val="00C60859"/>
    <w:rsid w:val="00C62A0E"/>
    <w:rsid w:val="00C63AF2"/>
    <w:rsid w:val="00C659C3"/>
    <w:rsid w:val="00C70329"/>
    <w:rsid w:val="00C70ECD"/>
    <w:rsid w:val="00C715B0"/>
    <w:rsid w:val="00C71CD0"/>
    <w:rsid w:val="00C71E3E"/>
    <w:rsid w:val="00C72399"/>
    <w:rsid w:val="00C723CD"/>
    <w:rsid w:val="00C72B92"/>
    <w:rsid w:val="00C7348F"/>
    <w:rsid w:val="00C772E8"/>
    <w:rsid w:val="00C7730F"/>
    <w:rsid w:val="00C77930"/>
    <w:rsid w:val="00C80841"/>
    <w:rsid w:val="00C80914"/>
    <w:rsid w:val="00C809CB"/>
    <w:rsid w:val="00C81C2A"/>
    <w:rsid w:val="00C82CDF"/>
    <w:rsid w:val="00C8525C"/>
    <w:rsid w:val="00C853BB"/>
    <w:rsid w:val="00C85583"/>
    <w:rsid w:val="00C86121"/>
    <w:rsid w:val="00C92332"/>
    <w:rsid w:val="00C92C43"/>
    <w:rsid w:val="00C93676"/>
    <w:rsid w:val="00C93B4B"/>
    <w:rsid w:val="00C9761B"/>
    <w:rsid w:val="00CA1C50"/>
    <w:rsid w:val="00CA1CFB"/>
    <w:rsid w:val="00CA32F3"/>
    <w:rsid w:val="00CA411B"/>
    <w:rsid w:val="00CA499F"/>
    <w:rsid w:val="00CA4BB1"/>
    <w:rsid w:val="00CA607A"/>
    <w:rsid w:val="00CB2654"/>
    <w:rsid w:val="00CB55C0"/>
    <w:rsid w:val="00CB598E"/>
    <w:rsid w:val="00CB64D2"/>
    <w:rsid w:val="00CC3080"/>
    <w:rsid w:val="00CC47C5"/>
    <w:rsid w:val="00CC5372"/>
    <w:rsid w:val="00CD2001"/>
    <w:rsid w:val="00CD24EE"/>
    <w:rsid w:val="00CD2993"/>
    <w:rsid w:val="00CD3843"/>
    <w:rsid w:val="00CD473A"/>
    <w:rsid w:val="00CD60B2"/>
    <w:rsid w:val="00CD7AC6"/>
    <w:rsid w:val="00CE04AA"/>
    <w:rsid w:val="00CE20DA"/>
    <w:rsid w:val="00CE221C"/>
    <w:rsid w:val="00CE2220"/>
    <w:rsid w:val="00CE2B6E"/>
    <w:rsid w:val="00CE45CD"/>
    <w:rsid w:val="00CE713F"/>
    <w:rsid w:val="00CF13C0"/>
    <w:rsid w:val="00CF2A35"/>
    <w:rsid w:val="00CF3D68"/>
    <w:rsid w:val="00CF5361"/>
    <w:rsid w:val="00CF5F8B"/>
    <w:rsid w:val="00CF6E3A"/>
    <w:rsid w:val="00CF6F5E"/>
    <w:rsid w:val="00CF7E0F"/>
    <w:rsid w:val="00D00390"/>
    <w:rsid w:val="00D007B0"/>
    <w:rsid w:val="00D01390"/>
    <w:rsid w:val="00D03926"/>
    <w:rsid w:val="00D03B74"/>
    <w:rsid w:val="00D07EB6"/>
    <w:rsid w:val="00D1111C"/>
    <w:rsid w:val="00D120A5"/>
    <w:rsid w:val="00D13545"/>
    <w:rsid w:val="00D13C15"/>
    <w:rsid w:val="00D153F5"/>
    <w:rsid w:val="00D15991"/>
    <w:rsid w:val="00D176F9"/>
    <w:rsid w:val="00D23A9F"/>
    <w:rsid w:val="00D23B22"/>
    <w:rsid w:val="00D240F2"/>
    <w:rsid w:val="00D26EE8"/>
    <w:rsid w:val="00D3116D"/>
    <w:rsid w:val="00D31208"/>
    <w:rsid w:val="00D32507"/>
    <w:rsid w:val="00D41069"/>
    <w:rsid w:val="00D423A3"/>
    <w:rsid w:val="00D426B6"/>
    <w:rsid w:val="00D43C7E"/>
    <w:rsid w:val="00D456D9"/>
    <w:rsid w:val="00D45E07"/>
    <w:rsid w:val="00D46218"/>
    <w:rsid w:val="00D4641F"/>
    <w:rsid w:val="00D4776D"/>
    <w:rsid w:val="00D53320"/>
    <w:rsid w:val="00D5425B"/>
    <w:rsid w:val="00D5529C"/>
    <w:rsid w:val="00D564AE"/>
    <w:rsid w:val="00D617B6"/>
    <w:rsid w:val="00D626D0"/>
    <w:rsid w:val="00D62FDD"/>
    <w:rsid w:val="00D67CDD"/>
    <w:rsid w:val="00D67E89"/>
    <w:rsid w:val="00D70955"/>
    <w:rsid w:val="00D70E0F"/>
    <w:rsid w:val="00D724E4"/>
    <w:rsid w:val="00D72EDD"/>
    <w:rsid w:val="00D73C1E"/>
    <w:rsid w:val="00D74251"/>
    <w:rsid w:val="00D81CA1"/>
    <w:rsid w:val="00D82584"/>
    <w:rsid w:val="00D83BB5"/>
    <w:rsid w:val="00D876FE"/>
    <w:rsid w:val="00D90FC3"/>
    <w:rsid w:val="00D91207"/>
    <w:rsid w:val="00D92602"/>
    <w:rsid w:val="00D95187"/>
    <w:rsid w:val="00DA1841"/>
    <w:rsid w:val="00DA1B65"/>
    <w:rsid w:val="00DA21F9"/>
    <w:rsid w:val="00DA28D2"/>
    <w:rsid w:val="00DA29AB"/>
    <w:rsid w:val="00DA3074"/>
    <w:rsid w:val="00DB1DA0"/>
    <w:rsid w:val="00DB2EAC"/>
    <w:rsid w:val="00DB3D20"/>
    <w:rsid w:val="00DB56FA"/>
    <w:rsid w:val="00DB7234"/>
    <w:rsid w:val="00DC0834"/>
    <w:rsid w:val="00DC10D0"/>
    <w:rsid w:val="00DC16A6"/>
    <w:rsid w:val="00DC22A3"/>
    <w:rsid w:val="00DC5442"/>
    <w:rsid w:val="00DC5DAD"/>
    <w:rsid w:val="00DD09EE"/>
    <w:rsid w:val="00DD0C92"/>
    <w:rsid w:val="00DD3DAE"/>
    <w:rsid w:val="00DD46C1"/>
    <w:rsid w:val="00DD5467"/>
    <w:rsid w:val="00DE15E0"/>
    <w:rsid w:val="00DE2B0A"/>
    <w:rsid w:val="00DE3B7B"/>
    <w:rsid w:val="00DE6B22"/>
    <w:rsid w:val="00DE7420"/>
    <w:rsid w:val="00DF0000"/>
    <w:rsid w:val="00DF119D"/>
    <w:rsid w:val="00DF20EF"/>
    <w:rsid w:val="00DF32FA"/>
    <w:rsid w:val="00DF3693"/>
    <w:rsid w:val="00DF43C9"/>
    <w:rsid w:val="00DF5CD8"/>
    <w:rsid w:val="00DF5FA0"/>
    <w:rsid w:val="00DF6A16"/>
    <w:rsid w:val="00DF71E5"/>
    <w:rsid w:val="00E00841"/>
    <w:rsid w:val="00E03C8C"/>
    <w:rsid w:val="00E04854"/>
    <w:rsid w:val="00E04D3F"/>
    <w:rsid w:val="00E05B0D"/>
    <w:rsid w:val="00E05C97"/>
    <w:rsid w:val="00E11AD9"/>
    <w:rsid w:val="00E13125"/>
    <w:rsid w:val="00E14663"/>
    <w:rsid w:val="00E14681"/>
    <w:rsid w:val="00E15E01"/>
    <w:rsid w:val="00E16041"/>
    <w:rsid w:val="00E176C3"/>
    <w:rsid w:val="00E17A70"/>
    <w:rsid w:val="00E17D79"/>
    <w:rsid w:val="00E20342"/>
    <w:rsid w:val="00E2074C"/>
    <w:rsid w:val="00E21037"/>
    <w:rsid w:val="00E22F0B"/>
    <w:rsid w:val="00E2633E"/>
    <w:rsid w:val="00E2795E"/>
    <w:rsid w:val="00E3118E"/>
    <w:rsid w:val="00E32753"/>
    <w:rsid w:val="00E32E90"/>
    <w:rsid w:val="00E334B4"/>
    <w:rsid w:val="00E33BB3"/>
    <w:rsid w:val="00E35096"/>
    <w:rsid w:val="00E36490"/>
    <w:rsid w:val="00E40204"/>
    <w:rsid w:val="00E4047C"/>
    <w:rsid w:val="00E40742"/>
    <w:rsid w:val="00E40C3C"/>
    <w:rsid w:val="00E42B41"/>
    <w:rsid w:val="00E44C1B"/>
    <w:rsid w:val="00E44E20"/>
    <w:rsid w:val="00E455E0"/>
    <w:rsid w:val="00E4571A"/>
    <w:rsid w:val="00E47626"/>
    <w:rsid w:val="00E50AF4"/>
    <w:rsid w:val="00E5128B"/>
    <w:rsid w:val="00E52522"/>
    <w:rsid w:val="00E54D24"/>
    <w:rsid w:val="00E55006"/>
    <w:rsid w:val="00E5510D"/>
    <w:rsid w:val="00E5544E"/>
    <w:rsid w:val="00E5627F"/>
    <w:rsid w:val="00E56C2F"/>
    <w:rsid w:val="00E5726A"/>
    <w:rsid w:val="00E60459"/>
    <w:rsid w:val="00E60CCC"/>
    <w:rsid w:val="00E60E83"/>
    <w:rsid w:val="00E615B1"/>
    <w:rsid w:val="00E6425D"/>
    <w:rsid w:val="00E644F0"/>
    <w:rsid w:val="00E7107B"/>
    <w:rsid w:val="00E71585"/>
    <w:rsid w:val="00E71E7D"/>
    <w:rsid w:val="00E7235B"/>
    <w:rsid w:val="00E7262F"/>
    <w:rsid w:val="00E73AB8"/>
    <w:rsid w:val="00E77C2C"/>
    <w:rsid w:val="00E80F9F"/>
    <w:rsid w:val="00E82474"/>
    <w:rsid w:val="00E831F1"/>
    <w:rsid w:val="00E83EFF"/>
    <w:rsid w:val="00E86E85"/>
    <w:rsid w:val="00E86ED5"/>
    <w:rsid w:val="00E87D64"/>
    <w:rsid w:val="00E90004"/>
    <w:rsid w:val="00E90DA5"/>
    <w:rsid w:val="00E92250"/>
    <w:rsid w:val="00E93864"/>
    <w:rsid w:val="00E94E93"/>
    <w:rsid w:val="00E954F0"/>
    <w:rsid w:val="00E97082"/>
    <w:rsid w:val="00E97941"/>
    <w:rsid w:val="00E97A18"/>
    <w:rsid w:val="00EA1A56"/>
    <w:rsid w:val="00EA2C0E"/>
    <w:rsid w:val="00EA353D"/>
    <w:rsid w:val="00EA7DA4"/>
    <w:rsid w:val="00EB0ACC"/>
    <w:rsid w:val="00EB0B42"/>
    <w:rsid w:val="00EB1B08"/>
    <w:rsid w:val="00EB242C"/>
    <w:rsid w:val="00EB2E3F"/>
    <w:rsid w:val="00EB3119"/>
    <w:rsid w:val="00EB56A0"/>
    <w:rsid w:val="00EB7BAE"/>
    <w:rsid w:val="00EC0129"/>
    <w:rsid w:val="00EC043D"/>
    <w:rsid w:val="00EC177D"/>
    <w:rsid w:val="00EC201C"/>
    <w:rsid w:val="00EC2E34"/>
    <w:rsid w:val="00EC33DD"/>
    <w:rsid w:val="00EC6516"/>
    <w:rsid w:val="00EC7CAF"/>
    <w:rsid w:val="00ED001C"/>
    <w:rsid w:val="00ED1A2C"/>
    <w:rsid w:val="00EE160D"/>
    <w:rsid w:val="00EE56EC"/>
    <w:rsid w:val="00EE5771"/>
    <w:rsid w:val="00EF2003"/>
    <w:rsid w:val="00F002C8"/>
    <w:rsid w:val="00F01A00"/>
    <w:rsid w:val="00F03073"/>
    <w:rsid w:val="00F03159"/>
    <w:rsid w:val="00F06311"/>
    <w:rsid w:val="00F118D3"/>
    <w:rsid w:val="00F143B2"/>
    <w:rsid w:val="00F15B9C"/>
    <w:rsid w:val="00F16ED7"/>
    <w:rsid w:val="00F2268B"/>
    <w:rsid w:val="00F22A63"/>
    <w:rsid w:val="00F3032E"/>
    <w:rsid w:val="00F346D7"/>
    <w:rsid w:val="00F34B81"/>
    <w:rsid w:val="00F37BEF"/>
    <w:rsid w:val="00F37EC2"/>
    <w:rsid w:val="00F4278E"/>
    <w:rsid w:val="00F43344"/>
    <w:rsid w:val="00F44DC9"/>
    <w:rsid w:val="00F4664C"/>
    <w:rsid w:val="00F46972"/>
    <w:rsid w:val="00F51714"/>
    <w:rsid w:val="00F538DA"/>
    <w:rsid w:val="00F56AB4"/>
    <w:rsid w:val="00F65BE1"/>
    <w:rsid w:val="00F665F5"/>
    <w:rsid w:val="00F71AB0"/>
    <w:rsid w:val="00F71F3A"/>
    <w:rsid w:val="00F743CC"/>
    <w:rsid w:val="00F75390"/>
    <w:rsid w:val="00F76EDC"/>
    <w:rsid w:val="00F76F07"/>
    <w:rsid w:val="00F77673"/>
    <w:rsid w:val="00F776C7"/>
    <w:rsid w:val="00F8206E"/>
    <w:rsid w:val="00F8596C"/>
    <w:rsid w:val="00F86EEA"/>
    <w:rsid w:val="00F906CC"/>
    <w:rsid w:val="00F92539"/>
    <w:rsid w:val="00F948CF"/>
    <w:rsid w:val="00F94D5F"/>
    <w:rsid w:val="00F94E72"/>
    <w:rsid w:val="00F95313"/>
    <w:rsid w:val="00FA29CD"/>
    <w:rsid w:val="00FA333E"/>
    <w:rsid w:val="00FA407F"/>
    <w:rsid w:val="00FA6509"/>
    <w:rsid w:val="00FB077C"/>
    <w:rsid w:val="00FB2173"/>
    <w:rsid w:val="00FB3BBC"/>
    <w:rsid w:val="00FB3D66"/>
    <w:rsid w:val="00FB4C11"/>
    <w:rsid w:val="00FB5E69"/>
    <w:rsid w:val="00FB6E3D"/>
    <w:rsid w:val="00FC00D7"/>
    <w:rsid w:val="00FC0E96"/>
    <w:rsid w:val="00FC12FB"/>
    <w:rsid w:val="00FC18BF"/>
    <w:rsid w:val="00FC3033"/>
    <w:rsid w:val="00FC3607"/>
    <w:rsid w:val="00FD0081"/>
    <w:rsid w:val="00FD04B6"/>
    <w:rsid w:val="00FD0C9C"/>
    <w:rsid w:val="00FD100A"/>
    <w:rsid w:val="00FD1E0A"/>
    <w:rsid w:val="00FD2EBF"/>
    <w:rsid w:val="00FD3889"/>
    <w:rsid w:val="00FD38EA"/>
    <w:rsid w:val="00FD7539"/>
    <w:rsid w:val="00FE02C2"/>
    <w:rsid w:val="00FE05C6"/>
    <w:rsid w:val="00FE11FE"/>
    <w:rsid w:val="00FE1346"/>
    <w:rsid w:val="00FE292D"/>
    <w:rsid w:val="00FE3CBB"/>
    <w:rsid w:val="00FE61AF"/>
    <w:rsid w:val="00FE6CB4"/>
    <w:rsid w:val="00FF14B9"/>
    <w:rsid w:val="00FF228F"/>
    <w:rsid w:val="00FF2B79"/>
    <w:rsid w:val="00FF3C2E"/>
    <w:rsid w:val="00FF4091"/>
    <w:rsid w:val="00FF5BA9"/>
    <w:rsid w:val="01053D0E"/>
    <w:rsid w:val="01057174"/>
    <w:rsid w:val="01095FEF"/>
    <w:rsid w:val="01144F26"/>
    <w:rsid w:val="011F6414"/>
    <w:rsid w:val="01266F8B"/>
    <w:rsid w:val="012A3A24"/>
    <w:rsid w:val="0136510E"/>
    <w:rsid w:val="015679D0"/>
    <w:rsid w:val="0169061A"/>
    <w:rsid w:val="019422A6"/>
    <w:rsid w:val="01A33473"/>
    <w:rsid w:val="01A64628"/>
    <w:rsid w:val="01C04D8D"/>
    <w:rsid w:val="01CC2024"/>
    <w:rsid w:val="01E503F9"/>
    <w:rsid w:val="01E847E5"/>
    <w:rsid w:val="02034C0A"/>
    <w:rsid w:val="022644A3"/>
    <w:rsid w:val="02290253"/>
    <w:rsid w:val="02385327"/>
    <w:rsid w:val="023E7D53"/>
    <w:rsid w:val="024535A0"/>
    <w:rsid w:val="0299553C"/>
    <w:rsid w:val="02B034F7"/>
    <w:rsid w:val="02B1142E"/>
    <w:rsid w:val="02D20818"/>
    <w:rsid w:val="02EE59E6"/>
    <w:rsid w:val="02F50522"/>
    <w:rsid w:val="02F76303"/>
    <w:rsid w:val="0308604F"/>
    <w:rsid w:val="031E7E0B"/>
    <w:rsid w:val="03250DBA"/>
    <w:rsid w:val="032A448C"/>
    <w:rsid w:val="03304250"/>
    <w:rsid w:val="036F5084"/>
    <w:rsid w:val="03744BED"/>
    <w:rsid w:val="037E6D6A"/>
    <w:rsid w:val="03AB203D"/>
    <w:rsid w:val="03BE185C"/>
    <w:rsid w:val="03C059FC"/>
    <w:rsid w:val="03C92D4D"/>
    <w:rsid w:val="03CB0588"/>
    <w:rsid w:val="03E22553"/>
    <w:rsid w:val="04027561"/>
    <w:rsid w:val="04033630"/>
    <w:rsid w:val="040F0F2A"/>
    <w:rsid w:val="04106C6A"/>
    <w:rsid w:val="04155920"/>
    <w:rsid w:val="042548AD"/>
    <w:rsid w:val="04316A24"/>
    <w:rsid w:val="045D1075"/>
    <w:rsid w:val="04781A0B"/>
    <w:rsid w:val="047D5273"/>
    <w:rsid w:val="04824E09"/>
    <w:rsid w:val="04892212"/>
    <w:rsid w:val="048B5D65"/>
    <w:rsid w:val="048C036A"/>
    <w:rsid w:val="04966335"/>
    <w:rsid w:val="04A94CB8"/>
    <w:rsid w:val="04B472CB"/>
    <w:rsid w:val="04B50EB1"/>
    <w:rsid w:val="04D4308E"/>
    <w:rsid w:val="04D97DDC"/>
    <w:rsid w:val="04DF1A8A"/>
    <w:rsid w:val="04EF4078"/>
    <w:rsid w:val="04F154CB"/>
    <w:rsid w:val="05060621"/>
    <w:rsid w:val="05322871"/>
    <w:rsid w:val="053E7845"/>
    <w:rsid w:val="05421D17"/>
    <w:rsid w:val="05551D4C"/>
    <w:rsid w:val="058E27DF"/>
    <w:rsid w:val="058E467C"/>
    <w:rsid w:val="05907F73"/>
    <w:rsid w:val="05910021"/>
    <w:rsid w:val="059B4A47"/>
    <w:rsid w:val="059C0251"/>
    <w:rsid w:val="05AB7542"/>
    <w:rsid w:val="05BA4E65"/>
    <w:rsid w:val="05BD43BE"/>
    <w:rsid w:val="05CC5BE8"/>
    <w:rsid w:val="05DC45EE"/>
    <w:rsid w:val="06252291"/>
    <w:rsid w:val="062749A5"/>
    <w:rsid w:val="06292CE1"/>
    <w:rsid w:val="06392E0D"/>
    <w:rsid w:val="063D2E42"/>
    <w:rsid w:val="06507E25"/>
    <w:rsid w:val="066E55CF"/>
    <w:rsid w:val="0672002B"/>
    <w:rsid w:val="06744454"/>
    <w:rsid w:val="0681777B"/>
    <w:rsid w:val="06C27109"/>
    <w:rsid w:val="06C477F9"/>
    <w:rsid w:val="06CC20AE"/>
    <w:rsid w:val="06CC603E"/>
    <w:rsid w:val="06F37A6F"/>
    <w:rsid w:val="06F87D3D"/>
    <w:rsid w:val="06FF47B9"/>
    <w:rsid w:val="071D4AEC"/>
    <w:rsid w:val="0721638A"/>
    <w:rsid w:val="07270855"/>
    <w:rsid w:val="073A4468"/>
    <w:rsid w:val="073F4A62"/>
    <w:rsid w:val="074F1149"/>
    <w:rsid w:val="075E273F"/>
    <w:rsid w:val="076618A3"/>
    <w:rsid w:val="076C0013"/>
    <w:rsid w:val="0788465B"/>
    <w:rsid w:val="079F2311"/>
    <w:rsid w:val="07A2308F"/>
    <w:rsid w:val="07A763AF"/>
    <w:rsid w:val="07AA20A0"/>
    <w:rsid w:val="07DB0C2F"/>
    <w:rsid w:val="07E449E9"/>
    <w:rsid w:val="07E7786D"/>
    <w:rsid w:val="080217D0"/>
    <w:rsid w:val="08024B4A"/>
    <w:rsid w:val="08026D59"/>
    <w:rsid w:val="080421C6"/>
    <w:rsid w:val="081E6A94"/>
    <w:rsid w:val="083B3781"/>
    <w:rsid w:val="084A1910"/>
    <w:rsid w:val="084F7E57"/>
    <w:rsid w:val="085A5B4F"/>
    <w:rsid w:val="085B6DEB"/>
    <w:rsid w:val="0881384D"/>
    <w:rsid w:val="088B0718"/>
    <w:rsid w:val="08B648FE"/>
    <w:rsid w:val="08CE1E54"/>
    <w:rsid w:val="08D040E3"/>
    <w:rsid w:val="08F47A3D"/>
    <w:rsid w:val="09103DEA"/>
    <w:rsid w:val="09186177"/>
    <w:rsid w:val="091D0DD3"/>
    <w:rsid w:val="09280B4C"/>
    <w:rsid w:val="09285336"/>
    <w:rsid w:val="092B57E4"/>
    <w:rsid w:val="09335CF8"/>
    <w:rsid w:val="09447103"/>
    <w:rsid w:val="09594501"/>
    <w:rsid w:val="09657005"/>
    <w:rsid w:val="09674BAB"/>
    <w:rsid w:val="097329C1"/>
    <w:rsid w:val="09954E0D"/>
    <w:rsid w:val="09B23C11"/>
    <w:rsid w:val="09BA6303"/>
    <w:rsid w:val="09BC19BD"/>
    <w:rsid w:val="09C143B3"/>
    <w:rsid w:val="09C83435"/>
    <w:rsid w:val="09D516AE"/>
    <w:rsid w:val="09D73678"/>
    <w:rsid w:val="09DE6830"/>
    <w:rsid w:val="09FF594C"/>
    <w:rsid w:val="0A06578F"/>
    <w:rsid w:val="0A0A7F8B"/>
    <w:rsid w:val="0A262F49"/>
    <w:rsid w:val="0A36039E"/>
    <w:rsid w:val="0A3F2700"/>
    <w:rsid w:val="0A49276A"/>
    <w:rsid w:val="0A6B53AA"/>
    <w:rsid w:val="0A720E71"/>
    <w:rsid w:val="0A780920"/>
    <w:rsid w:val="0AA30A0F"/>
    <w:rsid w:val="0AB275E7"/>
    <w:rsid w:val="0ACF1B15"/>
    <w:rsid w:val="0AD72255"/>
    <w:rsid w:val="0AD92583"/>
    <w:rsid w:val="0ADD3729"/>
    <w:rsid w:val="0AE56C4F"/>
    <w:rsid w:val="0AEF0DDC"/>
    <w:rsid w:val="0B097A9F"/>
    <w:rsid w:val="0B0B3ACD"/>
    <w:rsid w:val="0B1227AF"/>
    <w:rsid w:val="0B3976BD"/>
    <w:rsid w:val="0B494BB0"/>
    <w:rsid w:val="0B550326"/>
    <w:rsid w:val="0B5C6AC0"/>
    <w:rsid w:val="0B914B0A"/>
    <w:rsid w:val="0BAD401F"/>
    <w:rsid w:val="0BB01885"/>
    <w:rsid w:val="0BBE4AEF"/>
    <w:rsid w:val="0BF357C7"/>
    <w:rsid w:val="0BF55D04"/>
    <w:rsid w:val="0C104FD7"/>
    <w:rsid w:val="0C3C00DF"/>
    <w:rsid w:val="0C477D3A"/>
    <w:rsid w:val="0C4D7C98"/>
    <w:rsid w:val="0C7248E2"/>
    <w:rsid w:val="0CD2265A"/>
    <w:rsid w:val="0CF82DD1"/>
    <w:rsid w:val="0D167843"/>
    <w:rsid w:val="0D58042E"/>
    <w:rsid w:val="0D7A7371"/>
    <w:rsid w:val="0D7C1107"/>
    <w:rsid w:val="0DA1474E"/>
    <w:rsid w:val="0DAF0B93"/>
    <w:rsid w:val="0DC024E6"/>
    <w:rsid w:val="0DD3500C"/>
    <w:rsid w:val="0DD72C99"/>
    <w:rsid w:val="0DDA45E6"/>
    <w:rsid w:val="0DDD0978"/>
    <w:rsid w:val="0DE9543F"/>
    <w:rsid w:val="0DF5231E"/>
    <w:rsid w:val="0E122ED0"/>
    <w:rsid w:val="0E2E7724"/>
    <w:rsid w:val="0E3C05B1"/>
    <w:rsid w:val="0E3F27F8"/>
    <w:rsid w:val="0E466697"/>
    <w:rsid w:val="0E660A08"/>
    <w:rsid w:val="0E894073"/>
    <w:rsid w:val="0EA64B14"/>
    <w:rsid w:val="0EB81290"/>
    <w:rsid w:val="0EBC274D"/>
    <w:rsid w:val="0EC74C14"/>
    <w:rsid w:val="0ECE329B"/>
    <w:rsid w:val="0ED91C40"/>
    <w:rsid w:val="0EE52393"/>
    <w:rsid w:val="0F1669D2"/>
    <w:rsid w:val="0F3E742C"/>
    <w:rsid w:val="0F5721C2"/>
    <w:rsid w:val="0F827BE2"/>
    <w:rsid w:val="0F9D4A1B"/>
    <w:rsid w:val="0FA65E4E"/>
    <w:rsid w:val="0FB474E0"/>
    <w:rsid w:val="0FB573D4"/>
    <w:rsid w:val="0FDA5C70"/>
    <w:rsid w:val="0FED3BA9"/>
    <w:rsid w:val="0FF56606"/>
    <w:rsid w:val="0FFE1149"/>
    <w:rsid w:val="100A5B44"/>
    <w:rsid w:val="101709C6"/>
    <w:rsid w:val="10424D57"/>
    <w:rsid w:val="10563548"/>
    <w:rsid w:val="10627D99"/>
    <w:rsid w:val="108005C5"/>
    <w:rsid w:val="108E4BB9"/>
    <w:rsid w:val="109220A6"/>
    <w:rsid w:val="10B5798B"/>
    <w:rsid w:val="10D401B0"/>
    <w:rsid w:val="10E740FF"/>
    <w:rsid w:val="11527435"/>
    <w:rsid w:val="11716160"/>
    <w:rsid w:val="117D68B3"/>
    <w:rsid w:val="118D592C"/>
    <w:rsid w:val="11A0255B"/>
    <w:rsid w:val="11A227BD"/>
    <w:rsid w:val="11B47161"/>
    <w:rsid w:val="11C64BF4"/>
    <w:rsid w:val="11CC783A"/>
    <w:rsid w:val="12156159"/>
    <w:rsid w:val="12163CF3"/>
    <w:rsid w:val="123C50D8"/>
    <w:rsid w:val="124E3755"/>
    <w:rsid w:val="12600414"/>
    <w:rsid w:val="126C75D4"/>
    <w:rsid w:val="126F08F1"/>
    <w:rsid w:val="12727FFE"/>
    <w:rsid w:val="1289059B"/>
    <w:rsid w:val="12984AE7"/>
    <w:rsid w:val="129C7B9C"/>
    <w:rsid w:val="12C0645B"/>
    <w:rsid w:val="12CD4BAE"/>
    <w:rsid w:val="12E110C3"/>
    <w:rsid w:val="12E61992"/>
    <w:rsid w:val="12E8124F"/>
    <w:rsid w:val="12E8708A"/>
    <w:rsid w:val="12EC0BA0"/>
    <w:rsid w:val="13176C31"/>
    <w:rsid w:val="1319085D"/>
    <w:rsid w:val="13272F7A"/>
    <w:rsid w:val="1331204B"/>
    <w:rsid w:val="13332732"/>
    <w:rsid w:val="133B4B9C"/>
    <w:rsid w:val="13690087"/>
    <w:rsid w:val="136E7FBB"/>
    <w:rsid w:val="13861B80"/>
    <w:rsid w:val="138B0207"/>
    <w:rsid w:val="138C13B1"/>
    <w:rsid w:val="13900E9A"/>
    <w:rsid w:val="139B227B"/>
    <w:rsid w:val="139F54CE"/>
    <w:rsid w:val="13AC0A31"/>
    <w:rsid w:val="13CD72B1"/>
    <w:rsid w:val="13DA35C1"/>
    <w:rsid w:val="141034E6"/>
    <w:rsid w:val="144C5AEC"/>
    <w:rsid w:val="145D7172"/>
    <w:rsid w:val="149C34F4"/>
    <w:rsid w:val="14A516D6"/>
    <w:rsid w:val="14A625C4"/>
    <w:rsid w:val="14BA7EE0"/>
    <w:rsid w:val="14BB0F97"/>
    <w:rsid w:val="14C9681A"/>
    <w:rsid w:val="14D3501A"/>
    <w:rsid w:val="14F17B7B"/>
    <w:rsid w:val="14F835C4"/>
    <w:rsid w:val="14FB253E"/>
    <w:rsid w:val="151B3066"/>
    <w:rsid w:val="15360A41"/>
    <w:rsid w:val="153C3A6A"/>
    <w:rsid w:val="15441E3C"/>
    <w:rsid w:val="156A0B76"/>
    <w:rsid w:val="158E5532"/>
    <w:rsid w:val="15922D64"/>
    <w:rsid w:val="15C63BFA"/>
    <w:rsid w:val="15F26D0C"/>
    <w:rsid w:val="15F96ABE"/>
    <w:rsid w:val="15FD448C"/>
    <w:rsid w:val="16010A1D"/>
    <w:rsid w:val="16170D8E"/>
    <w:rsid w:val="161D1297"/>
    <w:rsid w:val="1625599C"/>
    <w:rsid w:val="16387978"/>
    <w:rsid w:val="16625746"/>
    <w:rsid w:val="166E2C6E"/>
    <w:rsid w:val="168C5417"/>
    <w:rsid w:val="168D7C26"/>
    <w:rsid w:val="16A83CA4"/>
    <w:rsid w:val="16CB4155"/>
    <w:rsid w:val="16CF365F"/>
    <w:rsid w:val="16EB0762"/>
    <w:rsid w:val="16EB5C47"/>
    <w:rsid w:val="170C21F8"/>
    <w:rsid w:val="172A0FAC"/>
    <w:rsid w:val="172F198A"/>
    <w:rsid w:val="173F012B"/>
    <w:rsid w:val="17403FBA"/>
    <w:rsid w:val="1742207E"/>
    <w:rsid w:val="17471E70"/>
    <w:rsid w:val="17501F55"/>
    <w:rsid w:val="17505B3B"/>
    <w:rsid w:val="17727694"/>
    <w:rsid w:val="17845D7D"/>
    <w:rsid w:val="178628E1"/>
    <w:rsid w:val="17A93E97"/>
    <w:rsid w:val="17B61FA5"/>
    <w:rsid w:val="17BE7277"/>
    <w:rsid w:val="17D911B7"/>
    <w:rsid w:val="17E6114F"/>
    <w:rsid w:val="17FA2CA3"/>
    <w:rsid w:val="180B61F7"/>
    <w:rsid w:val="18142EE1"/>
    <w:rsid w:val="18441E57"/>
    <w:rsid w:val="184C5231"/>
    <w:rsid w:val="185D06A3"/>
    <w:rsid w:val="187853CA"/>
    <w:rsid w:val="188E75AD"/>
    <w:rsid w:val="18A91AA0"/>
    <w:rsid w:val="18B6426E"/>
    <w:rsid w:val="18B90B18"/>
    <w:rsid w:val="18DC0363"/>
    <w:rsid w:val="19145C9F"/>
    <w:rsid w:val="19203CF4"/>
    <w:rsid w:val="19241445"/>
    <w:rsid w:val="193C7607"/>
    <w:rsid w:val="194F74F3"/>
    <w:rsid w:val="196F4B3C"/>
    <w:rsid w:val="19715D06"/>
    <w:rsid w:val="19975F1A"/>
    <w:rsid w:val="19A132C1"/>
    <w:rsid w:val="19C239FC"/>
    <w:rsid w:val="19C61754"/>
    <w:rsid w:val="19E90135"/>
    <w:rsid w:val="19FE07AD"/>
    <w:rsid w:val="1A0C1308"/>
    <w:rsid w:val="1A0F6516"/>
    <w:rsid w:val="1A266884"/>
    <w:rsid w:val="1A2A15A2"/>
    <w:rsid w:val="1A2D01B8"/>
    <w:rsid w:val="1A4E3DE8"/>
    <w:rsid w:val="1A4F4614"/>
    <w:rsid w:val="1A537C16"/>
    <w:rsid w:val="1A9232EF"/>
    <w:rsid w:val="1AA46C6C"/>
    <w:rsid w:val="1ACF0ADE"/>
    <w:rsid w:val="1B1C0B67"/>
    <w:rsid w:val="1B47465B"/>
    <w:rsid w:val="1B485ECE"/>
    <w:rsid w:val="1B4D22FF"/>
    <w:rsid w:val="1B59213E"/>
    <w:rsid w:val="1BA535D6"/>
    <w:rsid w:val="1BA97566"/>
    <w:rsid w:val="1BC2419B"/>
    <w:rsid w:val="1BC81072"/>
    <w:rsid w:val="1BCF0653"/>
    <w:rsid w:val="1BF35EAE"/>
    <w:rsid w:val="1BF64C65"/>
    <w:rsid w:val="1BF9122C"/>
    <w:rsid w:val="1C204D87"/>
    <w:rsid w:val="1C362E73"/>
    <w:rsid w:val="1C420E80"/>
    <w:rsid w:val="1C5C2C38"/>
    <w:rsid w:val="1C683B7F"/>
    <w:rsid w:val="1C7032E5"/>
    <w:rsid w:val="1C7C18EA"/>
    <w:rsid w:val="1CAC44F0"/>
    <w:rsid w:val="1CB254F4"/>
    <w:rsid w:val="1CCB13E0"/>
    <w:rsid w:val="1CE60170"/>
    <w:rsid w:val="1CF47822"/>
    <w:rsid w:val="1D0460DA"/>
    <w:rsid w:val="1D0B5C9E"/>
    <w:rsid w:val="1D0C4E86"/>
    <w:rsid w:val="1D184DFE"/>
    <w:rsid w:val="1D1E53FD"/>
    <w:rsid w:val="1D294B98"/>
    <w:rsid w:val="1D730C34"/>
    <w:rsid w:val="1D7360E0"/>
    <w:rsid w:val="1D8316F5"/>
    <w:rsid w:val="1D893BD0"/>
    <w:rsid w:val="1D9A7672"/>
    <w:rsid w:val="1D9E3644"/>
    <w:rsid w:val="1DB2292E"/>
    <w:rsid w:val="1DB61906"/>
    <w:rsid w:val="1DD26E1C"/>
    <w:rsid w:val="1DEA3522"/>
    <w:rsid w:val="1DFC5664"/>
    <w:rsid w:val="1E3B714C"/>
    <w:rsid w:val="1E4B222D"/>
    <w:rsid w:val="1E4C1AE7"/>
    <w:rsid w:val="1E652BA8"/>
    <w:rsid w:val="1E737A91"/>
    <w:rsid w:val="1E845F35"/>
    <w:rsid w:val="1E977C60"/>
    <w:rsid w:val="1E9C45BD"/>
    <w:rsid w:val="1EAF7A06"/>
    <w:rsid w:val="1EBE0209"/>
    <w:rsid w:val="1EC61927"/>
    <w:rsid w:val="1EC82D2C"/>
    <w:rsid w:val="1EE23A57"/>
    <w:rsid w:val="1EE261C9"/>
    <w:rsid w:val="1EE54A94"/>
    <w:rsid w:val="1F017EFE"/>
    <w:rsid w:val="1F0D4DFF"/>
    <w:rsid w:val="1F200ACA"/>
    <w:rsid w:val="1F2E417F"/>
    <w:rsid w:val="1F5275D0"/>
    <w:rsid w:val="1FA37E2C"/>
    <w:rsid w:val="1FA906D0"/>
    <w:rsid w:val="1FCC7958"/>
    <w:rsid w:val="1FD21F0A"/>
    <w:rsid w:val="200C507E"/>
    <w:rsid w:val="201C7BDE"/>
    <w:rsid w:val="20277BF5"/>
    <w:rsid w:val="2043136F"/>
    <w:rsid w:val="204F6E78"/>
    <w:rsid w:val="205921D7"/>
    <w:rsid w:val="20686980"/>
    <w:rsid w:val="208D63BC"/>
    <w:rsid w:val="208F215E"/>
    <w:rsid w:val="209335FA"/>
    <w:rsid w:val="209459C7"/>
    <w:rsid w:val="20976CAE"/>
    <w:rsid w:val="20A45DD5"/>
    <w:rsid w:val="20BF62A6"/>
    <w:rsid w:val="20D60E06"/>
    <w:rsid w:val="20DA0877"/>
    <w:rsid w:val="20DC6CBC"/>
    <w:rsid w:val="20EF3C37"/>
    <w:rsid w:val="210C7D34"/>
    <w:rsid w:val="210D63DD"/>
    <w:rsid w:val="21165730"/>
    <w:rsid w:val="21551CF1"/>
    <w:rsid w:val="215A104A"/>
    <w:rsid w:val="21796F94"/>
    <w:rsid w:val="2195103F"/>
    <w:rsid w:val="21C5052E"/>
    <w:rsid w:val="21DF6891"/>
    <w:rsid w:val="21E75370"/>
    <w:rsid w:val="21EB1A1D"/>
    <w:rsid w:val="21ED7B30"/>
    <w:rsid w:val="21EE1107"/>
    <w:rsid w:val="22237002"/>
    <w:rsid w:val="2225246B"/>
    <w:rsid w:val="222D507A"/>
    <w:rsid w:val="22361A44"/>
    <w:rsid w:val="224376A4"/>
    <w:rsid w:val="22461157"/>
    <w:rsid w:val="22476BA5"/>
    <w:rsid w:val="224B6D26"/>
    <w:rsid w:val="225D0766"/>
    <w:rsid w:val="22635949"/>
    <w:rsid w:val="227A2734"/>
    <w:rsid w:val="227F70BF"/>
    <w:rsid w:val="22837AA1"/>
    <w:rsid w:val="2297354C"/>
    <w:rsid w:val="229B4311"/>
    <w:rsid w:val="22A666FE"/>
    <w:rsid w:val="22A83D42"/>
    <w:rsid w:val="22B11A42"/>
    <w:rsid w:val="22C534E9"/>
    <w:rsid w:val="22DB2D85"/>
    <w:rsid w:val="22DC1D73"/>
    <w:rsid w:val="22DD18A7"/>
    <w:rsid w:val="22E0125F"/>
    <w:rsid w:val="232B2612"/>
    <w:rsid w:val="233D6D54"/>
    <w:rsid w:val="23447905"/>
    <w:rsid w:val="23502079"/>
    <w:rsid w:val="235A6281"/>
    <w:rsid w:val="235D58C3"/>
    <w:rsid w:val="2366189C"/>
    <w:rsid w:val="236773C3"/>
    <w:rsid w:val="237113CF"/>
    <w:rsid w:val="238709D5"/>
    <w:rsid w:val="2395073C"/>
    <w:rsid w:val="23B52E2D"/>
    <w:rsid w:val="23D762F6"/>
    <w:rsid w:val="24184308"/>
    <w:rsid w:val="243454F7"/>
    <w:rsid w:val="244E2598"/>
    <w:rsid w:val="24711530"/>
    <w:rsid w:val="2486337D"/>
    <w:rsid w:val="24A53D7A"/>
    <w:rsid w:val="24C22B02"/>
    <w:rsid w:val="24D6035C"/>
    <w:rsid w:val="25152633"/>
    <w:rsid w:val="253A4D8F"/>
    <w:rsid w:val="255A71DF"/>
    <w:rsid w:val="257F1DB4"/>
    <w:rsid w:val="258A1146"/>
    <w:rsid w:val="25951FC5"/>
    <w:rsid w:val="25C308B8"/>
    <w:rsid w:val="25C30BCD"/>
    <w:rsid w:val="25CA4933"/>
    <w:rsid w:val="25E73C7B"/>
    <w:rsid w:val="25F0369F"/>
    <w:rsid w:val="26080C9B"/>
    <w:rsid w:val="26174A30"/>
    <w:rsid w:val="2640378E"/>
    <w:rsid w:val="264E7CD3"/>
    <w:rsid w:val="26501189"/>
    <w:rsid w:val="26542BEF"/>
    <w:rsid w:val="266A07C3"/>
    <w:rsid w:val="26741477"/>
    <w:rsid w:val="26881A92"/>
    <w:rsid w:val="268C786C"/>
    <w:rsid w:val="27040A4D"/>
    <w:rsid w:val="27291FCD"/>
    <w:rsid w:val="27475C6C"/>
    <w:rsid w:val="27512BAB"/>
    <w:rsid w:val="276500BD"/>
    <w:rsid w:val="277621B1"/>
    <w:rsid w:val="279528D5"/>
    <w:rsid w:val="279F712B"/>
    <w:rsid w:val="27A74EBE"/>
    <w:rsid w:val="27AF30E6"/>
    <w:rsid w:val="27BF2E8F"/>
    <w:rsid w:val="27C0248F"/>
    <w:rsid w:val="27C2106B"/>
    <w:rsid w:val="27E2170E"/>
    <w:rsid w:val="28046D14"/>
    <w:rsid w:val="2824037A"/>
    <w:rsid w:val="28335AC5"/>
    <w:rsid w:val="28384941"/>
    <w:rsid w:val="28433F5A"/>
    <w:rsid w:val="284400AE"/>
    <w:rsid w:val="28565B56"/>
    <w:rsid w:val="285D6A2A"/>
    <w:rsid w:val="28656787"/>
    <w:rsid w:val="28881B0D"/>
    <w:rsid w:val="28A61620"/>
    <w:rsid w:val="28AA462A"/>
    <w:rsid w:val="28D102D1"/>
    <w:rsid w:val="291219F9"/>
    <w:rsid w:val="29182668"/>
    <w:rsid w:val="292D0766"/>
    <w:rsid w:val="294B0182"/>
    <w:rsid w:val="2953034F"/>
    <w:rsid w:val="295C3BA5"/>
    <w:rsid w:val="29777DD7"/>
    <w:rsid w:val="29831A35"/>
    <w:rsid w:val="29A21406"/>
    <w:rsid w:val="29A749BD"/>
    <w:rsid w:val="29B82704"/>
    <w:rsid w:val="29C51993"/>
    <w:rsid w:val="29E77D1F"/>
    <w:rsid w:val="29EA19E9"/>
    <w:rsid w:val="29F527AB"/>
    <w:rsid w:val="2A0B04EB"/>
    <w:rsid w:val="2A2755EB"/>
    <w:rsid w:val="2A2C0A1E"/>
    <w:rsid w:val="2A3C465C"/>
    <w:rsid w:val="2A506E02"/>
    <w:rsid w:val="2A6E3005"/>
    <w:rsid w:val="2A701253"/>
    <w:rsid w:val="2A7537CF"/>
    <w:rsid w:val="2A9071FF"/>
    <w:rsid w:val="2A9E3073"/>
    <w:rsid w:val="2A9E5D80"/>
    <w:rsid w:val="2AA40D94"/>
    <w:rsid w:val="2AA57AE7"/>
    <w:rsid w:val="2ABC25B5"/>
    <w:rsid w:val="2AC63E26"/>
    <w:rsid w:val="2B1F6B0F"/>
    <w:rsid w:val="2B345DDC"/>
    <w:rsid w:val="2B487ADA"/>
    <w:rsid w:val="2B527FA4"/>
    <w:rsid w:val="2B684118"/>
    <w:rsid w:val="2B6E2FCF"/>
    <w:rsid w:val="2B92208B"/>
    <w:rsid w:val="2BAD6145"/>
    <w:rsid w:val="2BB56F68"/>
    <w:rsid w:val="2BCE65AE"/>
    <w:rsid w:val="2BE02EFD"/>
    <w:rsid w:val="2BEE0C64"/>
    <w:rsid w:val="2C270644"/>
    <w:rsid w:val="2C2906B3"/>
    <w:rsid w:val="2C302B95"/>
    <w:rsid w:val="2C304CD6"/>
    <w:rsid w:val="2C4B5317"/>
    <w:rsid w:val="2C567FD4"/>
    <w:rsid w:val="2C573E85"/>
    <w:rsid w:val="2C6134D9"/>
    <w:rsid w:val="2C7873EF"/>
    <w:rsid w:val="2C7A1F15"/>
    <w:rsid w:val="2C8608B9"/>
    <w:rsid w:val="2C8B765B"/>
    <w:rsid w:val="2CBA4A07"/>
    <w:rsid w:val="2CBC5E45"/>
    <w:rsid w:val="2CBD40B8"/>
    <w:rsid w:val="2CC37963"/>
    <w:rsid w:val="2CC87F58"/>
    <w:rsid w:val="2CDF2ED9"/>
    <w:rsid w:val="2CF61AF0"/>
    <w:rsid w:val="2D0642E3"/>
    <w:rsid w:val="2D0F7C32"/>
    <w:rsid w:val="2D256324"/>
    <w:rsid w:val="2D2714D9"/>
    <w:rsid w:val="2D2741DF"/>
    <w:rsid w:val="2D337438"/>
    <w:rsid w:val="2D5072B9"/>
    <w:rsid w:val="2D5B11C9"/>
    <w:rsid w:val="2D6752EA"/>
    <w:rsid w:val="2D7B7CF2"/>
    <w:rsid w:val="2D812B24"/>
    <w:rsid w:val="2D9E13F0"/>
    <w:rsid w:val="2DBB4593"/>
    <w:rsid w:val="2DE57862"/>
    <w:rsid w:val="2DFB1E71"/>
    <w:rsid w:val="2E051CB2"/>
    <w:rsid w:val="2E096171"/>
    <w:rsid w:val="2E0F1ECE"/>
    <w:rsid w:val="2E1E6510"/>
    <w:rsid w:val="2E293BC7"/>
    <w:rsid w:val="2E4474D9"/>
    <w:rsid w:val="2E5E1E80"/>
    <w:rsid w:val="2E5F1ED3"/>
    <w:rsid w:val="2E8E1CA7"/>
    <w:rsid w:val="2E9F2179"/>
    <w:rsid w:val="2EB4369B"/>
    <w:rsid w:val="2EC63BF7"/>
    <w:rsid w:val="2ECA085F"/>
    <w:rsid w:val="2EDB4780"/>
    <w:rsid w:val="2EDB59FB"/>
    <w:rsid w:val="2EE55A05"/>
    <w:rsid w:val="2EE960CB"/>
    <w:rsid w:val="2EFF6B9C"/>
    <w:rsid w:val="2F2B1D5A"/>
    <w:rsid w:val="2F5B427F"/>
    <w:rsid w:val="2F61116A"/>
    <w:rsid w:val="2F62059B"/>
    <w:rsid w:val="2F630314"/>
    <w:rsid w:val="2F9A1687"/>
    <w:rsid w:val="2FA7162F"/>
    <w:rsid w:val="2FAE0FC6"/>
    <w:rsid w:val="2FC24825"/>
    <w:rsid w:val="2FC54745"/>
    <w:rsid w:val="2FC94DA6"/>
    <w:rsid w:val="2FD11AF5"/>
    <w:rsid w:val="2FDB0F1C"/>
    <w:rsid w:val="2FDD2EE6"/>
    <w:rsid w:val="2FE30064"/>
    <w:rsid w:val="2FE85B32"/>
    <w:rsid w:val="301B6ADC"/>
    <w:rsid w:val="302126AC"/>
    <w:rsid w:val="30264AA7"/>
    <w:rsid w:val="302D6DF5"/>
    <w:rsid w:val="3046019D"/>
    <w:rsid w:val="30525122"/>
    <w:rsid w:val="305D6C11"/>
    <w:rsid w:val="30622E08"/>
    <w:rsid w:val="306A45C4"/>
    <w:rsid w:val="30904820"/>
    <w:rsid w:val="30933CBF"/>
    <w:rsid w:val="30C01CF2"/>
    <w:rsid w:val="30C0393D"/>
    <w:rsid w:val="30C04638"/>
    <w:rsid w:val="30C55B0E"/>
    <w:rsid w:val="30DC319E"/>
    <w:rsid w:val="30E76FE4"/>
    <w:rsid w:val="30FE2A72"/>
    <w:rsid w:val="310D3FE1"/>
    <w:rsid w:val="311C17EC"/>
    <w:rsid w:val="31350B00"/>
    <w:rsid w:val="313B4DED"/>
    <w:rsid w:val="313B65BE"/>
    <w:rsid w:val="31446FA4"/>
    <w:rsid w:val="3175173C"/>
    <w:rsid w:val="31AA12C4"/>
    <w:rsid w:val="31AB23C8"/>
    <w:rsid w:val="31B9703B"/>
    <w:rsid w:val="31C86BD3"/>
    <w:rsid w:val="31CA34A3"/>
    <w:rsid w:val="31F44065"/>
    <w:rsid w:val="31F47267"/>
    <w:rsid w:val="31F476C7"/>
    <w:rsid w:val="323E5792"/>
    <w:rsid w:val="323E597C"/>
    <w:rsid w:val="326F5451"/>
    <w:rsid w:val="327427B6"/>
    <w:rsid w:val="32A23F73"/>
    <w:rsid w:val="32BF0681"/>
    <w:rsid w:val="32CF28C2"/>
    <w:rsid w:val="32D73338"/>
    <w:rsid w:val="32D75CA0"/>
    <w:rsid w:val="32E15616"/>
    <w:rsid w:val="32E429F7"/>
    <w:rsid w:val="32FC7B27"/>
    <w:rsid w:val="3339158E"/>
    <w:rsid w:val="33391C67"/>
    <w:rsid w:val="33715720"/>
    <w:rsid w:val="33721B98"/>
    <w:rsid w:val="3389470C"/>
    <w:rsid w:val="338B5AEA"/>
    <w:rsid w:val="33911804"/>
    <w:rsid w:val="339408EB"/>
    <w:rsid w:val="33942334"/>
    <w:rsid w:val="33973BD0"/>
    <w:rsid w:val="3398762D"/>
    <w:rsid w:val="33BA2211"/>
    <w:rsid w:val="33C45855"/>
    <w:rsid w:val="33D32419"/>
    <w:rsid w:val="33FC13A3"/>
    <w:rsid w:val="34002F89"/>
    <w:rsid w:val="34075E73"/>
    <w:rsid w:val="340D366E"/>
    <w:rsid w:val="341973EE"/>
    <w:rsid w:val="342D3D10"/>
    <w:rsid w:val="34362BC5"/>
    <w:rsid w:val="347337C3"/>
    <w:rsid w:val="349609B7"/>
    <w:rsid w:val="349E1C98"/>
    <w:rsid w:val="34D67F04"/>
    <w:rsid w:val="34DC239B"/>
    <w:rsid w:val="34EB114A"/>
    <w:rsid w:val="34F65BFA"/>
    <w:rsid w:val="350478CF"/>
    <w:rsid w:val="351B6B3B"/>
    <w:rsid w:val="35255E5D"/>
    <w:rsid w:val="352A0DCE"/>
    <w:rsid w:val="3538471B"/>
    <w:rsid w:val="35536025"/>
    <w:rsid w:val="356345D6"/>
    <w:rsid w:val="35753641"/>
    <w:rsid w:val="358142E1"/>
    <w:rsid w:val="358856A2"/>
    <w:rsid w:val="35936092"/>
    <w:rsid w:val="35C2490E"/>
    <w:rsid w:val="35CB37E1"/>
    <w:rsid w:val="35D73F34"/>
    <w:rsid w:val="35DF5767"/>
    <w:rsid w:val="35EB7683"/>
    <w:rsid w:val="35F42D38"/>
    <w:rsid w:val="36052684"/>
    <w:rsid w:val="363910D7"/>
    <w:rsid w:val="36435A6D"/>
    <w:rsid w:val="3650519D"/>
    <w:rsid w:val="365E3439"/>
    <w:rsid w:val="368F092F"/>
    <w:rsid w:val="36C7763D"/>
    <w:rsid w:val="36E25286"/>
    <w:rsid w:val="36F141D6"/>
    <w:rsid w:val="3705756C"/>
    <w:rsid w:val="37511489"/>
    <w:rsid w:val="37517D16"/>
    <w:rsid w:val="375F75F9"/>
    <w:rsid w:val="37643EED"/>
    <w:rsid w:val="376B6AF9"/>
    <w:rsid w:val="376C3FD8"/>
    <w:rsid w:val="377F21BB"/>
    <w:rsid w:val="37873738"/>
    <w:rsid w:val="378A1B51"/>
    <w:rsid w:val="378D53C9"/>
    <w:rsid w:val="37AC10A5"/>
    <w:rsid w:val="37AE6CFA"/>
    <w:rsid w:val="37AF6E47"/>
    <w:rsid w:val="37F64E0F"/>
    <w:rsid w:val="37F94635"/>
    <w:rsid w:val="380E0217"/>
    <w:rsid w:val="382A2080"/>
    <w:rsid w:val="38674010"/>
    <w:rsid w:val="38675A43"/>
    <w:rsid w:val="387F3339"/>
    <w:rsid w:val="38910D12"/>
    <w:rsid w:val="38C959DD"/>
    <w:rsid w:val="38CF3B09"/>
    <w:rsid w:val="38E15C33"/>
    <w:rsid w:val="38E549DD"/>
    <w:rsid w:val="38E579B7"/>
    <w:rsid w:val="38FE1C93"/>
    <w:rsid w:val="390F36EC"/>
    <w:rsid w:val="39294C83"/>
    <w:rsid w:val="39382F3B"/>
    <w:rsid w:val="393A4737"/>
    <w:rsid w:val="3951043C"/>
    <w:rsid w:val="39623463"/>
    <w:rsid w:val="39662ED0"/>
    <w:rsid w:val="396E017E"/>
    <w:rsid w:val="3976741B"/>
    <w:rsid w:val="398443D3"/>
    <w:rsid w:val="39A509D9"/>
    <w:rsid w:val="39B11C41"/>
    <w:rsid w:val="39D04285"/>
    <w:rsid w:val="39D05D60"/>
    <w:rsid w:val="39D30EB6"/>
    <w:rsid w:val="39E609B7"/>
    <w:rsid w:val="39F20A6A"/>
    <w:rsid w:val="3A122B7D"/>
    <w:rsid w:val="3A19453E"/>
    <w:rsid w:val="3A2164DB"/>
    <w:rsid w:val="3A241D37"/>
    <w:rsid w:val="3A2A4B74"/>
    <w:rsid w:val="3A2A6ADD"/>
    <w:rsid w:val="3A4122C4"/>
    <w:rsid w:val="3A450E35"/>
    <w:rsid w:val="3A47599D"/>
    <w:rsid w:val="3A571AE7"/>
    <w:rsid w:val="3A7A7584"/>
    <w:rsid w:val="3A86417A"/>
    <w:rsid w:val="3A8C67FD"/>
    <w:rsid w:val="3A9A358A"/>
    <w:rsid w:val="3ABE56C2"/>
    <w:rsid w:val="3ADF2DBC"/>
    <w:rsid w:val="3AF4167F"/>
    <w:rsid w:val="3AFB74EB"/>
    <w:rsid w:val="3AFD3719"/>
    <w:rsid w:val="3B3B4F65"/>
    <w:rsid w:val="3B464137"/>
    <w:rsid w:val="3B5D3BE4"/>
    <w:rsid w:val="3B6049CB"/>
    <w:rsid w:val="3B702E61"/>
    <w:rsid w:val="3B932BB7"/>
    <w:rsid w:val="3B9C3A6D"/>
    <w:rsid w:val="3B9C3C56"/>
    <w:rsid w:val="3BB62525"/>
    <w:rsid w:val="3BE42C82"/>
    <w:rsid w:val="3BFC64A2"/>
    <w:rsid w:val="3BFE627E"/>
    <w:rsid w:val="3C187921"/>
    <w:rsid w:val="3C3B276F"/>
    <w:rsid w:val="3C5207B8"/>
    <w:rsid w:val="3C675967"/>
    <w:rsid w:val="3C6D377B"/>
    <w:rsid w:val="3C7504CB"/>
    <w:rsid w:val="3C775076"/>
    <w:rsid w:val="3C834E15"/>
    <w:rsid w:val="3C890A48"/>
    <w:rsid w:val="3CB416AB"/>
    <w:rsid w:val="3CB83671"/>
    <w:rsid w:val="3CBE4EE2"/>
    <w:rsid w:val="3CC75F2B"/>
    <w:rsid w:val="3CE21B3C"/>
    <w:rsid w:val="3D1507C4"/>
    <w:rsid w:val="3D197528"/>
    <w:rsid w:val="3D2A4A75"/>
    <w:rsid w:val="3D314871"/>
    <w:rsid w:val="3D456F15"/>
    <w:rsid w:val="3D562F18"/>
    <w:rsid w:val="3D717A22"/>
    <w:rsid w:val="3DA05553"/>
    <w:rsid w:val="3DB46195"/>
    <w:rsid w:val="3DBD4357"/>
    <w:rsid w:val="3DD10479"/>
    <w:rsid w:val="3DDD0555"/>
    <w:rsid w:val="3DE25B6C"/>
    <w:rsid w:val="3DE6740A"/>
    <w:rsid w:val="3DED66E2"/>
    <w:rsid w:val="3DF17B5D"/>
    <w:rsid w:val="3DF7453E"/>
    <w:rsid w:val="3E097385"/>
    <w:rsid w:val="3E1D6BA4"/>
    <w:rsid w:val="3E263469"/>
    <w:rsid w:val="3E2A539F"/>
    <w:rsid w:val="3E307D10"/>
    <w:rsid w:val="3E3C0ACB"/>
    <w:rsid w:val="3E4660FB"/>
    <w:rsid w:val="3E495BEB"/>
    <w:rsid w:val="3E5F57FD"/>
    <w:rsid w:val="3E67693F"/>
    <w:rsid w:val="3E6A07D6"/>
    <w:rsid w:val="3E84720A"/>
    <w:rsid w:val="3E9961CA"/>
    <w:rsid w:val="3E9F2FC9"/>
    <w:rsid w:val="3EA1363A"/>
    <w:rsid w:val="3ED839B5"/>
    <w:rsid w:val="3EE44FD8"/>
    <w:rsid w:val="3EF739DC"/>
    <w:rsid w:val="3F043E02"/>
    <w:rsid w:val="3F1526AE"/>
    <w:rsid w:val="3F2C077B"/>
    <w:rsid w:val="3F485E7D"/>
    <w:rsid w:val="3F4C6A57"/>
    <w:rsid w:val="3F5213BA"/>
    <w:rsid w:val="3F6F1A57"/>
    <w:rsid w:val="3F782972"/>
    <w:rsid w:val="3F7F5068"/>
    <w:rsid w:val="3F8243E8"/>
    <w:rsid w:val="3F8E0F7F"/>
    <w:rsid w:val="3F960BBA"/>
    <w:rsid w:val="3FB91794"/>
    <w:rsid w:val="3FD644B3"/>
    <w:rsid w:val="3FDD2A8F"/>
    <w:rsid w:val="3FE060DB"/>
    <w:rsid w:val="3FE200A5"/>
    <w:rsid w:val="3FEA1658"/>
    <w:rsid w:val="40026854"/>
    <w:rsid w:val="40263C07"/>
    <w:rsid w:val="403C77B5"/>
    <w:rsid w:val="403D713E"/>
    <w:rsid w:val="403F2E01"/>
    <w:rsid w:val="403F39C6"/>
    <w:rsid w:val="4061551A"/>
    <w:rsid w:val="4097742B"/>
    <w:rsid w:val="409C723C"/>
    <w:rsid w:val="40B129AC"/>
    <w:rsid w:val="40FB39AE"/>
    <w:rsid w:val="40FE0252"/>
    <w:rsid w:val="410B1190"/>
    <w:rsid w:val="41105572"/>
    <w:rsid w:val="411F3C0E"/>
    <w:rsid w:val="41245265"/>
    <w:rsid w:val="4145719B"/>
    <w:rsid w:val="414A753C"/>
    <w:rsid w:val="414C3A28"/>
    <w:rsid w:val="4154553F"/>
    <w:rsid w:val="415B2A11"/>
    <w:rsid w:val="415D6E8D"/>
    <w:rsid w:val="416162D7"/>
    <w:rsid w:val="41AE6146"/>
    <w:rsid w:val="41E70335"/>
    <w:rsid w:val="422B01D6"/>
    <w:rsid w:val="423B3552"/>
    <w:rsid w:val="424C5CAA"/>
    <w:rsid w:val="4271176F"/>
    <w:rsid w:val="42791558"/>
    <w:rsid w:val="42D9753E"/>
    <w:rsid w:val="42DA2BEB"/>
    <w:rsid w:val="42DF7BA8"/>
    <w:rsid w:val="42E46282"/>
    <w:rsid w:val="43087E22"/>
    <w:rsid w:val="43144A19"/>
    <w:rsid w:val="43192030"/>
    <w:rsid w:val="4320391C"/>
    <w:rsid w:val="43294C0D"/>
    <w:rsid w:val="43470AA6"/>
    <w:rsid w:val="43566FFD"/>
    <w:rsid w:val="4379487C"/>
    <w:rsid w:val="437E1ED7"/>
    <w:rsid w:val="438401C1"/>
    <w:rsid w:val="438F7B95"/>
    <w:rsid w:val="43945874"/>
    <w:rsid w:val="439B0530"/>
    <w:rsid w:val="43D12F0B"/>
    <w:rsid w:val="43D97C3A"/>
    <w:rsid w:val="43F16B09"/>
    <w:rsid w:val="441529D2"/>
    <w:rsid w:val="441E5E65"/>
    <w:rsid w:val="442F0802"/>
    <w:rsid w:val="4432093D"/>
    <w:rsid w:val="44322443"/>
    <w:rsid w:val="443A1503"/>
    <w:rsid w:val="44576EA8"/>
    <w:rsid w:val="44713F1F"/>
    <w:rsid w:val="447479BB"/>
    <w:rsid w:val="447D107F"/>
    <w:rsid w:val="448E143E"/>
    <w:rsid w:val="44B74D42"/>
    <w:rsid w:val="44C317CB"/>
    <w:rsid w:val="44C53666"/>
    <w:rsid w:val="44CE7790"/>
    <w:rsid w:val="44D20EFF"/>
    <w:rsid w:val="44DA6A6B"/>
    <w:rsid w:val="451707F1"/>
    <w:rsid w:val="45253728"/>
    <w:rsid w:val="452D7ED3"/>
    <w:rsid w:val="45393148"/>
    <w:rsid w:val="4561381A"/>
    <w:rsid w:val="4574179F"/>
    <w:rsid w:val="457F7A93"/>
    <w:rsid w:val="45874308"/>
    <w:rsid w:val="45E941FF"/>
    <w:rsid w:val="45F91CA4"/>
    <w:rsid w:val="460F0CF0"/>
    <w:rsid w:val="46151917"/>
    <w:rsid w:val="461D1E37"/>
    <w:rsid w:val="46235EEF"/>
    <w:rsid w:val="46260C37"/>
    <w:rsid w:val="46296F13"/>
    <w:rsid w:val="464D3B91"/>
    <w:rsid w:val="464F25D7"/>
    <w:rsid w:val="465005B9"/>
    <w:rsid w:val="465A3808"/>
    <w:rsid w:val="466301CA"/>
    <w:rsid w:val="46715186"/>
    <w:rsid w:val="467C51F8"/>
    <w:rsid w:val="46CE4EDF"/>
    <w:rsid w:val="46D14E60"/>
    <w:rsid w:val="46D36999"/>
    <w:rsid w:val="46EC5FE9"/>
    <w:rsid w:val="46EE62F7"/>
    <w:rsid w:val="46F437D3"/>
    <w:rsid w:val="46FA326F"/>
    <w:rsid w:val="47083359"/>
    <w:rsid w:val="471833A7"/>
    <w:rsid w:val="47386BFE"/>
    <w:rsid w:val="474A6661"/>
    <w:rsid w:val="47713E4E"/>
    <w:rsid w:val="47715BFB"/>
    <w:rsid w:val="478B3AB4"/>
    <w:rsid w:val="479B53B7"/>
    <w:rsid w:val="47C349DB"/>
    <w:rsid w:val="47E90D96"/>
    <w:rsid w:val="47F25B59"/>
    <w:rsid w:val="47F704B0"/>
    <w:rsid w:val="48143DCA"/>
    <w:rsid w:val="48155889"/>
    <w:rsid w:val="481E635D"/>
    <w:rsid w:val="48266CC0"/>
    <w:rsid w:val="482C618B"/>
    <w:rsid w:val="48300411"/>
    <w:rsid w:val="4841498E"/>
    <w:rsid w:val="485338EE"/>
    <w:rsid w:val="48541414"/>
    <w:rsid w:val="48811FD4"/>
    <w:rsid w:val="48904B42"/>
    <w:rsid w:val="48A53270"/>
    <w:rsid w:val="48A900C1"/>
    <w:rsid w:val="48B466DB"/>
    <w:rsid w:val="48B50BFD"/>
    <w:rsid w:val="48DB12BD"/>
    <w:rsid w:val="48E00EFA"/>
    <w:rsid w:val="48F81E80"/>
    <w:rsid w:val="48FA296C"/>
    <w:rsid w:val="49105C83"/>
    <w:rsid w:val="4912050D"/>
    <w:rsid w:val="491D214E"/>
    <w:rsid w:val="492B1B44"/>
    <w:rsid w:val="49323E7A"/>
    <w:rsid w:val="4937682E"/>
    <w:rsid w:val="493A2D00"/>
    <w:rsid w:val="494B0A69"/>
    <w:rsid w:val="49C820BA"/>
    <w:rsid w:val="49D95C14"/>
    <w:rsid w:val="49E92F3C"/>
    <w:rsid w:val="4A084BAC"/>
    <w:rsid w:val="4A1277D9"/>
    <w:rsid w:val="4A171B81"/>
    <w:rsid w:val="4A1F118E"/>
    <w:rsid w:val="4A364A1D"/>
    <w:rsid w:val="4A3B164E"/>
    <w:rsid w:val="4A3E4BEC"/>
    <w:rsid w:val="4A5022B2"/>
    <w:rsid w:val="4A503792"/>
    <w:rsid w:val="4A5676C5"/>
    <w:rsid w:val="4A710F23"/>
    <w:rsid w:val="4A734335"/>
    <w:rsid w:val="4A981B04"/>
    <w:rsid w:val="4AA440D2"/>
    <w:rsid w:val="4AD87C28"/>
    <w:rsid w:val="4ADE5AFE"/>
    <w:rsid w:val="4B060725"/>
    <w:rsid w:val="4B0B7CC5"/>
    <w:rsid w:val="4B1D284D"/>
    <w:rsid w:val="4B366778"/>
    <w:rsid w:val="4B524331"/>
    <w:rsid w:val="4B6A3785"/>
    <w:rsid w:val="4BAA094B"/>
    <w:rsid w:val="4BD7095A"/>
    <w:rsid w:val="4BEA1320"/>
    <w:rsid w:val="4BFC604B"/>
    <w:rsid w:val="4C1C2F50"/>
    <w:rsid w:val="4C392DFB"/>
    <w:rsid w:val="4C3E6663"/>
    <w:rsid w:val="4C4874E2"/>
    <w:rsid w:val="4C6949A3"/>
    <w:rsid w:val="4CA4277F"/>
    <w:rsid w:val="4CBB4158"/>
    <w:rsid w:val="4CFF69B1"/>
    <w:rsid w:val="4D116F13"/>
    <w:rsid w:val="4D121EFA"/>
    <w:rsid w:val="4D19767A"/>
    <w:rsid w:val="4D330B82"/>
    <w:rsid w:val="4D4A7427"/>
    <w:rsid w:val="4D603F0E"/>
    <w:rsid w:val="4D6B5EAC"/>
    <w:rsid w:val="4D7814A9"/>
    <w:rsid w:val="4D9E6DA7"/>
    <w:rsid w:val="4DA01631"/>
    <w:rsid w:val="4DC82688"/>
    <w:rsid w:val="4DCD04A8"/>
    <w:rsid w:val="4DDF3E76"/>
    <w:rsid w:val="4DE12677"/>
    <w:rsid w:val="4DE54D9C"/>
    <w:rsid w:val="4DEE229A"/>
    <w:rsid w:val="4DEF39D6"/>
    <w:rsid w:val="4E0039C4"/>
    <w:rsid w:val="4E086F29"/>
    <w:rsid w:val="4E381440"/>
    <w:rsid w:val="4E42748A"/>
    <w:rsid w:val="4E43020A"/>
    <w:rsid w:val="4E507FC1"/>
    <w:rsid w:val="4E61488B"/>
    <w:rsid w:val="4E630603"/>
    <w:rsid w:val="4E63322D"/>
    <w:rsid w:val="4E74636C"/>
    <w:rsid w:val="4E850579"/>
    <w:rsid w:val="4E9A627C"/>
    <w:rsid w:val="4ED52497"/>
    <w:rsid w:val="4EE03A01"/>
    <w:rsid w:val="4EE61CDA"/>
    <w:rsid w:val="4F021BCA"/>
    <w:rsid w:val="4F02228F"/>
    <w:rsid w:val="4F1D6A04"/>
    <w:rsid w:val="4F202BA4"/>
    <w:rsid w:val="4F310144"/>
    <w:rsid w:val="4F380171"/>
    <w:rsid w:val="4F400008"/>
    <w:rsid w:val="4F540F41"/>
    <w:rsid w:val="4F726A59"/>
    <w:rsid w:val="4F786EFC"/>
    <w:rsid w:val="4F92678E"/>
    <w:rsid w:val="4F9B5E0D"/>
    <w:rsid w:val="4F9E5EFD"/>
    <w:rsid w:val="4FA63EF1"/>
    <w:rsid w:val="4FA77A0B"/>
    <w:rsid w:val="4FAD5B31"/>
    <w:rsid w:val="4FF015EA"/>
    <w:rsid w:val="4FF01817"/>
    <w:rsid w:val="50011994"/>
    <w:rsid w:val="500B6B09"/>
    <w:rsid w:val="501D2ACB"/>
    <w:rsid w:val="501F7EE3"/>
    <w:rsid w:val="504E2F55"/>
    <w:rsid w:val="506C1F0C"/>
    <w:rsid w:val="507234D9"/>
    <w:rsid w:val="5073332F"/>
    <w:rsid w:val="50B754F3"/>
    <w:rsid w:val="50EA2EBF"/>
    <w:rsid w:val="50ED140C"/>
    <w:rsid w:val="51052406"/>
    <w:rsid w:val="511051A3"/>
    <w:rsid w:val="511D2CEB"/>
    <w:rsid w:val="511E02A1"/>
    <w:rsid w:val="513F5357"/>
    <w:rsid w:val="5143132B"/>
    <w:rsid w:val="515072A2"/>
    <w:rsid w:val="515626A1"/>
    <w:rsid w:val="5194194D"/>
    <w:rsid w:val="51B2083E"/>
    <w:rsid w:val="51CA7CE2"/>
    <w:rsid w:val="51D2220D"/>
    <w:rsid w:val="51FA0A2D"/>
    <w:rsid w:val="52074B2F"/>
    <w:rsid w:val="52083889"/>
    <w:rsid w:val="52185642"/>
    <w:rsid w:val="523D5137"/>
    <w:rsid w:val="52493560"/>
    <w:rsid w:val="52601B49"/>
    <w:rsid w:val="52603277"/>
    <w:rsid w:val="52614D36"/>
    <w:rsid w:val="52923265"/>
    <w:rsid w:val="52965F5E"/>
    <w:rsid w:val="52A961B5"/>
    <w:rsid w:val="52B12545"/>
    <w:rsid w:val="52B70F1D"/>
    <w:rsid w:val="52B747B7"/>
    <w:rsid w:val="52C26ADB"/>
    <w:rsid w:val="52C4231A"/>
    <w:rsid w:val="52DE6BCC"/>
    <w:rsid w:val="52E34128"/>
    <w:rsid w:val="52EA23E7"/>
    <w:rsid w:val="52EF5443"/>
    <w:rsid w:val="53140346"/>
    <w:rsid w:val="53682217"/>
    <w:rsid w:val="53871987"/>
    <w:rsid w:val="538C0077"/>
    <w:rsid w:val="539F0D5F"/>
    <w:rsid w:val="539F657D"/>
    <w:rsid w:val="53A3296C"/>
    <w:rsid w:val="53BE0AC2"/>
    <w:rsid w:val="53FB6E47"/>
    <w:rsid w:val="540D53B6"/>
    <w:rsid w:val="541923EC"/>
    <w:rsid w:val="545A49FC"/>
    <w:rsid w:val="545C1F24"/>
    <w:rsid w:val="54663AE5"/>
    <w:rsid w:val="546A2766"/>
    <w:rsid w:val="546A5768"/>
    <w:rsid w:val="546C28B0"/>
    <w:rsid w:val="547C6092"/>
    <w:rsid w:val="54800055"/>
    <w:rsid w:val="54886F25"/>
    <w:rsid w:val="54A71C86"/>
    <w:rsid w:val="54B24092"/>
    <w:rsid w:val="54BC281B"/>
    <w:rsid w:val="54BD559D"/>
    <w:rsid w:val="54DE16CC"/>
    <w:rsid w:val="54E707AD"/>
    <w:rsid w:val="54EA55E1"/>
    <w:rsid w:val="54F27812"/>
    <w:rsid w:val="54F85256"/>
    <w:rsid w:val="54FC7DB3"/>
    <w:rsid w:val="551F0ADE"/>
    <w:rsid w:val="552C3B94"/>
    <w:rsid w:val="556F7B93"/>
    <w:rsid w:val="55741532"/>
    <w:rsid w:val="5580064B"/>
    <w:rsid w:val="55852C2E"/>
    <w:rsid w:val="558C5F61"/>
    <w:rsid w:val="55B34BDD"/>
    <w:rsid w:val="55C07D2C"/>
    <w:rsid w:val="55E70D0E"/>
    <w:rsid w:val="56326F02"/>
    <w:rsid w:val="56356D29"/>
    <w:rsid w:val="56426087"/>
    <w:rsid w:val="564560E1"/>
    <w:rsid w:val="56673DE0"/>
    <w:rsid w:val="56680EAC"/>
    <w:rsid w:val="56744944"/>
    <w:rsid w:val="567E23D4"/>
    <w:rsid w:val="567E247E"/>
    <w:rsid w:val="569F23F4"/>
    <w:rsid w:val="56A16A04"/>
    <w:rsid w:val="56AF6C80"/>
    <w:rsid w:val="56B230D3"/>
    <w:rsid w:val="56D622B9"/>
    <w:rsid w:val="56DD33A9"/>
    <w:rsid w:val="56F92F46"/>
    <w:rsid w:val="57057545"/>
    <w:rsid w:val="57195203"/>
    <w:rsid w:val="57216E31"/>
    <w:rsid w:val="573F0049"/>
    <w:rsid w:val="575E4971"/>
    <w:rsid w:val="575E5E0B"/>
    <w:rsid w:val="576553EC"/>
    <w:rsid w:val="57662BF8"/>
    <w:rsid w:val="578577AC"/>
    <w:rsid w:val="578A6C00"/>
    <w:rsid w:val="57A80FD1"/>
    <w:rsid w:val="57B123DF"/>
    <w:rsid w:val="57B64442"/>
    <w:rsid w:val="57B8105A"/>
    <w:rsid w:val="57C01DDA"/>
    <w:rsid w:val="57D846D1"/>
    <w:rsid w:val="57E70EF1"/>
    <w:rsid w:val="57FC6527"/>
    <w:rsid w:val="58072B4C"/>
    <w:rsid w:val="58296ED5"/>
    <w:rsid w:val="5850446E"/>
    <w:rsid w:val="58661645"/>
    <w:rsid w:val="586B76C2"/>
    <w:rsid w:val="58753940"/>
    <w:rsid w:val="58781CC6"/>
    <w:rsid w:val="587873A1"/>
    <w:rsid w:val="588458B3"/>
    <w:rsid w:val="58A12012"/>
    <w:rsid w:val="58A43CF2"/>
    <w:rsid w:val="58B86920"/>
    <w:rsid w:val="58BD1054"/>
    <w:rsid w:val="58C22DDC"/>
    <w:rsid w:val="58C80510"/>
    <w:rsid w:val="58C85C32"/>
    <w:rsid w:val="58D10361"/>
    <w:rsid w:val="58D82245"/>
    <w:rsid w:val="590712BD"/>
    <w:rsid w:val="593F77D0"/>
    <w:rsid w:val="59575B79"/>
    <w:rsid w:val="595814D5"/>
    <w:rsid w:val="59595D1E"/>
    <w:rsid w:val="5961024B"/>
    <w:rsid w:val="596520E7"/>
    <w:rsid w:val="59744B67"/>
    <w:rsid w:val="598410E6"/>
    <w:rsid w:val="59883613"/>
    <w:rsid w:val="59967ADE"/>
    <w:rsid w:val="59C60DEC"/>
    <w:rsid w:val="59CD4AE4"/>
    <w:rsid w:val="59D110BC"/>
    <w:rsid w:val="59E52814"/>
    <w:rsid w:val="59F20A8D"/>
    <w:rsid w:val="5A0233C6"/>
    <w:rsid w:val="5A1C4581"/>
    <w:rsid w:val="5A4A0470"/>
    <w:rsid w:val="5A5438D2"/>
    <w:rsid w:val="5A682D19"/>
    <w:rsid w:val="5A6B0F6B"/>
    <w:rsid w:val="5A767910"/>
    <w:rsid w:val="5A8D7B8D"/>
    <w:rsid w:val="5A903718"/>
    <w:rsid w:val="5A9658BC"/>
    <w:rsid w:val="5AA06781"/>
    <w:rsid w:val="5AAB3A4F"/>
    <w:rsid w:val="5AB15EF7"/>
    <w:rsid w:val="5ACB37B8"/>
    <w:rsid w:val="5AE8434E"/>
    <w:rsid w:val="5AEA6ACE"/>
    <w:rsid w:val="5AFE4D7C"/>
    <w:rsid w:val="5B192DE9"/>
    <w:rsid w:val="5B241232"/>
    <w:rsid w:val="5B242EC8"/>
    <w:rsid w:val="5B363E53"/>
    <w:rsid w:val="5B3673C0"/>
    <w:rsid w:val="5B4E4AD8"/>
    <w:rsid w:val="5B575723"/>
    <w:rsid w:val="5B6219E0"/>
    <w:rsid w:val="5B7E26BE"/>
    <w:rsid w:val="5B833E45"/>
    <w:rsid w:val="5B8B62E6"/>
    <w:rsid w:val="5BCB3FA6"/>
    <w:rsid w:val="5BF33B91"/>
    <w:rsid w:val="5BF3746A"/>
    <w:rsid w:val="5C013209"/>
    <w:rsid w:val="5C1E1C86"/>
    <w:rsid w:val="5C390BF5"/>
    <w:rsid w:val="5C420645"/>
    <w:rsid w:val="5C427C1E"/>
    <w:rsid w:val="5C4B1880"/>
    <w:rsid w:val="5C54778F"/>
    <w:rsid w:val="5C566470"/>
    <w:rsid w:val="5C69685C"/>
    <w:rsid w:val="5C7560D1"/>
    <w:rsid w:val="5CA93FCD"/>
    <w:rsid w:val="5CC944AB"/>
    <w:rsid w:val="5CDF17A6"/>
    <w:rsid w:val="5CE62B2B"/>
    <w:rsid w:val="5CE700F8"/>
    <w:rsid w:val="5CEA6D3B"/>
    <w:rsid w:val="5D0B690C"/>
    <w:rsid w:val="5D2E4FE0"/>
    <w:rsid w:val="5D350482"/>
    <w:rsid w:val="5D4C593F"/>
    <w:rsid w:val="5D7D07E2"/>
    <w:rsid w:val="5D906018"/>
    <w:rsid w:val="5D93723A"/>
    <w:rsid w:val="5D9A3907"/>
    <w:rsid w:val="5DA551E3"/>
    <w:rsid w:val="5DAE6A2C"/>
    <w:rsid w:val="5DBE5856"/>
    <w:rsid w:val="5DC55B33"/>
    <w:rsid w:val="5DCA7D57"/>
    <w:rsid w:val="5DE12797"/>
    <w:rsid w:val="5DEE12E2"/>
    <w:rsid w:val="5E0A1F48"/>
    <w:rsid w:val="5E2D5305"/>
    <w:rsid w:val="5E5035A6"/>
    <w:rsid w:val="5E6442D5"/>
    <w:rsid w:val="5E6C0022"/>
    <w:rsid w:val="5E7C2BF7"/>
    <w:rsid w:val="5E8760E6"/>
    <w:rsid w:val="5EC0304A"/>
    <w:rsid w:val="5ECE35E7"/>
    <w:rsid w:val="5EE27322"/>
    <w:rsid w:val="5EE462A6"/>
    <w:rsid w:val="5EE50640"/>
    <w:rsid w:val="5F021172"/>
    <w:rsid w:val="5F1F1842"/>
    <w:rsid w:val="5F23665C"/>
    <w:rsid w:val="5F366753"/>
    <w:rsid w:val="5F447FDD"/>
    <w:rsid w:val="5F451392"/>
    <w:rsid w:val="5F6F0CAB"/>
    <w:rsid w:val="5F701483"/>
    <w:rsid w:val="5F7B30D0"/>
    <w:rsid w:val="5F9C4F76"/>
    <w:rsid w:val="5F9D76D5"/>
    <w:rsid w:val="5FDC1A8B"/>
    <w:rsid w:val="5FE61094"/>
    <w:rsid w:val="5FFA2507"/>
    <w:rsid w:val="5FFB68ED"/>
    <w:rsid w:val="60093DE4"/>
    <w:rsid w:val="600D4B93"/>
    <w:rsid w:val="6017124D"/>
    <w:rsid w:val="604F09E7"/>
    <w:rsid w:val="606D018D"/>
    <w:rsid w:val="6073264A"/>
    <w:rsid w:val="60995CEB"/>
    <w:rsid w:val="60A90AC0"/>
    <w:rsid w:val="60BB2277"/>
    <w:rsid w:val="60C04DBB"/>
    <w:rsid w:val="60C46594"/>
    <w:rsid w:val="60C60831"/>
    <w:rsid w:val="60C80304"/>
    <w:rsid w:val="60DB64AE"/>
    <w:rsid w:val="613210CD"/>
    <w:rsid w:val="6134497E"/>
    <w:rsid w:val="616836FB"/>
    <w:rsid w:val="617050B9"/>
    <w:rsid w:val="619104D9"/>
    <w:rsid w:val="619442F1"/>
    <w:rsid w:val="61BF7DEE"/>
    <w:rsid w:val="61C471B3"/>
    <w:rsid w:val="61C515A5"/>
    <w:rsid w:val="61CA4ED7"/>
    <w:rsid w:val="61D41430"/>
    <w:rsid w:val="61F47A98"/>
    <w:rsid w:val="61F93B1F"/>
    <w:rsid w:val="620C3034"/>
    <w:rsid w:val="62165C60"/>
    <w:rsid w:val="624106EA"/>
    <w:rsid w:val="62462200"/>
    <w:rsid w:val="624F566A"/>
    <w:rsid w:val="625B1992"/>
    <w:rsid w:val="626C5ABA"/>
    <w:rsid w:val="627D5204"/>
    <w:rsid w:val="62821C03"/>
    <w:rsid w:val="629C771A"/>
    <w:rsid w:val="62AF3F92"/>
    <w:rsid w:val="62D376AD"/>
    <w:rsid w:val="62E80C7F"/>
    <w:rsid w:val="62EA678B"/>
    <w:rsid w:val="63043D0B"/>
    <w:rsid w:val="63057A83"/>
    <w:rsid w:val="632D5ED6"/>
    <w:rsid w:val="633013E5"/>
    <w:rsid w:val="63354EFF"/>
    <w:rsid w:val="63612841"/>
    <w:rsid w:val="636B7DC4"/>
    <w:rsid w:val="63707707"/>
    <w:rsid w:val="638A768E"/>
    <w:rsid w:val="639046E4"/>
    <w:rsid w:val="63AC1EF4"/>
    <w:rsid w:val="63B15515"/>
    <w:rsid w:val="63B96FC0"/>
    <w:rsid w:val="63E358D3"/>
    <w:rsid w:val="64092DEC"/>
    <w:rsid w:val="642E6B59"/>
    <w:rsid w:val="64356146"/>
    <w:rsid w:val="643F271C"/>
    <w:rsid w:val="644C25DC"/>
    <w:rsid w:val="645512FD"/>
    <w:rsid w:val="647456C1"/>
    <w:rsid w:val="64833FC0"/>
    <w:rsid w:val="64901D4B"/>
    <w:rsid w:val="649621A4"/>
    <w:rsid w:val="64A746AF"/>
    <w:rsid w:val="64AA08E2"/>
    <w:rsid w:val="64AE1E08"/>
    <w:rsid w:val="64D56443"/>
    <w:rsid w:val="64E536C8"/>
    <w:rsid w:val="64E83358"/>
    <w:rsid w:val="64F07780"/>
    <w:rsid w:val="64F672DA"/>
    <w:rsid w:val="64F817F0"/>
    <w:rsid w:val="64FB2769"/>
    <w:rsid w:val="64FB6A08"/>
    <w:rsid w:val="650A5824"/>
    <w:rsid w:val="650F2047"/>
    <w:rsid w:val="6519066B"/>
    <w:rsid w:val="653D236A"/>
    <w:rsid w:val="656E7B61"/>
    <w:rsid w:val="657038D9"/>
    <w:rsid w:val="65726A9F"/>
    <w:rsid w:val="65AB4CA4"/>
    <w:rsid w:val="65B57D4C"/>
    <w:rsid w:val="65B669F6"/>
    <w:rsid w:val="660B272E"/>
    <w:rsid w:val="6613217F"/>
    <w:rsid w:val="662D130D"/>
    <w:rsid w:val="66632490"/>
    <w:rsid w:val="666B00F8"/>
    <w:rsid w:val="667035AB"/>
    <w:rsid w:val="6686743F"/>
    <w:rsid w:val="66990686"/>
    <w:rsid w:val="6699549E"/>
    <w:rsid w:val="669B5341"/>
    <w:rsid w:val="669E7FD2"/>
    <w:rsid w:val="66B71C06"/>
    <w:rsid w:val="671C6ACD"/>
    <w:rsid w:val="671F2D41"/>
    <w:rsid w:val="672C6E4C"/>
    <w:rsid w:val="67315A6F"/>
    <w:rsid w:val="67555A5D"/>
    <w:rsid w:val="675708A7"/>
    <w:rsid w:val="67615811"/>
    <w:rsid w:val="67656E3E"/>
    <w:rsid w:val="67674FB0"/>
    <w:rsid w:val="677B25FE"/>
    <w:rsid w:val="677E0D69"/>
    <w:rsid w:val="678F4BA7"/>
    <w:rsid w:val="679C2DAF"/>
    <w:rsid w:val="67A930D3"/>
    <w:rsid w:val="67AC2BC3"/>
    <w:rsid w:val="67B1774F"/>
    <w:rsid w:val="67D21537"/>
    <w:rsid w:val="67E1286C"/>
    <w:rsid w:val="67F16007"/>
    <w:rsid w:val="6813063F"/>
    <w:rsid w:val="681542C4"/>
    <w:rsid w:val="68354966"/>
    <w:rsid w:val="684408AC"/>
    <w:rsid w:val="684636C2"/>
    <w:rsid w:val="684832BB"/>
    <w:rsid w:val="684C748F"/>
    <w:rsid w:val="688509E5"/>
    <w:rsid w:val="689006BE"/>
    <w:rsid w:val="68B65AA7"/>
    <w:rsid w:val="68E4302A"/>
    <w:rsid w:val="69116A62"/>
    <w:rsid w:val="691645AD"/>
    <w:rsid w:val="691A34D4"/>
    <w:rsid w:val="692E4CB2"/>
    <w:rsid w:val="69311FE4"/>
    <w:rsid w:val="693E5D66"/>
    <w:rsid w:val="6976666A"/>
    <w:rsid w:val="69786F6F"/>
    <w:rsid w:val="69801C11"/>
    <w:rsid w:val="69B202CD"/>
    <w:rsid w:val="69F4798A"/>
    <w:rsid w:val="6A034178"/>
    <w:rsid w:val="6A3C4D49"/>
    <w:rsid w:val="6A4D243B"/>
    <w:rsid w:val="6A5E48EC"/>
    <w:rsid w:val="6A661DB2"/>
    <w:rsid w:val="6A7256A8"/>
    <w:rsid w:val="6A753740"/>
    <w:rsid w:val="6A7B4AB4"/>
    <w:rsid w:val="6A9E030B"/>
    <w:rsid w:val="6A9F2710"/>
    <w:rsid w:val="6AAD7079"/>
    <w:rsid w:val="6AB41684"/>
    <w:rsid w:val="6AB57390"/>
    <w:rsid w:val="6AB953E6"/>
    <w:rsid w:val="6ABC4225"/>
    <w:rsid w:val="6ACB3360"/>
    <w:rsid w:val="6AD064F1"/>
    <w:rsid w:val="6AE3108D"/>
    <w:rsid w:val="6AE7478D"/>
    <w:rsid w:val="6AEA54E1"/>
    <w:rsid w:val="6AEC1C54"/>
    <w:rsid w:val="6AFA39C2"/>
    <w:rsid w:val="6B1B3E86"/>
    <w:rsid w:val="6B2D1D8A"/>
    <w:rsid w:val="6B3929BF"/>
    <w:rsid w:val="6B652D6D"/>
    <w:rsid w:val="6B7F22F4"/>
    <w:rsid w:val="6B80414A"/>
    <w:rsid w:val="6B924162"/>
    <w:rsid w:val="6BA83787"/>
    <w:rsid w:val="6BBA367A"/>
    <w:rsid w:val="6BC00A70"/>
    <w:rsid w:val="6BC07C87"/>
    <w:rsid w:val="6BC63E58"/>
    <w:rsid w:val="6BC72CBE"/>
    <w:rsid w:val="6BD7311B"/>
    <w:rsid w:val="6BF22D6A"/>
    <w:rsid w:val="6BFA214F"/>
    <w:rsid w:val="6BFB1A23"/>
    <w:rsid w:val="6BFF1513"/>
    <w:rsid w:val="6C276D72"/>
    <w:rsid w:val="6C441092"/>
    <w:rsid w:val="6C461165"/>
    <w:rsid w:val="6C496F51"/>
    <w:rsid w:val="6C4D5460"/>
    <w:rsid w:val="6C4F1CE7"/>
    <w:rsid w:val="6C696EAE"/>
    <w:rsid w:val="6C6D62E3"/>
    <w:rsid w:val="6C7D68DC"/>
    <w:rsid w:val="6C9F2C3C"/>
    <w:rsid w:val="6CAE23C4"/>
    <w:rsid w:val="6CB11636"/>
    <w:rsid w:val="6CEC6E1B"/>
    <w:rsid w:val="6D044BC5"/>
    <w:rsid w:val="6D430246"/>
    <w:rsid w:val="6D594C53"/>
    <w:rsid w:val="6D766743"/>
    <w:rsid w:val="6DC42A14"/>
    <w:rsid w:val="6DCC2015"/>
    <w:rsid w:val="6DCF54EB"/>
    <w:rsid w:val="6DEC002A"/>
    <w:rsid w:val="6DEE7A91"/>
    <w:rsid w:val="6DEF2023"/>
    <w:rsid w:val="6DF61DEA"/>
    <w:rsid w:val="6E377600"/>
    <w:rsid w:val="6E576D0E"/>
    <w:rsid w:val="6E6164B5"/>
    <w:rsid w:val="6E625D89"/>
    <w:rsid w:val="6E6E0BD2"/>
    <w:rsid w:val="6E8412AB"/>
    <w:rsid w:val="6EC1239A"/>
    <w:rsid w:val="6ED556D3"/>
    <w:rsid w:val="6EEA3930"/>
    <w:rsid w:val="6EEF6242"/>
    <w:rsid w:val="6F067393"/>
    <w:rsid w:val="6F0A11DC"/>
    <w:rsid w:val="6F16571B"/>
    <w:rsid w:val="6F1F4C3D"/>
    <w:rsid w:val="6F275CE9"/>
    <w:rsid w:val="6F2C3361"/>
    <w:rsid w:val="6F3A6409"/>
    <w:rsid w:val="6F4436E1"/>
    <w:rsid w:val="6F4A61AC"/>
    <w:rsid w:val="6F525DFE"/>
    <w:rsid w:val="6F572157"/>
    <w:rsid w:val="6F806E0F"/>
    <w:rsid w:val="6F8B6B51"/>
    <w:rsid w:val="6F8C1934"/>
    <w:rsid w:val="6FA43143"/>
    <w:rsid w:val="6FA97542"/>
    <w:rsid w:val="6FB22D40"/>
    <w:rsid w:val="6FBC6EE8"/>
    <w:rsid w:val="6FC530F9"/>
    <w:rsid w:val="6FCD2794"/>
    <w:rsid w:val="6FCD3115"/>
    <w:rsid w:val="70090780"/>
    <w:rsid w:val="700B6767"/>
    <w:rsid w:val="700E6052"/>
    <w:rsid w:val="7036571F"/>
    <w:rsid w:val="70486052"/>
    <w:rsid w:val="704B5909"/>
    <w:rsid w:val="7066739C"/>
    <w:rsid w:val="707668BB"/>
    <w:rsid w:val="709E01C9"/>
    <w:rsid w:val="70A22ED2"/>
    <w:rsid w:val="70AB4C41"/>
    <w:rsid w:val="70C20D61"/>
    <w:rsid w:val="70C55F21"/>
    <w:rsid w:val="70C852BB"/>
    <w:rsid w:val="70CA3C94"/>
    <w:rsid w:val="70CE489E"/>
    <w:rsid w:val="70DA02F1"/>
    <w:rsid w:val="70F058CE"/>
    <w:rsid w:val="70F70D76"/>
    <w:rsid w:val="70F829D5"/>
    <w:rsid w:val="7107296B"/>
    <w:rsid w:val="71072C18"/>
    <w:rsid w:val="710C5ECD"/>
    <w:rsid w:val="71450BC3"/>
    <w:rsid w:val="716B764B"/>
    <w:rsid w:val="7176653D"/>
    <w:rsid w:val="7194738B"/>
    <w:rsid w:val="71965C6E"/>
    <w:rsid w:val="720439CD"/>
    <w:rsid w:val="721455EC"/>
    <w:rsid w:val="72250A3A"/>
    <w:rsid w:val="72277E2F"/>
    <w:rsid w:val="722A1591"/>
    <w:rsid w:val="72460764"/>
    <w:rsid w:val="72593757"/>
    <w:rsid w:val="726167CC"/>
    <w:rsid w:val="72651863"/>
    <w:rsid w:val="7282259D"/>
    <w:rsid w:val="72876FA2"/>
    <w:rsid w:val="728B3703"/>
    <w:rsid w:val="72A93F87"/>
    <w:rsid w:val="72B11C1F"/>
    <w:rsid w:val="72C35F13"/>
    <w:rsid w:val="72D640D7"/>
    <w:rsid w:val="731C7EC5"/>
    <w:rsid w:val="7320353D"/>
    <w:rsid w:val="732C1290"/>
    <w:rsid w:val="73374416"/>
    <w:rsid w:val="734906F4"/>
    <w:rsid w:val="73604A6E"/>
    <w:rsid w:val="7368538E"/>
    <w:rsid w:val="73826A52"/>
    <w:rsid w:val="73946974"/>
    <w:rsid w:val="73CC5951"/>
    <w:rsid w:val="73DE7D1B"/>
    <w:rsid w:val="74032783"/>
    <w:rsid w:val="742E508B"/>
    <w:rsid w:val="74431ACC"/>
    <w:rsid w:val="74500964"/>
    <w:rsid w:val="745675C8"/>
    <w:rsid w:val="74582233"/>
    <w:rsid w:val="74AA1BA4"/>
    <w:rsid w:val="74B8445B"/>
    <w:rsid w:val="74C01032"/>
    <w:rsid w:val="74CF4852"/>
    <w:rsid w:val="7501047A"/>
    <w:rsid w:val="750524B6"/>
    <w:rsid w:val="75175B20"/>
    <w:rsid w:val="752D3E22"/>
    <w:rsid w:val="75601666"/>
    <w:rsid w:val="75642109"/>
    <w:rsid w:val="756B3942"/>
    <w:rsid w:val="757965AD"/>
    <w:rsid w:val="757D1115"/>
    <w:rsid w:val="75A364DC"/>
    <w:rsid w:val="75CA573A"/>
    <w:rsid w:val="75E73963"/>
    <w:rsid w:val="75F220E9"/>
    <w:rsid w:val="75F66D43"/>
    <w:rsid w:val="76134A29"/>
    <w:rsid w:val="761706DF"/>
    <w:rsid w:val="761E5F4F"/>
    <w:rsid w:val="76361B24"/>
    <w:rsid w:val="763B75EC"/>
    <w:rsid w:val="764364A0"/>
    <w:rsid w:val="76513F20"/>
    <w:rsid w:val="76607E15"/>
    <w:rsid w:val="7668445F"/>
    <w:rsid w:val="769136B0"/>
    <w:rsid w:val="76BA0872"/>
    <w:rsid w:val="76C021E7"/>
    <w:rsid w:val="76CA6BC2"/>
    <w:rsid w:val="76CE1080"/>
    <w:rsid w:val="76D85820"/>
    <w:rsid w:val="76E17666"/>
    <w:rsid w:val="76F36118"/>
    <w:rsid w:val="770025E3"/>
    <w:rsid w:val="77080613"/>
    <w:rsid w:val="770B3462"/>
    <w:rsid w:val="77147E3D"/>
    <w:rsid w:val="773372FF"/>
    <w:rsid w:val="77376912"/>
    <w:rsid w:val="774750E3"/>
    <w:rsid w:val="77495A3A"/>
    <w:rsid w:val="774A6074"/>
    <w:rsid w:val="77517FC2"/>
    <w:rsid w:val="77592940"/>
    <w:rsid w:val="775F555C"/>
    <w:rsid w:val="778D7747"/>
    <w:rsid w:val="77A16352"/>
    <w:rsid w:val="77B216B8"/>
    <w:rsid w:val="77B91110"/>
    <w:rsid w:val="77C6382D"/>
    <w:rsid w:val="77CD20AD"/>
    <w:rsid w:val="77E64F25"/>
    <w:rsid w:val="78061E7B"/>
    <w:rsid w:val="78160880"/>
    <w:rsid w:val="781B5752"/>
    <w:rsid w:val="782B4CFC"/>
    <w:rsid w:val="78492ED5"/>
    <w:rsid w:val="78545DC9"/>
    <w:rsid w:val="78661439"/>
    <w:rsid w:val="78C733B9"/>
    <w:rsid w:val="78DC2BE8"/>
    <w:rsid w:val="78ED33AF"/>
    <w:rsid w:val="78FD502C"/>
    <w:rsid w:val="79075EAB"/>
    <w:rsid w:val="790D53DE"/>
    <w:rsid w:val="79137F72"/>
    <w:rsid w:val="79205FFD"/>
    <w:rsid w:val="793F5F7C"/>
    <w:rsid w:val="79450A72"/>
    <w:rsid w:val="794609F9"/>
    <w:rsid w:val="794A15AA"/>
    <w:rsid w:val="79587293"/>
    <w:rsid w:val="796712C3"/>
    <w:rsid w:val="79837AAE"/>
    <w:rsid w:val="7988750B"/>
    <w:rsid w:val="798D23D1"/>
    <w:rsid w:val="799139C7"/>
    <w:rsid w:val="799A287B"/>
    <w:rsid w:val="799D0120"/>
    <w:rsid w:val="79FA5149"/>
    <w:rsid w:val="7A133AA9"/>
    <w:rsid w:val="7A170043"/>
    <w:rsid w:val="7A2E2EA3"/>
    <w:rsid w:val="7A317EB8"/>
    <w:rsid w:val="7A3C7E4D"/>
    <w:rsid w:val="7A472B13"/>
    <w:rsid w:val="7A561865"/>
    <w:rsid w:val="7A5620BA"/>
    <w:rsid w:val="7A592736"/>
    <w:rsid w:val="7A5C587D"/>
    <w:rsid w:val="7A7E0B7A"/>
    <w:rsid w:val="7A87381D"/>
    <w:rsid w:val="7A8E6CDB"/>
    <w:rsid w:val="7AA36A77"/>
    <w:rsid w:val="7AAA640E"/>
    <w:rsid w:val="7AB62F63"/>
    <w:rsid w:val="7B250630"/>
    <w:rsid w:val="7B3B25D2"/>
    <w:rsid w:val="7B537186"/>
    <w:rsid w:val="7B641333"/>
    <w:rsid w:val="7B644602"/>
    <w:rsid w:val="7B8910CE"/>
    <w:rsid w:val="7B9B46B7"/>
    <w:rsid w:val="7BAE6AB2"/>
    <w:rsid w:val="7BCB445C"/>
    <w:rsid w:val="7BEB41C7"/>
    <w:rsid w:val="7BF064B6"/>
    <w:rsid w:val="7C3C03EF"/>
    <w:rsid w:val="7C5F40C4"/>
    <w:rsid w:val="7C61076B"/>
    <w:rsid w:val="7C681A21"/>
    <w:rsid w:val="7CB41380"/>
    <w:rsid w:val="7CBE0A3D"/>
    <w:rsid w:val="7CCE4DAD"/>
    <w:rsid w:val="7CCF4F32"/>
    <w:rsid w:val="7CF74B13"/>
    <w:rsid w:val="7D1F28E7"/>
    <w:rsid w:val="7D251B71"/>
    <w:rsid w:val="7D416415"/>
    <w:rsid w:val="7D586CD5"/>
    <w:rsid w:val="7D651E59"/>
    <w:rsid w:val="7D704E83"/>
    <w:rsid w:val="7DBB6815"/>
    <w:rsid w:val="7DD77B5A"/>
    <w:rsid w:val="7DE91BEA"/>
    <w:rsid w:val="7E105802"/>
    <w:rsid w:val="7E300CD4"/>
    <w:rsid w:val="7E564CF0"/>
    <w:rsid w:val="7E893EC7"/>
    <w:rsid w:val="7EAB552B"/>
    <w:rsid w:val="7EAC0EDE"/>
    <w:rsid w:val="7EB534DD"/>
    <w:rsid w:val="7ECA59B1"/>
    <w:rsid w:val="7ED52BBE"/>
    <w:rsid w:val="7EE80BE5"/>
    <w:rsid w:val="7F076C05"/>
    <w:rsid w:val="7F0C5FC9"/>
    <w:rsid w:val="7F164DF6"/>
    <w:rsid w:val="7F17534F"/>
    <w:rsid w:val="7F1D3833"/>
    <w:rsid w:val="7F2751BF"/>
    <w:rsid w:val="7F3C1419"/>
    <w:rsid w:val="7F3E6456"/>
    <w:rsid w:val="7F566878"/>
    <w:rsid w:val="7F957DA1"/>
    <w:rsid w:val="7FC70142"/>
    <w:rsid w:val="7FCE6777"/>
    <w:rsid w:val="7FD17048"/>
    <w:rsid w:val="7FD54CB8"/>
    <w:rsid w:val="7FD81F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qFormat="1" w:unhideWhenUsed="0" w:uiPriority="99"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12"/>
    <w:qFormat/>
    <w:uiPriority w:val="0"/>
    <w:pPr>
      <w:keepNext/>
      <w:keepLines/>
      <w:spacing w:before="120" w:after="120" w:line="360" w:lineRule="auto"/>
      <w:jc w:val="center"/>
      <w:outlineLvl w:val="0"/>
    </w:pPr>
    <w:rPr>
      <w:b/>
      <w:bCs/>
      <w:kern w:val="44"/>
      <w:sz w:val="30"/>
      <w:szCs w:val="44"/>
    </w:rPr>
  </w:style>
  <w:style w:type="paragraph" w:styleId="5">
    <w:name w:val="heading 2"/>
    <w:basedOn w:val="1"/>
    <w:next w:val="1"/>
    <w:qFormat/>
    <w:uiPriority w:val="0"/>
    <w:pPr>
      <w:keepNext/>
      <w:keepLines/>
      <w:spacing w:before="120" w:after="120" w:line="360" w:lineRule="auto"/>
      <w:jc w:val="center"/>
      <w:outlineLvl w:val="1"/>
    </w:pPr>
    <w:rPr>
      <w:rFonts w:ascii="Arial" w:hAnsi="Arial"/>
      <w:b/>
      <w:bCs/>
      <w:sz w:val="28"/>
      <w:szCs w:val="32"/>
    </w:rPr>
  </w:style>
  <w:style w:type="paragraph" w:styleId="6">
    <w:name w:val="heading 3"/>
    <w:basedOn w:val="1"/>
    <w:next w:val="1"/>
    <w:qFormat/>
    <w:uiPriority w:val="0"/>
    <w:pPr>
      <w:keepNext/>
      <w:keepLines/>
      <w:spacing w:before="120" w:after="120" w:line="360" w:lineRule="auto"/>
      <w:ind w:firstLine="200" w:firstLineChars="200"/>
      <w:outlineLvl w:val="2"/>
    </w:pPr>
    <w:rPr>
      <w:rFonts w:eastAsia="黑体"/>
      <w:b/>
      <w:bCs/>
      <w:szCs w:val="32"/>
    </w:rPr>
  </w:style>
  <w:style w:type="paragraph" w:styleId="7">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8">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0"/>
    <w:pPr>
      <w:spacing w:after="120"/>
      <w:ind w:left="420" w:leftChars="200" w:firstLine="420" w:firstLineChars="200"/>
    </w:pPr>
    <w:rPr>
      <w:rFonts w:ascii="Times New Roman"/>
    </w:rPr>
  </w:style>
  <w:style w:type="paragraph" w:styleId="3">
    <w:name w:val="Body Text Indent"/>
    <w:basedOn w:val="1"/>
    <w:next w:val="1"/>
    <w:qFormat/>
    <w:uiPriority w:val="0"/>
    <w:pPr>
      <w:ind w:firstLine="480"/>
    </w:pPr>
    <w:rPr>
      <w:rFonts w:ascii="宋体" w:hAnsi="宋体"/>
    </w:rPr>
  </w:style>
  <w:style w:type="paragraph" w:styleId="9">
    <w:name w:val="Normal Indent"/>
    <w:basedOn w:val="1"/>
    <w:link w:val="36"/>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10">
    <w:name w:val="Document Map"/>
    <w:basedOn w:val="1"/>
    <w:qFormat/>
    <w:uiPriority w:val="0"/>
    <w:pPr>
      <w:shd w:val="clear" w:color="auto" w:fill="000080"/>
    </w:pPr>
  </w:style>
  <w:style w:type="paragraph" w:styleId="11">
    <w:name w:val="annotation text"/>
    <w:basedOn w:val="1"/>
    <w:link w:val="37"/>
    <w:unhideWhenUsed/>
    <w:qFormat/>
    <w:uiPriority w:val="99"/>
    <w:pPr>
      <w:spacing w:line="240" w:lineRule="auto"/>
      <w:jc w:val="left"/>
    </w:pPr>
    <w:rPr>
      <w:sz w:val="28"/>
      <w:szCs w:val="20"/>
    </w:rPr>
  </w:style>
  <w:style w:type="paragraph" w:styleId="12">
    <w:name w:val="Body Text 3"/>
    <w:basedOn w:val="1"/>
    <w:link w:val="38"/>
    <w:qFormat/>
    <w:uiPriority w:val="99"/>
    <w:pPr>
      <w:spacing w:after="120"/>
    </w:pPr>
    <w:rPr>
      <w:rFonts w:ascii="Calibri" w:hAnsi="Calibri"/>
      <w:sz w:val="16"/>
      <w:szCs w:val="16"/>
    </w:rPr>
  </w:style>
  <w:style w:type="paragraph" w:styleId="13">
    <w:name w:val="Body Text"/>
    <w:basedOn w:val="1"/>
    <w:next w:val="1"/>
    <w:qFormat/>
    <w:uiPriority w:val="0"/>
    <w:rPr>
      <w:color w:val="993300"/>
      <w:sz w:val="24"/>
    </w:rPr>
  </w:style>
  <w:style w:type="paragraph" w:styleId="14">
    <w:name w:val="toc 3"/>
    <w:basedOn w:val="1"/>
    <w:next w:val="1"/>
    <w:qFormat/>
    <w:uiPriority w:val="0"/>
    <w:pPr>
      <w:spacing w:line="240" w:lineRule="auto"/>
      <w:ind w:left="840" w:leftChars="400"/>
    </w:pPr>
  </w:style>
  <w:style w:type="paragraph" w:styleId="15">
    <w:name w:val="Plain Text"/>
    <w:basedOn w:val="1"/>
    <w:link w:val="39"/>
    <w:qFormat/>
    <w:uiPriority w:val="0"/>
    <w:rPr>
      <w:rFonts w:ascii="宋体" w:hAnsi="Courier New" w:cs="Courier New"/>
      <w:szCs w:val="21"/>
    </w:rPr>
  </w:style>
  <w:style w:type="paragraph" w:styleId="16">
    <w:name w:val="Date"/>
    <w:basedOn w:val="1"/>
    <w:next w:val="1"/>
    <w:qFormat/>
    <w:uiPriority w:val="0"/>
    <w:pPr>
      <w:spacing w:line="360" w:lineRule="auto"/>
    </w:pPr>
    <w:rPr>
      <w:rFonts w:ascii="宋体"/>
      <w:sz w:val="24"/>
      <w:szCs w:val="20"/>
    </w:rPr>
  </w:style>
  <w:style w:type="paragraph" w:styleId="17">
    <w:name w:val="Body Text Indent 2"/>
    <w:basedOn w:val="1"/>
    <w:qFormat/>
    <w:uiPriority w:val="0"/>
    <w:pPr>
      <w:spacing w:after="120" w:line="480" w:lineRule="auto"/>
      <w:ind w:left="420" w:leftChars="200"/>
    </w:pPr>
  </w:style>
  <w:style w:type="paragraph" w:styleId="18">
    <w:name w:val="Balloon Text"/>
    <w:basedOn w:val="1"/>
    <w:qFormat/>
    <w:uiPriority w:val="0"/>
    <w:rPr>
      <w:sz w:val="18"/>
      <w:szCs w:val="18"/>
    </w:rPr>
  </w:style>
  <w:style w:type="paragraph" w:styleId="19">
    <w:name w:val="footer"/>
    <w:basedOn w:val="1"/>
    <w:qFormat/>
    <w:uiPriority w:val="0"/>
    <w:pPr>
      <w:tabs>
        <w:tab w:val="center" w:pos="4153"/>
        <w:tab w:val="right" w:pos="8306"/>
      </w:tabs>
      <w:snapToGrid w:val="0"/>
      <w:jc w:val="left"/>
    </w:pPr>
    <w:rPr>
      <w:sz w:val="18"/>
      <w:szCs w:val="18"/>
    </w:rPr>
  </w:style>
  <w:style w:type="paragraph" w:styleId="20">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21">
    <w:name w:val="toc 1"/>
    <w:basedOn w:val="1"/>
    <w:next w:val="1"/>
    <w:qFormat/>
    <w:uiPriority w:val="39"/>
    <w:pPr>
      <w:tabs>
        <w:tab w:val="right" w:leader="middleDot" w:pos="8760"/>
      </w:tabs>
      <w:spacing w:line="700" w:lineRule="exact"/>
    </w:pPr>
  </w:style>
  <w:style w:type="paragraph" w:styleId="22">
    <w:name w:val="toc 4"/>
    <w:basedOn w:val="1"/>
    <w:next w:val="1"/>
    <w:qFormat/>
    <w:uiPriority w:val="0"/>
  </w:style>
  <w:style w:type="paragraph" w:styleId="23">
    <w:name w:val="Body Text Indent 3"/>
    <w:basedOn w:val="1"/>
    <w:qFormat/>
    <w:uiPriority w:val="0"/>
    <w:pPr>
      <w:spacing w:after="120"/>
      <w:ind w:left="420" w:leftChars="200"/>
    </w:pPr>
    <w:rPr>
      <w:sz w:val="16"/>
      <w:szCs w:val="16"/>
    </w:rPr>
  </w:style>
  <w:style w:type="paragraph" w:styleId="24">
    <w:name w:val="toc 2"/>
    <w:basedOn w:val="1"/>
    <w:next w:val="1"/>
    <w:qFormat/>
    <w:uiPriority w:val="0"/>
    <w:pPr>
      <w:spacing w:line="240" w:lineRule="auto"/>
      <w:ind w:left="420" w:leftChars="200"/>
    </w:pPr>
  </w:style>
  <w:style w:type="paragraph" w:styleId="25">
    <w:name w:val="Normal (Web)"/>
    <w:basedOn w:val="1"/>
    <w:qFormat/>
    <w:uiPriority w:val="0"/>
    <w:pPr>
      <w:widowControl/>
      <w:spacing w:before="100" w:beforeAutospacing="1" w:after="100" w:afterAutospacing="1" w:line="240" w:lineRule="auto"/>
      <w:jc w:val="left"/>
    </w:pPr>
    <w:rPr>
      <w:rFonts w:ascii="宋体" w:hAnsi="宋体" w:cs="宋体"/>
      <w:kern w:val="0"/>
      <w:sz w:val="24"/>
    </w:rPr>
  </w:style>
  <w:style w:type="paragraph" w:styleId="26">
    <w:name w:val="annotation subject"/>
    <w:basedOn w:val="11"/>
    <w:next w:val="11"/>
    <w:link w:val="109"/>
    <w:qFormat/>
    <w:uiPriority w:val="0"/>
    <w:pPr>
      <w:spacing w:line="324" w:lineRule="auto"/>
    </w:pPr>
    <w:rPr>
      <w:b/>
      <w:bCs/>
      <w:sz w:val="21"/>
      <w:szCs w:val="24"/>
    </w:rPr>
  </w:style>
  <w:style w:type="paragraph" w:styleId="27">
    <w:name w:val="Body Text First Indent"/>
    <w:basedOn w:val="13"/>
    <w:next w:val="2"/>
    <w:qFormat/>
    <w:uiPriority w:val="99"/>
    <w:pPr>
      <w:spacing w:beforeLines="50" w:afterLines="50" w:line="360" w:lineRule="auto"/>
      <w:ind w:firstLine="200" w:firstLineChars="200"/>
    </w:pPr>
    <w:rPr>
      <w:kern w:val="0"/>
      <w:sz w:val="30"/>
    </w:rPr>
  </w:style>
  <w:style w:type="table" w:styleId="29">
    <w:name w:val="Table Grid"/>
    <w:basedOn w:val="2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page number"/>
    <w:basedOn w:val="30"/>
    <w:qFormat/>
    <w:uiPriority w:val="0"/>
  </w:style>
  <w:style w:type="character" w:styleId="32">
    <w:name w:val="FollowedHyperlink"/>
    <w:qFormat/>
    <w:uiPriority w:val="0"/>
    <w:rPr>
      <w:color w:val="800080"/>
      <w:u w:val="single"/>
    </w:rPr>
  </w:style>
  <w:style w:type="character" w:styleId="33">
    <w:name w:val="Hyperlink"/>
    <w:qFormat/>
    <w:uiPriority w:val="99"/>
    <w:rPr>
      <w:color w:val="0000FF"/>
      <w:u w:val="single"/>
    </w:rPr>
  </w:style>
  <w:style w:type="character" w:styleId="34">
    <w:name w:val="annotation reference"/>
    <w:basedOn w:val="30"/>
    <w:qFormat/>
    <w:uiPriority w:val="0"/>
    <w:rPr>
      <w:sz w:val="21"/>
      <w:szCs w:val="21"/>
    </w:rPr>
  </w:style>
  <w:style w:type="paragraph" w:customStyle="1" w:styleId="35">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36">
    <w:name w:val="正文缩进 字符"/>
    <w:link w:val="9"/>
    <w:qFormat/>
    <w:uiPriority w:val="0"/>
    <w:rPr>
      <w:rFonts w:ascii="楷体_GB2312" w:eastAsia="楷体_GB2312"/>
      <w:sz w:val="32"/>
      <w:szCs w:val="32"/>
      <w:lang w:val="en-US" w:eastAsia="zh-CN" w:bidi="ar-SA"/>
    </w:rPr>
  </w:style>
  <w:style w:type="character" w:customStyle="1" w:styleId="37">
    <w:name w:val="批注文字 字符"/>
    <w:link w:val="11"/>
    <w:qFormat/>
    <w:uiPriority w:val="99"/>
    <w:rPr>
      <w:kern w:val="2"/>
      <w:sz w:val="28"/>
    </w:rPr>
  </w:style>
  <w:style w:type="character" w:customStyle="1" w:styleId="38">
    <w:name w:val="正文文本 3 字符"/>
    <w:link w:val="12"/>
    <w:qFormat/>
    <w:uiPriority w:val="99"/>
    <w:rPr>
      <w:rFonts w:ascii="Calibri" w:hAnsi="Calibri"/>
      <w:kern w:val="2"/>
      <w:sz w:val="16"/>
      <w:szCs w:val="16"/>
    </w:rPr>
  </w:style>
  <w:style w:type="character" w:customStyle="1" w:styleId="39">
    <w:name w:val="纯文本 字符"/>
    <w:link w:val="15"/>
    <w:qFormat/>
    <w:locked/>
    <w:uiPriority w:val="0"/>
    <w:rPr>
      <w:rFonts w:ascii="宋体" w:hAnsi="Courier New" w:eastAsia="宋体" w:cs="Courier New"/>
      <w:kern w:val="2"/>
      <w:sz w:val="21"/>
      <w:szCs w:val="21"/>
      <w:lang w:val="en-US" w:eastAsia="zh-CN" w:bidi="ar-SA"/>
    </w:rPr>
  </w:style>
  <w:style w:type="character" w:customStyle="1" w:styleId="40">
    <w:name w:val="Char Char Char Char"/>
    <w:link w:val="41"/>
    <w:qFormat/>
    <w:uiPriority w:val="0"/>
    <w:rPr>
      <w:rFonts w:eastAsia="宋体"/>
      <w:kern w:val="2"/>
      <w:sz w:val="21"/>
      <w:szCs w:val="24"/>
      <w:lang w:val="en-US" w:eastAsia="zh-CN" w:bidi="ar-SA"/>
    </w:rPr>
  </w:style>
  <w:style w:type="paragraph" w:customStyle="1" w:styleId="41">
    <w:name w:val="Char"/>
    <w:basedOn w:val="1"/>
    <w:link w:val="40"/>
    <w:qFormat/>
    <w:uiPriority w:val="0"/>
    <w:pPr>
      <w:spacing w:line="240" w:lineRule="auto"/>
    </w:pPr>
  </w:style>
  <w:style w:type="character" w:customStyle="1" w:styleId="42">
    <w:name w:val="font41"/>
    <w:basedOn w:val="30"/>
    <w:qFormat/>
    <w:uiPriority w:val="0"/>
    <w:rPr>
      <w:rFonts w:hint="eastAsia" w:ascii="宋体" w:hAnsi="宋体" w:eastAsia="宋体" w:cs="宋体"/>
      <w:color w:val="000000"/>
      <w:sz w:val="20"/>
      <w:szCs w:val="20"/>
      <w:u w:val="none"/>
      <w:vertAlign w:val="subscript"/>
    </w:rPr>
  </w:style>
  <w:style w:type="character" w:customStyle="1" w:styleId="43">
    <w:name w:val="09正文_wh Char Char"/>
    <w:link w:val="44"/>
    <w:qFormat/>
    <w:uiPriority w:val="0"/>
    <w:rPr>
      <w:sz w:val="28"/>
      <w:lang w:val="en-US" w:eastAsia="zh-CN" w:bidi="ar-SA"/>
    </w:rPr>
  </w:style>
  <w:style w:type="paragraph" w:customStyle="1" w:styleId="44">
    <w:name w:val="09正文_wh"/>
    <w:link w:val="43"/>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character" w:customStyle="1" w:styleId="45">
    <w:name w:val="font21"/>
    <w:basedOn w:val="30"/>
    <w:qFormat/>
    <w:uiPriority w:val="0"/>
    <w:rPr>
      <w:rFonts w:hint="eastAsia" w:ascii="宋体" w:hAnsi="宋体" w:eastAsia="宋体" w:cs="宋体"/>
      <w:color w:val="000000"/>
      <w:sz w:val="20"/>
      <w:szCs w:val="20"/>
      <w:u w:val="none"/>
    </w:rPr>
  </w:style>
  <w:style w:type="character" w:customStyle="1" w:styleId="46">
    <w:name w:val="font101"/>
    <w:basedOn w:val="30"/>
    <w:qFormat/>
    <w:uiPriority w:val="0"/>
    <w:rPr>
      <w:rFonts w:hint="eastAsia" w:ascii="宋体" w:hAnsi="宋体" w:eastAsia="宋体" w:cs="宋体"/>
      <w:color w:val="000000"/>
      <w:sz w:val="20"/>
      <w:szCs w:val="20"/>
      <w:u w:val="none"/>
      <w:vertAlign w:val="superscript"/>
    </w:rPr>
  </w:style>
  <w:style w:type="paragraph" w:styleId="47">
    <w:name w:val="List Paragraph"/>
    <w:basedOn w:val="1"/>
    <w:qFormat/>
    <w:uiPriority w:val="0"/>
    <w:pPr>
      <w:widowControl/>
      <w:spacing w:line="240" w:lineRule="auto"/>
      <w:ind w:left="720"/>
      <w:contextualSpacing/>
      <w:jc w:val="left"/>
    </w:pPr>
    <w:rPr>
      <w:rFonts w:ascii="Calibri" w:hAnsi="Calibri"/>
      <w:kern w:val="0"/>
      <w:sz w:val="24"/>
      <w:lang w:eastAsia="en-US" w:bidi="en-US"/>
    </w:rPr>
  </w:style>
  <w:style w:type="paragraph" w:customStyle="1" w:styleId="48">
    <w:name w:val="Char1"/>
    <w:basedOn w:val="1"/>
    <w:qFormat/>
    <w:uiPriority w:val="0"/>
    <w:pPr>
      <w:spacing w:line="360" w:lineRule="auto"/>
    </w:pPr>
    <w:rPr>
      <w:rFonts w:ascii="Calibri" w:hAnsi="Calibri" w:cs="宋体"/>
      <w:szCs w:val="20"/>
    </w:rPr>
  </w:style>
  <w:style w:type="paragraph" w:customStyle="1" w:styleId="4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50">
    <w:name w:val="xl62"/>
    <w:basedOn w:val="1"/>
    <w:qFormat/>
    <w:uiPriority w:val="0"/>
    <w:pPr>
      <w:widowControl/>
      <w:pBdr>
        <w:top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5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5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53">
    <w:name w:val="列出段落2"/>
    <w:basedOn w:val="1"/>
    <w:qFormat/>
    <w:uiPriority w:val="0"/>
    <w:pPr>
      <w:adjustRightInd w:val="0"/>
      <w:spacing w:line="360" w:lineRule="auto"/>
      <w:textAlignment w:val="baseline"/>
    </w:pPr>
    <w:rPr>
      <w:kern w:val="0"/>
      <w:szCs w:val="22"/>
    </w:rPr>
  </w:style>
  <w:style w:type="paragraph" w:customStyle="1" w:styleId="54">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55">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56">
    <w:name w:val="xl58"/>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57">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pPr>
    <w:rPr>
      <w:rFonts w:ascii="宋体" w:hAnsi="宋体" w:cs="宋体"/>
      <w:b/>
      <w:bCs/>
      <w:kern w:val="0"/>
      <w:sz w:val="24"/>
    </w:rPr>
  </w:style>
  <w:style w:type="paragraph" w:customStyle="1" w:styleId="5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59">
    <w:name w:val="列表段落1"/>
    <w:basedOn w:val="1"/>
    <w:qFormat/>
    <w:uiPriority w:val="34"/>
    <w:pPr>
      <w:ind w:firstLine="420" w:firstLineChars="200"/>
    </w:pPr>
  </w:style>
  <w:style w:type="paragraph" w:customStyle="1" w:styleId="6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61">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8"/>
      <w:szCs w:val="28"/>
    </w:rPr>
  </w:style>
  <w:style w:type="paragraph" w:customStyle="1" w:styleId="6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63">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64">
    <w:name w:val="缩进"/>
    <w:basedOn w:val="1"/>
    <w:qFormat/>
    <w:uiPriority w:val="0"/>
    <w:pPr>
      <w:spacing w:before="100" w:beforeAutospacing="1" w:after="100" w:afterAutospacing="1" w:line="420" w:lineRule="auto"/>
      <w:ind w:firstLine="200" w:firstLineChars="200"/>
    </w:pPr>
    <w:rPr>
      <w:rFonts w:ascii="Calibri" w:hAnsi="Calibri" w:eastAsia="仿宋"/>
      <w:sz w:val="24"/>
    </w:rPr>
  </w:style>
  <w:style w:type="paragraph" w:customStyle="1" w:styleId="65">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66">
    <w:name w:val="04正文二级标题"/>
    <w:qFormat/>
    <w:uiPriority w:val="0"/>
    <w:pPr>
      <w:spacing w:line="300" w:lineRule="auto"/>
      <w:ind w:firstLine="200" w:firstLineChars="200"/>
      <w:jc w:val="both"/>
    </w:pPr>
    <w:rPr>
      <w:rFonts w:ascii="Times New Roman" w:hAnsi="Times New Roman" w:eastAsia="黑体" w:cs="Times New Roman"/>
      <w:sz w:val="28"/>
      <w:lang w:val="en-US" w:eastAsia="zh-CN" w:bidi="ar-SA"/>
    </w:rPr>
  </w:style>
  <w:style w:type="paragraph" w:customStyle="1" w:styleId="67">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68">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69">
    <w:name w:val="标书正文"/>
    <w:basedOn w:val="1"/>
    <w:qFormat/>
    <w:uiPriority w:val="0"/>
    <w:pPr>
      <w:spacing w:beforeLines="50" w:afterLines="50" w:line="360" w:lineRule="auto"/>
      <w:ind w:firstLine="200" w:firstLineChars="200"/>
      <w:textAlignment w:val="baseline"/>
    </w:pPr>
    <w:rPr>
      <w:rFonts w:eastAsia="仿宋"/>
      <w:kern w:val="44"/>
      <w:sz w:val="28"/>
      <w:szCs w:val="28"/>
    </w:rPr>
  </w:style>
  <w:style w:type="paragraph" w:customStyle="1" w:styleId="70">
    <w:name w:val="样式3"/>
    <w:basedOn w:val="15"/>
    <w:qFormat/>
    <w:uiPriority w:val="0"/>
    <w:pPr>
      <w:spacing w:line="0" w:lineRule="atLeast"/>
      <w:outlineLvl w:val="0"/>
    </w:pPr>
    <w:rPr>
      <w:rFonts w:cs="Times New Roman"/>
      <w:sz w:val="28"/>
      <w:szCs w:val="24"/>
    </w:rPr>
  </w:style>
  <w:style w:type="paragraph" w:customStyle="1" w:styleId="71">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72">
    <w:name w:val="xl61"/>
    <w:basedOn w:val="1"/>
    <w:qFormat/>
    <w:uiPriority w:val="0"/>
    <w:pPr>
      <w:widowControl/>
      <w:pBdr>
        <w:top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7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74">
    <w:name w:val="Char Char3"/>
    <w:basedOn w:val="1"/>
    <w:qFormat/>
    <w:uiPriority w:val="0"/>
    <w:pPr>
      <w:spacing w:line="240" w:lineRule="auto"/>
    </w:pPr>
  </w:style>
  <w:style w:type="paragraph" w:customStyle="1" w:styleId="7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7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4"/>
    </w:rPr>
  </w:style>
  <w:style w:type="paragraph" w:customStyle="1" w:styleId="77">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78">
    <w:name w:val="样式1"/>
    <w:basedOn w:val="1"/>
    <w:qFormat/>
    <w:uiPriority w:val="0"/>
    <w:pPr>
      <w:spacing w:line="360" w:lineRule="auto"/>
      <w:ind w:firstLine="200" w:firstLineChars="200"/>
    </w:pPr>
    <w:rPr>
      <w:rFonts w:eastAsia="仿宋"/>
      <w:sz w:val="28"/>
    </w:rPr>
  </w:style>
  <w:style w:type="paragraph" w:customStyle="1" w:styleId="7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80">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81">
    <w:name w:val="JA-正文"/>
    <w:basedOn w:val="1"/>
    <w:qFormat/>
    <w:uiPriority w:val="0"/>
    <w:pPr>
      <w:spacing w:line="360" w:lineRule="auto"/>
      <w:ind w:firstLine="200" w:firstLineChars="200"/>
    </w:pPr>
    <w:rPr>
      <w:rFonts w:ascii="Calibri" w:hAnsi="Calibri" w:eastAsia="仿宋"/>
      <w:sz w:val="28"/>
    </w:rPr>
  </w:style>
  <w:style w:type="paragraph" w:customStyle="1" w:styleId="82">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83">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8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85">
    <w:name w:val="font5"/>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86">
    <w:name w:val="目录"/>
    <w:basedOn w:val="1"/>
    <w:qFormat/>
    <w:uiPriority w:val="0"/>
    <w:pPr>
      <w:widowControl/>
      <w:spacing w:line="240" w:lineRule="auto"/>
      <w:jc w:val="center"/>
    </w:pPr>
    <w:rPr>
      <w:rFonts w:ascii="宋体"/>
      <w:b/>
      <w:kern w:val="0"/>
      <w:sz w:val="36"/>
      <w:szCs w:val="20"/>
    </w:rPr>
  </w:style>
  <w:style w:type="paragraph" w:customStyle="1" w:styleId="87">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8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color w:val="000000"/>
      <w:kern w:val="0"/>
      <w:sz w:val="24"/>
    </w:rPr>
  </w:style>
  <w:style w:type="paragraph" w:customStyle="1" w:styleId="89">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90">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9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92">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8"/>
      <w:szCs w:val="28"/>
    </w:rPr>
  </w:style>
  <w:style w:type="paragraph" w:customStyle="1" w:styleId="93">
    <w:name w:val="xl60"/>
    <w:basedOn w:val="1"/>
    <w:qFormat/>
    <w:uiPriority w:val="0"/>
    <w:pPr>
      <w:widowControl/>
      <w:pBdr>
        <w:top w:val="single" w:color="auto" w:sz="4" w:space="0"/>
        <w:lef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94">
    <w:name w:val="无间隔2"/>
    <w:qFormat/>
    <w:uiPriority w:val="0"/>
    <w:pPr>
      <w:widowControl w:val="0"/>
      <w:jc w:val="both"/>
    </w:pPr>
    <w:rPr>
      <w:rFonts w:ascii="Calibri" w:hAnsi="Calibri" w:eastAsia="宋体" w:cs="Times New Roman"/>
      <w:kern w:val="2"/>
      <w:sz w:val="21"/>
      <w:szCs w:val="22"/>
      <w:lang w:val="en-US" w:eastAsia="zh-CN" w:bidi="ar-SA"/>
    </w:rPr>
  </w:style>
  <w:style w:type="paragraph" w:customStyle="1" w:styleId="9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96">
    <w:name w:val="xl39"/>
    <w:basedOn w:val="1"/>
    <w:qFormat/>
    <w:uiPriority w:val="0"/>
    <w:pPr>
      <w:widowControl/>
      <w:spacing w:before="100" w:beforeAutospacing="1" w:after="100" w:afterAutospacing="1" w:line="240" w:lineRule="auto"/>
      <w:jc w:val="left"/>
    </w:pPr>
    <w:rPr>
      <w:rFonts w:ascii="宋体" w:hAnsi="宋体" w:cs="宋体"/>
      <w:kern w:val="0"/>
      <w:sz w:val="24"/>
    </w:rPr>
  </w:style>
  <w:style w:type="paragraph" w:customStyle="1" w:styleId="9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color w:val="000000"/>
      <w:kern w:val="0"/>
      <w:sz w:val="24"/>
    </w:rPr>
  </w:style>
  <w:style w:type="paragraph" w:customStyle="1" w:styleId="98">
    <w:name w:val="xl56"/>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9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100">
    <w:name w:val="xl57"/>
    <w:basedOn w:val="1"/>
    <w:qFormat/>
    <w:uiPriority w:val="0"/>
    <w:pPr>
      <w:widowControl/>
      <w:pBdr>
        <w:top w:val="single" w:color="auto" w:sz="4" w:space="0"/>
        <w:bottom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101">
    <w:name w:val="xl51"/>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102">
    <w:name w:val="Char2 Char Char Char"/>
    <w:basedOn w:val="1"/>
    <w:qFormat/>
    <w:uiPriority w:val="0"/>
    <w:pPr>
      <w:spacing w:line="240" w:lineRule="auto"/>
    </w:pPr>
    <w:rPr>
      <w:rFonts w:ascii="Tahoma" w:hAnsi="Tahoma"/>
      <w:sz w:val="24"/>
      <w:szCs w:val="20"/>
    </w:rPr>
  </w:style>
  <w:style w:type="paragraph" w:customStyle="1" w:styleId="103">
    <w:name w:val="正文 New"/>
    <w:qFormat/>
    <w:uiPriority w:val="99"/>
    <w:pPr>
      <w:widowControl w:val="0"/>
      <w:jc w:val="both"/>
    </w:pPr>
    <w:rPr>
      <w:rFonts w:ascii="Calibri" w:hAnsi="Calibri" w:eastAsia="宋体" w:cs="Times New Roman"/>
      <w:lang w:val="en-US" w:eastAsia="zh-CN" w:bidi="ar-SA"/>
    </w:rPr>
  </w:style>
  <w:style w:type="table" w:customStyle="1" w:styleId="104">
    <w:name w:val="网格型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paragraph" w:customStyle="1" w:styleId="105">
    <w:name w:val="Table Paragraph"/>
    <w:basedOn w:val="1"/>
    <w:qFormat/>
    <w:uiPriority w:val="1"/>
    <w:rPr>
      <w:rFonts w:ascii="宋体" w:hAnsi="宋体" w:cs="宋体"/>
      <w:lang w:val="zh-CN" w:bidi="zh-CN"/>
    </w:rPr>
  </w:style>
  <w:style w:type="paragraph" w:customStyle="1" w:styleId="106">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07">
    <w:name w:val="font01"/>
    <w:qFormat/>
    <w:uiPriority w:val="0"/>
    <w:rPr>
      <w:rFonts w:hint="eastAsia" w:ascii="仿宋" w:hAnsi="仿宋" w:eastAsia="仿宋" w:cs="仿宋"/>
      <w:color w:val="000000"/>
      <w:sz w:val="21"/>
      <w:szCs w:val="21"/>
      <w:u w:val="none"/>
    </w:rPr>
  </w:style>
  <w:style w:type="paragraph" w:customStyle="1" w:styleId="108">
    <w:name w:val="无间隔3"/>
    <w:qFormat/>
    <w:uiPriority w:val="0"/>
    <w:pPr>
      <w:widowControl w:val="0"/>
      <w:jc w:val="both"/>
    </w:pPr>
    <w:rPr>
      <w:rFonts w:ascii="Calibri" w:hAnsi="Calibri" w:eastAsia="宋体" w:cs="Times New Roman"/>
      <w:kern w:val="2"/>
      <w:sz w:val="21"/>
      <w:szCs w:val="22"/>
      <w:lang w:val="en-US" w:eastAsia="zh-CN" w:bidi="ar-SA"/>
    </w:rPr>
  </w:style>
  <w:style w:type="character" w:customStyle="1" w:styleId="109">
    <w:name w:val="批注主题 字符"/>
    <w:basedOn w:val="37"/>
    <w:link w:val="26"/>
    <w:qFormat/>
    <w:uiPriority w:val="0"/>
    <w:rPr>
      <w:b/>
      <w:bCs/>
      <w:kern w:val="2"/>
      <w:sz w:val="21"/>
      <w:szCs w:val="24"/>
    </w:rPr>
  </w:style>
  <w:style w:type="paragraph" w:styleId="110">
    <w:name w:val="No Spacing"/>
    <w:qFormat/>
    <w:uiPriority w:val="1"/>
    <w:pPr>
      <w:widowControl w:val="0"/>
      <w:jc w:val="both"/>
    </w:pPr>
    <w:rPr>
      <w:rFonts w:ascii="等线" w:hAnsi="等线" w:eastAsia="等线" w:cs="Times New Roman"/>
      <w:kern w:val="2"/>
      <w:sz w:val="21"/>
      <w:szCs w:val="22"/>
      <w:lang w:val="en-US" w:eastAsia="zh-CN" w:bidi="ar-SA"/>
    </w:rPr>
  </w:style>
  <w:style w:type="paragraph" w:customStyle="1" w:styleId="111">
    <w:name w:val="null3"/>
    <w:hidden/>
    <w:qFormat/>
    <w:uiPriority w:val="0"/>
    <w:rPr>
      <w:rFonts w:hint="eastAsia" w:asciiTheme="minorHAnsi" w:hAnsiTheme="minorHAnsi" w:eastAsiaTheme="minorEastAsia" w:cstheme="minorBidi"/>
      <w:lang w:val="en-US" w:eastAsia="zh-Hans" w:bidi="ar-SA"/>
    </w:rPr>
  </w:style>
  <w:style w:type="character" w:customStyle="1" w:styleId="112">
    <w:name w:val="标题 1 字符"/>
    <w:link w:val="4"/>
    <w:qFormat/>
    <w:uiPriority w:val="0"/>
    <w:rPr>
      <w:b/>
      <w:bCs/>
      <w:kern w:val="44"/>
      <w:sz w:val="30"/>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3.wmf"/><Relationship Id="rId2" Type="http://schemas.openxmlformats.org/officeDocument/2006/relationships/settings" Target="settings.xml"/><Relationship Id="rId19" Type="http://schemas.openxmlformats.org/officeDocument/2006/relationships/oleObject" Target="embeddings/oleObject2.bin"/><Relationship Id="rId18" Type="http://schemas.openxmlformats.org/officeDocument/2006/relationships/image" Target="media/image2.wmf"/><Relationship Id="rId17" Type="http://schemas.openxmlformats.org/officeDocument/2006/relationships/oleObject" Target="embeddings/oleObject1.bin"/><Relationship Id="rId16" Type="http://schemas.openxmlformats.org/officeDocument/2006/relationships/image" Target="media/image1.emf"/><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84</Pages>
  <Words>20277</Words>
  <Characters>21889</Characters>
  <Lines>331</Lines>
  <Paragraphs>93</Paragraphs>
  <TotalTime>2</TotalTime>
  <ScaleCrop>false</ScaleCrop>
  <LinksUpToDate>false</LinksUpToDate>
  <CharactersWithSpaces>22499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2025-05-19T03:23:00Z</dcterms:created>
  <dc:creator>wh</dc:creator>
  <cp:lastModifiedBy>MENGZH</cp:lastModifiedBy>
  <cp:lastPrinted>2026-06-02T05:44:00Z</cp:lastPrinted>
  <dcterms:modified xsi:type="dcterms:W3CDTF">2026-09-14T06:07:39Z</dcterms:modified>
  <dc:title>封  面</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C0E7A0B07B2E40659570A0E0CCFF7ECA_13</vt:lpwstr>
  </property>
  <property fmtid="{D5CDD505-2E9C-101B-9397-08002B2CF9AE}" pid="4" name="KSOTemplateDocerSaveRecord">
    <vt:lpwstr>eyJoZGlkIjoiYmIyODJiNGVlYzc5ZmQ5YjE2Mjg1MTg4ZDE0NjJmZmEiLCJ1c2VySWQiOiI2NjU5OTQxMzQifQ==</vt:lpwstr>
  </property>
</Properties>
</file>