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2A899">
      <w:pPr>
        <w:pStyle w:val="6"/>
        <w:spacing w:line="360" w:lineRule="auto"/>
        <w:ind w:firstLine="960"/>
        <w:jc w:val="center"/>
        <w:rPr>
          <w:rFonts w:hint="default" w:ascii="仿宋_GB2312" w:hAnsi="仿宋_GB2312" w:eastAsia="仿宋_GB2312" w:cs="仿宋_GB2312"/>
          <w:color w:val="0000FF"/>
          <w:sz w:val="32"/>
          <w:szCs w:val="32"/>
        </w:rPr>
      </w:pPr>
      <w:r>
        <w:rPr>
          <w:rFonts w:ascii="仿宋_GB2312" w:hAnsi="仿宋_GB2312" w:eastAsia="仿宋_GB2312" w:cs="仿宋_GB2312"/>
          <w:color w:val="0000FF"/>
          <w:sz w:val="32"/>
          <w:szCs w:val="32"/>
        </w:rPr>
        <w:t>安康学院物资设备采购合同</w:t>
      </w:r>
    </w:p>
    <w:p w14:paraId="6E0AE4A0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合同编号：</w:t>
      </w:r>
    </w:p>
    <w:p w14:paraId="32F1AF4F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甲  方 ：安康学院</w:t>
      </w:r>
    </w:p>
    <w:p w14:paraId="7CDF33CD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地  址：陕西省安康市汉滨区育才路92号</w:t>
      </w:r>
    </w:p>
    <w:p w14:paraId="19D331F7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联系电话：</w:t>
      </w:r>
    </w:p>
    <w:p w14:paraId="5630992F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联 系 人：</w:t>
      </w:r>
    </w:p>
    <w:p w14:paraId="217192B7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乙  方：</w:t>
      </w:r>
    </w:p>
    <w:p w14:paraId="1D164CE0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地  址：</w:t>
      </w:r>
    </w:p>
    <w:p w14:paraId="7B8FF168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联系电话：</w:t>
      </w:r>
    </w:p>
    <w:p w14:paraId="4A3C73F3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联 系 人：</w:t>
      </w:r>
    </w:p>
    <w:p w14:paraId="0C390C8B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根据《中华人民共和国政府采购法》、《中华人民共和国民法典》、《中华人民共和国政府采购法实施条例》等法律法规，甲方通过公开招标，选定乙方为中标人。甲、乙双方在平等基础上协商一致，达成如下合同条款:</w:t>
      </w:r>
    </w:p>
    <w:p w14:paraId="03A2ED1E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一.合同内容及金额:</w:t>
      </w:r>
    </w:p>
    <w:p w14:paraId="1C6F495B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1.乙方承担甲方的细胞房建设项目，工程内容包括实验仪器设备共计14台及实验室环境提升1项。</w:t>
      </w:r>
    </w:p>
    <w:p w14:paraId="745DD709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2.交货地点:安康学院江北校区秦巴实验楼201</w:t>
      </w:r>
    </w:p>
    <w:p w14:paraId="4F0F7033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3.交货时间:自合同签订后30个日历日内。</w:t>
      </w:r>
    </w:p>
    <w:p w14:paraId="1E503F27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成交供应商未征得采购人同意和谅解而单方面延迟交货，将按违约终止合同。成交供应商遇到可能妨碍按时交货和提供服务的情况，应当及时以书面形式通知采购人，说明原由、拖延的期限等，采购人、采购代理机构在收到通知后，尽快进行情况评估并确定是否通过修改合同，酌情延长交货时间或者通过协商加收误期赔偿金。</w:t>
      </w:r>
    </w:p>
    <w:p w14:paraId="079380DB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  <w:u w:val="single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4.合同总金额:人民币(大写):</w:t>
      </w:r>
    </w:p>
    <w:p w14:paraId="40C30230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二.产品技术、数量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2845"/>
        <w:gridCol w:w="2839"/>
      </w:tblGrid>
      <w:tr w14:paraId="78521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</w:tcPr>
          <w:p w14:paraId="1437C0DC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907" w:type="dxa"/>
          </w:tcPr>
          <w:p w14:paraId="39EE6E19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产品名称</w:t>
            </w:r>
          </w:p>
        </w:tc>
        <w:tc>
          <w:tcPr>
            <w:tcW w:w="2907" w:type="dxa"/>
          </w:tcPr>
          <w:p w14:paraId="0B027513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数量</w:t>
            </w:r>
          </w:p>
        </w:tc>
      </w:tr>
      <w:tr w14:paraId="6E4A4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</w:tcPr>
          <w:p w14:paraId="7F8A4BE3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907" w:type="dxa"/>
          </w:tcPr>
          <w:p w14:paraId="778E5041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荧光倒置显微镜</w:t>
            </w:r>
          </w:p>
        </w:tc>
        <w:tc>
          <w:tcPr>
            <w:tcW w:w="2907" w:type="dxa"/>
          </w:tcPr>
          <w:p w14:paraId="29A9B325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4CBB9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</w:tcPr>
          <w:p w14:paraId="332111C4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2907" w:type="dxa"/>
          </w:tcPr>
          <w:p w14:paraId="16B36A8A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二氧化碳培养箱</w:t>
            </w:r>
          </w:p>
        </w:tc>
        <w:tc>
          <w:tcPr>
            <w:tcW w:w="2907" w:type="dxa"/>
          </w:tcPr>
          <w:p w14:paraId="7C0AFDE8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4A214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</w:tcPr>
          <w:p w14:paraId="545A9E0E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2907" w:type="dxa"/>
          </w:tcPr>
          <w:p w14:paraId="336E64B1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生物安全柜</w:t>
            </w:r>
          </w:p>
        </w:tc>
        <w:tc>
          <w:tcPr>
            <w:tcW w:w="2907" w:type="dxa"/>
          </w:tcPr>
          <w:p w14:paraId="2D199978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64B51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</w:tcPr>
          <w:p w14:paraId="79F2500F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2907" w:type="dxa"/>
          </w:tcPr>
          <w:p w14:paraId="5FF6581E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二氧化碳钢瓶</w:t>
            </w:r>
          </w:p>
        </w:tc>
        <w:tc>
          <w:tcPr>
            <w:tcW w:w="2907" w:type="dxa"/>
          </w:tcPr>
          <w:p w14:paraId="089F5CBB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75845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</w:tcPr>
          <w:p w14:paraId="138BA8C7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2907" w:type="dxa"/>
          </w:tcPr>
          <w:p w14:paraId="6FD697BB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医用冷藏箱</w:t>
            </w:r>
          </w:p>
        </w:tc>
        <w:tc>
          <w:tcPr>
            <w:tcW w:w="2907" w:type="dxa"/>
          </w:tcPr>
          <w:p w14:paraId="1687DF0A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63485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</w:tcPr>
          <w:p w14:paraId="6833BDB0">
            <w:pPr>
              <w:spacing w:line="360" w:lineRule="auto"/>
              <w:rPr>
                <w:rFonts w:hint="eastAsia" w:ascii="仿宋" w:hAnsi="仿宋" w:eastAsia="仿宋" w:cs="仿宋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2907" w:type="dxa"/>
          </w:tcPr>
          <w:p w14:paraId="0E666D20">
            <w:pPr>
              <w:spacing w:line="360" w:lineRule="auto"/>
              <w:rPr>
                <w:rFonts w:hint="eastAsia" w:ascii="仿宋" w:hAnsi="仿宋" w:eastAsia="仿宋" w:cs="仿宋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多联式空调机组（强制节能产品）</w:t>
            </w:r>
          </w:p>
        </w:tc>
        <w:tc>
          <w:tcPr>
            <w:tcW w:w="2907" w:type="dxa"/>
          </w:tcPr>
          <w:p w14:paraId="4FCC65C4">
            <w:pPr>
              <w:spacing w:line="360" w:lineRule="auto"/>
              <w:rPr>
                <w:rFonts w:hint="eastAsia" w:ascii="仿宋" w:hAnsi="仿宋" w:eastAsia="仿宋" w:cs="仿宋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1F5FF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</w:tcPr>
          <w:p w14:paraId="0372158D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2907" w:type="dxa"/>
          </w:tcPr>
          <w:p w14:paraId="24010745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台式高速冷冻离心机</w:t>
            </w:r>
          </w:p>
        </w:tc>
        <w:tc>
          <w:tcPr>
            <w:tcW w:w="2907" w:type="dxa"/>
          </w:tcPr>
          <w:p w14:paraId="56809EFB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72076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</w:tcPr>
          <w:p w14:paraId="3F8EB43C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2907" w:type="dxa"/>
          </w:tcPr>
          <w:p w14:paraId="60A538DD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小型高速冷冻离心机</w:t>
            </w:r>
          </w:p>
        </w:tc>
        <w:tc>
          <w:tcPr>
            <w:tcW w:w="2907" w:type="dxa"/>
          </w:tcPr>
          <w:p w14:paraId="3D8352AC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605FE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</w:tcPr>
          <w:p w14:paraId="21502649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2907" w:type="dxa"/>
          </w:tcPr>
          <w:p w14:paraId="1AD97332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电动移液泵</w:t>
            </w:r>
          </w:p>
        </w:tc>
        <w:tc>
          <w:tcPr>
            <w:tcW w:w="2907" w:type="dxa"/>
          </w:tcPr>
          <w:p w14:paraId="2325133E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16755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</w:tcPr>
          <w:p w14:paraId="5B6DB0D3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2907" w:type="dxa"/>
          </w:tcPr>
          <w:p w14:paraId="1A256ECA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水浴锅</w:t>
            </w:r>
          </w:p>
        </w:tc>
        <w:tc>
          <w:tcPr>
            <w:tcW w:w="2907" w:type="dxa"/>
          </w:tcPr>
          <w:p w14:paraId="2917F095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32A5A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</w:tcPr>
          <w:p w14:paraId="2F6F0718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2907" w:type="dxa"/>
          </w:tcPr>
          <w:p w14:paraId="516FFA8F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真空吸液器</w:t>
            </w:r>
          </w:p>
        </w:tc>
        <w:tc>
          <w:tcPr>
            <w:tcW w:w="2907" w:type="dxa"/>
          </w:tcPr>
          <w:p w14:paraId="4FEC2DCB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11D3F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</w:tcPr>
          <w:p w14:paraId="18655F49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2907" w:type="dxa"/>
          </w:tcPr>
          <w:p w14:paraId="040532B0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旋涡混合器</w:t>
            </w:r>
          </w:p>
        </w:tc>
        <w:tc>
          <w:tcPr>
            <w:tcW w:w="2907" w:type="dxa"/>
          </w:tcPr>
          <w:p w14:paraId="56764222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37231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</w:tcPr>
          <w:p w14:paraId="0B6C1637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2907" w:type="dxa"/>
          </w:tcPr>
          <w:p w14:paraId="4C9CFB72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倒置显微镜</w:t>
            </w:r>
          </w:p>
        </w:tc>
        <w:tc>
          <w:tcPr>
            <w:tcW w:w="2907" w:type="dxa"/>
          </w:tcPr>
          <w:p w14:paraId="3D67187C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3A769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</w:tcPr>
          <w:p w14:paraId="59727154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2907" w:type="dxa"/>
          </w:tcPr>
          <w:p w14:paraId="16727B42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加热型磁力搅拌器</w:t>
            </w:r>
          </w:p>
        </w:tc>
        <w:tc>
          <w:tcPr>
            <w:tcW w:w="2907" w:type="dxa"/>
          </w:tcPr>
          <w:p w14:paraId="40EF615A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10E01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</w:tcPr>
          <w:p w14:paraId="720100B3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2907" w:type="dxa"/>
          </w:tcPr>
          <w:p w14:paraId="2B84B4A9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实验室环境提升</w:t>
            </w:r>
          </w:p>
        </w:tc>
        <w:tc>
          <w:tcPr>
            <w:tcW w:w="2907" w:type="dxa"/>
          </w:tcPr>
          <w:p w14:paraId="1D1384F3">
            <w:pPr>
              <w:spacing w:line="360" w:lineRule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bidi="ar"/>
              </w:rPr>
              <w:t>1</w:t>
            </w:r>
          </w:p>
        </w:tc>
      </w:tr>
    </w:tbl>
    <w:p w14:paraId="7F130AE9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三.质量保障约定</w:t>
      </w:r>
    </w:p>
    <w:p w14:paraId="192113A8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1.质保期:</w:t>
      </w:r>
    </w:p>
    <w:p w14:paraId="4247F874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(1)货物类产品质保期为终验合格后不少于3年，质保期内若发生产品质量问题，乙方应立即免费上门维修解决，质保期后按照国家相关规定和厂家承诺进行，只收取成本费用。质保须为原厂质保，并在验收时提供每项所投产品生产厂家的售后服务承诺书(具体以投标商承诺期限为准)，终身维修。中标人承讲的质保时间超过招标文件要求的，按其承诺时间质保。</w:t>
      </w:r>
    </w:p>
    <w:p w14:paraId="05CCE7E7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(2)乙方承诺的质保期起始时间为终验合格之日。</w:t>
      </w:r>
    </w:p>
    <w:p w14:paraId="578B2C92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(3)质保期或维修期内赶现场维修服务及响应时间不大于72小时。</w:t>
      </w:r>
    </w:p>
    <w:p w14:paraId="58966F0F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2.质量:</w:t>
      </w:r>
    </w:p>
    <w:p w14:paraId="71BECAA0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(1)所有产品质量必须符合国家有关规范和相关政策，所有设备及材料必须是未使用过的新产品，质量优良、渠道正当，配置合理。</w:t>
      </w:r>
    </w:p>
    <w:p w14:paraId="481F3BBC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(2)质保期出现的质量问题由乙方负责解决并承担所有费用，质保期后如需更换零部件，乙方以优惠价提供。</w:t>
      </w:r>
    </w:p>
    <w:p w14:paraId="121391C0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四.知识产权:</w:t>
      </w:r>
    </w:p>
    <w:p w14:paraId="53C96CFD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本项目不涉及知识产权转移。</w:t>
      </w:r>
    </w:p>
    <w:p w14:paraId="716715ED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五.付款方式:</w:t>
      </w:r>
    </w:p>
    <w:p w14:paraId="1AC11425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合同签订后10日内，预付30%合同款，终验合格后</w:t>
      </w:r>
      <w:r>
        <w:rPr>
          <w:rFonts w:ascii="仿宋_GB2312" w:hAnsi="仿宋_GB2312" w:eastAsia="仿宋_GB2312" w:cs="仿宋_GB2312"/>
          <w:color w:val="0000FF"/>
          <w:sz w:val="24"/>
          <w:szCs w:val="24"/>
          <w:lang w:eastAsia="zh-CN"/>
        </w:rPr>
        <w:t>3</w:t>
      </w:r>
      <w:r>
        <w:rPr>
          <w:rFonts w:ascii="仿宋_GB2312" w:hAnsi="仿宋_GB2312" w:eastAsia="仿宋_GB2312" w:cs="仿宋_GB2312"/>
          <w:color w:val="0000FF"/>
          <w:sz w:val="24"/>
          <w:szCs w:val="24"/>
        </w:rPr>
        <w:t>0日内一次性支付剩余70%合同款。</w:t>
      </w:r>
    </w:p>
    <w:p w14:paraId="7C2E8A68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六.包装和运输:</w:t>
      </w:r>
    </w:p>
    <w:p w14:paraId="2080B61D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符合《商品包装政府采购需求标准(试行)》《快递包装政府采购需求标准(试行)》《陕西省财政厅关于进一步加强政府绿色采购有关问题的通知》。</w:t>
      </w:r>
    </w:p>
    <w:p w14:paraId="04D7339B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七.产品验收:</w:t>
      </w:r>
    </w:p>
    <w:p w14:paraId="4EE37635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乙方配合采购人验收；若存在验收费用，由乙方自行承担。</w:t>
      </w:r>
    </w:p>
    <w:p w14:paraId="0511AC16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1.验收标准:</w:t>
      </w:r>
    </w:p>
    <w:p w14:paraId="546CF9B7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(1)验收主体:验收主体为合同双方。</w:t>
      </w:r>
    </w:p>
    <w:p w14:paraId="2DF8C7ED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(2)验收方式:双方到场，现场验收。</w:t>
      </w:r>
    </w:p>
    <w:p w14:paraId="7673274F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(3)验收时间:根据验收程序和现场用户要求为准。</w:t>
      </w:r>
    </w:p>
    <w:p w14:paraId="34FBB086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(4)验收程序:项目通过测试后进入试运行，试运行期间无重大问题出现。则组织验收工作，验收后完成系统交付并进入免费维护期。</w:t>
      </w:r>
    </w:p>
    <w:p w14:paraId="1DA92F48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(5)验收文档:乙方以光盘提供项目中所包括的软件的完整安装系统，包括应用软件、运行所须的附加软件、与应用软件有关的电子文档、安装配置及维护文档等。</w:t>
      </w:r>
    </w:p>
    <w:p w14:paraId="4ABB16BD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(6)验收标准:合同规定的要求和相关标准、规范以及双方认可的标准。双方按照合同约定的相关功能需求、质量、数量、技术指标进行验收，符合合同要求的，甲方出据验收证明并由乙方确认。</w:t>
      </w:r>
    </w:p>
    <w:p w14:paraId="5F0032FD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货物(产品)的验收:</w:t>
      </w:r>
    </w:p>
    <w:p w14:paraId="2EC1BCD7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(1)项目验收分初验和终验。使用单位初步验收合格后向国资处提交初验报告单，由国资处组织验收小组进行终验。初验:货物到达交货地点后，由使用单位根据合同对标货物(设备)的名称、品牌、规格、型号、产地、数量进行检查（需有第三方检测，包含尘埃粒子、风量、风速、浮游菌、压差、紫外灯照度等）。终验:所有货物(设备)安装、调试完毕，正常使用10个日历日后，由使用单位进行终验(最终验收)，合格后签发《终验合格单》。</w:t>
      </w:r>
    </w:p>
    <w:p w14:paraId="5E024278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(2)验收不合格的乙方，在接到通知后7个日历日内确保货物通过验收。如接到通知后7个日历日内验收仍不合格，甲方可提出索赔或取消其供货合同。</w:t>
      </w:r>
    </w:p>
    <w:p w14:paraId="2A3BAB37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2.验收依据:</w:t>
      </w:r>
    </w:p>
    <w:p w14:paraId="44CA1CB1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(1)合同文本及合同补充文件(条款)以及双方认可的标准。</w:t>
      </w:r>
    </w:p>
    <w:p w14:paraId="76293A8E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(2)招标文件。</w:t>
      </w:r>
    </w:p>
    <w:p w14:paraId="436F4CEA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(3)乙方的投标文件及澄清函、承诺函。</w:t>
      </w:r>
    </w:p>
    <w:p w14:paraId="1FE68400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八.服务项目</w:t>
      </w:r>
    </w:p>
    <w:p w14:paraId="6962C96B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1.技术服务:</w:t>
      </w:r>
    </w:p>
    <w:p w14:paraId="0DD5EA69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(1)技术资料:产品合格证、产品使用说明书、厂家对该产品的出厂配置清单、其他相关材料。</w:t>
      </w:r>
    </w:p>
    <w:p w14:paraId="628E7E22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(2)服务承诺:乙方遵照国家规范规定的技术服务内容及要求作出明确承诺。</w:t>
      </w:r>
    </w:p>
    <w:p w14:paraId="0F89BCD7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2.其他售后服务:</w:t>
      </w:r>
    </w:p>
    <w:p w14:paraId="321E3975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(1)乙方指派专人负责与甲方联系售后服务事宜。</w:t>
      </w:r>
    </w:p>
    <w:p w14:paraId="4C8EFD91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(2)免费提供充分的技术培训及相关资料:为教师(采购方)提供培训与咨询服务同时提供项目详细操作说明(图文+视频讲解)及相关技术资料，直到相关工作人员完全能独立操作和使用为止。</w:t>
      </w:r>
    </w:p>
    <w:p w14:paraId="24A28921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(3)质保期内因产品质量问题，免费维修或更换:在质保期内，如达不到无故障开机运行要求，质保期顺延。</w:t>
      </w:r>
    </w:p>
    <w:p w14:paraId="0A738E95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(4)免费提供仪器设备的系统和软件维护、升级等技术支持服务。</w:t>
      </w:r>
    </w:p>
    <w:p w14:paraId="0E31AA92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(5)要求按软硬件安装标准进行安装，并经过调试、检测。调试工作按国家有关标准和校方要求，逐条逐项进行并做好测试记录。</w:t>
      </w:r>
    </w:p>
    <w:p w14:paraId="22695E9C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九.双方的责任和义务</w:t>
      </w:r>
    </w:p>
    <w:p w14:paraId="3F5F49A8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(一)甲方的责任和义务</w:t>
      </w:r>
    </w:p>
    <w:p w14:paraId="45999AB5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1.甲方委执行代表，负责调派人员去现场监督乙方操作的全过程。</w:t>
      </w:r>
    </w:p>
    <w:p w14:paraId="30D0E214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2.甲方按合同如期、如量支付货款。</w:t>
      </w:r>
    </w:p>
    <w:p w14:paraId="587DE850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(二)乙方的责任和义务</w:t>
      </w:r>
    </w:p>
    <w:p w14:paraId="7146371A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1.如期、如质、如量完成甲方的细胞房建设项目，工程内容包括设备、耗材、安装、调试，环境提升等。</w:t>
      </w:r>
    </w:p>
    <w:p w14:paraId="2DBCCBD2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2.乙方负责验收前的所有费用(报价已含)。</w:t>
      </w:r>
    </w:p>
    <w:p w14:paraId="3EE3F601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3.乙方负责实验室项目验收前的所有设备采购、安装调试等及向甲方验收后的技术协助以及售后服务。</w:t>
      </w:r>
    </w:p>
    <w:p w14:paraId="4A615F7A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4.乙方在交货前通知甲方。</w:t>
      </w:r>
    </w:p>
    <w:p w14:paraId="1498A05E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十.双方的违约责任</w:t>
      </w:r>
    </w:p>
    <w:p w14:paraId="3E4CEFD8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1.按《中华人民共和国民法典》中的相关条款执行。</w:t>
      </w:r>
    </w:p>
    <w:p w14:paraId="289A0611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2.未按合同要求提供产品或设备质量不能满足技术要求，甲方有权终止合同，并保留追究乙方违约责任的权利。</w:t>
      </w:r>
    </w:p>
    <w:p w14:paraId="37E7706D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3.时间延迟的，每延迟一天，违约方按照合同总金额的1%向对方支付违约金。产品质量问题违约的，除了按照迟延时间计算违约金外，另可以采取退货、换货等方式，由乙方承担一切费用。</w:t>
      </w:r>
    </w:p>
    <w:p w14:paraId="44D0CC8E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十一.争议解决方式</w:t>
      </w:r>
    </w:p>
    <w:p w14:paraId="19443DF4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1.合同一经签订，不得随意变更、中止或终止。对确需变更、调整或者中止、终止合同的，应按规定履行相应的手续。</w:t>
      </w:r>
    </w:p>
    <w:p w14:paraId="6A096F5D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2.合同执行中发生争议的，甲、乙双方应协商解决，协商达不成一致时，可向甲方所在地人民法院提起诉讼。</w:t>
      </w:r>
    </w:p>
    <w:p w14:paraId="070225B2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十二.合同生效</w:t>
      </w:r>
    </w:p>
    <w:p w14:paraId="786CC825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本合同正本一式陆份，经双方签字盖章后生效。</w:t>
      </w:r>
    </w:p>
    <w:p w14:paraId="00473346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合同生效时限，以双方中的一方最终签定日期为准。</w:t>
      </w:r>
    </w:p>
    <w:p w14:paraId="4686B369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未尽事宜双方友好协商解决。</w:t>
      </w:r>
    </w:p>
    <w:p w14:paraId="389D98B7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</w:p>
    <w:p w14:paraId="10F876FB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甲方：安康学院                               乙方：</w:t>
      </w:r>
    </w:p>
    <w:p w14:paraId="26F92E23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联系地址：安康市汉滨区育才路92号        联系地址：</w:t>
      </w:r>
    </w:p>
    <w:p w14:paraId="406BBBF9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被授权人：                                    被授权人：</w:t>
      </w:r>
    </w:p>
    <w:p w14:paraId="00170F56">
      <w:pPr>
        <w:pStyle w:val="6"/>
        <w:spacing w:line="360" w:lineRule="auto"/>
        <w:ind w:firstLine="960"/>
        <w:rPr>
          <w:rFonts w:hint="default" w:ascii="仿宋_GB2312" w:hAnsi="仿宋_GB2312" w:eastAsia="仿宋_GB2312" w:cs="仿宋_GB2312"/>
          <w:color w:val="0000FF"/>
          <w:sz w:val="24"/>
          <w:szCs w:val="24"/>
        </w:rPr>
      </w:pPr>
      <w:r>
        <w:rPr>
          <w:rFonts w:ascii="仿宋_GB2312" w:hAnsi="仿宋_GB2312" w:eastAsia="仿宋_GB2312" w:cs="仿宋_GB2312"/>
          <w:color w:val="0000FF"/>
          <w:sz w:val="24"/>
          <w:szCs w:val="24"/>
        </w:rPr>
        <w:t>电话：                                         电话：</w:t>
      </w:r>
    </w:p>
    <w:p w14:paraId="7BD1666D">
      <w:pPr>
        <w:ind w:firstLine="960" w:firstLineChars="400"/>
        <w:jc w:val="left"/>
      </w:pPr>
      <w:bookmarkStart w:id="0" w:name="_GoBack"/>
      <w:bookmarkEnd w:id="0"/>
      <w:r>
        <w:rPr>
          <w:rFonts w:ascii="仿宋_GB2312" w:hAnsi="仿宋_GB2312" w:eastAsia="仿宋_GB2312" w:cs="仿宋_GB2312"/>
          <w:color w:val="0000FF"/>
          <w:sz w:val="24"/>
          <w:szCs w:val="24"/>
        </w:rPr>
        <w:t>时间：  年  月   日                     时间：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8D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table" w:styleId="4">
    <w:name w:val="Table Grid"/>
    <w:basedOn w:val="3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2026-07-17T09:23:59Z</dcterms:created>
  <dc:creator>ADMIN</dc:creator>
  <cp:lastModifiedBy>胡梦婷</cp:lastModifiedBy>
  <dcterms:modified xsi:type="dcterms:W3CDTF">2026-07-17T09:24:23Z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eyJoZGlkIjoiNWRkNzA2NTBkY2JhNDE0NDRmZWY1MGU3ZDEyMDlkZTkiLCJ1c2VySWQiOiIyNjgwMDUyNjAifQ==</vt:lpwstr>
  </property>
  <property fmtid="{D5CDD505-2E9C-101B-9397-08002B2CF9AE}" pid="4" name="ICV">
    <vt:lpwstr>00764D6994C443BCB40DA5A6F617E41E_12</vt:lpwstr>
  </property>
</Properties>
</file>