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版本号：ZCZB-2026-014520260607001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空调等设备购置项目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ZCZB-2026-0145</w:t>
      </w:r>
      <w:r>
        <w:br/>
      </w:r>
      <w:r>
        <w:br/>
      </w:r>
      <w:r>
        <w:br/>
      </w:r>
    </w:p>
    <w:p>
      <w:pPr>
        <w:pStyle w:val="null3"/>
        <w:jc w:val="center"/>
        <w:outlineLvl w:val="2"/>
      </w:pPr>
      <w:r>
        <w:rPr>
          <w:rFonts w:ascii="仿宋_GB2312" w:hAnsi="仿宋_GB2312" w:cs="仿宋_GB2312" w:eastAsia="仿宋_GB2312"/>
          <w:sz w:val="28"/>
          <w:b/>
        </w:rPr>
        <w:t>合阳县有莘中学</w:t>
      </w:r>
    </w:p>
    <w:p>
      <w:pPr>
        <w:pStyle w:val="null3"/>
        <w:jc w:val="center"/>
        <w:outlineLvl w:val="2"/>
      </w:pPr>
      <w:r>
        <w:rPr>
          <w:rFonts w:ascii="仿宋_GB2312" w:hAnsi="仿宋_GB2312" w:cs="仿宋_GB2312" w:eastAsia="仿宋_GB2312"/>
          <w:sz w:val="28"/>
          <w:b/>
        </w:rPr>
        <w:t>陕西正城项目管理有限公司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陕西正城项目管理有限公司</w:t>
      </w:r>
      <w:r>
        <w:rPr>
          <w:rFonts w:ascii="仿宋_GB2312" w:hAnsi="仿宋_GB2312" w:cs="仿宋_GB2312" w:eastAsia="仿宋_GB2312"/>
        </w:rPr>
        <w:t>（以下简称“代理机构”）受</w:t>
      </w:r>
      <w:r>
        <w:rPr>
          <w:rFonts w:ascii="仿宋_GB2312" w:hAnsi="仿宋_GB2312" w:cs="仿宋_GB2312" w:eastAsia="仿宋_GB2312"/>
        </w:rPr>
        <w:t>合阳县有莘中学</w:t>
      </w:r>
      <w:r>
        <w:rPr>
          <w:rFonts w:ascii="仿宋_GB2312" w:hAnsi="仿宋_GB2312" w:cs="仿宋_GB2312" w:eastAsia="仿宋_GB2312"/>
        </w:rPr>
        <w:t>委托，拟对</w:t>
      </w:r>
      <w:r>
        <w:rPr>
          <w:rFonts w:ascii="仿宋_GB2312" w:hAnsi="仿宋_GB2312" w:cs="仿宋_GB2312" w:eastAsia="仿宋_GB2312"/>
        </w:rPr>
        <w:t>空调等设备购置项目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ZCZB-2026-0145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空调等设备购置项目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合阳县有莘中学空调等设备购置项目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1、授权书：投标人代表应提供法定代表人（单位负责人）授权书（附法定代表人（单位负责人）及被授权人身份证复印件），法定代表人（单位负责人）直接参加只须提供法定代表人（单位负责人）身份证明；</w:t>
      </w:r>
    </w:p>
    <w:p>
      <w:pPr>
        <w:pStyle w:val="null3"/>
      </w:pPr>
      <w:r>
        <w:rPr>
          <w:rFonts w:ascii="仿宋_GB2312" w:hAnsi="仿宋_GB2312" w:cs="仿宋_GB2312" w:eastAsia="仿宋_GB2312"/>
        </w:rPr>
        <w:t>2、信用：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其它：本项目不接受联合体投标，单位负责人为同一人或者存在直接控股、管理关系的不同单位，不得参加同一合同项下的政府采购活动，为采购项目提供整体设计、规范编制或者项目管理、监理、检测等服务的供应商，不得再参加该采购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合阳县有莘中学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合阳县九龙大道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党永辉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17391061559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陕西省西安市莲湖区太和时代广场C座206室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李岩泽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18049223846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采购包1：444,300.00元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开户名称：陕西正城项目管理有限公司</w:t>
            </w:r>
          </w:p>
          <w:p>
            <w:pPr>
              <w:pStyle w:val="null3"/>
            </w:pPr>
            <w:r>
              <w:rPr>
                <w:rFonts w:ascii="仿宋_GB2312" w:hAnsi="仿宋_GB2312" w:cs="仿宋_GB2312" w:eastAsia="仿宋_GB2312"/>
              </w:rPr>
              <w:t>开户银行：交通银行西安大寨路支行</w:t>
            </w:r>
          </w:p>
          <w:p>
            <w:pPr>
              <w:pStyle w:val="null3"/>
            </w:pPr>
            <w:r>
              <w:rPr>
                <w:rFonts w:ascii="仿宋_GB2312" w:hAnsi="仿宋_GB2312" w:cs="仿宋_GB2312" w:eastAsia="仿宋_GB2312"/>
              </w:rPr>
              <w:t>银行账号：611301079013001226728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代理服务费收费标准：招标代理服务费的金额参照国家发展计划委员会计价格[2002]1980号文件、《关于招标代理服务收费有关问题的通知》（发改办价格[2003]857号）规定的标准收取。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合阳县有莘中学</w:t>
      </w:r>
      <w:r>
        <w:rPr>
          <w:rFonts w:ascii="仿宋_GB2312" w:hAnsi="仿宋_GB2312" w:cs="仿宋_GB2312" w:eastAsia="仿宋_GB2312"/>
        </w:rPr>
        <w:t>和</w:t>
      </w:r>
      <w:r>
        <w:rPr>
          <w:rFonts w:ascii="仿宋_GB2312" w:hAnsi="仿宋_GB2312" w:cs="仿宋_GB2312" w:eastAsia="仿宋_GB2312"/>
        </w:rPr>
        <w:t>陕西正城项目管理有限公司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合阳县有莘中学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合阳县有莘中学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联系人：李岩泽</w:t>
      </w:r>
    </w:p>
    <w:p>
      <w:pPr>
        <w:pStyle w:val="null3"/>
      </w:pPr>
      <w:r>
        <w:rPr>
          <w:rFonts w:ascii="仿宋_GB2312" w:hAnsi="仿宋_GB2312" w:cs="仿宋_GB2312" w:eastAsia="仿宋_GB2312"/>
        </w:rPr>
        <w:t>联系电话：18049223846</w:t>
      </w:r>
    </w:p>
    <w:p>
      <w:pPr>
        <w:pStyle w:val="null3"/>
      </w:pPr>
      <w:r>
        <w:rPr>
          <w:rFonts w:ascii="仿宋_GB2312" w:hAnsi="仿宋_GB2312" w:cs="仿宋_GB2312" w:eastAsia="仿宋_GB2312"/>
        </w:rPr>
        <w:t>地址：陕西省西安市莲湖区太和时代广场C座206室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合阳县有莘中学空调等设备购置项目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444,300.00</w:t>
      </w:r>
    </w:p>
    <w:p>
      <w:pPr>
        <w:pStyle w:val="null3"/>
      </w:pPr>
      <w:r>
        <w:rPr>
          <w:rFonts w:ascii="仿宋_GB2312" w:hAnsi="仿宋_GB2312" w:cs="仿宋_GB2312" w:eastAsia="仿宋_GB2312"/>
        </w:rPr>
        <w:t>采购包最高限价（元）: 444,300.00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合阳县有莘中学空调等设备购置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444,300.00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标的名称：合阳县有莘中学空调等设备购置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7"/>
              <w:gridCol w:w="331"/>
              <w:gridCol w:w="1645"/>
              <w:gridCol w:w="191"/>
              <w:gridCol w:w="191"/>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3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品名</w:t>
                  </w:r>
                </w:p>
              </w:tc>
              <w:tc>
                <w:tcPr>
                  <w:tcW w:type="dxa" w:w="164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c>
                <w:tcPr>
                  <w:tcW w:type="dxa" w:w="19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9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 xml:space="preserve">※ </w:t>
                  </w:r>
                  <w:r>
                    <w:rPr>
                      <w:rFonts w:ascii="仿宋_GB2312" w:hAnsi="仿宋_GB2312" w:cs="仿宋_GB2312" w:eastAsia="仿宋_GB2312"/>
                      <w:sz w:val="20"/>
                      <w:color w:val="000000"/>
                    </w:rPr>
                    <w:t>天花机</w:t>
                  </w:r>
                </w:p>
              </w:tc>
              <w:tc>
                <w:tcPr>
                  <w:tcW w:type="dxa" w:w="1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1.制冷量：≥12KW,制热量：≥12.5KW,</w:t>
                  </w:r>
                  <w:r>
                    <w:br/>
                  </w:r>
                  <w:r>
                    <w:rPr>
                      <w:rFonts w:ascii="仿宋_GB2312" w:hAnsi="仿宋_GB2312" w:cs="仿宋_GB2312" w:eastAsia="仿宋_GB2312"/>
                      <w:sz w:val="20"/>
                      <w:color w:val="000000"/>
                    </w:rPr>
                    <w:t>2.耗电（0.85-5.5/0.75-5.1）</w:t>
                  </w:r>
                  <w:r>
                    <w:br/>
                  </w:r>
                  <w:r>
                    <w:rPr>
                      <w:rFonts w:ascii="仿宋_GB2312" w:hAnsi="仿宋_GB2312" w:cs="仿宋_GB2312" w:eastAsia="仿宋_GB2312"/>
                      <w:sz w:val="20"/>
                      <w:color w:val="000000"/>
                    </w:rPr>
                    <w:t>3.噪声：≤55dB(A),</w:t>
                  </w:r>
                  <w:r>
                    <w:br/>
                  </w:r>
                  <w:r>
                    <w:rPr>
                      <w:rFonts w:ascii="仿宋_GB2312" w:hAnsi="仿宋_GB2312" w:cs="仿宋_GB2312" w:eastAsia="仿宋_GB2312"/>
                      <w:sz w:val="20"/>
                      <w:color w:val="000000"/>
                    </w:rPr>
                    <w:t>4.外机尺寸约980*1260*410mm</w:t>
                  </w:r>
                  <w:r>
                    <w:br/>
                  </w:r>
                  <w:r>
                    <w:rPr>
                      <w:rFonts w:ascii="仿宋_GB2312" w:hAnsi="仿宋_GB2312" w:cs="仿宋_GB2312" w:eastAsia="仿宋_GB2312"/>
                      <w:sz w:val="20"/>
                      <w:color w:val="000000"/>
                    </w:rPr>
                    <w:t>5.内机尺寸：宽*高*深约850*250*850mm</w:t>
                  </w:r>
                  <w:r>
                    <w:br/>
                  </w:r>
                  <w:r>
                    <w:rPr>
                      <w:rFonts w:ascii="仿宋_GB2312" w:hAnsi="仿宋_GB2312" w:cs="仿宋_GB2312" w:eastAsia="仿宋_GB2312"/>
                      <w:sz w:val="20"/>
                      <w:color w:val="000000"/>
                    </w:rPr>
                    <w:t>6.电压/频率：380v/50Hz</w:t>
                  </w:r>
                  <w:r>
                    <w:br/>
                  </w:r>
                  <w:r>
                    <w:rPr>
                      <w:rFonts w:ascii="仿宋_GB2312" w:hAnsi="仿宋_GB2312" w:cs="仿宋_GB2312" w:eastAsia="仿宋_GB2312"/>
                      <w:sz w:val="20"/>
                      <w:color w:val="000000"/>
                    </w:rPr>
                    <w:t>7.能效等级：三级</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壁挂式空调（</w:t>
                  </w:r>
                  <w:r>
                    <w:rPr>
                      <w:rFonts w:ascii="仿宋_GB2312" w:hAnsi="仿宋_GB2312" w:cs="仿宋_GB2312" w:eastAsia="仿宋_GB2312"/>
                      <w:sz w:val="20"/>
                      <w:color w:val="000000"/>
                    </w:rPr>
                    <w:t>2P）</w:t>
                  </w:r>
                </w:p>
              </w:tc>
              <w:tc>
                <w:tcPr>
                  <w:tcW w:type="dxa" w:w="1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1.冷暖类型：变频冷暖</w:t>
                  </w:r>
                  <w:r>
                    <w:br/>
                  </w:r>
                  <w:r>
                    <w:rPr>
                      <w:rFonts w:ascii="仿宋_GB2312" w:hAnsi="仿宋_GB2312" w:cs="仿宋_GB2312" w:eastAsia="仿宋_GB2312"/>
                      <w:sz w:val="20"/>
                      <w:color w:val="000000"/>
                    </w:rPr>
                    <w:t>2.能效等级：三级</w:t>
                  </w:r>
                  <w:r>
                    <w:br/>
                  </w:r>
                  <w:r>
                    <w:rPr>
                      <w:rFonts w:ascii="仿宋_GB2312" w:hAnsi="仿宋_GB2312" w:cs="仿宋_GB2312" w:eastAsia="仿宋_GB2312"/>
                      <w:sz w:val="20"/>
                      <w:color w:val="000000"/>
                    </w:rPr>
                    <w:t>3.额定制冷量：≥5000W</w:t>
                  </w:r>
                  <w:r>
                    <w:br/>
                  </w:r>
                  <w:r>
                    <w:rPr>
                      <w:rFonts w:ascii="仿宋_GB2312" w:hAnsi="仿宋_GB2312" w:cs="仿宋_GB2312" w:eastAsia="仿宋_GB2312"/>
                      <w:sz w:val="20"/>
                      <w:color w:val="000000"/>
                    </w:rPr>
                    <w:t>4.额定制冷消耗功率：≤1500W</w:t>
                  </w:r>
                  <w:r>
                    <w:br/>
                  </w:r>
                  <w:r>
                    <w:rPr>
                      <w:rFonts w:ascii="仿宋_GB2312" w:hAnsi="仿宋_GB2312" w:cs="仿宋_GB2312" w:eastAsia="仿宋_GB2312"/>
                      <w:sz w:val="20"/>
                      <w:color w:val="000000"/>
                    </w:rPr>
                    <w:t>5.额定制热量:≥6650W</w:t>
                  </w:r>
                  <w:r>
                    <w:br/>
                  </w:r>
                  <w:r>
                    <w:rPr>
                      <w:rFonts w:ascii="仿宋_GB2312" w:hAnsi="仿宋_GB2312" w:cs="仿宋_GB2312" w:eastAsia="仿宋_GB2312"/>
                      <w:sz w:val="20"/>
                      <w:color w:val="000000"/>
                    </w:rPr>
                    <w:t>6.额定制热消耗功率：≤2100W</w:t>
                  </w:r>
                  <w:r>
                    <w:br/>
                  </w:r>
                  <w:r>
                    <w:rPr>
                      <w:rFonts w:ascii="仿宋_GB2312" w:hAnsi="仿宋_GB2312" w:cs="仿宋_GB2312" w:eastAsia="仿宋_GB2312"/>
                      <w:sz w:val="20"/>
                      <w:color w:val="000000"/>
                    </w:rPr>
                    <w:t>7.全年能源消耗率：≥3.80W/W</w:t>
                  </w:r>
                  <w:r>
                    <w:br/>
                  </w:r>
                  <w:r>
                    <w:rPr>
                      <w:rFonts w:ascii="仿宋_GB2312" w:hAnsi="仿宋_GB2312" w:cs="仿宋_GB2312" w:eastAsia="仿宋_GB2312"/>
                      <w:sz w:val="20"/>
                      <w:color w:val="000000"/>
                    </w:rPr>
                    <w:t>8.循环风量：≥1000m</w:t>
                  </w:r>
                  <w:r>
                    <w:rPr>
                      <w:rFonts w:ascii="仿宋_GB2312" w:hAnsi="仿宋_GB2312" w:cs="仿宋_GB2312" w:eastAsia="仿宋_GB2312"/>
                      <w:sz w:val="20"/>
                      <w:color w:val="000000"/>
                    </w:rPr>
                    <w:t>³</w:t>
                  </w:r>
                  <w:r>
                    <w:rPr>
                      <w:rFonts w:ascii="仿宋_GB2312" w:hAnsi="仿宋_GB2312" w:cs="仿宋_GB2312" w:eastAsia="仿宋_GB2312"/>
                      <w:sz w:val="20"/>
                      <w:color w:val="000000"/>
                    </w:rPr>
                    <w:t>/h</w:t>
                  </w:r>
                  <w:r>
                    <w:br/>
                  </w:r>
                  <w:r>
                    <w:rPr>
                      <w:rFonts w:ascii="仿宋_GB2312" w:hAnsi="仿宋_GB2312" w:cs="仿宋_GB2312" w:eastAsia="仿宋_GB2312"/>
                      <w:sz w:val="20"/>
                      <w:color w:val="000000"/>
                    </w:rPr>
                    <w:t>9.噪音室内机：≤44dB(A)</w:t>
                  </w:r>
                </w:p>
                <w:p>
                  <w:pPr>
                    <w:pStyle w:val="null3"/>
                    <w:jc w:val="left"/>
                  </w:pPr>
                  <w:r>
                    <w:rPr>
                      <w:rFonts w:ascii="仿宋_GB2312" w:hAnsi="仿宋_GB2312" w:cs="仿宋_GB2312" w:eastAsia="仿宋_GB2312"/>
                      <w:sz w:val="20"/>
                      <w:color w:val="000000"/>
                    </w:rPr>
                    <w:t>10.噪音室外机：≤53dB(A）</w:t>
                  </w:r>
                </w:p>
                <w:p>
                  <w:pPr>
                    <w:pStyle w:val="null3"/>
                    <w:jc w:val="left"/>
                  </w:pPr>
                  <w:r>
                    <w:rPr>
                      <w:rFonts w:ascii="仿宋_GB2312" w:hAnsi="仿宋_GB2312" w:cs="仿宋_GB2312" w:eastAsia="仿宋_GB2312"/>
                      <w:sz w:val="20"/>
                      <w:color w:val="000000"/>
                    </w:rPr>
                    <w:t>11.自清洁</w:t>
                  </w:r>
                </w:p>
                <w:p>
                  <w:pPr>
                    <w:pStyle w:val="null3"/>
                    <w:jc w:val="left"/>
                  </w:pPr>
                  <w:r>
                    <w:rPr>
                      <w:rFonts w:ascii="仿宋_GB2312" w:hAnsi="仿宋_GB2312" w:cs="仿宋_GB2312" w:eastAsia="仿宋_GB2312"/>
                      <w:sz w:val="20"/>
                      <w:color w:val="000000"/>
                    </w:rPr>
                    <w:t>12.包含安装、材料和拆除旧机费用</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壁挂式</w:t>
                  </w:r>
                  <w:r>
                    <w:br/>
                  </w:r>
                  <w:r>
                    <w:rPr>
                      <w:rFonts w:ascii="仿宋_GB2312" w:hAnsi="仿宋_GB2312" w:cs="仿宋_GB2312" w:eastAsia="仿宋_GB2312"/>
                      <w:sz w:val="20"/>
                      <w:color w:val="000000"/>
                    </w:rPr>
                    <w:t>空调（大</w:t>
                  </w:r>
                  <w:r>
                    <w:rPr>
                      <w:rFonts w:ascii="仿宋_GB2312" w:hAnsi="仿宋_GB2312" w:cs="仿宋_GB2312" w:eastAsia="仿宋_GB2312"/>
                      <w:sz w:val="20"/>
                      <w:color w:val="000000"/>
                    </w:rPr>
                    <w:t>1.5P）</w:t>
                  </w:r>
                </w:p>
              </w:tc>
              <w:tc>
                <w:tcPr>
                  <w:tcW w:type="dxa" w:w="1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1.冷暖类型：变频冷暖</w:t>
                  </w:r>
                  <w:r>
                    <w:br/>
                  </w:r>
                  <w:r>
                    <w:rPr>
                      <w:rFonts w:ascii="仿宋_GB2312" w:hAnsi="仿宋_GB2312" w:cs="仿宋_GB2312" w:eastAsia="仿宋_GB2312"/>
                      <w:sz w:val="20"/>
                      <w:color w:val="000000"/>
                    </w:rPr>
                    <w:t>2.能效等级：三级</w:t>
                  </w:r>
                  <w:r>
                    <w:br/>
                  </w:r>
                  <w:r>
                    <w:rPr>
                      <w:rFonts w:ascii="仿宋_GB2312" w:hAnsi="仿宋_GB2312" w:cs="仿宋_GB2312" w:eastAsia="仿宋_GB2312"/>
                      <w:sz w:val="20"/>
                      <w:color w:val="000000"/>
                    </w:rPr>
                    <w:t>3.额定制冷量：≥3500W</w:t>
                  </w:r>
                  <w:r>
                    <w:br/>
                  </w:r>
                  <w:r>
                    <w:rPr>
                      <w:rFonts w:ascii="仿宋_GB2312" w:hAnsi="仿宋_GB2312" w:cs="仿宋_GB2312" w:eastAsia="仿宋_GB2312"/>
                      <w:sz w:val="20"/>
                      <w:color w:val="000000"/>
                    </w:rPr>
                    <w:t>4.额定制冷消耗功率：≤1000W</w:t>
                  </w:r>
                  <w:r>
                    <w:br/>
                  </w:r>
                  <w:r>
                    <w:rPr>
                      <w:rFonts w:ascii="仿宋_GB2312" w:hAnsi="仿宋_GB2312" w:cs="仿宋_GB2312" w:eastAsia="仿宋_GB2312"/>
                      <w:sz w:val="20"/>
                      <w:color w:val="000000"/>
                    </w:rPr>
                    <w:t>5.额定制热量:≥4500W</w:t>
                  </w:r>
                  <w:r>
                    <w:br/>
                  </w:r>
                  <w:r>
                    <w:rPr>
                      <w:rFonts w:ascii="仿宋_GB2312" w:hAnsi="仿宋_GB2312" w:cs="仿宋_GB2312" w:eastAsia="仿宋_GB2312"/>
                      <w:sz w:val="20"/>
                      <w:color w:val="000000"/>
                    </w:rPr>
                    <w:t>6.额定制热消耗功率：≤1400W</w:t>
                  </w:r>
                  <w:r>
                    <w:br/>
                  </w:r>
                  <w:r>
                    <w:rPr>
                      <w:rFonts w:ascii="仿宋_GB2312" w:hAnsi="仿宋_GB2312" w:cs="仿宋_GB2312" w:eastAsia="仿宋_GB2312"/>
                      <w:sz w:val="20"/>
                      <w:color w:val="000000"/>
                    </w:rPr>
                    <w:t>7.全年能源消耗率：≥4.20W/W</w:t>
                  </w:r>
                  <w:r>
                    <w:br/>
                  </w:r>
                  <w:r>
                    <w:rPr>
                      <w:rFonts w:ascii="仿宋_GB2312" w:hAnsi="仿宋_GB2312" w:cs="仿宋_GB2312" w:eastAsia="仿宋_GB2312"/>
                      <w:sz w:val="20"/>
                      <w:color w:val="000000"/>
                    </w:rPr>
                    <w:t>8.循环风量：≥630m</w:t>
                  </w:r>
                  <w:r>
                    <w:rPr>
                      <w:rFonts w:ascii="仿宋_GB2312" w:hAnsi="仿宋_GB2312" w:cs="仿宋_GB2312" w:eastAsia="仿宋_GB2312"/>
                      <w:sz w:val="20"/>
                      <w:color w:val="000000"/>
                    </w:rPr>
                    <w:t>³</w:t>
                  </w:r>
                  <w:r>
                    <w:rPr>
                      <w:rFonts w:ascii="仿宋_GB2312" w:hAnsi="仿宋_GB2312" w:cs="仿宋_GB2312" w:eastAsia="仿宋_GB2312"/>
                      <w:sz w:val="20"/>
                      <w:color w:val="000000"/>
                    </w:rPr>
                    <w:t>/h</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噪音室内机：</w:t>
                  </w:r>
                  <w:r>
                    <w:rPr>
                      <w:rFonts w:ascii="仿宋_GB2312" w:hAnsi="仿宋_GB2312" w:cs="仿宋_GB2312" w:eastAsia="仿宋_GB2312"/>
                      <w:sz w:val="20"/>
                      <w:color w:val="000000"/>
                    </w:rPr>
                    <w:t>≤41dB(A)</w:t>
                  </w:r>
                  <w:r>
                    <w:br/>
                  </w:r>
                  <w:r>
                    <w:rPr>
                      <w:rFonts w:ascii="仿宋_GB2312" w:hAnsi="仿宋_GB2312" w:cs="仿宋_GB2312" w:eastAsia="仿宋_GB2312"/>
                      <w:sz w:val="20"/>
                      <w:color w:val="000000"/>
                    </w:rPr>
                    <w:t>10.噪音室</w:t>
                  </w:r>
                  <w:r>
                    <w:rPr>
                      <w:rFonts w:ascii="仿宋_GB2312" w:hAnsi="仿宋_GB2312" w:cs="仿宋_GB2312" w:eastAsia="仿宋_GB2312"/>
                      <w:sz w:val="20"/>
                      <w:color w:val="000000"/>
                    </w:rPr>
                    <w:t>外</w:t>
                  </w:r>
                  <w:r>
                    <w:rPr>
                      <w:rFonts w:ascii="仿宋_GB2312" w:hAnsi="仿宋_GB2312" w:cs="仿宋_GB2312" w:eastAsia="仿宋_GB2312"/>
                      <w:sz w:val="20"/>
                      <w:color w:val="000000"/>
                    </w:rPr>
                    <w:t>机：</w:t>
                  </w:r>
                  <w:r>
                    <w:rPr>
                      <w:rFonts w:ascii="仿宋_GB2312" w:hAnsi="仿宋_GB2312" w:cs="仿宋_GB2312" w:eastAsia="仿宋_GB2312"/>
                      <w:sz w:val="20"/>
                      <w:color w:val="000000"/>
                    </w:rPr>
                    <w:t>≤</w:t>
                  </w:r>
                  <w:r>
                    <w:rPr>
                      <w:rFonts w:ascii="仿宋_GB2312" w:hAnsi="仿宋_GB2312" w:cs="仿宋_GB2312" w:eastAsia="仿宋_GB2312"/>
                      <w:sz w:val="20"/>
                      <w:color w:val="000000"/>
                    </w:rPr>
                    <w:t>51dB(A）</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.自清洁</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.包含安装、材料和拆除旧机费用</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线控器</w:t>
                  </w:r>
                </w:p>
              </w:tc>
              <w:tc>
                <w:tcPr>
                  <w:tcW w:type="dxa" w:w="1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实现对主机的自动运行、制冷、制热、除湿、通风、节能、除霜等模式和强制关机、自检等功能控制。</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辅料及安装费用</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铜管、保温棉、帆布、信号线。</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教室电路改造</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1.电路布线。</w:t>
                  </w:r>
                  <w:r>
                    <w:br/>
                  </w:r>
                  <w:r>
                    <w:rPr>
                      <w:rFonts w:ascii="仿宋_GB2312" w:hAnsi="仿宋_GB2312" w:cs="仿宋_GB2312" w:eastAsia="仿宋_GB2312"/>
                      <w:sz w:val="20"/>
                      <w:color w:val="000000"/>
                    </w:rPr>
                    <w:t>2.国标铜芯线 6.0.</w:t>
                  </w:r>
                  <w:r>
                    <w:br/>
                  </w:r>
                  <w:r>
                    <w:rPr>
                      <w:rFonts w:ascii="仿宋_GB2312" w:hAnsi="仿宋_GB2312" w:cs="仿宋_GB2312" w:eastAsia="仿宋_GB2312"/>
                      <w:sz w:val="20"/>
                      <w:color w:val="000000"/>
                    </w:rPr>
                    <w:t>3.线管φ20，按配电标准预埋敷设，提供优质 PVC 线管</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楼道电路改造</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主线：</w:t>
                  </w:r>
                  <w:r>
                    <w:rPr>
                      <w:rFonts w:ascii="仿宋_GB2312" w:hAnsi="仿宋_GB2312" w:cs="仿宋_GB2312" w:eastAsia="仿宋_GB2312"/>
                      <w:sz w:val="20"/>
                      <w:color w:val="000000"/>
                    </w:rPr>
                    <w:t>JV-3×16mm</w:t>
                  </w:r>
                  <w:r>
                    <w:rPr>
                      <w:rFonts w:ascii="仿宋_GB2312" w:hAnsi="仿宋_GB2312" w:cs="仿宋_GB2312" w:eastAsia="仿宋_GB2312"/>
                      <w:sz w:val="20"/>
                      <w:color w:val="000000"/>
                    </w:rPr>
                    <w:t>²</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+ 2×10mm</w:t>
                  </w:r>
                  <w:r>
                    <w:rPr>
                      <w:rFonts w:ascii="仿宋_GB2312" w:hAnsi="仿宋_GB2312" w:cs="仿宋_GB2312" w:eastAsia="仿宋_GB2312"/>
                      <w:sz w:val="20"/>
                      <w:color w:val="000000"/>
                    </w:rPr>
                    <w:t>²</w:t>
                  </w:r>
                  <w:r>
                    <w:rPr>
                      <w:rFonts w:ascii="仿宋_GB2312" w:hAnsi="仿宋_GB2312" w:cs="仿宋_GB2312" w:eastAsia="仿宋_GB2312"/>
                      <w:sz w:val="20"/>
                      <w:color w:val="000000"/>
                    </w:rPr>
                    <w:t>（铜缆）</w:t>
                  </w:r>
                  <w:r>
                    <w:rPr>
                      <w:rFonts w:ascii="仿宋_GB2312" w:hAnsi="仿宋_GB2312" w:cs="仿宋_GB2312" w:eastAsia="仿宋_GB2312"/>
                      <w:sz w:val="20"/>
                      <w:color w:val="000000"/>
                    </w:rPr>
                    <w:t>350米。</w:t>
                  </w:r>
                </w:p>
                <w:p>
                  <w:pPr>
                    <w:pStyle w:val="null3"/>
                    <w:jc w:val="left"/>
                  </w:pPr>
                  <w:r>
                    <w:rPr>
                      <w:rFonts w:ascii="仿宋_GB2312" w:hAnsi="仿宋_GB2312" w:cs="仿宋_GB2312" w:eastAsia="仿宋_GB2312"/>
                      <w:sz w:val="20"/>
                      <w:color w:val="000000"/>
                    </w:rPr>
                    <w:t>空调线路改造做到空调时控统一控制</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拆除</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拆除原风扇、粉刷顶、顶面粉刷恢复。</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电表（含空开）</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国标</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bl>
          <w:p>
            <w:pPr>
              <w:pStyle w:val="null3"/>
              <w:jc w:val="both"/>
            </w:pPr>
            <w:r>
              <w:rPr>
                <w:rFonts w:ascii="仿宋_GB2312" w:hAnsi="仿宋_GB2312" w:cs="仿宋_GB2312" w:eastAsia="仿宋_GB2312"/>
                <w:sz w:val="24"/>
                <w:b/>
              </w:rPr>
              <w:t>说明：本项目核心产品：</w:t>
            </w:r>
            <w:r>
              <w:rPr>
                <w:rFonts w:ascii="仿宋_GB2312" w:hAnsi="仿宋_GB2312" w:cs="仿宋_GB2312" w:eastAsia="仿宋_GB2312"/>
                <w:sz w:val="24"/>
                <w:b/>
              </w:rPr>
              <w:t xml:space="preserve">※ </w:t>
            </w:r>
            <w:r>
              <w:rPr>
                <w:rFonts w:ascii="仿宋_GB2312" w:hAnsi="仿宋_GB2312" w:cs="仿宋_GB2312" w:eastAsia="仿宋_GB2312"/>
                <w:sz w:val="24"/>
                <w:b/>
              </w:rPr>
              <w:t>天花机</w:t>
            </w:r>
            <w:r>
              <w:rPr>
                <w:rFonts w:ascii="仿宋_GB2312" w:hAnsi="仿宋_GB2312" w:cs="仿宋_GB2312" w:eastAsia="仿宋_GB2312"/>
                <w:sz w:val="24"/>
                <w:b/>
              </w:rPr>
              <w:t>。</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进度款，项目设施设备安装调试完成，经验收合格后，达到付款条件起30个工作日内，支付合同总金额的85.0%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进度款，待审计结束后，付清剩余项目款，达到付款条件起30个工作日内，支付合同总金额的15.0%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供应商共同对项目整体进行验收。软件安装、调试并正常运行后，由乙方进行自检，合格后，准备验收文件，并书面通知甲方。甲方确认乙方的自检内容后，会同乙方（必要时请有关专家）进行验收，验收合格后，填写项目验收单（一式四份）作为对系统的最终认可。 验收标准：按招标文件、投标文件及澄清函等技术指标进行验收。各项指标均应符合验收标准及要求。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质保期：自项目验收合格之日起3年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合同执行中发生争议的，当事人双方应协商解决，协商达不成一致时，可向项目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备注：银行、保险、石油石化、电力、电信等行业分支机构参与本项目投标时，投标响应文件中须提供相关授权文件。 享受中小企业扶持政策的供应商应当满足下列条件：在货物采购项目中，货物应当由中小企业制造，不对其中涉及的服务的承接商作出要求；在工程采购项目中，工程应当由中小企业承建，不对其中涉及的货物的制造商和服务的承接商作出要求；在服务采购项目中，服务的承接商应当为中小企业，不对其中涉及的货物的制造商作出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并提供以下证明材料： 1.财务状况：供应商是法人的，提供2024年或2025年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 2.税收缴纳证明：提供2025年6月1日以来任意一个月税收缴纳证明（至少包含增值税或企业所得税其中一种），依法免税或不需要缴纳税收的单位应提供相关证明材料； 3.社会保障资金缴纳证明：提供2025年6月1日以来任意一个月的社会保障资金缴存单据或社保机构开具的社会保险参保缴费情况证明，依法不需要缴纳社会保障资金的单位应提供相关证明材料； 4.具备履行合同所必需的设备和专业技术能力的证明材料（书面声明）； 5.参加政府采购活动前3年内在经营活动中没有重大违法记录的书面声明； 6.企业法人具有有效的营业执照（具备统一社会信用代码）；事业法人应具有有效的事业单位法人证；其他组织应具有合法证明文件；自然人具有身份证明文件；</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投标人代表应提供法定代表人（单位负责人）授权书（附法定代表人（单位负责人）及被授权人身份证复印件），法定代表人（单位负责人）直接参加只须提供法定代表人（单位负责人）身份证明；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合同项下的政府采购活动，为采购项目提供整体设计、规范编制或者项目管理、监理、检测等服务的供应商，不得再参加该采购项目。</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（一）《关于推动解决政府采购异常低价问题的通知》（财库〔2026〕2 号）， 要求强化政府采购异常低价审查，政府采购评审中出现下列情形之一的，评审委 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投标（响应）文件构成无重大缺项，按照采购文件要求编写投标（响应）文件。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投标（响应）文件的签署、加盖印章合格、有效；提供的各种证明文件、数据、资料有效，投标有效期是否满足招标文件规定，授权期限是否满足招标文件中规定的有效期。</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投标方案是否有重大缺漏项；投标产品的技术规格是否有重大偏离；投标商务条款是否有重大偏离；对合同中规定的双方的权利和义务是否做出了实质性修改。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商务应答表 投标文件封面 产品技术参数表.docx 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是否按照招标文件规定提交了投标保证金或担保机构保函。</w:t>
            </w:r>
          </w:p>
        </w:tc>
        <w:tc>
          <w:tcPr>
            <w:tcW w:type="dxa" w:w="1661"/>
          </w:tcPr>
          <w:p>
            <w:pPr>
              <w:pStyle w:val="null3"/>
            </w:pPr>
            <w:r>
              <w:rPr>
                <w:rFonts w:ascii="仿宋_GB2312" w:hAnsi="仿宋_GB2312" w:cs="仿宋_GB2312" w:eastAsia="仿宋_GB2312"/>
              </w:rPr>
              <w:t>投标文件封面 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投标报价是否超过项目采购预算。</w:t>
            </w:r>
          </w:p>
        </w:tc>
        <w:tc>
          <w:tcPr>
            <w:tcW w:type="dxa" w:w="1661"/>
          </w:tcPr>
          <w:p>
            <w:pPr>
              <w:pStyle w:val="null3"/>
            </w:pPr>
            <w:r>
              <w:rPr>
                <w:rFonts w:ascii="仿宋_GB2312" w:hAnsi="仿宋_GB2312" w:cs="仿宋_GB2312" w:eastAsia="仿宋_GB2312"/>
              </w:rPr>
              <w:t>开标一览表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招标文件其他章节中对无效投标的规定</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供应商提供的投标产品中每有一项节能产品(已列入节能产品政府采购品目清单且非强制采购产品)为经国家认证的得 1 分，每有一项环境标志产品（已列入环境标志产品政府采购品目清单）为经国家认证的得 1 分。满分2分。 （以经国家确定的认证机构出具的、处于有效期内的节能产品、环境标志产品认证证书为准。）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非强制节能、环境标志产品清单.docx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交货期在满足招标文件要求基础上，每提前5个日历天得2分，满分4分。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货源组织</w:t>
            </w:r>
          </w:p>
        </w:tc>
        <w:tc>
          <w:tcPr>
            <w:tcW w:type="dxa" w:w="2492"/>
          </w:tcPr>
          <w:p>
            <w:pPr>
              <w:pStyle w:val="null3"/>
            </w:pPr>
            <w:r>
              <w:rPr>
                <w:rFonts w:ascii="仿宋_GB2312" w:hAnsi="仿宋_GB2312" w:cs="仿宋_GB2312" w:eastAsia="仿宋_GB2312"/>
              </w:rPr>
              <w:t>天花机、壁挂式空调（2P）、壁挂式空调（大1.5P）需提供产品的合法来源渠道证明材料或情况说明，每提供一项产品的合法证明材料得2分，满分6分。 备注：①投标人为所投产品的制造商，需提供情况说明，说明某一项产品为制造商自己生产。 ②投标人为所投产品代理商或其他情况，产品来源渠道合法的证明材料包括但不限于原厂授权书、销售协议、代理协议等证明材料其中任意一种。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合法来源渠道证明材料.docx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供应商所投产品技术参数清楚、明确并能逐条响应并满足招标文件“采购内容及技术要求”参数表中所有参数要求，（1）满足招标文件参数技术指标得5分，每有一条负偏离扣0.5分，扣完为止。（2）对招标文件参数有进一步说明的得5分，照搬“招标文件参数技术指标”中内容未做进一步说明的每项扣0.5分，扣完为止。 （3）优于招标文件参数要求的每有一项得1分，最高得5分。 （4）供应商所投产品技术参数清楚、无任何参数遗漏的得 5 分，每遗漏一项扣0.5分，扣完为止； 备注：参数需提供相应证明材料（证明材料包含但不限于技术白皮书、官网功能截图、产品彩页、产品技术说明、相关检测报告等资料任意一种。）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针对本项目提供完整的项目供货方案： 内容包含：①供货实施计划；②安装及调试方案；③培训方案；④应急预案等组织措施；⑤人员配备。 2、评审标准 ①完整性：方案须全面，对评审内容中的各项要求有详细描述及说明； ②可实施性：切合本项目实际情况，实施步骤清晰、科学、合理； ③针对性：方案能够紧扣项目实际情况，内容全面、科学合理、详细具体。 3、赋分标准 ①供货实施计划每完全满足一个评审标准得2分，满分6分；每有一处描述有缺陷的扣0.5 分，该项扣完为止； ②安装及调试方案每完全满足一个评审标准得1.5分，满分4.5分；每有一处描述有缺陷的扣0.5 分，该项扣完为止； ③培训方案每完全满足一个评审标准得1.5分，满分4.5分； 每有一处描述有缺陷的扣0.5 分，该项扣完为止； ④应急预案等组织措施每完全满足一个评审标准得1.5分，满分4.5分；每有一处描述有缺陷的扣0.5 分，该项扣完为止； ⑤人员配备每完全满足一个评审标准得1.5分，满分4.5分。每有一处描述有缺陷的扣0.5 分，该项扣完为止。 备注：缺陷是指：内容逻辑混乱、描述过于简单、与项目特点不匹配、要求的内容有遗漏、出现常识性错误、存在不适用项目实际情况的情形、只有标题没有实质性内容以及套用挪用别的项目内容等情况。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 质量保障措施根据供应商提供的①质量保障承诺及措施；②产品性能；③验收方案及措施。 2、评审标准 供应商针对拟投设备性能稳定性、安全性、功能性、使用效果、质量保障措施及承诺书（须明确产品出现质量问题后的处置及处罚措施）、验收方案及措施等进行阐述； 3、赋分标准 ①设备性能稳定、技术先进，成熟度高，安全性及使用性充足，质量保障及验收方案具体全面，得7分； ②设备性能稳定，技术成熟，安全性及使用性基本可靠，质量保障及验收方案明确且可行性充足，得5分； ③设备性能基本稳定，具有一定安全性及使用性，基本满足用户需求，质量保障及验收方案明确且有一定可行性，得3分； ④设备性能一般，安全性及使用性不充足，质量保障及验收方案内容简单粗略，得1分。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 售后服务方案：包含①维护保养时间安排；②备品备件计划；③售后服务范围及保障措施；④出现故障响应时间及措施； 2、评审标准 根据招标文件要求和技术响应情况，对供应商提供的售后服务方案、承诺及保障措施（包括售后服务人员配备，售后服务流程，售后服务响应时间，备品备件保障措施，售后巡查及维护安排，售后服务监督与管理，客诉渠道）进行阐述； 3、赋分标准 ①方案内容详尽阐述，承诺及保障措施具体且针对性充足的，得7分； ②方案内容明确，承诺及保障措施明确且有一定针对性的，得5分； ③方案内容基本明确，承诺及保障措施简洁但具有一定针对性的，得3分； ④方案内容含糊，承诺及保障措施空洞且不具有针对性的，得1分；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1、经符合性审查合格的投标文件，其投标报价为有效投标报价。对有效投标报价进行政策性扣减，并依据扣减后的价格（评审价格）进行价格评审。 2、有效最低评审价格得30分。 3、按（有效最低评审价格/评审价格）×30的公式计算其得分。 4、投标报价不完整的，不进入评标标准价的计算，本项得0分。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详见附件：非强制节能、环境标志产品清单.docx</w:t>
      </w:r>
    </w:p>
    <w:p>
      <w:pPr>
        <w:pStyle w:val="null3"/>
        <w:ind w:firstLine="960"/>
      </w:pPr>
      <w:r>
        <w:rPr>
          <w:rFonts w:ascii="仿宋_GB2312" w:hAnsi="仿宋_GB2312" w:cs="仿宋_GB2312" w:eastAsia="仿宋_GB2312"/>
        </w:rPr>
        <w:t>详见附件：合法来源渠道证明材料.docx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