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版本号：SXLX26-02-047Z(F)20260525002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诉讼服务中心辅助服务外包项目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SXLX26-02-047Z(F)</w:t>
      </w:r>
      <w:r>
        <w:br/>
      </w:r>
      <w:r>
        <w:br/>
      </w:r>
      <w:r>
        <w:br/>
      </w:r>
    </w:p>
    <w:p>
      <w:pPr>
        <w:pStyle w:val="null3"/>
        <w:jc w:val="center"/>
        <w:outlineLvl w:val="2"/>
      </w:pPr>
      <w:r>
        <w:rPr>
          <w:rFonts w:ascii="仿宋_GB2312" w:hAnsi="仿宋_GB2312" w:cs="仿宋_GB2312" w:eastAsia="仿宋_GB2312"/>
          <w:sz w:val="28"/>
          <w:b/>
        </w:rPr>
        <w:t>西安市长安区人民法院[160]</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西安市长安区人民法院[160]</w:t>
      </w:r>
      <w:r>
        <w:rPr>
          <w:rFonts w:ascii="仿宋_GB2312" w:hAnsi="仿宋_GB2312" w:cs="仿宋_GB2312" w:eastAsia="仿宋_GB2312"/>
        </w:rPr>
        <w:t>委托，拟对</w:t>
      </w:r>
      <w:r>
        <w:rPr>
          <w:rFonts w:ascii="仿宋_GB2312" w:hAnsi="仿宋_GB2312" w:cs="仿宋_GB2312" w:eastAsia="仿宋_GB2312"/>
        </w:rPr>
        <w:t>诉讼服务中心辅助服务外包项目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SXLX26-02-047Z(F)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诉讼服务中心辅助服务外包项目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长安区人民法院诉讼服务中心辅助服务外包项目，诉讼辅助服务主要包含：引导分流、网上立案材料辅助审核、立案信息录入及案件流转、案件信息查询、电话接听、上诉案件接收和登记及移送、信访接待登记、诉服信息平台管理、要素式起诉状辅助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采购包1（西安市长安区人民法院诉讼服务中心辅助服务外包项目）：属于专门面向中小企业采购。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西安市长安区人民法院[160]</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西安市长安区西长安街141号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029-84165132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采购包1：1,016,700.00元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收取，以上费用由成交供应商支付，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西安市长安区人民法院[160]</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西安市长安区人民法院[160]</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西安市长安区人民法院[160]</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供应商协助配合。其内容包括采购文件以及响应文件中所有服务内容，以及质量是否达到现行国家有关验收规范“合格”标准、是否按照采购人要求实施、是否按照采购人要求提供相关培训、是否在规定时间内完成工作。1.服务内容和质量最终验收达不到采购文件要求和响应文件承诺的，或在项目实施中发现采购人不能容忍的缺陷等，将视为验收不合格，供应商应在采购人要求的时间内无条件免费进行整改。2.验收标准：按采购文件、响应文件及澄清函等进行验收。 3.验收合格后，填写验收单，双方签字生效。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color w:val="000000"/>
        </w:rPr>
        <w:t>本项目为西安市长安区人民法院诉讼服务中心辅助服务外包项目，诉讼辅助服务主要包含：引导分流、网上立案材料辅助审核、立案信息录入及案件流转、案件信息查询、电话接听、上诉案件接收和登记及移送、信访接待登记、诉服信息平台管理、要素式起诉状辅助等。</w:t>
      </w:r>
    </w:p>
    <w:p>
      <w:pPr>
        <w:pStyle w:val="null3"/>
        <w:ind w:firstLine="400"/>
      </w:pPr>
      <w:r>
        <w:rPr>
          <w:rFonts w:ascii="仿宋_GB2312" w:hAnsi="仿宋_GB2312" w:cs="仿宋_GB2312" w:eastAsia="仿宋_GB2312"/>
          <w:sz w:val="21"/>
          <w:b/>
          <w:color w:val="000000"/>
        </w:rPr>
        <w:t>本项目所属行业为租赁和商务服务业。</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1,016,700.00</w:t>
      </w:r>
    </w:p>
    <w:p>
      <w:pPr>
        <w:pStyle w:val="null3"/>
      </w:pPr>
      <w:r>
        <w:rPr>
          <w:rFonts w:ascii="仿宋_GB2312" w:hAnsi="仿宋_GB2312" w:cs="仿宋_GB2312" w:eastAsia="仿宋_GB2312"/>
        </w:rPr>
        <w:t>采购包最高限价（元）: 1,016,700.00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诉讼服务中心辅助服务外包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1,016,700.00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标的名称：诉讼服务中心辅助服务外包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诉讼辅助服务主要包含：引导分流、网上立案材料审核辅助、立案信息录入及案件流转接收、案件信息查询、电话接听、上诉案件接收和登记及移送、信访接待登记、诉服信息平台管理、要素式起诉状辅助等。</w:t>
            </w:r>
          </w:p>
          <w:p>
            <w:pPr>
              <w:pStyle w:val="null3"/>
              <w:jc w:val="both"/>
            </w:pPr>
            <w:r>
              <w:rPr>
                <w:rFonts w:ascii="仿宋_GB2312" w:hAnsi="仿宋_GB2312" w:cs="仿宋_GB2312" w:eastAsia="仿宋_GB2312"/>
                <w:sz w:val="21"/>
                <w:b/>
                <w:color w:val="000000"/>
              </w:rPr>
              <w:t>二、服务内容（岗位需求及工作量）</w:t>
            </w:r>
          </w:p>
          <w:p>
            <w:pPr>
              <w:pStyle w:val="null3"/>
              <w:ind w:firstLine="422"/>
              <w:jc w:val="both"/>
            </w:pPr>
            <w:r>
              <w:rPr>
                <w:rFonts w:ascii="仿宋_GB2312" w:hAnsi="仿宋_GB2312" w:cs="仿宋_GB2312" w:eastAsia="仿宋_GB2312"/>
                <w:sz w:val="21"/>
                <w:b/>
                <w:color w:val="000000"/>
              </w:rPr>
              <w:t>1.引导分流岗</w:t>
            </w:r>
          </w:p>
          <w:p>
            <w:pPr>
              <w:pStyle w:val="null3"/>
              <w:ind w:firstLine="420"/>
              <w:jc w:val="both"/>
            </w:pPr>
            <w:r>
              <w:rPr>
                <w:rFonts w:ascii="仿宋_GB2312" w:hAnsi="仿宋_GB2312" w:cs="仿宋_GB2312" w:eastAsia="仿宋_GB2312"/>
                <w:sz w:val="21"/>
                <w:color w:val="000000"/>
              </w:rPr>
              <w:t>该岗位主要负责对当事人的材料进行初步审查，并根据材料标准要求指引当事人进行材料补充，如当事人需办理具体窗口业务，根据业务需求为当事人排号，将当事人分流至诉讼大厅休息，等待各接待窗口叫号。同时引导并协助当事人使用现场自助设备，使当事人能够通过自助设备办理所需业务。</w:t>
            </w:r>
          </w:p>
          <w:p>
            <w:pPr>
              <w:pStyle w:val="null3"/>
              <w:ind w:firstLine="420"/>
              <w:jc w:val="both"/>
            </w:pPr>
            <w:r>
              <w:rPr>
                <w:rFonts w:ascii="仿宋_GB2312" w:hAnsi="仿宋_GB2312" w:cs="仿宋_GB2312" w:eastAsia="仿宋_GB2312"/>
                <w:sz w:val="21"/>
                <w:color w:val="000000"/>
              </w:rPr>
              <w:t>负责接收分流到诉讼服务组的诉前调解案件，根据诉前调解服务组的分案原则把所收案件分配至各个调解员，同时将调解成功和调解失败的案件进行整理，移送给立案庭。</w:t>
            </w:r>
          </w:p>
          <w:p>
            <w:pPr>
              <w:pStyle w:val="null3"/>
              <w:ind w:firstLine="420"/>
              <w:jc w:val="both"/>
            </w:pPr>
            <w:r>
              <w:rPr>
                <w:rFonts w:ascii="仿宋_GB2312" w:hAnsi="仿宋_GB2312" w:cs="仿宋_GB2312" w:eastAsia="仿宋_GB2312"/>
                <w:sz w:val="21"/>
                <w:color w:val="000000"/>
              </w:rPr>
              <w:t>日均接待</w:t>
            </w:r>
            <w:r>
              <w:rPr>
                <w:rFonts w:ascii="仿宋_GB2312" w:hAnsi="仿宋_GB2312" w:cs="仿宋_GB2312" w:eastAsia="仿宋_GB2312"/>
                <w:sz w:val="21"/>
                <w:color w:val="000000"/>
              </w:rPr>
              <w:t>180余人次，月均接待4000余人次，大厅设备的维护与运行每日4次，每月90余次。</w:t>
            </w:r>
          </w:p>
          <w:p>
            <w:pPr>
              <w:pStyle w:val="null3"/>
              <w:ind w:firstLine="422"/>
              <w:jc w:val="both"/>
            </w:pPr>
            <w:r>
              <w:rPr>
                <w:rFonts w:ascii="仿宋_GB2312" w:hAnsi="仿宋_GB2312" w:cs="仿宋_GB2312" w:eastAsia="仿宋_GB2312"/>
                <w:sz w:val="21"/>
                <w:b/>
                <w:color w:val="000000"/>
              </w:rPr>
              <w:t>2.网上立案材料审核辅助</w:t>
            </w:r>
          </w:p>
          <w:p>
            <w:pPr>
              <w:pStyle w:val="null3"/>
              <w:ind w:firstLine="420"/>
              <w:jc w:val="both"/>
            </w:pPr>
            <w:r>
              <w:rPr>
                <w:rFonts w:ascii="仿宋_GB2312" w:hAnsi="仿宋_GB2312" w:cs="仿宋_GB2312" w:eastAsia="仿宋_GB2312"/>
                <w:sz w:val="21"/>
                <w:color w:val="000000"/>
              </w:rPr>
              <w:t>结合网上立案的业务流程，设置网上立案材料审核辅助岗位。由网上立案审查组的法官或法官助理完成网上立案信息的审查工作后，由辅助人员负责接收网上材料、现场网上立案和非现场网上立案材料的审查校对工作。</w:t>
            </w:r>
          </w:p>
          <w:p>
            <w:pPr>
              <w:pStyle w:val="null3"/>
              <w:ind w:firstLine="420"/>
              <w:jc w:val="both"/>
            </w:pPr>
            <w:r>
              <w:rPr>
                <w:rFonts w:ascii="仿宋_GB2312" w:hAnsi="仿宋_GB2312" w:cs="仿宋_GB2312" w:eastAsia="仿宋_GB2312"/>
                <w:sz w:val="21"/>
                <w:color w:val="000000"/>
              </w:rPr>
              <w:t>引导当事人现场进行满意度评价。</w:t>
            </w:r>
          </w:p>
          <w:p>
            <w:pPr>
              <w:pStyle w:val="null3"/>
              <w:ind w:firstLine="420"/>
              <w:jc w:val="both"/>
            </w:pPr>
            <w:r>
              <w:rPr>
                <w:rFonts w:ascii="仿宋_GB2312" w:hAnsi="仿宋_GB2312" w:cs="仿宋_GB2312" w:eastAsia="仿宋_GB2312"/>
                <w:sz w:val="21"/>
                <w:color w:val="000000"/>
              </w:rPr>
              <w:t>网上日审核案件及材料流转各</w:t>
            </w:r>
            <w:r>
              <w:rPr>
                <w:rFonts w:ascii="仿宋_GB2312" w:hAnsi="仿宋_GB2312" w:cs="仿宋_GB2312" w:eastAsia="仿宋_GB2312"/>
                <w:sz w:val="21"/>
                <w:color w:val="000000"/>
              </w:rPr>
              <w:t>200余件，月审核及材料流转4400余件；引导当事人满意度评价日20余件，月440余件。</w:t>
            </w:r>
          </w:p>
          <w:p>
            <w:pPr>
              <w:pStyle w:val="null3"/>
              <w:ind w:firstLine="422"/>
              <w:jc w:val="both"/>
            </w:pPr>
            <w:r>
              <w:rPr>
                <w:rFonts w:ascii="仿宋_GB2312" w:hAnsi="仿宋_GB2312" w:cs="仿宋_GB2312" w:eastAsia="仿宋_GB2312"/>
                <w:sz w:val="21"/>
                <w:b/>
                <w:color w:val="000000"/>
              </w:rPr>
              <w:t>3.立案信息录入及案件流转接收</w:t>
            </w:r>
          </w:p>
          <w:p>
            <w:pPr>
              <w:pStyle w:val="null3"/>
              <w:ind w:firstLine="420"/>
              <w:jc w:val="both"/>
            </w:pPr>
            <w:r>
              <w:rPr>
                <w:rFonts w:ascii="仿宋_GB2312" w:hAnsi="仿宋_GB2312" w:cs="仿宋_GB2312" w:eastAsia="仿宋_GB2312"/>
                <w:sz w:val="21"/>
                <w:color w:val="000000"/>
              </w:rPr>
              <w:t>根据立案业务情况，在案件流转中心设置立案信息录入岗人员，负责完成院本部民商事类、执行案件信息录入工作，实现当日立案当日完成信息录入，并于</w:t>
            </w:r>
            <w:r>
              <w:rPr>
                <w:rFonts w:ascii="仿宋_GB2312" w:hAnsi="仿宋_GB2312" w:cs="仿宋_GB2312" w:eastAsia="仿宋_GB2312"/>
                <w:sz w:val="21"/>
                <w:color w:val="000000"/>
              </w:rPr>
              <w:t>24小时内移送至审判业务庭室开展后续工作。</w:t>
            </w:r>
          </w:p>
          <w:p>
            <w:pPr>
              <w:pStyle w:val="null3"/>
              <w:ind w:firstLine="420"/>
              <w:jc w:val="both"/>
            </w:pPr>
            <w:r>
              <w:rPr>
                <w:rFonts w:ascii="仿宋_GB2312" w:hAnsi="仿宋_GB2312" w:cs="仿宋_GB2312" w:eastAsia="仿宋_GB2312"/>
                <w:sz w:val="21"/>
                <w:color w:val="000000"/>
              </w:rPr>
              <w:t>经立案审查窗口的法官或法官助理完成案件审查，确认符合立案登记条件的，由立案信息录入岗在案件管理系统完成案件信息的录入和立案流转表单制作，并与当事人确认立案相关信息，引导当事人完成相关文书的填写和确认工作。</w:t>
            </w:r>
          </w:p>
          <w:p>
            <w:pPr>
              <w:pStyle w:val="null3"/>
              <w:ind w:firstLine="420"/>
              <w:jc w:val="both"/>
            </w:pPr>
            <w:r>
              <w:rPr>
                <w:rFonts w:ascii="仿宋_GB2312" w:hAnsi="仿宋_GB2312" w:cs="仿宋_GB2312" w:eastAsia="仿宋_GB2312"/>
                <w:sz w:val="21"/>
                <w:color w:val="000000"/>
              </w:rPr>
              <w:t>案件信息录入每日</w:t>
            </w:r>
            <w:r>
              <w:rPr>
                <w:rFonts w:ascii="仿宋_GB2312" w:hAnsi="仿宋_GB2312" w:cs="仿宋_GB2312" w:eastAsia="仿宋_GB2312"/>
                <w:sz w:val="21"/>
                <w:color w:val="000000"/>
              </w:rPr>
              <w:t>200余件，每月4500余件；繁简分流每日120余件，每月2600余件。</w:t>
            </w:r>
          </w:p>
          <w:p>
            <w:pPr>
              <w:pStyle w:val="null3"/>
              <w:ind w:firstLine="422"/>
              <w:jc w:val="both"/>
            </w:pPr>
            <w:r>
              <w:rPr>
                <w:rFonts w:ascii="仿宋_GB2312" w:hAnsi="仿宋_GB2312" w:cs="仿宋_GB2312" w:eastAsia="仿宋_GB2312"/>
                <w:sz w:val="21"/>
                <w:b/>
                <w:color w:val="000000"/>
              </w:rPr>
              <w:t>4.案件信息查询</w:t>
            </w:r>
          </w:p>
          <w:p>
            <w:pPr>
              <w:pStyle w:val="null3"/>
              <w:ind w:firstLine="420"/>
              <w:jc w:val="both"/>
            </w:pPr>
            <w:r>
              <w:rPr>
                <w:rFonts w:ascii="仿宋_GB2312" w:hAnsi="仿宋_GB2312" w:cs="仿宋_GB2312" w:eastAsia="仿宋_GB2312"/>
                <w:sz w:val="21"/>
                <w:color w:val="000000"/>
              </w:rPr>
              <w:t>接收当事人提出的案件查询申请，登记并核实当事人及查询案件的相关信息，协助当事人办理案件查询事宜。</w:t>
            </w:r>
          </w:p>
          <w:p>
            <w:pPr>
              <w:pStyle w:val="null3"/>
              <w:ind w:firstLine="420"/>
              <w:jc w:val="both"/>
            </w:pPr>
            <w:r>
              <w:rPr>
                <w:rFonts w:ascii="仿宋_GB2312" w:hAnsi="仿宋_GB2312" w:cs="仿宋_GB2312" w:eastAsia="仿宋_GB2312"/>
                <w:sz w:val="21"/>
                <w:color w:val="000000"/>
              </w:rPr>
              <w:t>案件查询接待每日</w:t>
            </w:r>
            <w:r>
              <w:rPr>
                <w:rFonts w:ascii="仿宋_GB2312" w:hAnsi="仿宋_GB2312" w:cs="仿宋_GB2312" w:eastAsia="仿宋_GB2312"/>
                <w:sz w:val="21"/>
                <w:color w:val="000000"/>
              </w:rPr>
              <w:t>70余人次，每月接待1500余人次；保全审查立案日均15余件，月均310余件；引导当事人满意度评价每日5人次，月110余人次。</w:t>
            </w:r>
          </w:p>
          <w:p>
            <w:pPr>
              <w:pStyle w:val="null3"/>
              <w:ind w:firstLine="422"/>
              <w:jc w:val="both"/>
            </w:pPr>
            <w:r>
              <w:rPr>
                <w:rFonts w:ascii="仿宋_GB2312" w:hAnsi="仿宋_GB2312" w:cs="仿宋_GB2312" w:eastAsia="仿宋_GB2312"/>
                <w:sz w:val="21"/>
                <w:b/>
                <w:color w:val="000000"/>
              </w:rPr>
              <w:t>5.电话接听</w:t>
            </w:r>
          </w:p>
          <w:p>
            <w:pPr>
              <w:pStyle w:val="null3"/>
              <w:ind w:firstLine="420"/>
              <w:jc w:val="both"/>
            </w:pPr>
            <w:r>
              <w:rPr>
                <w:rFonts w:ascii="仿宋_GB2312" w:hAnsi="仿宋_GB2312" w:cs="仿宋_GB2312" w:eastAsia="仿宋_GB2312"/>
                <w:sz w:val="21"/>
                <w:color w:val="000000"/>
              </w:rPr>
              <w:t>为了更好地减轻法官团队负担，解决当事人咨询问题快速响应问题，设置电话接听岗，当事人可通过拨打服务热线，咨询诉讼审判及执行相关业务流程、查找案件相关业务流程信息，并可以预约法官。服务热线在确认当事人的需求后，根据需求进行当场回复或者转办相关法官团队，法官团队可以根据情况，选择自行回复或者将答复转交服务热线进行回复。</w:t>
            </w:r>
          </w:p>
          <w:p>
            <w:pPr>
              <w:pStyle w:val="null3"/>
              <w:ind w:firstLine="420"/>
              <w:jc w:val="both"/>
            </w:pPr>
            <w:r>
              <w:rPr>
                <w:rFonts w:ascii="仿宋_GB2312" w:hAnsi="仿宋_GB2312" w:cs="仿宋_GB2312" w:eastAsia="仿宋_GB2312"/>
                <w:sz w:val="21"/>
                <w:color w:val="000000"/>
              </w:rPr>
              <w:t>每日接听电话案件咨询查询</w:t>
            </w:r>
            <w:r>
              <w:rPr>
                <w:rFonts w:ascii="仿宋_GB2312" w:hAnsi="仿宋_GB2312" w:cs="仿宋_GB2312" w:eastAsia="仿宋_GB2312"/>
                <w:sz w:val="21"/>
                <w:color w:val="000000"/>
              </w:rPr>
              <w:t>200余次，每月4500余次。</w:t>
            </w:r>
          </w:p>
          <w:p>
            <w:pPr>
              <w:pStyle w:val="null3"/>
              <w:ind w:firstLine="422"/>
              <w:jc w:val="both"/>
            </w:pPr>
            <w:r>
              <w:rPr>
                <w:rFonts w:ascii="仿宋_GB2312" w:hAnsi="仿宋_GB2312" w:cs="仿宋_GB2312" w:eastAsia="仿宋_GB2312"/>
                <w:sz w:val="21"/>
                <w:b/>
                <w:color w:val="000000"/>
              </w:rPr>
              <w:t>6.上诉案件接收、登记及移送</w:t>
            </w:r>
          </w:p>
          <w:p>
            <w:pPr>
              <w:pStyle w:val="null3"/>
              <w:ind w:firstLine="420"/>
              <w:jc w:val="both"/>
            </w:pPr>
            <w:r>
              <w:rPr>
                <w:rFonts w:ascii="仿宋_GB2312" w:hAnsi="仿宋_GB2312" w:cs="仿宋_GB2312" w:eastAsia="仿宋_GB2312"/>
                <w:sz w:val="21"/>
                <w:color w:val="000000"/>
              </w:rPr>
              <w:t>审查上诉材料是否符合接收条件，接收符合接收条件的上诉材料，并出具收取单；拒收不符合接收条件的上诉材料，并说明原因，同时将上诉状移送法官团队。上诉状扫描至系统进行登记。</w:t>
            </w:r>
          </w:p>
          <w:p>
            <w:pPr>
              <w:pStyle w:val="null3"/>
              <w:ind w:firstLine="420"/>
              <w:jc w:val="both"/>
            </w:pPr>
            <w:r>
              <w:rPr>
                <w:rFonts w:ascii="仿宋_GB2312" w:hAnsi="仿宋_GB2312" w:cs="仿宋_GB2312" w:eastAsia="仿宋_GB2312"/>
                <w:sz w:val="21"/>
                <w:color w:val="000000"/>
              </w:rPr>
              <w:t>每周审核接收上诉案件材料</w:t>
            </w:r>
            <w:r>
              <w:rPr>
                <w:rFonts w:ascii="仿宋_GB2312" w:hAnsi="仿宋_GB2312" w:cs="仿宋_GB2312" w:eastAsia="仿宋_GB2312"/>
                <w:sz w:val="21"/>
                <w:color w:val="000000"/>
              </w:rPr>
              <w:t>130余件，每月400余件；移送案件接收每周20余件，每月100余件；每周三协助去中院送取上诉卷近200宗案卷；刑事立案每周25余件，每月100余件。</w:t>
            </w:r>
          </w:p>
          <w:p>
            <w:pPr>
              <w:pStyle w:val="null3"/>
              <w:ind w:firstLine="422"/>
              <w:jc w:val="both"/>
            </w:pPr>
            <w:r>
              <w:rPr>
                <w:rFonts w:ascii="仿宋_GB2312" w:hAnsi="仿宋_GB2312" w:cs="仿宋_GB2312" w:eastAsia="仿宋_GB2312"/>
                <w:sz w:val="21"/>
                <w:b/>
                <w:color w:val="000000"/>
              </w:rPr>
              <w:t>7.信访接待登记</w:t>
            </w:r>
          </w:p>
          <w:p>
            <w:pPr>
              <w:pStyle w:val="null3"/>
              <w:ind w:firstLine="420"/>
              <w:jc w:val="both"/>
            </w:pPr>
            <w:r>
              <w:rPr>
                <w:rFonts w:ascii="仿宋_GB2312" w:hAnsi="仿宋_GB2312" w:cs="仿宋_GB2312" w:eastAsia="仿宋_GB2312"/>
                <w:sz w:val="21"/>
                <w:color w:val="000000"/>
              </w:rPr>
              <w:t>为了更好地减轻法官团队信访工作负担，在信访中心设定信访辅助岗，每日接收上级法院移送、院内领导转交的信访材料，并进行整理登记，根据材料所涉信息，完成信访系统信息录入、备案工作。</w:t>
            </w:r>
          </w:p>
          <w:p>
            <w:pPr>
              <w:pStyle w:val="null3"/>
              <w:ind w:firstLine="420"/>
              <w:jc w:val="both"/>
            </w:pPr>
            <w:r>
              <w:rPr>
                <w:rFonts w:ascii="仿宋_GB2312" w:hAnsi="仿宋_GB2312" w:cs="仿宋_GB2312" w:eastAsia="仿宋_GB2312"/>
                <w:sz w:val="21"/>
                <w:color w:val="000000"/>
              </w:rPr>
              <w:t>按照信访材料内容性质，将材料进行分流，对于举报类材料内容，将其整理、对非纸质内容进行打印后，移交纪检监察室，对于申请再审类内容，将其整理、对非纸质内容进行打印后，审核是否符合再审规定。若符合，整理相关材料移送至中院立案庭；若不符合，则将信访材料退回当事人并告知其原因，同时，对所有信访事件处理结果进行跟踪，并做好记录反馈。</w:t>
            </w:r>
          </w:p>
          <w:p>
            <w:pPr>
              <w:pStyle w:val="null3"/>
              <w:ind w:firstLine="420"/>
              <w:jc w:val="both"/>
            </w:pPr>
            <w:r>
              <w:rPr>
                <w:rFonts w:ascii="仿宋_GB2312" w:hAnsi="仿宋_GB2312" w:cs="仿宋_GB2312" w:eastAsia="仿宋_GB2312"/>
                <w:sz w:val="21"/>
                <w:color w:val="000000"/>
              </w:rPr>
              <w:t>信访接待登记、录入及流转每日</w:t>
            </w:r>
            <w:r>
              <w:rPr>
                <w:rFonts w:ascii="仿宋_GB2312" w:hAnsi="仿宋_GB2312" w:cs="仿宋_GB2312" w:eastAsia="仿宋_GB2312"/>
                <w:sz w:val="21"/>
                <w:color w:val="000000"/>
              </w:rPr>
              <w:t>20余件，每月400余件；接待信访群众每日15余人次，每月330余人次；起草信访相关文件及数据统计每周5次，每月30余次。</w:t>
            </w:r>
          </w:p>
          <w:p>
            <w:pPr>
              <w:pStyle w:val="null3"/>
              <w:ind w:firstLine="422"/>
              <w:jc w:val="both"/>
            </w:pPr>
            <w:r>
              <w:rPr>
                <w:rFonts w:ascii="仿宋_GB2312" w:hAnsi="仿宋_GB2312" w:cs="仿宋_GB2312" w:eastAsia="仿宋_GB2312"/>
                <w:sz w:val="21"/>
                <w:b/>
                <w:color w:val="000000"/>
              </w:rPr>
              <w:t>8.诉服信息平台管理</w:t>
            </w:r>
          </w:p>
          <w:p>
            <w:pPr>
              <w:pStyle w:val="null3"/>
              <w:ind w:firstLine="420"/>
              <w:jc w:val="both"/>
            </w:pPr>
            <w:r>
              <w:rPr>
                <w:rFonts w:ascii="仿宋_GB2312" w:hAnsi="仿宋_GB2312" w:cs="仿宋_GB2312" w:eastAsia="仿宋_GB2312"/>
                <w:sz w:val="21"/>
                <w:color w:val="000000"/>
              </w:rPr>
              <w:t>在服务期内，对最高人民法院和省法院开发的与诉讼服务质效平台考核相关的系统进行管理、督促、联络、维护，保证上级法院质效考核系统能够及时抽取长安区法院的诉讼服务数据，实时监控质效评估分数及排名情况，提取并分析指标数据，提供可行性方案。</w:t>
            </w:r>
          </w:p>
          <w:p>
            <w:pPr>
              <w:pStyle w:val="null3"/>
              <w:ind w:firstLine="420"/>
              <w:jc w:val="both"/>
            </w:pPr>
            <w:r>
              <w:rPr>
                <w:rFonts w:ascii="仿宋_GB2312" w:hAnsi="仿宋_GB2312" w:cs="仿宋_GB2312" w:eastAsia="仿宋_GB2312"/>
                <w:sz w:val="21"/>
                <w:color w:val="000000"/>
              </w:rPr>
              <w:t>每日收转处理相关材料</w:t>
            </w:r>
            <w:r>
              <w:rPr>
                <w:rFonts w:ascii="仿宋_GB2312" w:hAnsi="仿宋_GB2312" w:cs="仿宋_GB2312" w:eastAsia="仿宋_GB2312"/>
                <w:sz w:val="21"/>
                <w:color w:val="000000"/>
              </w:rPr>
              <w:t>6件，每月180余件；每日分流调解案件60余件，每月1300余件；总对总案件调解每日10余件，每月230余件。</w:t>
            </w:r>
          </w:p>
          <w:p>
            <w:pPr>
              <w:pStyle w:val="null3"/>
              <w:ind w:firstLine="422"/>
              <w:jc w:val="both"/>
            </w:pPr>
            <w:r>
              <w:rPr>
                <w:rFonts w:ascii="仿宋_GB2312" w:hAnsi="仿宋_GB2312" w:cs="仿宋_GB2312" w:eastAsia="仿宋_GB2312"/>
                <w:sz w:val="21"/>
                <w:b/>
                <w:color w:val="000000"/>
              </w:rPr>
              <w:t>9.要素式起诉状辅助</w:t>
            </w:r>
          </w:p>
          <w:p>
            <w:pPr>
              <w:pStyle w:val="null3"/>
              <w:ind w:firstLine="420"/>
              <w:jc w:val="both"/>
            </w:pPr>
            <w:r>
              <w:rPr>
                <w:rFonts w:ascii="仿宋_GB2312" w:hAnsi="仿宋_GB2312" w:cs="仿宋_GB2312" w:eastAsia="仿宋_GB2312"/>
                <w:sz w:val="21"/>
                <w:color w:val="000000"/>
              </w:rPr>
              <w:t>按照最高法院的要求，当事人在立案时需提交要素式起诉状</w:t>
            </w:r>
            <w:r>
              <w:rPr>
                <w:rFonts w:ascii="仿宋_GB2312" w:hAnsi="仿宋_GB2312" w:cs="仿宋_GB2312" w:eastAsia="仿宋_GB2312"/>
                <w:sz w:val="21"/>
                <w:color w:val="000000"/>
              </w:rPr>
              <w:t>，对</w:t>
            </w:r>
            <w:r>
              <w:rPr>
                <w:rFonts w:ascii="仿宋_GB2312" w:hAnsi="仿宋_GB2312" w:cs="仿宋_GB2312" w:eastAsia="仿宋_GB2312"/>
                <w:sz w:val="21"/>
                <w:color w:val="000000"/>
              </w:rPr>
              <w:t>67类案由的案件要求必</w:t>
            </w:r>
            <w:r>
              <w:rPr>
                <w:rFonts w:ascii="仿宋_GB2312" w:hAnsi="仿宋_GB2312" w:cs="仿宋_GB2312" w:eastAsia="仿宋_GB2312"/>
                <w:sz w:val="21"/>
                <w:color w:val="000000"/>
              </w:rPr>
              <w:t>须提供。立案庭提供两台设备，需专人辅助当事人要素式起诉状的制作及打印。引导当事人制作、打印要素式起诉状每日</w:t>
            </w:r>
            <w:r>
              <w:rPr>
                <w:rFonts w:ascii="仿宋_GB2312" w:hAnsi="仿宋_GB2312" w:cs="仿宋_GB2312" w:eastAsia="仿宋_GB2312"/>
                <w:sz w:val="21"/>
                <w:color w:val="000000"/>
              </w:rPr>
              <w:t>60余人次，每月1300余次。</w:t>
            </w:r>
          </w:p>
          <w:p>
            <w:pPr>
              <w:pStyle w:val="null3"/>
              <w:jc w:val="both"/>
            </w:pPr>
            <w:r>
              <w:rPr>
                <w:rFonts w:ascii="仿宋_GB2312" w:hAnsi="仿宋_GB2312" w:cs="仿宋_GB2312" w:eastAsia="仿宋_GB2312"/>
                <w:sz w:val="21"/>
                <w:b/>
                <w:color w:val="000000"/>
              </w:rPr>
              <w:t>三、人员要求及条件</w:t>
            </w:r>
          </w:p>
          <w:p>
            <w:pPr>
              <w:pStyle w:val="null3"/>
              <w:ind w:firstLine="420"/>
              <w:jc w:val="both"/>
            </w:pPr>
            <w:r>
              <w:rPr>
                <w:rFonts w:ascii="仿宋_GB2312" w:hAnsi="仿宋_GB2312" w:cs="仿宋_GB2312" w:eastAsia="仿宋_GB2312"/>
                <w:sz w:val="21"/>
                <w:color w:val="000000"/>
              </w:rPr>
              <w:t>1.学历要求：大专以上学历，本科人员占比不低于30%；</w:t>
            </w:r>
          </w:p>
          <w:p>
            <w:pPr>
              <w:pStyle w:val="null3"/>
              <w:ind w:firstLine="420"/>
              <w:jc w:val="both"/>
            </w:pPr>
            <w:r>
              <w:rPr>
                <w:rFonts w:ascii="仿宋_GB2312" w:hAnsi="仿宋_GB2312" w:cs="仿宋_GB2312" w:eastAsia="仿宋_GB2312"/>
                <w:sz w:val="21"/>
                <w:color w:val="000000"/>
              </w:rPr>
              <w:t>2.专业要求：法律专业不低于40%；</w:t>
            </w:r>
          </w:p>
          <w:p>
            <w:pPr>
              <w:pStyle w:val="null3"/>
              <w:ind w:firstLine="420"/>
              <w:jc w:val="both"/>
            </w:pPr>
            <w:r>
              <w:rPr>
                <w:rFonts w:ascii="仿宋_GB2312" w:hAnsi="仿宋_GB2312" w:cs="仿宋_GB2312" w:eastAsia="仿宋_GB2312"/>
                <w:sz w:val="21"/>
                <w:color w:val="000000"/>
              </w:rPr>
              <w:t>3.性别要求：男女比例3:7；</w:t>
            </w:r>
          </w:p>
          <w:p>
            <w:pPr>
              <w:pStyle w:val="null3"/>
              <w:ind w:firstLine="420"/>
              <w:jc w:val="both"/>
            </w:pPr>
            <w:r>
              <w:rPr>
                <w:rFonts w:ascii="仿宋_GB2312" w:hAnsi="仿宋_GB2312" w:cs="仿宋_GB2312" w:eastAsia="仿宋_GB2312"/>
                <w:sz w:val="21"/>
                <w:color w:val="000000"/>
              </w:rPr>
              <w:t>4.年龄要求：35岁以下；</w:t>
            </w:r>
          </w:p>
          <w:p>
            <w:pPr>
              <w:pStyle w:val="null3"/>
              <w:ind w:firstLine="420"/>
              <w:jc w:val="both"/>
            </w:pPr>
            <w:r>
              <w:rPr>
                <w:rFonts w:ascii="仿宋_GB2312" w:hAnsi="仿宋_GB2312" w:cs="仿宋_GB2312" w:eastAsia="仿宋_GB2312"/>
                <w:sz w:val="21"/>
                <w:color w:val="000000"/>
              </w:rPr>
              <w:t>5.坚持四项基本原则，有良好的政治素质，遵纪守法、作风正派、品行端正，无违法犯罪记录，热爱法院工作；</w:t>
            </w:r>
          </w:p>
          <w:p>
            <w:pPr>
              <w:pStyle w:val="null3"/>
              <w:ind w:firstLine="420"/>
              <w:jc w:val="both"/>
            </w:pPr>
            <w:r>
              <w:rPr>
                <w:rFonts w:ascii="仿宋_GB2312" w:hAnsi="仿宋_GB2312" w:cs="仿宋_GB2312" w:eastAsia="仿宋_GB2312"/>
                <w:sz w:val="21"/>
                <w:color w:val="000000"/>
              </w:rPr>
              <w:t>6.具有正常履行职责的身体条件和工作能力，工作责任感强，吃苦耐劳、工作细致，可以承受工作压力，具有良好的沟通能力和团队合作精神；</w:t>
            </w:r>
          </w:p>
          <w:p>
            <w:pPr>
              <w:pStyle w:val="null3"/>
              <w:ind w:firstLine="420"/>
              <w:jc w:val="both"/>
            </w:pPr>
            <w:r>
              <w:rPr>
                <w:rFonts w:ascii="仿宋_GB2312" w:hAnsi="仿宋_GB2312" w:cs="仿宋_GB2312" w:eastAsia="仿宋_GB2312"/>
                <w:sz w:val="21"/>
                <w:color w:val="000000"/>
              </w:rPr>
              <w:t>7.有相关业务服务内容工作经验；</w:t>
            </w:r>
          </w:p>
          <w:p>
            <w:pPr>
              <w:pStyle w:val="null3"/>
              <w:ind w:firstLine="420"/>
              <w:jc w:val="both"/>
            </w:pPr>
            <w:r>
              <w:rPr>
                <w:rFonts w:ascii="仿宋_GB2312" w:hAnsi="仿宋_GB2312" w:cs="仿宋_GB2312" w:eastAsia="仿宋_GB2312"/>
                <w:sz w:val="21"/>
                <w:color w:val="000000"/>
              </w:rPr>
              <w:t>8.富于创新精神和团队精神，勇于接受挑战；具有很强的政策法规意识和工作保密意识；</w:t>
            </w:r>
          </w:p>
          <w:p>
            <w:pPr>
              <w:pStyle w:val="null3"/>
              <w:ind w:firstLine="420"/>
              <w:jc w:val="both"/>
            </w:pPr>
            <w:r>
              <w:rPr>
                <w:rFonts w:ascii="仿宋_GB2312" w:hAnsi="仿宋_GB2312" w:cs="仿宋_GB2312" w:eastAsia="仿宋_GB2312"/>
                <w:sz w:val="21"/>
                <w:color w:val="000000"/>
              </w:rPr>
              <w:t>9.较强的文字表达和公文处理能力，熟练操作计算机，熟悉常用办公软件（如word、excel），快速进行文字输入及整理工作；</w:t>
            </w:r>
          </w:p>
          <w:p>
            <w:pPr>
              <w:pStyle w:val="null3"/>
              <w:ind w:firstLine="420"/>
              <w:jc w:val="both"/>
            </w:pPr>
            <w:r>
              <w:rPr>
                <w:rFonts w:ascii="仿宋_GB2312" w:hAnsi="仿宋_GB2312" w:cs="仿宋_GB2312" w:eastAsia="仿宋_GB2312"/>
                <w:sz w:val="21"/>
                <w:color w:val="000000"/>
              </w:rPr>
              <w:t>10.遵守采购人日常管理制度和工作规范。</w:t>
            </w:r>
          </w:p>
          <w:p>
            <w:pPr>
              <w:pStyle w:val="null3"/>
              <w:jc w:val="both"/>
            </w:pPr>
            <w:r>
              <w:rPr>
                <w:rFonts w:ascii="仿宋_GB2312" w:hAnsi="仿宋_GB2312" w:cs="仿宋_GB2312" w:eastAsia="仿宋_GB2312"/>
                <w:sz w:val="21"/>
                <w:b/>
                <w:color w:val="000000"/>
              </w:rPr>
              <w:t>四、商务要求</w:t>
            </w:r>
          </w:p>
          <w:p>
            <w:pPr>
              <w:pStyle w:val="null3"/>
              <w:ind w:firstLine="350"/>
              <w:jc w:val="both"/>
            </w:pPr>
            <w:r>
              <w:rPr>
                <w:rFonts w:ascii="仿宋_GB2312" w:hAnsi="仿宋_GB2312" w:cs="仿宋_GB2312" w:eastAsia="仿宋_GB2312"/>
                <w:sz w:val="21"/>
                <w:color w:val="000000"/>
              </w:rPr>
              <w:t>自合同签订之日起</w:t>
            </w:r>
            <w:r>
              <w:rPr>
                <w:rFonts w:ascii="仿宋_GB2312" w:hAnsi="仿宋_GB2312" w:cs="仿宋_GB2312" w:eastAsia="仿宋_GB2312"/>
                <w:sz w:val="21"/>
                <w:color w:val="000000"/>
              </w:rPr>
              <w:t>5个工作日内，按照项目约定配齐人员。</w:t>
            </w:r>
          </w:p>
          <w:p>
            <w:pPr>
              <w:pStyle w:val="null3"/>
              <w:jc w:val="both"/>
            </w:pPr>
            <w:r>
              <w:rPr>
                <w:rFonts w:ascii="仿宋_GB2312" w:hAnsi="仿宋_GB2312" w:cs="仿宋_GB2312" w:eastAsia="仿宋_GB2312"/>
                <w:sz w:val="21"/>
                <w:b/>
                <w:color w:val="000000"/>
              </w:rPr>
              <w:t>五、服务、产品（如有）执行的标准、规范：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 国家标准、规范/；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 行业标准、规范/；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 地方标准、规范/；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 团体标准、规范/；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 企业标准、规范/。</w:t>
            </w:r>
          </w:p>
          <w:p>
            <w:pPr>
              <w:pStyle w:val="null3"/>
              <w:jc w:val="both"/>
            </w:pPr>
            <w:r>
              <w:rPr>
                <w:rFonts w:ascii="仿宋_GB2312" w:hAnsi="仿宋_GB2312" w:cs="仿宋_GB2312" w:eastAsia="仿宋_GB2312"/>
                <w:sz w:val="21"/>
                <w:b/>
                <w:color w:val="000000"/>
              </w:rPr>
              <w:t>六、本章第四条款未明确服务（产品）执行标准、规范的，按下列方法进行选择：</w:t>
            </w:r>
          </w:p>
          <w:p>
            <w:pPr>
              <w:pStyle w:val="null3"/>
              <w:ind w:firstLine="350"/>
              <w:jc w:val="both"/>
            </w:pPr>
            <w:r>
              <w:rPr>
                <w:rFonts w:ascii="仿宋_GB2312" w:hAnsi="仿宋_GB2312" w:cs="仿宋_GB2312" w:eastAsia="仿宋_GB2312"/>
                <w:sz w:val="21"/>
                <w:color w:val="000000"/>
              </w:rPr>
              <w:t>□ 顺序执行： 国家标准→行业标准→地方标准→ 团体标准→企业 标 准（有国家标准按国家标准执行，没有国家标准按行业标准， 以此类推）；</w:t>
            </w:r>
          </w:p>
          <w:p>
            <w:pPr>
              <w:pStyle w:val="null3"/>
              <w:ind w:firstLine="350"/>
              <w:jc w:val="both"/>
            </w:pPr>
            <w:r>
              <w:rPr>
                <w:rFonts w:ascii="仿宋_GB2312" w:hAnsi="仿宋_GB2312" w:cs="仿宋_GB2312" w:eastAsia="仿宋_GB2312"/>
                <w:sz w:val="21"/>
                <w:color w:val="000000"/>
              </w:rPr>
              <w:t>□ 最高标准执行：国家标准，行业标准，地方标准，团体标准，企业标准（</w:t>
            </w:r>
            <w:r>
              <w:rPr>
                <w:rFonts w:ascii="仿宋_GB2312" w:hAnsi="仿宋_GB2312" w:cs="仿宋_GB2312" w:eastAsia="仿宋_GB2312"/>
                <w:sz w:val="21"/>
                <w:color w:val="000000"/>
              </w:rPr>
              <w:t>哪个</w:t>
            </w:r>
            <w:r>
              <w:rPr>
                <w:rFonts w:ascii="仿宋_GB2312" w:hAnsi="仿宋_GB2312" w:cs="仿宋_GB2312" w:eastAsia="仿宋_GB2312"/>
                <w:sz w:val="21"/>
                <w:color w:val="000000"/>
              </w:rPr>
              <w:t>标准高执行</w:t>
            </w:r>
            <w:r>
              <w:rPr>
                <w:rFonts w:ascii="仿宋_GB2312" w:hAnsi="仿宋_GB2312" w:cs="仿宋_GB2312" w:eastAsia="仿宋_GB2312"/>
                <w:sz w:val="21"/>
                <w:color w:val="000000"/>
              </w:rPr>
              <w:t>哪</w:t>
            </w:r>
            <w:r>
              <w:rPr>
                <w:rFonts w:ascii="仿宋_GB2312" w:hAnsi="仿宋_GB2312" w:cs="仿宋_GB2312" w:eastAsia="仿宋_GB2312"/>
                <w:sz w:val="21"/>
                <w:color w:val="000000"/>
              </w:rPr>
              <w:t>个标准）</w:t>
            </w:r>
          </w:p>
          <w:p>
            <w:pPr>
              <w:pStyle w:val="null3"/>
            </w:pP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必须执行：国家（行业）强制性标准。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1.学历要求：大专以上学历，本科人员占比不低于30%； 2.专业要求：法律专业不低于40%； 3.性别要求：男女比例3:7； 4.年龄要求：35岁以下； 5.坚持四项基本原则，有良好的政治素质，遵纪守法、作风正派、品行端正，无违法犯罪记录，热爱法院工作； 6.具有正常履行职责的身体条件和工作能力，工作责任感强，吃苦耐劳、工作细致，可以承受工作压力，具有良好的沟通能力和团队合作精神； 7.有相关业务服务内容工作经验； 8.富于创新精神和团队精神，勇于接受挑战；具有很强的政策法规意识和工作保密意识； 9.较强的文字表达和公文处理能力，熟练操作计算机，熟悉常用办公软件（如word、excel），快速进行文字输入及整理工作； 10.遵守采购人日常管理制度和工作规范。</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供应商根据本项目采购需求和采购人要求进行合理匹配。</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自合同签订之日起至2027年5月9日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西安市长安区人民法院立案庭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供应商协助配合。其内容包括采购文件以及响应文件中所有服务内容，以及质量是否达到现行国家有关验收规范“合格”标准、是否按照采购人要求实施、是否按照采购人要求提供相关培训、是否在规定时间内完成工作。1.服务内容和质量最终验收达不到采购文件要求和响应文件承诺的，或在项目实施中发现采购人不能容忍的缺陷等，将视为验收不合格，供应商应在采购人要求的时间内无条件免费进行整改。2.验收标准：按采购文件、响应文件及澄清函等进行验收。 3.验收合格后，填写验收单，双方签字生效。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向供应商支付2026年5月10日至2026年6月9日的服务费用（具体结算日期为本项目合同签订日），由供应商向相应单位支付此笔费用；合同签订后10个工作日内，供应商开具正式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进度款，2026年9月15日前，供应商开具正式发票后，达到付款条件起10个工作日内，支付合同总金额的30.0%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进度款，2026年12月15日前，供应商开具正式发票后，达到付款条件起10个工作日内，支付合同总金额的10.0%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磋商报价是供应商响应磋商项目要求的全部工作内容的价格体现，包括供应商完成本项目所需的直接费、间接费、利润、税金及其他相关的一切费用。包括但不限于人工费、设备费、管理费、验收费、采购代理服务费、利润和税金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具备履行合同所必需的设备和专业技术能力的证明。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参加本次磋商前3年内，在经营活动中没有重大违法记录的书面声明。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采购需求提供整体服务方案，包括但不限于：1.引导分流；2.网上立案材料辅助审核；3.立案信息录入及案件流转接收；4.案件信息查询；5.电话接听；6.上诉案件接收和登记及移送；7.信访接待登记；8.诉服信息平台管理；9.要素式起诉状辅助；所提供方案全面完善，具有很强的合理性和可操作性，能够有效的保障服务质量及绩效考核合格率。 二、评分标准 每提供一项计3分，最高计27分。每有一处内容存在缺陷扣1分，扣完为止，未提供或提供的内容与本项目不符计0分。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结合本项目采购需求提供人员配备方案，拟派本项目管理人员要求包括但不限于：1.学历要求：大专及以上学历，本科人员占比不低于30%（提供相关证明材料）；2.专业要求：法律专业不低于40%（提供相关证明材料）；3.性别要求：男女比例3:7；4.年龄要求：35岁以下；5.有相关业务服务内容工作经验（提供相关证明材料，包括但不限于以往的业绩证明材料、履约验收报告、用户评价等）。 二、评分标准 每提供一项计3分，最高计15分。每有一处内容存在缺陷扣1分，扣完为止，未提供或提供的内容与本项目不符计0分。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项目人员管理制度</w:t>
            </w:r>
          </w:p>
        </w:tc>
        <w:tc>
          <w:tcPr>
            <w:tcW w:type="dxa" w:w="2492"/>
          </w:tcPr>
          <w:p>
            <w:pPr>
              <w:pStyle w:val="null3"/>
            </w:pPr>
            <w:r>
              <w:rPr>
                <w:rFonts w:ascii="仿宋_GB2312" w:hAnsi="仿宋_GB2312" w:cs="仿宋_GB2312" w:eastAsia="仿宋_GB2312"/>
              </w:rPr>
              <w:t>一、评审内容 针对本项目采购需求提供项目人员管理制度，包括但不限于：1.人员招聘制度；2.人员储备方案；3.人员补给、调配制度；4.人员档案管理、薪酬管理制度。 二、评分标准 每提供一项计2.5分，最高计10分。每有一处内容存在缺陷扣0.5分，扣完为止，未提供或提供的内容与本项目不符计0分。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项目人员培训计划</w:t>
            </w:r>
          </w:p>
        </w:tc>
        <w:tc>
          <w:tcPr>
            <w:tcW w:type="dxa" w:w="2492"/>
          </w:tcPr>
          <w:p>
            <w:pPr>
              <w:pStyle w:val="null3"/>
            </w:pPr>
            <w:r>
              <w:rPr>
                <w:rFonts w:ascii="仿宋_GB2312" w:hAnsi="仿宋_GB2312" w:cs="仿宋_GB2312" w:eastAsia="仿宋_GB2312"/>
              </w:rPr>
              <w:t>一、评审内容 针对本项目提供人员培训计划方案，包括但不限于：1.对项目人员的岗前培训；2.对项目人员的在岗培训；3.对项目人员的考勤、定期考核管理；4.对项目人员的动态专项业务培训（紧跟上级单位的业务新规与工作部署）。所提供方案全面完善，具有很强的合理性和可操作性。 二、评分标准 每提供一项计3分，最高计12分。每有一处内容存在缺陷扣1分，扣完为止，未提供或提供的内容与本项目不符计0分。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针对本项目提供保密措施，包括但不限于：对于该项目执行过程中，如何避免工作中知悉、接触的案件信息和材料的泄露制定的详细计划及措施。所提供方案全面完善，具有很强的合理性和可操作性。 二、评分标准 根据响应程度最高计5分，每有一处内容存在缺陷扣1分，扣完为止，未提供或提供的内容与本项目不符计0分。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及保证措施,包括但不限于：1.人员异动应急；2.业务高峰期应急（立案登记高峰、群体性案件到访、信访集中爆发等）；3.数据安全应急（诉讼信息泄露、系统故障、档案损坏等处置流程）；4.公共安全应急（服务大厅冲突、突发疾病、消防/自然灾害等处置预案），措施全面、高效、可行、有针对性。 二、评分标准 每提供一项计2.5分，最高计10分。每有一处内容存在缺陷扣0.5分，扣完为止，未提供或提供的内容与本项目不符计0分。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具有2022年1月1日至今的诉讼服务外包类似业绩（以合同签订日期为准），提供合同复印件。每个业绩计2分，满分6分。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