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C06F30">
      <w:pPr>
        <w:pStyle w:val="2"/>
        <w:widowControl w:val="0"/>
        <w:spacing w:line="360" w:lineRule="auto"/>
        <w:jc w:val="both"/>
        <w:rPr>
          <w:rFonts w:hint="eastAsia" w:ascii="宋体" w:hAnsi="宋体" w:eastAsia="宋体" w:cs="宋体"/>
          <w:b/>
          <w:bCs/>
          <w:color w:val="000000" w:themeColor="text1"/>
          <w:lang w:eastAsia="zh-CN"/>
          <w14:textFill>
            <w14:solidFill>
              <w14:schemeClr w14:val="tx1"/>
            </w14:solidFill>
          </w14:textFill>
        </w:rPr>
      </w:pPr>
      <w:bookmarkStart w:id="0" w:name="_GoBack"/>
      <w:bookmarkEnd w:id="0"/>
    </w:p>
    <w:p w14:paraId="707BDB1E">
      <w:pPr>
        <w:pStyle w:val="2"/>
        <w:widowControl w:val="0"/>
        <w:spacing w:line="360" w:lineRule="auto"/>
        <w:jc w:val="center"/>
        <w:rPr>
          <w:rFonts w:hint="default" w:ascii="宋体" w:hAnsi="宋体" w:eastAsia="宋体" w:cs="宋体"/>
          <w:b/>
          <w:bCs/>
          <w:color w:val="000000" w:themeColor="text1"/>
          <w:sz w:val="36"/>
          <w:szCs w:val="36"/>
          <w:lang w:val="en-US" w:eastAsia="zh-CN"/>
          <w14:textFill>
            <w14:solidFill>
              <w14:schemeClr w14:val="tx1"/>
            </w14:solidFill>
          </w14:textFill>
        </w:rPr>
      </w:pPr>
      <w:r>
        <w:rPr>
          <w:rFonts w:hint="eastAsia" w:ascii="宋体" w:hAnsi="宋体" w:eastAsia="宋体" w:cs="宋体"/>
          <w:b/>
          <w:bCs/>
          <w:color w:val="000000" w:themeColor="text1"/>
          <w:sz w:val="36"/>
          <w:szCs w:val="36"/>
          <w:lang w:val="en-US" w:eastAsia="zh-CN"/>
          <w14:textFill>
            <w14:solidFill>
              <w14:schemeClr w14:val="tx1"/>
            </w14:solidFill>
          </w14:textFill>
        </w:rPr>
        <w:t>采购需求</w:t>
      </w:r>
    </w:p>
    <w:p w14:paraId="05807A09">
      <w:pPr>
        <w:pStyle w:val="2"/>
        <w:widowControl w:val="0"/>
        <w:spacing w:line="360" w:lineRule="auto"/>
        <w:jc w:val="both"/>
        <w:rPr>
          <w:rFonts w:ascii="宋体" w:hAnsi="宋体" w:eastAsia="宋体" w:cs="宋体"/>
          <w:b/>
          <w:bCs/>
          <w:color w:val="000000" w:themeColor="text1"/>
          <w:lang w:eastAsia="zh-CN"/>
          <w14:textFill>
            <w14:solidFill>
              <w14:schemeClr w14:val="tx1"/>
            </w14:solidFill>
          </w14:textFill>
        </w:rPr>
      </w:pPr>
      <w:r>
        <w:rPr>
          <w:rFonts w:hint="eastAsia" w:ascii="宋体" w:hAnsi="宋体" w:eastAsia="宋体" w:cs="宋体"/>
          <w:b/>
          <w:bCs/>
          <w:color w:val="000000" w:themeColor="text1"/>
          <w:lang w:eastAsia="zh-CN"/>
          <w14:textFill>
            <w14:solidFill>
              <w14:schemeClr w14:val="tx1"/>
            </w14:solidFill>
          </w14:textFill>
        </w:rPr>
        <w:t>一、项目概况</w:t>
      </w:r>
    </w:p>
    <w:p w14:paraId="502E817F">
      <w:pPr>
        <w:widowControl w:val="0"/>
        <w:spacing w:line="360" w:lineRule="auto"/>
        <w:ind w:firstLine="420" w:firstLineChars="200"/>
        <w:jc w:val="both"/>
        <w:rPr>
          <w:rFonts w:hint="eastAsia" w:ascii="宋体" w:hAnsi="宋体" w:eastAsia="宋体" w:cs="宋体"/>
          <w:color w:val="auto"/>
          <w:lang w:eastAsia="zh-CN"/>
        </w:rPr>
      </w:pPr>
      <w:r>
        <w:rPr>
          <w:rFonts w:hint="eastAsia" w:ascii="宋体" w:hAnsi="宋体" w:cs="宋体"/>
          <w:color w:val="auto"/>
          <w:lang w:val="en-US" w:eastAsia="zh-CN"/>
        </w:rPr>
        <w:t>本项目为</w:t>
      </w:r>
      <w:r>
        <w:rPr>
          <w:rFonts w:hint="eastAsia" w:ascii="宋体" w:hAnsi="宋体" w:eastAsia="宋体" w:cs="宋体"/>
          <w:color w:val="auto"/>
          <w:lang w:eastAsia="zh-CN"/>
        </w:rPr>
        <w:t>西安市长安区人民法院诉讼服务中心辅助服务外包项目，</w:t>
      </w:r>
      <w:r>
        <w:rPr>
          <w:rFonts w:hint="eastAsia" w:ascii="宋体" w:hAnsi="宋体" w:cs="宋体"/>
          <w:color w:val="auto"/>
          <w:lang w:eastAsia="zh-CN"/>
        </w:rPr>
        <w:t>诉讼辅助服务主要包含：引导分流、网上立案材料辅助审核、立案信息录入及案件流转、案件信息查询、电话接听、上诉案件接收和登记及移送、信访接待登记、诉服信息平台管理、要素式起诉状辅助等</w:t>
      </w:r>
      <w:r>
        <w:rPr>
          <w:rFonts w:hint="eastAsia" w:ascii="宋体" w:hAnsi="宋体" w:eastAsia="宋体" w:cs="宋体"/>
          <w:color w:val="auto"/>
          <w:lang w:eastAsia="zh-CN"/>
        </w:rPr>
        <w:t>。</w:t>
      </w:r>
    </w:p>
    <w:p w14:paraId="5D3991ED">
      <w:pPr>
        <w:widowControl w:val="0"/>
        <w:spacing w:line="360" w:lineRule="auto"/>
        <w:jc w:val="both"/>
        <w:rPr>
          <w:rFonts w:ascii="宋体" w:hAnsi="宋体" w:eastAsia="宋体" w:cs="宋体"/>
          <w:b/>
          <w:bCs/>
          <w:color w:val="000000" w:themeColor="text1"/>
          <w:lang w:eastAsia="zh-CN"/>
          <w14:textFill>
            <w14:solidFill>
              <w14:schemeClr w14:val="tx1"/>
            </w14:solidFill>
          </w14:textFill>
        </w:rPr>
      </w:pPr>
      <w:r>
        <w:rPr>
          <w:rFonts w:hint="eastAsia" w:ascii="宋体" w:hAnsi="宋体" w:eastAsia="宋体" w:cs="宋体"/>
          <w:b/>
          <w:bCs/>
          <w:color w:val="000000" w:themeColor="text1"/>
          <w:lang w:eastAsia="zh-CN"/>
          <w14:textFill>
            <w14:solidFill>
              <w14:schemeClr w14:val="tx1"/>
            </w14:solidFill>
          </w14:textFill>
        </w:rPr>
        <w:t>二、服务内容（岗位需求及工作量）</w:t>
      </w:r>
    </w:p>
    <w:p w14:paraId="649EB552">
      <w:pPr>
        <w:pStyle w:val="2"/>
        <w:widowControl w:val="0"/>
        <w:spacing w:line="360" w:lineRule="auto"/>
        <w:ind w:firstLine="422" w:firstLineChars="200"/>
        <w:jc w:val="both"/>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b/>
          <w:bCs/>
          <w:color w:val="000000" w:themeColor="text1"/>
          <w:lang w:eastAsia="zh-CN"/>
          <w14:textFill>
            <w14:solidFill>
              <w14:schemeClr w14:val="tx1"/>
            </w14:solidFill>
          </w14:textFill>
        </w:rPr>
        <w:t xml:space="preserve">1.引导分流岗 </w:t>
      </w:r>
    </w:p>
    <w:p w14:paraId="10CE245C">
      <w:pPr>
        <w:pStyle w:val="2"/>
        <w:widowControl w:val="0"/>
        <w:spacing w:line="360" w:lineRule="auto"/>
        <w:ind w:firstLine="420" w:firstLineChars="200"/>
        <w:jc w:val="both"/>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该岗位主要负责对当事人的材料进行初步审查，并根据材料标准要求指引当事人进行材料补充，如当事人需办理具体窗口业务，根据业务需求为当事人排号，将当事人分流至诉讼大厅休息，等待各接待窗口叫号。同时引导并协助当事人使用现场自助设备，使当事人能够通过自助设备办理所需业务。</w:t>
      </w:r>
    </w:p>
    <w:p w14:paraId="120C215B">
      <w:pPr>
        <w:pStyle w:val="2"/>
        <w:widowControl w:val="0"/>
        <w:spacing w:line="360" w:lineRule="auto"/>
        <w:ind w:firstLine="420" w:firstLineChars="200"/>
        <w:jc w:val="both"/>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负责接收分流到诉讼服务组的诉前调解案件，根据诉前调解服务组的分案原则把所收案件分配至各个调解员，同时将调解成功和调解失败的案件进行整理，移送给立案庭。</w:t>
      </w:r>
    </w:p>
    <w:p w14:paraId="075CEF7F">
      <w:pPr>
        <w:pStyle w:val="2"/>
        <w:widowControl w:val="0"/>
        <w:spacing w:line="360" w:lineRule="auto"/>
        <w:ind w:firstLine="420" w:firstLineChars="200"/>
        <w:jc w:val="both"/>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日均接待180余人次，月均接待4000余人次，大厅设备的维护与运行每日4次，每月90余次。</w:t>
      </w:r>
    </w:p>
    <w:p w14:paraId="69D8EE25">
      <w:pPr>
        <w:pStyle w:val="2"/>
        <w:widowControl w:val="0"/>
        <w:spacing w:line="360" w:lineRule="auto"/>
        <w:ind w:firstLine="422" w:firstLineChars="200"/>
        <w:jc w:val="both"/>
        <w:rPr>
          <w:rFonts w:ascii="宋体" w:hAnsi="宋体" w:eastAsia="宋体" w:cs="宋体"/>
          <w:b/>
          <w:bCs/>
          <w:color w:val="000000" w:themeColor="text1"/>
          <w:lang w:eastAsia="zh-CN"/>
          <w14:textFill>
            <w14:solidFill>
              <w14:schemeClr w14:val="tx1"/>
            </w14:solidFill>
          </w14:textFill>
        </w:rPr>
      </w:pPr>
      <w:r>
        <w:rPr>
          <w:rFonts w:hint="eastAsia" w:ascii="宋体" w:hAnsi="宋体" w:eastAsia="宋体" w:cs="宋体"/>
          <w:b/>
          <w:bCs/>
          <w:color w:val="000000" w:themeColor="text1"/>
          <w:lang w:eastAsia="zh-CN"/>
          <w14:textFill>
            <w14:solidFill>
              <w14:schemeClr w14:val="tx1"/>
            </w14:solidFill>
          </w14:textFill>
        </w:rPr>
        <w:t>2.网上立案材料审核辅助</w:t>
      </w:r>
    </w:p>
    <w:p w14:paraId="340D6D02">
      <w:pPr>
        <w:pStyle w:val="2"/>
        <w:widowControl w:val="0"/>
        <w:spacing w:line="360" w:lineRule="auto"/>
        <w:ind w:firstLine="420" w:firstLineChars="200"/>
        <w:jc w:val="both"/>
        <w:rPr>
          <w:rFonts w:hint="eastAsia"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结合网上立案的业务流程，设置网上立案材料审核辅助岗位。由网上立案审查组的法官或法官助理完成网上立案信息的审查工作后，由辅助人员负责接收网上材料、现场网上立案和非现场网上立案材料的审查校对工作。</w:t>
      </w:r>
    </w:p>
    <w:p w14:paraId="15D586B8">
      <w:pPr>
        <w:pStyle w:val="2"/>
        <w:widowControl w:val="0"/>
        <w:spacing w:line="360" w:lineRule="auto"/>
        <w:ind w:firstLine="420" w:firstLineChars="200"/>
        <w:jc w:val="both"/>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引导当事人现场进行满意度评价。</w:t>
      </w:r>
    </w:p>
    <w:p w14:paraId="71F50E72">
      <w:pPr>
        <w:pStyle w:val="2"/>
        <w:widowControl w:val="0"/>
        <w:spacing w:line="360" w:lineRule="auto"/>
        <w:ind w:firstLine="420" w:firstLineChars="200"/>
        <w:jc w:val="both"/>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网上日审核案件及材料流转各200余件，月审核及材料流转4400余件；引导当事人满意度评价日20余件，月440余件。</w:t>
      </w:r>
    </w:p>
    <w:p w14:paraId="4CF10C7A">
      <w:pPr>
        <w:pStyle w:val="2"/>
        <w:widowControl w:val="0"/>
        <w:spacing w:line="360" w:lineRule="auto"/>
        <w:ind w:firstLine="422" w:firstLineChars="200"/>
        <w:jc w:val="both"/>
        <w:rPr>
          <w:rFonts w:ascii="宋体" w:hAnsi="宋体" w:eastAsia="宋体" w:cs="宋体"/>
          <w:b/>
          <w:bCs/>
          <w:color w:val="000000" w:themeColor="text1"/>
          <w:lang w:eastAsia="zh-CN"/>
          <w14:textFill>
            <w14:solidFill>
              <w14:schemeClr w14:val="tx1"/>
            </w14:solidFill>
          </w14:textFill>
        </w:rPr>
      </w:pPr>
      <w:r>
        <w:rPr>
          <w:rFonts w:hint="eastAsia" w:ascii="宋体" w:hAnsi="宋体" w:eastAsia="宋体" w:cs="宋体"/>
          <w:b/>
          <w:bCs/>
          <w:color w:val="000000" w:themeColor="text1"/>
          <w:lang w:eastAsia="zh-CN"/>
          <w14:textFill>
            <w14:solidFill>
              <w14:schemeClr w14:val="tx1"/>
            </w14:solidFill>
          </w14:textFill>
        </w:rPr>
        <w:t>3.立案信息录入及案件流转接收</w:t>
      </w:r>
    </w:p>
    <w:p w14:paraId="456FA530">
      <w:pPr>
        <w:pStyle w:val="2"/>
        <w:widowControl w:val="0"/>
        <w:spacing w:line="360" w:lineRule="auto"/>
        <w:ind w:firstLine="420" w:firstLineChars="200"/>
        <w:jc w:val="both"/>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根据立案业务情况，在案件流转中心设置立案信息录入岗人员，负责完成院本部民商事类、执行案件信息录入工作，实现当日立案当日完成信息录入，并于24小时内移送至审判业务庭室开展后续工作。</w:t>
      </w:r>
    </w:p>
    <w:p w14:paraId="636E164B">
      <w:pPr>
        <w:pStyle w:val="2"/>
        <w:widowControl w:val="0"/>
        <w:spacing w:line="360" w:lineRule="auto"/>
        <w:ind w:firstLine="420" w:firstLineChars="200"/>
        <w:jc w:val="both"/>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经立案审查窗口的法官或法官助理完成案件审查，确认符合立案登记条件的，由立案信息录入岗在案件管理系统完成案件信息的录入和立案流转表单制作，并与当事人确认立案相关信息，引导当事人完成相关文书的填写和确认工作。</w:t>
      </w:r>
    </w:p>
    <w:p w14:paraId="6458954F">
      <w:pPr>
        <w:pStyle w:val="2"/>
        <w:widowControl w:val="0"/>
        <w:spacing w:line="360" w:lineRule="auto"/>
        <w:ind w:firstLine="420" w:firstLineChars="200"/>
        <w:jc w:val="both"/>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案件信息录入每日200余件，每月4500余件；繁简分流每日120余件，每月2600余件。</w:t>
      </w:r>
    </w:p>
    <w:p w14:paraId="403333A3">
      <w:pPr>
        <w:pStyle w:val="2"/>
        <w:widowControl w:val="0"/>
        <w:spacing w:line="360" w:lineRule="auto"/>
        <w:ind w:firstLine="422" w:firstLineChars="200"/>
        <w:jc w:val="both"/>
        <w:rPr>
          <w:rFonts w:ascii="宋体" w:hAnsi="宋体" w:eastAsia="宋体" w:cs="宋体"/>
          <w:b/>
          <w:bCs/>
          <w:color w:val="000000" w:themeColor="text1"/>
          <w:lang w:eastAsia="zh-CN"/>
          <w14:textFill>
            <w14:solidFill>
              <w14:schemeClr w14:val="tx1"/>
            </w14:solidFill>
          </w14:textFill>
        </w:rPr>
      </w:pPr>
      <w:r>
        <w:rPr>
          <w:rFonts w:hint="eastAsia" w:ascii="宋体" w:hAnsi="宋体" w:eastAsia="宋体" w:cs="宋体"/>
          <w:b/>
          <w:bCs/>
          <w:color w:val="000000" w:themeColor="text1"/>
          <w:lang w:eastAsia="zh-CN"/>
          <w14:textFill>
            <w14:solidFill>
              <w14:schemeClr w14:val="tx1"/>
            </w14:solidFill>
          </w14:textFill>
        </w:rPr>
        <w:t xml:space="preserve">4.案件信息查询 </w:t>
      </w:r>
    </w:p>
    <w:p w14:paraId="04BD249F">
      <w:pPr>
        <w:pStyle w:val="2"/>
        <w:widowControl w:val="0"/>
        <w:spacing w:line="360" w:lineRule="auto"/>
        <w:ind w:firstLine="420" w:firstLineChars="200"/>
        <w:jc w:val="both"/>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接收当事人提出的案件查询申请，登记并核实当事人及查询案件的相关信息，协助当事人办理案件查询事宜。</w:t>
      </w:r>
    </w:p>
    <w:p w14:paraId="772F3E89">
      <w:pPr>
        <w:pStyle w:val="2"/>
        <w:widowControl w:val="0"/>
        <w:spacing w:line="360" w:lineRule="auto"/>
        <w:ind w:firstLine="420" w:firstLineChars="200"/>
        <w:jc w:val="both"/>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案件查询接待每日70余人次，每月接待1500余人次；保全审查立案日均15余件，月均310余件；引导当事人满意度评价每日5人次，月110余人次。</w:t>
      </w:r>
    </w:p>
    <w:p w14:paraId="561CC97C">
      <w:pPr>
        <w:pStyle w:val="2"/>
        <w:widowControl w:val="0"/>
        <w:spacing w:line="360" w:lineRule="auto"/>
        <w:ind w:firstLine="422" w:firstLineChars="200"/>
        <w:jc w:val="both"/>
        <w:rPr>
          <w:rFonts w:ascii="宋体" w:hAnsi="宋体" w:eastAsia="宋体" w:cs="宋体"/>
          <w:b/>
          <w:bCs/>
          <w:color w:val="000000" w:themeColor="text1"/>
          <w:lang w:eastAsia="zh-CN"/>
          <w14:textFill>
            <w14:solidFill>
              <w14:schemeClr w14:val="tx1"/>
            </w14:solidFill>
          </w14:textFill>
        </w:rPr>
      </w:pPr>
      <w:r>
        <w:rPr>
          <w:rFonts w:hint="eastAsia" w:ascii="宋体" w:hAnsi="宋体" w:eastAsia="宋体" w:cs="宋体"/>
          <w:b/>
          <w:bCs/>
          <w:color w:val="000000" w:themeColor="text1"/>
          <w:lang w:eastAsia="zh-CN"/>
          <w14:textFill>
            <w14:solidFill>
              <w14:schemeClr w14:val="tx1"/>
            </w14:solidFill>
          </w14:textFill>
        </w:rPr>
        <w:t xml:space="preserve">5.电话接听 </w:t>
      </w:r>
    </w:p>
    <w:p w14:paraId="3B39F601">
      <w:pPr>
        <w:pStyle w:val="2"/>
        <w:widowControl w:val="0"/>
        <w:spacing w:line="360" w:lineRule="auto"/>
        <w:ind w:firstLine="420" w:firstLineChars="200"/>
        <w:jc w:val="both"/>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为了更好地减轻法官团队负担，解决当事人咨询问题快速响应问题，设置电话接听岗，当事人可通过拨打服务热线，咨询诉讼审判及执行相关业务流程、查找案件相关业务流程信息，并可以预约法官。服务热线在确认当事人的需求后，根据需求进行当场回复或者转办相关法官团队，法官团队可以根据情况，选择自行回复或者将答复转交服务热线进行回复。</w:t>
      </w:r>
    </w:p>
    <w:p w14:paraId="6B1AAA39">
      <w:pPr>
        <w:pStyle w:val="2"/>
        <w:widowControl w:val="0"/>
        <w:spacing w:line="360" w:lineRule="auto"/>
        <w:ind w:firstLine="420" w:firstLineChars="200"/>
        <w:jc w:val="both"/>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每日接听电话案件咨询查询200余次，每月4500余次。</w:t>
      </w:r>
    </w:p>
    <w:p w14:paraId="3BB9911B">
      <w:pPr>
        <w:pStyle w:val="2"/>
        <w:widowControl w:val="0"/>
        <w:spacing w:line="360" w:lineRule="auto"/>
        <w:ind w:firstLine="422" w:firstLineChars="200"/>
        <w:jc w:val="both"/>
        <w:rPr>
          <w:rFonts w:ascii="宋体" w:hAnsi="宋体" w:eastAsia="宋体" w:cs="宋体"/>
          <w:b/>
          <w:bCs/>
          <w:color w:val="000000" w:themeColor="text1"/>
          <w:lang w:eastAsia="zh-CN"/>
          <w14:textFill>
            <w14:solidFill>
              <w14:schemeClr w14:val="tx1"/>
            </w14:solidFill>
          </w14:textFill>
        </w:rPr>
      </w:pPr>
      <w:r>
        <w:rPr>
          <w:rFonts w:hint="eastAsia" w:ascii="宋体" w:hAnsi="宋体" w:eastAsia="宋体" w:cs="宋体"/>
          <w:b/>
          <w:bCs/>
          <w:color w:val="000000" w:themeColor="text1"/>
          <w:lang w:eastAsia="zh-CN"/>
          <w14:textFill>
            <w14:solidFill>
              <w14:schemeClr w14:val="tx1"/>
            </w14:solidFill>
          </w14:textFill>
        </w:rPr>
        <w:t xml:space="preserve">6.上诉案件接收、登记及移送 </w:t>
      </w:r>
    </w:p>
    <w:p w14:paraId="40CB3241">
      <w:pPr>
        <w:pStyle w:val="2"/>
        <w:widowControl w:val="0"/>
        <w:spacing w:line="360" w:lineRule="auto"/>
        <w:ind w:firstLine="420" w:firstLineChars="200"/>
        <w:jc w:val="both"/>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审查上诉材料是否符合接收条件，接收符合接收条件的上诉材料，并出具收取单；拒收不符合接收条件的上诉材料，并说明原因，同时将上诉状移送法官团队。上诉状扫描至系统进行登记。</w:t>
      </w:r>
    </w:p>
    <w:p w14:paraId="77AD9B6E">
      <w:pPr>
        <w:pStyle w:val="2"/>
        <w:widowControl w:val="0"/>
        <w:spacing w:line="360" w:lineRule="auto"/>
        <w:ind w:firstLine="420" w:firstLineChars="200"/>
        <w:jc w:val="both"/>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每周审核接收上诉案件材料130余件，每月400余件；移送案件接收每周20余件，每月100余件；每周三协助去中院送取上诉卷近200宗案卷；刑事立案每周25余件，每月100余件。</w:t>
      </w:r>
    </w:p>
    <w:p w14:paraId="79575FFE">
      <w:pPr>
        <w:pStyle w:val="2"/>
        <w:widowControl w:val="0"/>
        <w:spacing w:line="360" w:lineRule="auto"/>
        <w:ind w:firstLine="422" w:firstLineChars="200"/>
        <w:jc w:val="both"/>
        <w:rPr>
          <w:rFonts w:ascii="宋体" w:hAnsi="宋体" w:eastAsia="宋体" w:cs="宋体"/>
          <w:b/>
          <w:bCs/>
          <w:color w:val="000000" w:themeColor="text1"/>
          <w:lang w:eastAsia="zh-CN"/>
          <w14:textFill>
            <w14:solidFill>
              <w14:schemeClr w14:val="tx1"/>
            </w14:solidFill>
          </w14:textFill>
        </w:rPr>
      </w:pPr>
      <w:r>
        <w:rPr>
          <w:rFonts w:hint="eastAsia" w:ascii="宋体" w:hAnsi="宋体" w:eastAsia="宋体" w:cs="宋体"/>
          <w:b/>
          <w:bCs/>
          <w:color w:val="000000" w:themeColor="text1"/>
          <w:lang w:eastAsia="zh-CN"/>
          <w14:textFill>
            <w14:solidFill>
              <w14:schemeClr w14:val="tx1"/>
            </w14:solidFill>
          </w14:textFill>
        </w:rPr>
        <w:t xml:space="preserve">7.信访接待登记 </w:t>
      </w:r>
    </w:p>
    <w:p w14:paraId="382CB6FF">
      <w:pPr>
        <w:pStyle w:val="2"/>
        <w:widowControl w:val="0"/>
        <w:spacing w:line="360" w:lineRule="auto"/>
        <w:ind w:firstLine="420" w:firstLineChars="200"/>
        <w:jc w:val="both"/>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为了更好地减轻法官团队信访工作负担，在信访中心设定信访辅助岗，每日接收上级法院移送、院内领导转交的信访材料，并进行整理登记，根据材料所涉信息，完成信访系统信息录入、备案工作。</w:t>
      </w:r>
    </w:p>
    <w:p w14:paraId="4A623195">
      <w:pPr>
        <w:pStyle w:val="2"/>
        <w:widowControl w:val="0"/>
        <w:spacing w:line="360" w:lineRule="auto"/>
        <w:ind w:firstLine="420" w:firstLineChars="200"/>
        <w:jc w:val="both"/>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按照信访材料内容性质，将材料进行分流，对于举报类材料内容，将其整理、对非纸质内容进行打印后，移交纪检监察室，对于申请再审类内容，将其整理、对非纸质内容进行打印后，审核是否符合再审规定。若符合，整理相关材料移送至中院立案庭；若不符合，则将信访材料退回当事人并告知其原因，同时，对所有信访事件处理结果进行跟踪，并做好记录反馈。</w:t>
      </w:r>
    </w:p>
    <w:p w14:paraId="6D1957CD">
      <w:pPr>
        <w:pStyle w:val="2"/>
        <w:widowControl w:val="0"/>
        <w:spacing w:line="360" w:lineRule="auto"/>
        <w:ind w:firstLine="420" w:firstLineChars="200"/>
        <w:jc w:val="both"/>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信访接待登记、录入及流转每日20余件，每月400余件；接待信访群众每日15余人次，每月330余人次；起草信访相关文件及数据统计每周5次，每月30余次。</w:t>
      </w:r>
    </w:p>
    <w:p w14:paraId="39A900AB">
      <w:pPr>
        <w:pStyle w:val="2"/>
        <w:widowControl w:val="0"/>
        <w:spacing w:line="360" w:lineRule="auto"/>
        <w:ind w:firstLine="422" w:firstLineChars="200"/>
        <w:jc w:val="both"/>
        <w:rPr>
          <w:rFonts w:ascii="宋体" w:hAnsi="宋体" w:eastAsia="宋体" w:cs="宋体"/>
          <w:b/>
          <w:bCs/>
          <w:color w:val="000000" w:themeColor="text1"/>
          <w:lang w:eastAsia="zh-CN"/>
          <w14:textFill>
            <w14:solidFill>
              <w14:schemeClr w14:val="tx1"/>
            </w14:solidFill>
          </w14:textFill>
        </w:rPr>
      </w:pPr>
      <w:r>
        <w:rPr>
          <w:rFonts w:hint="eastAsia" w:ascii="宋体" w:hAnsi="宋体" w:eastAsia="宋体" w:cs="宋体"/>
          <w:b/>
          <w:bCs/>
          <w:color w:val="000000" w:themeColor="text1"/>
          <w:lang w:eastAsia="zh-CN"/>
          <w14:textFill>
            <w14:solidFill>
              <w14:schemeClr w14:val="tx1"/>
            </w14:solidFill>
          </w14:textFill>
        </w:rPr>
        <w:t>8.诉服信息平台管理</w:t>
      </w:r>
    </w:p>
    <w:p w14:paraId="30D96CCD">
      <w:pPr>
        <w:pStyle w:val="2"/>
        <w:widowControl w:val="0"/>
        <w:spacing w:line="360" w:lineRule="auto"/>
        <w:ind w:firstLine="420" w:firstLineChars="200"/>
        <w:jc w:val="both"/>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在服务期内，对最高人民法院和省法院开发的与诉讼服务质效平台考核相关的系统进行管理、督促、联络、维护，保证上级法院质效考核系统能够及时抽取长安区法院的诉讼服务数据，实时监控质效评估分数及排名情况，提取并分析指标数据，提供可行性方案。</w:t>
      </w:r>
    </w:p>
    <w:p w14:paraId="69135684">
      <w:pPr>
        <w:pStyle w:val="2"/>
        <w:widowControl w:val="0"/>
        <w:spacing w:line="360" w:lineRule="auto"/>
        <w:ind w:firstLine="420" w:firstLineChars="200"/>
        <w:jc w:val="both"/>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每日收转处理相关材料6件，每月180余件；每日分流调解案件60余件，每月1300余件；总对总案件调解每日10余件，每月230余件。</w:t>
      </w:r>
    </w:p>
    <w:p w14:paraId="39C96CD7">
      <w:pPr>
        <w:pStyle w:val="2"/>
        <w:widowControl w:val="0"/>
        <w:spacing w:line="360" w:lineRule="auto"/>
        <w:ind w:firstLine="422" w:firstLineChars="200"/>
        <w:jc w:val="both"/>
        <w:rPr>
          <w:rFonts w:ascii="宋体" w:hAnsi="宋体" w:eastAsia="宋体" w:cs="宋体"/>
          <w:b/>
          <w:bCs/>
          <w:color w:val="000000" w:themeColor="text1"/>
          <w:lang w:eastAsia="zh-CN"/>
          <w14:textFill>
            <w14:solidFill>
              <w14:schemeClr w14:val="tx1"/>
            </w14:solidFill>
          </w14:textFill>
        </w:rPr>
      </w:pPr>
      <w:r>
        <w:rPr>
          <w:rFonts w:hint="eastAsia" w:ascii="宋体" w:hAnsi="宋体" w:eastAsia="宋体" w:cs="宋体"/>
          <w:b/>
          <w:bCs/>
          <w:color w:val="000000" w:themeColor="text1"/>
          <w:lang w:eastAsia="zh-CN"/>
          <w14:textFill>
            <w14:solidFill>
              <w14:schemeClr w14:val="tx1"/>
            </w14:solidFill>
          </w14:textFill>
        </w:rPr>
        <w:t>9.要素式起诉状辅助</w:t>
      </w:r>
    </w:p>
    <w:p w14:paraId="340A345B">
      <w:pPr>
        <w:pStyle w:val="2"/>
        <w:widowControl w:val="0"/>
        <w:spacing w:line="360" w:lineRule="auto"/>
        <w:ind w:firstLine="420" w:firstLineChars="200"/>
        <w:jc w:val="both"/>
        <w:rPr>
          <w:rFonts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eastAsia="zh-CN"/>
          <w14:textFill>
            <w14:solidFill>
              <w14:schemeClr w14:val="tx1"/>
            </w14:solidFill>
          </w14:textFill>
        </w:rPr>
        <w:t>按照最高法院的要求，当事人在立案时需提交要素式起诉状</w:t>
      </w:r>
      <w:r>
        <w:rPr>
          <w:rFonts w:hint="eastAsia" w:ascii="宋体" w:hAnsi="宋体" w:eastAsia="宋体" w:cs="宋体"/>
          <w:color w:val="000000" w:themeColor="text1"/>
          <w:highlight w:val="none"/>
          <w:lang w:eastAsia="zh-CN"/>
          <w14:textFill>
            <w14:solidFill>
              <w14:schemeClr w14:val="tx1"/>
            </w14:solidFill>
          </w14:textFill>
        </w:rPr>
        <w:t>，对67类案由的案件要求必</w:t>
      </w:r>
      <w:r>
        <w:rPr>
          <w:rFonts w:hint="eastAsia" w:ascii="宋体" w:hAnsi="宋体" w:eastAsia="宋体" w:cs="宋体"/>
          <w:color w:val="000000" w:themeColor="text1"/>
          <w:lang w:eastAsia="zh-CN"/>
          <w14:textFill>
            <w14:solidFill>
              <w14:schemeClr w14:val="tx1"/>
            </w14:solidFill>
          </w14:textFill>
        </w:rPr>
        <w:t>须提供。立案庭提供两台设备，需专人辅助当事人要素式起诉状的制作及打印。引导当事人制作、打印要素式起诉状每日60余人次，每月1300余次。</w:t>
      </w:r>
    </w:p>
    <w:p w14:paraId="2119BF72">
      <w:pPr>
        <w:pStyle w:val="6"/>
        <w:widowControl w:val="0"/>
        <w:spacing w:line="360" w:lineRule="auto"/>
        <w:jc w:val="both"/>
        <w:rPr>
          <w:rFonts w:hint="default" w:ascii="宋体" w:hAnsi="宋体" w:cs="宋体"/>
          <w:b/>
          <w:bCs/>
          <w:sz w:val="21"/>
          <w:szCs w:val="21"/>
        </w:rPr>
      </w:pPr>
      <w:r>
        <w:rPr>
          <w:rFonts w:ascii="宋体" w:hAnsi="宋体" w:cs="宋体"/>
          <w:b/>
          <w:bCs/>
          <w:color w:val="000000"/>
          <w:sz w:val="21"/>
          <w:szCs w:val="21"/>
        </w:rPr>
        <w:t>三、人员要求及条件</w:t>
      </w:r>
    </w:p>
    <w:p w14:paraId="70ED0E0C">
      <w:pPr>
        <w:pStyle w:val="6"/>
        <w:widowControl w:val="0"/>
        <w:spacing w:line="360" w:lineRule="auto"/>
        <w:ind w:firstLine="420" w:firstLineChars="200"/>
        <w:jc w:val="both"/>
        <w:rPr>
          <w:rFonts w:hint="default" w:ascii="宋体" w:hAnsi="宋体" w:cs="宋体"/>
          <w:color w:val="000000"/>
          <w:sz w:val="21"/>
          <w:szCs w:val="21"/>
        </w:rPr>
      </w:pPr>
      <w:r>
        <w:rPr>
          <w:rFonts w:ascii="宋体" w:hAnsi="宋体" w:cs="宋体"/>
          <w:color w:val="000000"/>
          <w:sz w:val="21"/>
          <w:szCs w:val="21"/>
        </w:rPr>
        <w:t>1.学历要求：大专以上学历，本科人员占比不低于30%；</w:t>
      </w:r>
    </w:p>
    <w:p w14:paraId="73604383">
      <w:pPr>
        <w:pStyle w:val="6"/>
        <w:widowControl w:val="0"/>
        <w:spacing w:line="360" w:lineRule="auto"/>
        <w:ind w:firstLine="420" w:firstLineChars="200"/>
        <w:jc w:val="both"/>
        <w:rPr>
          <w:rFonts w:hint="default" w:ascii="宋体" w:hAnsi="宋体" w:cs="宋体"/>
          <w:color w:val="000000"/>
          <w:sz w:val="21"/>
          <w:szCs w:val="21"/>
        </w:rPr>
      </w:pPr>
      <w:r>
        <w:rPr>
          <w:rFonts w:ascii="宋体" w:hAnsi="宋体" w:cs="宋体"/>
          <w:color w:val="000000"/>
          <w:sz w:val="21"/>
          <w:szCs w:val="21"/>
        </w:rPr>
        <w:t>2.专业要求：法律专业不低于40%；</w:t>
      </w:r>
    </w:p>
    <w:p w14:paraId="3E73636A">
      <w:pPr>
        <w:pStyle w:val="6"/>
        <w:widowControl w:val="0"/>
        <w:spacing w:line="360" w:lineRule="auto"/>
        <w:ind w:firstLine="420" w:firstLineChars="200"/>
        <w:jc w:val="both"/>
        <w:rPr>
          <w:rFonts w:hint="default" w:ascii="宋体" w:hAnsi="宋体" w:cs="宋体"/>
          <w:color w:val="000000"/>
          <w:sz w:val="21"/>
          <w:szCs w:val="21"/>
        </w:rPr>
      </w:pPr>
      <w:r>
        <w:rPr>
          <w:rFonts w:ascii="宋体" w:hAnsi="宋体" w:cs="宋体"/>
          <w:color w:val="000000"/>
          <w:sz w:val="21"/>
          <w:szCs w:val="21"/>
        </w:rPr>
        <w:t>3.性别要求：男女比例3:7；</w:t>
      </w:r>
    </w:p>
    <w:p w14:paraId="41CA96DF">
      <w:pPr>
        <w:pStyle w:val="6"/>
        <w:widowControl w:val="0"/>
        <w:spacing w:line="360" w:lineRule="auto"/>
        <w:ind w:firstLine="420" w:firstLineChars="200"/>
        <w:jc w:val="both"/>
        <w:rPr>
          <w:rFonts w:hint="default" w:ascii="宋体" w:hAnsi="宋体" w:cs="宋体"/>
          <w:color w:val="000000"/>
          <w:sz w:val="21"/>
          <w:szCs w:val="21"/>
        </w:rPr>
      </w:pPr>
      <w:r>
        <w:rPr>
          <w:rFonts w:ascii="宋体" w:hAnsi="宋体" w:cs="宋体"/>
          <w:color w:val="000000"/>
          <w:sz w:val="21"/>
          <w:szCs w:val="21"/>
        </w:rPr>
        <w:t>4.年龄要求：35岁以下；</w:t>
      </w:r>
    </w:p>
    <w:p w14:paraId="63850943">
      <w:pPr>
        <w:pStyle w:val="6"/>
        <w:widowControl w:val="0"/>
        <w:spacing w:line="360" w:lineRule="auto"/>
        <w:ind w:firstLine="420" w:firstLineChars="200"/>
        <w:jc w:val="both"/>
        <w:rPr>
          <w:rFonts w:hint="default" w:ascii="宋体" w:hAnsi="宋体" w:cs="宋体"/>
          <w:sz w:val="21"/>
          <w:szCs w:val="21"/>
        </w:rPr>
      </w:pPr>
      <w:r>
        <w:rPr>
          <w:rFonts w:ascii="宋体" w:hAnsi="宋体" w:cs="宋体"/>
          <w:color w:val="000000"/>
          <w:sz w:val="21"/>
          <w:szCs w:val="21"/>
        </w:rPr>
        <w:t>5.坚持四项基本原则，有良好的政治素质，遵纪守法、作风正派、品行端正，无违法犯罪记录，热爱法院工作；</w:t>
      </w:r>
    </w:p>
    <w:p w14:paraId="3A7F1F5B">
      <w:pPr>
        <w:pStyle w:val="6"/>
        <w:widowControl w:val="0"/>
        <w:spacing w:line="360" w:lineRule="auto"/>
        <w:ind w:firstLine="420" w:firstLineChars="200"/>
        <w:jc w:val="both"/>
        <w:rPr>
          <w:rFonts w:hint="default" w:ascii="宋体" w:hAnsi="宋体" w:cs="宋体"/>
          <w:color w:val="000000"/>
          <w:sz w:val="21"/>
          <w:szCs w:val="21"/>
        </w:rPr>
      </w:pPr>
      <w:r>
        <w:rPr>
          <w:rFonts w:ascii="宋体" w:hAnsi="宋体" w:cs="宋体"/>
          <w:color w:val="000000"/>
          <w:sz w:val="21"/>
          <w:szCs w:val="21"/>
        </w:rPr>
        <w:t>6.具有正常履行职责的身体条件和工作能力，工作责任感强，吃苦耐劳、工作细致，可以承受工作压力，具有良好的沟通能力和团队合作精神；</w:t>
      </w:r>
    </w:p>
    <w:p w14:paraId="7612EDFF">
      <w:pPr>
        <w:pStyle w:val="6"/>
        <w:widowControl w:val="0"/>
        <w:spacing w:line="360" w:lineRule="auto"/>
        <w:ind w:firstLine="420" w:firstLineChars="200"/>
        <w:jc w:val="both"/>
        <w:rPr>
          <w:rFonts w:hint="default" w:ascii="宋体" w:hAnsi="宋体" w:cs="宋体"/>
          <w:sz w:val="21"/>
          <w:szCs w:val="21"/>
        </w:rPr>
      </w:pPr>
      <w:r>
        <w:rPr>
          <w:rFonts w:ascii="宋体" w:hAnsi="宋体" w:cs="宋体"/>
          <w:color w:val="000000"/>
          <w:sz w:val="21"/>
          <w:szCs w:val="21"/>
        </w:rPr>
        <w:t>7.有相关业务服务内容工作经验；</w:t>
      </w:r>
    </w:p>
    <w:p w14:paraId="58E10336">
      <w:pPr>
        <w:pStyle w:val="6"/>
        <w:widowControl w:val="0"/>
        <w:spacing w:line="360" w:lineRule="auto"/>
        <w:ind w:firstLine="420" w:firstLineChars="200"/>
        <w:jc w:val="both"/>
        <w:rPr>
          <w:rFonts w:hint="default" w:ascii="宋体" w:hAnsi="宋体" w:cs="宋体"/>
          <w:sz w:val="21"/>
          <w:szCs w:val="21"/>
        </w:rPr>
      </w:pPr>
      <w:r>
        <w:rPr>
          <w:rFonts w:ascii="宋体" w:hAnsi="宋体" w:cs="宋体"/>
          <w:color w:val="000000"/>
          <w:sz w:val="21"/>
          <w:szCs w:val="21"/>
        </w:rPr>
        <w:t>8.富于创新精神和团队精神，勇于接受挑战；具有很强的政策法规意识和工作保密意识；</w:t>
      </w:r>
    </w:p>
    <w:p w14:paraId="74F9A967">
      <w:pPr>
        <w:pStyle w:val="6"/>
        <w:widowControl w:val="0"/>
        <w:spacing w:line="360" w:lineRule="auto"/>
        <w:ind w:firstLine="420" w:firstLineChars="200"/>
        <w:jc w:val="both"/>
        <w:rPr>
          <w:rFonts w:hint="default" w:ascii="宋体" w:hAnsi="宋体" w:cs="宋体"/>
          <w:sz w:val="21"/>
          <w:szCs w:val="21"/>
        </w:rPr>
      </w:pPr>
      <w:r>
        <w:rPr>
          <w:rFonts w:ascii="宋体" w:hAnsi="宋体" w:cs="宋体"/>
          <w:color w:val="000000"/>
          <w:sz w:val="21"/>
          <w:szCs w:val="21"/>
        </w:rPr>
        <w:t>9.较强的文字表达和公文处理能力，熟练操作计算机，熟悉常用办公软件（如word、excel），快速进行文字输入及整理工作；</w:t>
      </w:r>
    </w:p>
    <w:p w14:paraId="4096A2D3">
      <w:pPr>
        <w:pStyle w:val="6"/>
        <w:widowControl w:val="0"/>
        <w:spacing w:line="360" w:lineRule="auto"/>
        <w:ind w:firstLine="420" w:firstLineChars="200"/>
        <w:jc w:val="both"/>
        <w:rPr>
          <w:rFonts w:hint="default" w:ascii="宋体" w:hAnsi="宋体" w:cs="宋体"/>
          <w:sz w:val="21"/>
          <w:szCs w:val="21"/>
        </w:rPr>
      </w:pPr>
      <w:r>
        <w:rPr>
          <w:rFonts w:ascii="宋体" w:hAnsi="宋体" w:cs="宋体"/>
          <w:color w:val="000000"/>
          <w:sz w:val="21"/>
          <w:szCs w:val="21"/>
        </w:rPr>
        <w:t>10.遵守采购人日常管理制度和工作规范。</w:t>
      </w:r>
    </w:p>
    <w:p w14:paraId="78F16F56">
      <w:pPr>
        <w:pStyle w:val="6"/>
        <w:widowControl w:val="0"/>
        <w:spacing w:line="360" w:lineRule="auto"/>
        <w:jc w:val="both"/>
        <w:rPr>
          <w:rFonts w:hint="default" w:ascii="宋体" w:hAnsi="宋体" w:cs="宋体"/>
          <w:b/>
          <w:bCs/>
          <w:color w:val="000000"/>
          <w:sz w:val="21"/>
          <w:szCs w:val="21"/>
        </w:rPr>
      </w:pPr>
      <w:r>
        <w:rPr>
          <w:rFonts w:ascii="宋体" w:hAnsi="宋体" w:cs="宋体"/>
          <w:b/>
          <w:bCs/>
          <w:color w:val="000000"/>
          <w:sz w:val="21"/>
          <w:szCs w:val="21"/>
        </w:rPr>
        <w:t>四、商务要求</w:t>
      </w:r>
    </w:p>
    <w:p w14:paraId="31517E56">
      <w:pPr>
        <w:pStyle w:val="6"/>
        <w:widowControl w:val="0"/>
        <w:spacing w:line="360" w:lineRule="auto"/>
        <w:ind w:firstLine="350"/>
        <w:jc w:val="both"/>
        <w:rPr>
          <w:rFonts w:hint="default" w:ascii="宋体" w:hAnsi="宋体" w:cs="宋体"/>
          <w:color w:val="000000"/>
          <w:sz w:val="21"/>
          <w:szCs w:val="21"/>
        </w:rPr>
      </w:pPr>
      <w:r>
        <w:rPr>
          <w:rFonts w:ascii="宋体" w:hAnsi="宋体" w:cs="宋体"/>
          <w:color w:val="000000"/>
          <w:sz w:val="21"/>
          <w:szCs w:val="21"/>
        </w:rPr>
        <w:t>自合同签订之日起5个工作日内，按照项目约定配齐人员。</w:t>
      </w:r>
    </w:p>
    <w:p w14:paraId="7332B976">
      <w:pPr>
        <w:pStyle w:val="6"/>
        <w:widowControl w:val="0"/>
        <w:spacing w:line="360" w:lineRule="auto"/>
        <w:jc w:val="both"/>
        <w:rPr>
          <w:rFonts w:hint="default" w:ascii="宋体" w:hAnsi="宋体" w:cs="宋体"/>
          <w:b/>
          <w:bCs/>
          <w:color w:val="000000"/>
          <w:sz w:val="21"/>
          <w:szCs w:val="21"/>
        </w:rPr>
      </w:pPr>
      <w:r>
        <w:rPr>
          <w:rFonts w:ascii="宋体" w:hAnsi="宋体" w:cs="宋体"/>
          <w:b/>
          <w:bCs/>
          <w:color w:val="000000"/>
          <w:sz w:val="21"/>
          <w:szCs w:val="21"/>
        </w:rPr>
        <w:t>五、服务、产品（如有）执行的标准、规范：</w:t>
      </w:r>
    </w:p>
    <w:p w14:paraId="12F7B01C">
      <w:pPr>
        <w:pStyle w:val="6"/>
        <w:widowControl w:val="0"/>
        <w:spacing w:line="360" w:lineRule="auto"/>
        <w:ind w:firstLine="350"/>
        <w:jc w:val="both"/>
        <w:rPr>
          <w:rFonts w:hint="default" w:ascii="宋体" w:hAnsi="宋体" w:cs="宋体"/>
          <w:color w:val="000000"/>
          <w:sz w:val="21"/>
          <w:szCs w:val="21"/>
        </w:rPr>
      </w:pPr>
      <w:r>
        <w:rPr>
          <w:rFonts w:ascii="宋体" w:hAnsi="宋体" w:cs="宋体"/>
          <w:color w:val="000000"/>
          <w:sz w:val="21"/>
          <w:szCs w:val="21"/>
        </w:rPr>
        <w:t>（1） 国家标准、规范/；</w:t>
      </w:r>
    </w:p>
    <w:p w14:paraId="7D691C71">
      <w:pPr>
        <w:pStyle w:val="6"/>
        <w:widowControl w:val="0"/>
        <w:spacing w:line="360" w:lineRule="auto"/>
        <w:ind w:firstLine="350"/>
        <w:jc w:val="both"/>
        <w:rPr>
          <w:rFonts w:hint="default" w:ascii="宋体" w:hAnsi="宋体" w:cs="宋体"/>
          <w:color w:val="000000"/>
          <w:sz w:val="21"/>
          <w:szCs w:val="21"/>
        </w:rPr>
      </w:pPr>
      <w:r>
        <w:rPr>
          <w:rFonts w:ascii="宋体" w:hAnsi="宋体" w:cs="宋体"/>
          <w:color w:val="000000"/>
          <w:sz w:val="21"/>
          <w:szCs w:val="21"/>
        </w:rPr>
        <w:t>（2） 行业标准、规范/；</w:t>
      </w:r>
    </w:p>
    <w:p w14:paraId="5B423F65">
      <w:pPr>
        <w:pStyle w:val="6"/>
        <w:widowControl w:val="0"/>
        <w:spacing w:line="360" w:lineRule="auto"/>
        <w:ind w:firstLine="350"/>
        <w:jc w:val="both"/>
        <w:rPr>
          <w:rFonts w:hint="default" w:ascii="宋体" w:hAnsi="宋体" w:cs="宋体"/>
          <w:color w:val="000000"/>
          <w:sz w:val="21"/>
          <w:szCs w:val="21"/>
        </w:rPr>
      </w:pPr>
      <w:r>
        <w:rPr>
          <w:rFonts w:ascii="宋体" w:hAnsi="宋体" w:cs="宋体"/>
          <w:color w:val="000000"/>
          <w:sz w:val="21"/>
          <w:szCs w:val="21"/>
        </w:rPr>
        <w:t>（3） 地方标准、规范/；</w:t>
      </w:r>
    </w:p>
    <w:p w14:paraId="486520CB">
      <w:pPr>
        <w:pStyle w:val="6"/>
        <w:widowControl w:val="0"/>
        <w:spacing w:line="360" w:lineRule="auto"/>
        <w:ind w:firstLine="350"/>
        <w:jc w:val="both"/>
        <w:rPr>
          <w:rFonts w:hint="default" w:ascii="宋体" w:hAnsi="宋体" w:cs="宋体"/>
          <w:color w:val="000000"/>
          <w:sz w:val="21"/>
          <w:szCs w:val="21"/>
        </w:rPr>
      </w:pPr>
      <w:r>
        <w:rPr>
          <w:rFonts w:ascii="宋体" w:hAnsi="宋体" w:cs="宋体"/>
          <w:color w:val="000000"/>
          <w:sz w:val="21"/>
          <w:szCs w:val="21"/>
        </w:rPr>
        <w:t>（4） 团体标准、规范/；</w:t>
      </w:r>
    </w:p>
    <w:p w14:paraId="457131AB">
      <w:pPr>
        <w:pStyle w:val="6"/>
        <w:widowControl w:val="0"/>
        <w:spacing w:line="360" w:lineRule="auto"/>
        <w:ind w:firstLine="350"/>
        <w:jc w:val="both"/>
        <w:rPr>
          <w:rFonts w:hint="default" w:ascii="宋体" w:hAnsi="宋体" w:cs="宋体"/>
          <w:color w:val="000000"/>
          <w:sz w:val="21"/>
          <w:szCs w:val="21"/>
        </w:rPr>
      </w:pPr>
      <w:r>
        <w:rPr>
          <w:rFonts w:ascii="宋体" w:hAnsi="宋体" w:cs="宋体"/>
          <w:color w:val="000000"/>
          <w:sz w:val="21"/>
          <w:szCs w:val="21"/>
        </w:rPr>
        <w:t>（5） 企业标准、规范/。</w:t>
      </w:r>
    </w:p>
    <w:p w14:paraId="4CB71D9A">
      <w:pPr>
        <w:pStyle w:val="6"/>
        <w:widowControl w:val="0"/>
        <w:spacing w:line="360" w:lineRule="auto"/>
        <w:jc w:val="both"/>
        <w:rPr>
          <w:rFonts w:hint="default" w:ascii="宋体" w:hAnsi="宋体" w:cs="宋体"/>
          <w:b/>
          <w:bCs/>
          <w:color w:val="000000"/>
          <w:sz w:val="21"/>
          <w:szCs w:val="21"/>
        </w:rPr>
      </w:pPr>
      <w:r>
        <w:rPr>
          <w:rFonts w:ascii="宋体" w:hAnsi="宋体" w:cs="宋体"/>
          <w:b/>
          <w:bCs/>
          <w:color w:val="000000"/>
          <w:sz w:val="21"/>
          <w:szCs w:val="21"/>
        </w:rPr>
        <w:t>六、本章第四条款未明确服务（产品）执行标准、规范的，按下列方法进行选择：</w:t>
      </w:r>
    </w:p>
    <w:p w14:paraId="0FDBFDC6">
      <w:pPr>
        <w:pStyle w:val="6"/>
        <w:widowControl w:val="0"/>
        <w:spacing w:line="360" w:lineRule="auto"/>
        <w:ind w:firstLine="350"/>
        <w:jc w:val="both"/>
        <w:rPr>
          <w:rFonts w:hint="default" w:ascii="宋体" w:hAnsi="宋体" w:cs="宋体"/>
          <w:color w:val="000000"/>
          <w:sz w:val="21"/>
          <w:szCs w:val="21"/>
        </w:rPr>
      </w:pPr>
      <w:r>
        <w:rPr>
          <w:rFonts w:ascii="宋体" w:hAnsi="宋体" w:cs="宋体"/>
          <w:color w:val="000000"/>
          <w:sz w:val="21"/>
          <w:szCs w:val="21"/>
        </w:rPr>
        <w:t>□ 顺序执行： 国家标准→行业标准→地方标准→ 团体标准→企业 标 准（有国家标准按国家标准执行，没有国家标准按行业标准， 以此类推）；</w:t>
      </w:r>
    </w:p>
    <w:p w14:paraId="6023F3C6">
      <w:pPr>
        <w:pStyle w:val="6"/>
        <w:widowControl w:val="0"/>
        <w:spacing w:line="360" w:lineRule="auto"/>
        <w:ind w:firstLine="350"/>
        <w:jc w:val="both"/>
        <w:rPr>
          <w:rFonts w:hint="default" w:ascii="宋体" w:hAnsi="宋体" w:cs="宋体"/>
          <w:color w:val="000000"/>
          <w:sz w:val="21"/>
          <w:szCs w:val="21"/>
        </w:rPr>
      </w:pPr>
      <w:r>
        <w:rPr>
          <w:rFonts w:ascii="宋体" w:hAnsi="宋体" w:cs="宋体"/>
          <w:color w:val="000000"/>
          <w:sz w:val="21"/>
          <w:szCs w:val="21"/>
        </w:rPr>
        <w:t>□ 最高标准执行：国家标准，行业标准，地方标准，团体标准，企业标准（</w:t>
      </w:r>
      <w:r>
        <w:rPr>
          <w:rFonts w:hint="eastAsia" w:ascii="宋体" w:hAnsi="宋体" w:cs="宋体"/>
          <w:color w:val="000000"/>
          <w:sz w:val="21"/>
          <w:szCs w:val="21"/>
          <w:lang w:eastAsia="zh-CN"/>
        </w:rPr>
        <w:t>哪个</w:t>
      </w:r>
      <w:r>
        <w:rPr>
          <w:rFonts w:ascii="宋体" w:hAnsi="宋体" w:cs="宋体"/>
          <w:color w:val="000000"/>
          <w:sz w:val="21"/>
          <w:szCs w:val="21"/>
        </w:rPr>
        <w:t>标准高执行</w:t>
      </w:r>
      <w:r>
        <w:rPr>
          <w:rFonts w:hint="eastAsia" w:ascii="宋体" w:hAnsi="宋体" w:cs="宋体"/>
          <w:color w:val="000000"/>
          <w:sz w:val="21"/>
          <w:szCs w:val="21"/>
          <w:lang w:eastAsia="zh-CN"/>
        </w:rPr>
        <w:t>哪</w:t>
      </w:r>
      <w:r>
        <w:rPr>
          <w:rFonts w:ascii="宋体" w:hAnsi="宋体" w:cs="宋体"/>
          <w:color w:val="000000"/>
          <w:sz w:val="21"/>
          <w:szCs w:val="21"/>
        </w:rPr>
        <w:t>个标准）</w:t>
      </w:r>
    </w:p>
    <w:p w14:paraId="54EEAA4F">
      <w:pPr>
        <w:ind w:firstLine="420" w:firstLineChars="200"/>
      </w:pPr>
      <w:r>
        <w:rPr>
          <w:rFonts w:ascii="宋体" w:hAnsi="宋体" w:cs="宋体"/>
          <w:color w:val="000000"/>
          <w:sz w:val="21"/>
          <w:szCs w:val="21"/>
        </w:rPr>
        <w:t>☑ 必须执行：国家（行业）强制性标准。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6200C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5">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semiHidden/>
    <w:qFormat/>
    <w:uiPriority w:val="0"/>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6">
    <w:name w:val="null3"/>
    <w:qFormat/>
    <w:uiPriority w:val="0"/>
    <w:rPr>
      <w:rFonts w:hint="eastAsia" w:ascii="Calibri" w:hAnsi="Calibri" w:eastAsia="宋体" w:cs="Times New Roman"/>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2026-05-19T10:06:51Z</dcterms:created>
  <dc:creator>Administrator</dc:creator>
  <cp:lastModifiedBy>Lenovo</cp:lastModifiedBy>
  <dcterms:modified xsi:type="dcterms:W3CDTF">2026-05-19T10:07:13Z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eyJoZGlkIjoiYzZkZTVhZDhmYjRjMGEwYTQwZWQ4YmZkZjE5MDQ2MzAiLCJ1c2VySWQiOiI0NDgyMTE1NDUifQ==</vt:lpwstr>
  </property>
  <property fmtid="{D5CDD505-2E9C-101B-9397-08002B2CF9AE}" pid="4" name="ICV">
    <vt:lpwstr>7C652A6D9CC04827B77311D001FE0F75_12</vt:lpwstr>
  </property>
</Properties>
</file>