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版本号：HCXM-CS-2607-0720260710001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IT系统运维服务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HCXM-CS-2607-07</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IT系统运维服务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HCXM-CS-2607-07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IT系统运维服务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IT系统运维服务，详见磋商文件。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采购包1（IT系统运维服务）：属于专门面向小微企业采购。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1、本项目的特定资格要求：（1）提供法人或者其他组织有效的营业执照、税务登记证、组织机构代码证（或统一社会信用代码的营业执照）证明文件； （2）法定代表人授权书/身份证明书：法定代表人直接参与投标的，须递交《法定代表人身份证明书》和身份证复印件。法定代表人授权代表参加投标的，须递交《法定代表人授权委托书》及授权代表身份证复印件； （3）财务状况报告：提供2024年度或2025年度的财务审计报告（至少包括资产负债表和利润表，成立时间至提交响应文件截止时间不足一年的可提供成立后任意时段的资产负债表），或投标文件递交截止时间前六个月内其开户银行出具的资信证明； （4）税收缴纳证明：提供2025年6月1日至今已缴纳的至少一个月的纳税证明或完税证明，依法免税的单位应提供相关证明材料； （5）社会保障资金缴纳证明：提供2025年6月1日至今已缴存的至少一个月的社会保障资金缴存单据或社保机构开具的社会保险参保缴费情况证明，依法不需要缴纳社会保障资金的单位应提供相关证明材料； （6）供应商应在磋商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竞争性磋商文件发售之日起至磋商截止日前）并加盖供应商公章； （7）供应商应出具参加政府采购活动前3年内在经营活动中没有重大违法记录的书面声明； （8）保证金缴纳凭证或担保机构出具的保函； （9）提供履行合同所必需的设备及专业技术能力的说明及承诺。 注、本项目不接受联合体（提供非联合体承诺书）。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陕西省西安市雁塔区团结南路12号西安国际人才大厦A座北1508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刘婧莎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13772480905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开户名称：汇成项目管理有限公司（备注：缴纳时需备注项目名称、采购包号；开具保函的单位，在投标截止前一天需给代理机构交一份纸质版保函。）</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 0192 5700 0000 0294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在领取中标通知书时，向汇成项目管理有限公司缴纳招标代理服务费。服务费收费标准参照原国家计委关于《招标代理服务收费管理暂行办法》的通知（计价格[2002]1980号）、《国家发展改革委办公厅关于招标代理服务收费有关问题的通知》（发改价格[2003]857号）规定执行（不足6000元的按6000元计取），向招标代理机构一次付清代理服务费。 服务费账户信息： 户名：汇成项目管理有限公司 账号：6105 0192 5700 0000 0294 开户行：中国建设银行西安高新科技支行 具体收费金额将在成交公告中公布。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验收以合同、招标文件、投标文件、证书、国家相应的标准、规范等为依据，符合合同要求。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联系人：刘婧莎</w:t>
      </w:r>
    </w:p>
    <w:p>
      <w:pPr>
        <w:pStyle w:val="null3"/>
      </w:pPr>
      <w:r>
        <w:rPr>
          <w:rFonts w:ascii="仿宋_GB2312" w:hAnsi="仿宋_GB2312" w:cs="仿宋_GB2312" w:eastAsia="仿宋_GB2312"/>
        </w:rPr>
        <w:t>联系电话：13772480905</w:t>
      </w:r>
    </w:p>
    <w:p>
      <w:pPr>
        <w:pStyle w:val="null3"/>
      </w:pPr>
      <w:r>
        <w:rPr>
          <w:rFonts w:ascii="仿宋_GB2312" w:hAnsi="仿宋_GB2312" w:cs="仿宋_GB2312" w:eastAsia="仿宋_GB2312"/>
        </w:rPr>
        <w:t>地址：陕西省西安市雁塔区团结南路12号西安国际人才大厦A座北1508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计量科学研究院信息化设备种类、数量较多，涉及有服务器、存储设备、安全设备、行为审计设备、核心\汇聚\接入交换机、流量回溯分析设备、运维平台、安全接入、无线网络以及计算机、打印机等，在用设备型号近 60 类、共计 1000 余台（套），设备供货及生产厂商 50 余家。信息网络系统与各类业务密切相关，一旦发生故障，必须快速解决故障，恢复业务。为了保证园区网络及相关应用系统的稳定运行，急需采购一套一体化的运行维保服务。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IT系统运维服务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标的名称：IT系统运维服务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15" w:firstLine="400"/>
              <w:jc w:val="both"/>
            </w:pPr>
            <w:r>
              <w:rPr>
                <w:rFonts w:ascii="仿宋_GB2312" w:hAnsi="仿宋_GB2312" w:cs="仿宋_GB2312" w:eastAsia="仿宋_GB2312"/>
                <w:sz w:val="20"/>
              </w:rPr>
              <w:t>一、网络现状概述</w:t>
            </w:r>
          </w:p>
          <w:p>
            <w:pPr>
              <w:pStyle w:val="null3"/>
              <w:ind w:firstLine="400"/>
              <w:jc w:val="both"/>
            </w:pPr>
            <w:r>
              <w:rPr>
                <w:rFonts w:ascii="仿宋_GB2312" w:hAnsi="仿宋_GB2312" w:cs="仿宋_GB2312" w:eastAsia="仿宋_GB2312"/>
                <w:sz w:val="20"/>
              </w:rPr>
              <w:t>陕西省计量科学研究院信息化设备种类、数量较多，涉及有服务器、存储设备、安全设备、行为审计设备、核心</w:t>
            </w:r>
            <w:r>
              <w:rPr>
                <w:rFonts w:ascii="仿宋_GB2312" w:hAnsi="仿宋_GB2312" w:cs="仿宋_GB2312" w:eastAsia="仿宋_GB2312"/>
                <w:sz w:val="20"/>
              </w:rPr>
              <w:t>\汇聚\接入交换机、流量回溯分析设备、运维平台、安全接入、无线网络以及计算机、打印机等，在用设备型号近 60 类、共计 1000 余台（套），设备供货及生产厂商 50 余家。信息网络系统与各类业务密切相关，一旦发生故障，必须快速解决故障，恢复业务。为了保证园区网络及相关应用系统的稳定运行，急需采购一套一体化的运行维保服务。</w:t>
            </w:r>
          </w:p>
          <w:p>
            <w:pPr>
              <w:pStyle w:val="null3"/>
              <w:ind w:left="15" w:firstLine="400"/>
              <w:jc w:val="both"/>
            </w:pPr>
            <w:r>
              <w:rPr>
                <w:rFonts w:ascii="仿宋_GB2312" w:hAnsi="仿宋_GB2312" w:cs="仿宋_GB2312" w:eastAsia="仿宋_GB2312"/>
                <w:sz w:val="20"/>
              </w:rPr>
              <w:t>二、供应商运维团队要求</w:t>
            </w:r>
          </w:p>
          <w:p>
            <w:pPr>
              <w:pStyle w:val="null3"/>
              <w:ind w:firstLine="400"/>
              <w:jc w:val="both"/>
            </w:pPr>
            <w:r>
              <w:rPr>
                <w:rFonts w:ascii="仿宋_GB2312" w:hAnsi="仿宋_GB2312" w:cs="仿宋_GB2312" w:eastAsia="仿宋_GB2312"/>
                <w:sz w:val="20"/>
              </w:rPr>
              <w:t>1)供应商须具备ITSS--“运行维护服务”或信息系统业务安全服务资质证书(CCIA)；应具有信息安全管理体系认证证书 (ISO27001) ，信息技术服务管理体系认证证书 (ISO20000)；</w:t>
            </w:r>
          </w:p>
          <w:p>
            <w:pPr>
              <w:pStyle w:val="null3"/>
              <w:ind w:firstLine="400"/>
              <w:jc w:val="both"/>
            </w:pPr>
            <w:r>
              <w:rPr>
                <w:rFonts w:ascii="仿宋_GB2312" w:hAnsi="仿宋_GB2312" w:cs="仿宋_GB2312" w:eastAsia="仿宋_GB2312"/>
                <w:sz w:val="20"/>
              </w:rPr>
              <w:t>2) 项目经理需具备PMP项目经理证书及注册信息安全工程师证书（CISP）；</w:t>
            </w:r>
          </w:p>
          <w:p>
            <w:pPr>
              <w:pStyle w:val="null3"/>
              <w:ind w:firstLine="400"/>
              <w:jc w:val="both"/>
            </w:pPr>
            <w:r>
              <w:rPr>
                <w:rFonts w:ascii="仿宋_GB2312" w:hAnsi="仿宋_GB2312" w:cs="仿宋_GB2312" w:eastAsia="仿宋_GB2312"/>
                <w:sz w:val="20"/>
              </w:rPr>
              <w:t>3) 项目组技术支持团队至少 5 人。需具备网络设备厂家认证工程师、安全产品厂家认证工程师、备份产品厂家认证工程师、虚拟化、数据库、操作系统、ITSS-IT 服务工程师、运维产品 (如：北塔、网强、云智慧等) 厂家认证工程师认证证书中至少三个类别的认证证书；满足运维项目实施过程中特种行业操作（电工证等）；</w:t>
            </w:r>
          </w:p>
          <w:p>
            <w:pPr>
              <w:pStyle w:val="null3"/>
              <w:ind w:firstLine="400"/>
              <w:jc w:val="both"/>
            </w:pPr>
            <w:r>
              <w:rPr>
                <w:rFonts w:ascii="仿宋_GB2312" w:hAnsi="仿宋_GB2312" w:cs="仿宋_GB2312" w:eastAsia="仿宋_GB2312"/>
                <w:sz w:val="20"/>
              </w:rPr>
              <w:t>4) 驻场要求：1名，7×24小时。需具备网络设备厂家认证工程师证书、安全产品厂家认证工程师证书、操作系统厂家或虚拟化产品厂家认证工程师证书、网络分析厂家认证证书、数据安全厂家认证证书上上述中任意三类认证工程师（不可与技术支持团队人员重复）。</w:t>
            </w:r>
          </w:p>
          <w:p>
            <w:pPr>
              <w:pStyle w:val="null3"/>
              <w:ind w:left="15" w:firstLine="400"/>
              <w:jc w:val="both"/>
            </w:pPr>
            <w:r>
              <w:rPr>
                <w:rFonts w:ascii="仿宋_GB2312" w:hAnsi="仿宋_GB2312" w:cs="仿宋_GB2312" w:eastAsia="仿宋_GB2312"/>
                <w:sz w:val="20"/>
              </w:rPr>
              <w:t>三、维保服务内容</w:t>
            </w:r>
          </w:p>
          <w:p>
            <w:pPr>
              <w:pStyle w:val="null3"/>
              <w:ind w:left="15" w:firstLine="400"/>
              <w:jc w:val="both"/>
            </w:pPr>
            <w:r>
              <w:rPr>
                <w:rFonts w:ascii="仿宋_GB2312" w:hAnsi="仿宋_GB2312" w:cs="仿宋_GB2312" w:eastAsia="仿宋_GB2312"/>
                <w:sz w:val="20"/>
              </w:rPr>
              <w:t>(一) 现有需维保的设备清单 (包括但不限于) ：</w:t>
            </w:r>
          </w:p>
          <w:tbl>
            <w:tblPr>
              <w:tblBorders>
                <w:top w:val="none" w:color="000000" w:sz="4"/>
                <w:left w:val="none" w:color="000000" w:sz="4"/>
                <w:bottom w:val="none" w:color="000000" w:sz="4"/>
                <w:right w:val="none" w:color="000000" w:sz="4"/>
                <w:insideH w:val="none"/>
                <w:insideV w:val="none"/>
              </w:tblBorders>
            </w:tblPr>
            <w:tblGrid>
              <w:gridCol w:w="230"/>
              <w:gridCol w:w="470"/>
              <w:gridCol w:w="295"/>
              <w:gridCol w:w="489"/>
              <w:gridCol w:w="203"/>
              <w:gridCol w:w="369"/>
              <w:gridCol w:w="475"/>
            </w:tblGrid>
            <w:tr>
              <w:tc>
                <w:tcPr>
                  <w:tcW w:type="dxa" w:w="230"/>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w:t>
                  </w:r>
                </w:p>
                <w:p>
                  <w:pPr>
                    <w:pStyle w:val="null3"/>
                    <w:jc w:val="center"/>
                  </w:pPr>
                  <w:r>
                    <w:rPr>
                      <w:rFonts w:ascii="仿宋_GB2312" w:hAnsi="仿宋_GB2312" w:cs="仿宋_GB2312" w:eastAsia="仿宋_GB2312"/>
                      <w:sz w:val="20"/>
                    </w:rPr>
                    <w:t>类型</w:t>
                  </w: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规格型号</w:t>
                  </w:r>
                </w:p>
                <w:p>
                  <w:pPr>
                    <w:pStyle w:val="null3"/>
                    <w:jc w:val="center"/>
                  </w:pPr>
                  <w:r>
                    <w:rPr>
                      <w:rFonts w:ascii="仿宋_GB2312" w:hAnsi="仿宋_GB2312" w:cs="仿宋_GB2312" w:eastAsia="仿宋_GB2312"/>
                      <w:sz w:val="20"/>
                    </w:rPr>
                    <w:t>（仅供参考）</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p>
                  <w:pPr>
                    <w:pStyle w:val="null3"/>
                    <w:jc w:val="center"/>
                  </w:pPr>
                  <w:r>
                    <w:rPr>
                      <w:rFonts w:ascii="仿宋_GB2312" w:hAnsi="仿宋_GB2312" w:cs="仿宋_GB2312" w:eastAsia="仿宋_GB2312"/>
                      <w:sz w:val="20"/>
                    </w:rPr>
                    <w:t>（仅供参考）</w:t>
                  </w:r>
                </w:p>
              </w:tc>
              <w:tc>
                <w:tcPr>
                  <w:tcW w:type="dxa" w:w="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rPr>
                    <w:t>备</w:t>
                  </w:r>
                  <w:r>
                    <w:rPr>
                      <w:rFonts w:ascii="仿宋_GB2312" w:hAnsi="仿宋_GB2312" w:cs="仿宋_GB2312" w:eastAsia="仿宋_GB2312"/>
                      <w:sz w:val="20"/>
                    </w:rPr>
                    <w:t xml:space="preserve">  </w:t>
                  </w:r>
                  <w:r>
                    <w:rPr>
                      <w:rFonts w:ascii="仿宋_GB2312" w:hAnsi="仿宋_GB2312" w:cs="仿宋_GB2312" w:eastAsia="仿宋_GB2312"/>
                      <w:sz w:val="20"/>
                    </w:rPr>
                    <w:t>注</w:t>
                  </w:r>
                </w:p>
              </w:tc>
            </w:tr>
            <w:tr>
              <w:tc>
                <w:tcPr>
                  <w:tcW w:type="dxa" w:w="23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服务器</w:t>
                  </w:r>
                </w:p>
                <w:p>
                  <w:pPr>
                    <w:pStyle w:val="null3"/>
                    <w:jc w:val="center"/>
                  </w:pPr>
                  <w:r>
                    <w:rPr>
                      <w:rFonts w:ascii="仿宋_GB2312" w:hAnsi="仿宋_GB2312" w:cs="仿宋_GB2312" w:eastAsia="仿宋_GB2312"/>
                      <w:sz w:val="20"/>
                    </w:rPr>
                    <w:t>设备</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服务器</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浪潮</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NF8460M4</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single" w:color="000000" w:sz="4"/>
                    <w:left w:val="single" w:color="000000" w:sz="4"/>
                    <w:bottom w:val="non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服务器</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System X3850 X6</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single" w:color="000000" w:sz="4"/>
                    <w:left w:val="single" w:color="000000" w:sz="4"/>
                    <w:bottom w:val="non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光纤交换机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CN3300B</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存储</w:t>
                  </w:r>
                </w:p>
                <w:p>
                  <w:pPr>
                    <w:pStyle w:val="null3"/>
                    <w:jc w:val="center"/>
                  </w:pPr>
                  <w:r>
                    <w:rPr>
                      <w:rFonts w:ascii="仿宋_GB2312" w:hAnsi="仿宋_GB2312" w:cs="仿宋_GB2312" w:eastAsia="仿宋_GB2312"/>
                      <w:sz w:val="20"/>
                    </w:rPr>
                    <w:t>设备</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备份一体机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壹进制</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UnaDPM</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single" w:color="000000" w:sz="4"/>
                    <w:left w:val="single" w:color="000000" w:sz="4"/>
                    <w:bottom w:val="non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存储</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宏杉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MS2500G2-25E</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存储双活</w:t>
                  </w:r>
                </w:p>
              </w:tc>
            </w:tr>
            <w:tr>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网络安全设备</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日志审计</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安恒</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DAS-LOG-1000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负载均衡</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天融信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TopApp 6000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链路负载均衡</w:t>
                  </w: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防火墙</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天融信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NGFW4000-UF</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互联网出口</w:t>
                  </w: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防火墙</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安恒</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DAS-Gateway-1920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服务器前端</w:t>
                  </w: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上网行为管理</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天融信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TopACM 3000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网闸</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天融信</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TopRules</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内外网隔离</w:t>
                  </w: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IPS</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安恒</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DAS-ips-920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WAF</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安恒</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DAS- WAF-2000AG</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ATRUST安全网关</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深信服</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ATRUST-1000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流量分析系统</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科来</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NG1008TD</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堡垒机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圣博润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NK-100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计算机</w:t>
                  </w:r>
                </w:p>
                <w:p>
                  <w:pPr>
                    <w:pStyle w:val="null3"/>
                    <w:jc w:val="center"/>
                  </w:pPr>
                  <w:r>
                    <w:rPr>
                      <w:rFonts w:ascii="仿宋_GB2312" w:hAnsi="仿宋_GB2312" w:cs="仿宋_GB2312" w:eastAsia="仿宋_GB2312"/>
                      <w:sz w:val="20"/>
                    </w:rPr>
                    <w:t>内网</w:t>
                  </w:r>
                </w:p>
                <w:p>
                  <w:pPr>
                    <w:pStyle w:val="null3"/>
                    <w:jc w:val="center"/>
                  </w:pPr>
                  <w:r>
                    <w:rPr>
                      <w:rFonts w:ascii="仿宋_GB2312" w:hAnsi="仿宋_GB2312" w:cs="仿宋_GB2312" w:eastAsia="仿宋_GB2312"/>
                      <w:sz w:val="20"/>
                    </w:rPr>
                    <w:t>系统</w:t>
                  </w:r>
                </w:p>
                <w:p>
                  <w:pPr>
                    <w:pStyle w:val="null3"/>
                    <w:jc w:val="center"/>
                  </w:pPr>
                  <w:r>
                    <w:rPr>
                      <w:rFonts w:ascii="仿宋_GB2312" w:hAnsi="仿宋_GB2312" w:cs="仿宋_GB2312" w:eastAsia="仿宋_GB2312"/>
                      <w:sz w:val="20"/>
                    </w:rPr>
                    <w:t>设备</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S7510E-X</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S5560-54Q5</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数据中心接入</w:t>
                  </w: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汇聚交换机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S6520X-30QC-EI</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S5130S-52S-EI</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S5130S-28S-EI</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S5130S-12TP-E</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S5130S-52S-EI</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S5130S-28S-EI</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计算机</w:t>
                  </w:r>
                </w:p>
                <w:p>
                  <w:pPr>
                    <w:pStyle w:val="null3"/>
                    <w:jc w:val="center"/>
                  </w:pPr>
                  <w:r>
                    <w:rPr>
                      <w:rFonts w:ascii="仿宋_GB2312" w:hAnsi="仿宋_GB2312" w:cs="仿宋_GB2312" w:eastAsia="仿宋_GB2312"/>
                      <w:sz w:val="20"/>
                    </w:rPr>
                    <w:t>外网</w:t>
                  </w:r>
                </w:p>
                <w:p>
                  <w:pPr>
                    <w:pStyle w:val="null3"/>
                    <w:jc w:val="center"/>
                  </w:pPr>
                  <w:r>
                    <w:rPr>
                      <w:rFonts w:ascii="仿宋_GB2312" w:hAnsi="仿宋_GB2312" w:cs="仿宋_GB2312" w:eastAsia="仿宋_GB2312"/>
                      <w:sz w:val="20"/>
                    </w:rPr>
                    <w:t>系统</w:t>
                  </w:r>
                </w:p>
                <w:p>
                  <w:pPr>
                    <w:pStyle w:val="null3"/>
                    <w:jc w:val="center"/>
                  </w:pPr>
                  <w:r>
                    <w:rPr>
                      <w:rFonts w:ascii="仿宋_GB2312" w:hAnsi="仿宋_GB2312" w:cs="仿宋_GB2312" w:eastAsia="仿宋_GB2312"/>
                      <w:sz w:val="20"/>
                    </w:rPr>
                    <w:t>设备</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核心交换机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S7510E-X</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LS-7006X</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外网服务器接入</w:t>
                  </w: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汇聚交换机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S6520X-30QC-EI</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S5130S-52S-E</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S5130S-28S-EI</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S5130S-12TP-EI</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S5130S-52S-E</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办公室网络设备</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S5024PV3-Ei</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non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S5016PV3-Ei</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non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接入交换机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华三</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S5008PV3-Ei</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w:t>
                  </w:r>
                </w:p>
                <w:p>
                  <w:pPr>
                    <w:pStyle w:val="null3"/>
                    <w:jc w:val="center"/>
                  </w:pPr>
                  <w:r>
                    <w:rPr>
                      <w:rFonts w:ascii="仿宋_GB2312" w:hAnsi="仿宋_GB2312" w:cs="仿宋_GB2312" w:eastAsia="仿宋_GB2312"/>
                      <w:sz w:val="20"/>
                    </w:rPr>
                    <w:t>AP</w:t>
                  </w:r>
                </w:p>
                <w:p>
                  <w:pPr>
                    <w:pStyle w:val="null3"/>
                    <w:jc w:val="center"/>
                  </w:pPr>
                  <w:r>
                    <w:rPr>
                      <w:rFonts w:ascii="仿宋_GB2312" w:hAnsi="仿宋_GB2312" w:cs="仿宋_GB2312" w:eastAsia="仿宋_GB2312"/>
                      <w:sz w:val="20"/>
                    </w:rPr>
                    <w:t>系统</w:t>
                  </w:r>
                </w:p>
                <w:p>
                  <w:pPr>
                    <w:pStyle w:val="null3"/>
                    <w:jc w:val="center"/>
                  </w:pPr>
                  <w:r>
                    <w:rPr>
                      <w:rFonts w:ascii="仿宋_GB2312" w:hAnsi="仿宋_GB2312" w:cs="仿宋_GB2312" w:eastAsia="仿宋_GB2312"/>
                      <w:sz w:val="20"/>
                    </w:rPr>
                    <w:t>设备</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控制器</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信锐</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NAC-6350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汇聚交换机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信锐</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RS5300-28X-SI</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POE交换机</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信锐</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SW-5024</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w:t>
                  </w:r>
                  <w:r>
                    <w:rPr>
                      <w:rFonts w:ascii="仿宋_GB2312" w:hAnsi="仿宋_GB2312" w:cs="仿宋_GB2312" w:eastAsia="仿宋_GB2312"/>
                      <w:sz w:val="20"/>
                    </w:rPr>
                    <w:t>AP</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信锐</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NAP-8100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室内</w:t>
                  </w:r>
                  <w:r>
                    <w:rPr>
                      <w:rFonts w:ascii="仿宋_GB2312" w:hAnsi="仿宋_GB2312" w:cs="仿宋_GB2312" w:eastAsia="仿宋_GB2312"/>
                      <w:sz w:val="20"/>
                    </w:rPr>
                    <w:t>AP</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信锐</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NAP-3</w:t>
                  </w:r>
                  <w:r>
                    <w:rPr>
                      <w:rFonts w:ascii="仿宋_GB2312" w:hAnsi="仿宋_GB2312" w:cs="仿宋_GB2312" w:eastAsia="仿宋_GB2312"/>
                      <w:sz w:val="20"/>
                    </w:rPr>
                    <w:t>6</w:t>
                  </w:r>
                  <w:r>
                    <w:rPr>
                      <w:rFonts w:ascii="仿宋_GB2312" w:hAnsi="仿宋_GB2312" w:cs="仿宋_GB2312" w:eastAsia="仿宋_GB2312"/>
                      <w:sz w:val="20"/>
                    </w:rPr>
                    <w:t>00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室内</w:t>
                  </w:r>
                  <w:r>
                    <w:rPr>
                      <w:rFonts w:ascii="仿宋_GB2312" w:hAnsi="仿宋_GB2312" w:cs="仿宋_GB2312" w:eastAsia="仿宋_GB2312"/>
                      <w:sz w:val="20"/>
                    </w:rPr>
                    <w:t>AP</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信锐</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NAP-3700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r>
                    <w:rPr>
                      <w:rFonts w:ascii="仿宋_GB2312" w:hAnsi="仿宋_GB2312" w:cs="仿宋_GB2312" w:eastAsia="仿宋_GB2312"/>
                      <w:sz w:val="20"/>
                    </w:rPr>
                    <w:t>4</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室内</w:t>
                  </w:r>
                  <w:r>
                    <w:rPr>
                      <w:rFonts w:ascii="仿宋_GB2312" w:hAnsi="仿宋_GB2312" w:cs="仿宋_GB2312" w:eastAsia="仿宋_GB2312"/>
                      <w:sz w:val="20"/>
                    </w:rPr>
                    <w:t>AP</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信锐</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NAP-3</w:t>
                  </w:r>
                  <w:r>
                    <w:rPr>
                      <w:rFonts w:ascii="仿宋_GB2312" w:hAnsi="仿宋_GB2312" w:cs="仿宋_GB2312" w:eastAsia="仿宋_GB2312"/>
                      <w:sz w:val="20"/>
                    </w:rPr>
                    <w:t>825</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vMerge/>
                  <w:tcBorders>
                    <w:top w:val="none" w:color="000000" w:sz="4"/>
                    <w:left w:val="single" w:color="000000" w:sz="4"/>
                    <w:bottom w:val="single" w:color="000000" w:sz="4"/>
                    <w:right w:val="single" w:color="000000" w:sz="4"/>
                  </w:tcBorders>
                </w:tc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室内高密</w:t>
                  </w:r>
                  <w:r>
                    <w:rPr>
                      <w:rFonts w:ascii="仿宋_GB2312" w:hAnsi="仿宋_GB2312" w:cs="仿宋_GB2312" w:eastAsia="仿宋_GB2312"/>
                      <w:sz w:val="20"/>
                    </w:rPr>
                    <w:t>AP</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信锐</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NAP-4650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虚拟化</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VMWARE</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VMWARE</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VMWARE 7.0</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资源池</w:t>
                  </w:r>
                </w:p>
              </w:tc>
            </w:tr>
          </w:tbl>
          <w:p>
            <w:pPr>
              <w:pStyle w:val="null3"/>
              <w:ind w:firstLine="400"/>
              <w:jc w:val="both"/>
            </w:pPr>
            <w:r>
              <w:rPr>
                <w:rFonts w:ascii="仿宋_GB2312" w:hAnsi="仿宋_GB2312" w:cs="仿宋_GB2312" w:eastAsia="仿宋_GB2312"/>
                <w:sz w:val="20"/>
              </w:rPr>
              <w:t>除上述内容外，还包含但不限于：园区内电脑、打印机、电话机等终端设备以及部分办公室、实验室的网络改造等。</w:t>
            </w:r>
          </w:p>
          <w:p>
            <w:pPr>
              <w:pStyle w:val="null3"/>
              <w:ind w:firstLine="400"/>
              <w:jc w:val="both"/>
            </w:pPr>
            <w:r>
              <w:rPr>
                <w:rFonts w:ascii="仿宋_GB2312" w:hAnsi="仿宋_GB2312" w:cs="仿宋_GB2312" w:eastAsia="仿宋_GB2312"/>
                <w:sz w:val="20"/>
              </w:rPr>
              <w:t>(二) 维保服务要求 (包括但不限于)</w:t>
            </w:r>
          </w:p>
          <w:p>
            <w:pPr>
              <w:pStyle w:val="null3"/>
              <w:jc w:val="both"/>
            </w:pPr>
            <w:r>
              <w:rPr>
                <w:rFonts w:ascii="仿宋_GB2312" w:hAnsi="仿宋_GB2312" w:cs="仿宋_GB2312" w:eastAsia="仿宋_GB2312"/>
                <w:sz w:val="20"/>
              </w:rPr>
              <w:t>1. 软件维保服务</w:t>
            </w:r>
          </w:p>
          <w:p>
            <w:pPr>
              <w:pStyle w:val="null3"/>
              <w:ind w:left="15" w:firstLine="400"/>
              <w:jc w:val="both"/>
            </w:pPr>
            <w:r>
              <w:rPr>
                <w:rFonts w:ascii="仿宋_GB2312" w:hAnsi="仿宋_GB2312" w:cs="仿宋_GB2312" w:eastAsia="仿宋_GB2312"/>
                <w:sz w:val="20"/>
              </w:rPr>
              <w:t>对服务器、存储、虚拟化资源池、网络系统（内网、外网、无线）、安全设备、电话系统等进行日常维护，并在出现各类故障时及时进行处理。同时对软件系统进行不定期升级服务，对业务系统运行出现的性能下降等问题，进行问题定位、分析原因，并提出解决方案。</w:t>
            </w:r>
          </w:p>
          <w:p>
            <w:pPr>
              <w:pStyle w:val="null3"/>
              <w:ind w:left="15" w:firstLine="400"/>
              <w:jc w:val="both"/>
            </w:pPr>
            <w:r>
              <w:rPr>
                <w:rFonts w:ascii="仿宋_GB2312" w:hAnsi="仿宋_GB2312" w:cs="仿宋_GB2312" w:eastAsia="仿宋_GB2312"/>
                <w:sz w:val="20"/>
              </w:rPr>
              <w:t>2. 硬件维保服务</w:t>
            </w:r>
          </w:p>
          <w:p>
            <w:pPr>
              <w:pStyle w:val="null3"/>
              <w:ind w:left="15" w:firstLine="400"/>
              <w:jc w:val="both"/>
            </w:pPr>
            <w:r>
              <w:rPr>
                <w:rFonts w:ascii="仿宋_GB2312" w:hAnsi="仿宋_GB2312" w:cs="仿宋_GB2312" w:eastAsia="仿宋_GB2312"/>
                <w:sz w:val="20"/>
              </w:rPr>
              <w:t>定期检查维保设备的硬件状态，免费检测、定位及更换故障零配件，零配件的购买按照供应商零配件报价清单进行采购；同时对硬件设备内置软件系统提供升级服务；</w:t>
            </w:r>
          </w:p>
          <w:p>
            <w:pPr>
              <w:pStyle w:val="null3"/>
              <w:ind w:left="15" w:firstLine="400"/>
              <w:jc w:val="both"/>
            </w:pPr>
            <w:r>
              <w:rPr>
                <w:rFonts w:ascii="仿宋_GB2312" w:hAnsi="仿宋_GB2312" w:cs="仿宋_GB2312" w:eastAsia="仿宋_GB2312"/>
                <w:sz w:val="20"/>
              </w:rPr>
              <w:t>所有需要更换的备品备件必须是原厂全新部件，若需要更换的部件因厂家停产原因，则需得到甲方同意后，保证设备运行正常的情况下提供同样功能备件，必要时需提供备机，确保第一时间恢复故障。</w:t>
            </w:r>
          </w:p>
          <w:p>
            <w:pPr>
              <w:pStyle w:val="null3"/>
              <w:ind w:left="15" w:firstLine="400"/>
              <w:jc w:val="both"/>
            </w:pPr>
            <w:r>
              <w:rPr>
                <w:rFonts w:ascii="仿宋_GB2312" w:hAnsi="仿宋_GB2312" w:cs="仿宋_GB2312" w:eastAsia="仿宋_GB2312"/>
                <w:sz w:val="20"/>
              </w:rPr>
              <w:t>3. 定期巡检及网络环境配置优化</w:t>
            </w:r>
          </w:p>
          <w:p>
            <w:pPr>
              <w:pStyle w:val="null3"/>
              <w:ind w:left="15" w:firstLine="400"/>
              <w:jc w:val="both"/>
            </w:pPr>
            <w:r>
              <w:rPr>
                <w:rFonts w:ascii="仿宋_GB2312" w:hAnsi="仿宋_GB2312" w:cs="仿宋_GB2312" w:eastAsia="仿宋_GB2312"/>
                <w:sz w:val="20"/>
              </w:rPr>
              <w:t>需提供每月一次的巡检服务，并于巡检后</w:t>
            </w:r>
            <w:r>
              <w:rPr>
                <w:rFonts w:ascii="仿宋_GB2312" w:hAnsi="仿宋_GB2312" w:cs="仿宋_GB2312" w:eastAsia="仿宋_GB2312"/>
                <w:sz w:val="20"/>
              </w:rPr>
              <w:t>5个工作日内出具巡检报告。服务期末提供服务期总体服务报告。服务期内视情况，对网络环境进行配置优化、调优等。</w:t>
            </w:r>
          </w:p>
          <w:p>
            <w:pPr>
              <w:pStyle w:val="null3"/>
              <w:ind w:left="15" w:firstLine="400"/>
              <w:jc w:val="both"/>
            </w:pPr>
            <w:r>
              <w:rPr>
                <w:rFonts w:ascii="仿宋_GB2312" w:hAnsi="仿宋_GB2312" w:cs="仿宋_GB2312" w:eastAsia="仿宋_GB2312"/>
                <w:sz w:val="20"/>
              </w:rPr>
              <w:t>4. 驻场服务</w:t>
            </w:r>
          </w:p>
          <w:p>
            <w:pPr>
              <w:pStyle w:val="null3"/>
              <w:ind w:left="15" w:firstLine="400"/>
              <w:jc w:val="both"/>
            </w:pPr>
            <w:r>
              <w:rPr>
                <w:rFonts w:ascii="仿宋_GB2312" w:hAnsi="仿宋_GB2312" w:cs="仿宋_GB2312" w:eastAsia="仿宋_GB2312"/>
                <w:sz w:val="20"/>
              </w:rPr>
              <w:t>本次项目需提供</w:t>
            </w:r>
            <w:r>
              <w:rPr>
                <w:rFonts w:ascii="仿宋_GB2312" w:hAnsi="仿宋_GB2312" w:cs="仿宋_GB2312" w:eastAsia="仿宋_GB2312"/>
                <w:sz w:val="20"/>
              </w:rPr>
              <w:t>1名 7×24 小时驻场人员，第一时间受理院内报障信息，按照维护流程及时高效的处理故障。此项服务供应商应提供承诺书 (函) ，否则视为无效响应。</w:t>
            </w:r>
          </w:p>
          <w:p>
            <w:pPr>
              <w:pStyle w:val="null3"/>
              <w:ind w:left="15" w:firstLine="400"/>
              <w:jc w:val="both"/>
            </w:pPr>
            <w:r>
              <w:rPr>
                <w:rFonts w:ascii="仿宋_GB2312" w:hAnsi="仿宋_GB2312" w:cs="仿宋_GB2312" w:eastAsia="仿宋_GB2312"/>
                <w:sz w:val="20"/>
              </w:rPr>
              <w:t>驻场要求：</w:t>
            </w:r>
            <w:r>
              <w:rPr>
                <w:rFonts w:ascii="仿宋_GB2312" w:hAnsi="仿宋_GB2312" w:cs="仿宋_GB2312" w:eastAsia="仿宋_GB2312"/>
                <w:sz w:val="20"/>
              </w:rPr>
              <w:t>1名，7×24小时。需具备网络设备厂家认证工程师证书、安全产品厂家认证工程师证书、操作系统厂家或虚拟化产品厂家认证工程师证书、网络分析厂家认证证书、数据安全厂家认证证书上上述中任意三类认证工程师(需提供驻场人员所在单位近六个月内连续三个月的社保缴纳证明，否则视为非实质性响应)。</w:t>
            </w:r>
          </w:p>
          <w:p>
            <w:pPr>
              <w:pStyle w:val="null3"/>
              <w:ind w:left="15" w:firstLine="400"/>
              <w:jc w:val="both"/>
            </w:pPr>
            <w:r>
              <w:rPr>
                <w:rFonts w:ascii="仿宋_GB2312" w:hAnsi="仿宋_GB2312" w:cs="仿宋_GB2312" w:eastAsia="仿宋_GB2312"/>
                <w:sz w:val="20"/>
              </w:rPr>
              <w:t>5. 培训服务</w:t>
            </w:r>
          </w:p>
          <w:p>
            <w:pPr>
              <w:pStyle w:val="null3"/>
              <w:ind w:left="15" w:firstLine="400"/>
              <w:jc w:val="both"/>
            </w:pPr>
            <w:r>
              <w:rPr>
                <w:rFonts w:ascii="仿宋_GB2312" w:hAnsi="仿宋_GB2312" w:cs="仿宋_GB2312" w:eastAsia="仿宋_GB2312"/>
                <w:sz w:val="20"/>
              </w:rPr>
              <w:t>需要对院方指定的网络、系统管理员进行培训，服务期内培训次数不少于</w:t>
            </w:r>
            <w:r>
              <w:rPr>
                <w:rFonts w:ascii="仿宋_GB2312" w:hAnsi="仿宋_GB2312" w:cs="仿宋_GB2312" w:eastAsia="仿宋_GB2312"/>
                <w:sz w:val="20"/>
              </w:rPr>
              <w:t>2 次，培训内容由院方指定。</w:t>
            </w:r>
          </w:p>
          <w:p>
            <w:pPr>
              <w:pStyle w:val="null3"/>
              <w:ind w:left="15" w:firstLine="400"/>
              <w:jc w:val="both"/>
            </w:pPr>
            <w:r>
              <w:rPr>
                <w:rFonts w:ascii="仿宋_GB2312" w:hAnsi="仿宋_GB2312" w:cs="仿宋_GB2312" w:eastAsia="仿宋_GB2312"/>
                <w:sz w:val="20"/>
              </w:rPr>
              <w:t>6. 其他服务</w:t>
            </w:r>
          </w:p>
          <w:p>
            <w:pPr>
              <w:pStyle w:val="null3"/>
              <w:ind w:left="15" w:firstLine="400"/>
              <w:jc w:val="both"/>
            </w:pPr>
            <w:r>
              <w:rPr>
                <w:rFonts w:ascii="仿宋_GB2312" w:hAnsi="仿宋_GB2312" w:cs="仿宋_GB2312" w:eastAsia="仿宋_GB2312"/>
                <w:sz w:val="20"/>
              </w:rPr>
              <w:t>针对院内现有网络及管理要求，提供优化服务和改造服务。另外，供应商应提供承诺书</w:t>
            </w:r>
            <w:r>
              <w:rPr>
                <w:rFonts w:ascii="仿宋_GB2312" w:hAnsi="仿宋_GB2312" w:cs="仿宋_GB2312" w:eastAsia="仿宋_GB2312"/>
                <w:sz w:val="20"/>
              </w:rPr>
              <w:t>(函) ，明确承诺在运维服务期内甲方如有等保定级需求，应免费提供技术支持服务，否则视为非实质性响应。</w:t>
            </w:r>
          </w:p>
          <w:p>
            <w:pPr>
              <w:pStyle w:val="null3"/>
              <w:ind w:left="15" w:firstLine="400"/>
              <w:jc w:val="both"/>
            </w:pPr>
            <w:r>
              <w:rPr>
                <w:rFonts w:ascii="仿宋_GB2312" w:hAnsi="仿宋_GB2312" w:cs="仿宋_GB2312" w:eastAsia="仿宋_GB2312"/>
                <w:sz w:val="20"/>
              </w:rPr>
              <w:t>7. 故障处理时效要求</w:t>
            </w:r>
          </w:p>
          <w:p>
            <w:pPr>
              <w:pStyle w:val="null3"/>
              <w:ind w:left="15" w:firstLine="400"/>
              <w:jc w:val="both"/>
            </w:pPr>
            <w:r>
              <w:rPr>
                <w:rFonts w:ascii="仿宋_GB2312" w:hAnsi="仿宋_GB2312" w:cs="仿宋_GB2312" w:eastAsia="仿宋_GB2312"/>
                <w:sz w:val="20"/>
              </w:rPr>
              <w:t>根据故障的严重程度和影响程度的不同，故障级别由低到高分为四级故障、三级故障、</w:t>
            </w:r>
            <w:r>
              <w:rPr>
                <w:rFonts w:ascii="仿宋_GB2312" w:hAnsi="仿宋_GB2312" w:cs="仿宋_GB2312" w:eastAsia="仿宋_GB2312"/>
                <w:sz w:val="20"/>
              </w:rPr>
              <w:t>二级故障、一级故障。当故障没有在规定时限内恢复或解决时，故障级别将自动升级。</w:t>
            </w:r>
          </w:p>
          <w:p>
            <w:pPr>
              <w:pStyle w:val="null3"/>
              <w:ind w:left="15" w:firstLine="400"/>
              <w:jc w:val="both"/>
            </w:pPr>
            <w:r>
              <w:rPr>
                <w:rFonts w:ascii="仿宋_GB2312" w:hAnsi="仿宋_GB2312" w:cs="仿宋_GB2312" w:eastAsia="仿宋_GB2312"/>
                <w:sz w:val="20"/>
              </w:rPr>
              <w:t>(1) 一级故障是指设备在运行中出现系统瘫痪或服务中断，导致设备的基本功能不能实现或全面退化的故障，其他造成业务系统中断2个小时以上或导致关键业务数据丢失的故障。</w:t>
            </w:r>
          </w:p>
          <w:p>
            <w:pPr>
              <w:pStyle w:val="null3"/>
              <w:ind w:left="15" w:firstLine="400"/>
              <w:jc w:val="both"/>
            </w:pPr>
            <w:r>
              <w:rPr>
                <w:rFonts w:ascii="仿宋_GB2312" w:hAnsi="仿宋_GB2312" w:cs="仿宋_GB2312" w:eastAsia="仿宋_GB2312"/>
                <w:sz w:val="20"/>
              </w:rPr>
              <w:t>(2) 二级故障是指系统存在局部故障或者隐患，随时都有可能会导致系统发生一级故障的故障。</w:t>
            </w:r>
          </w:p>
          <w:p>
            <w:pPr>
              <w:pStyle w:val="null3"/>
              <w:ind w:left="15" w:firstLine="400"/>
              <w:jc w:val="both"/>
            </w:pPr>
            <w:r>
              <w:rPr>
                <w:rFonts w:ascii="仿宋_GB2312" w:hAnsi="仿宋_GB2312" w:cs="仿宋_GB2312" w:eastAsia="仿宋_GB2312"/>
                <w:sz w:val="20"/>
              </w:rPr>
              <w:t>(3) 三级故障是指系统存在局部故障或者安全隐患，但是该故障基本不会导致一级故障的发生。</w:t>
            </w:r>
          </w:p>
          <w:p>
            <w:pPr>
              <w:pStyle w:val="null3"/>
              <w:ind w:left="15" w:firstLine="400"/>
              <w:jc w:val="both"/>
            </w:pPr>
            <w:r>
              <w:rPr>
                <w:rFonts w:ascii="仿宋_GB2312" w:hAnsi="仿宋_GB2312" w:cs="仿宋_GB2312" w:eastAsia="仿宋_GB2312"/>
                <w:sz w:val="20"/>
              </w:rPr>
              <w:t>(4) 四级故障是指系统存在轻微局部故障，对业务及系统基本无大的影响。</w:t>
            </w:r>
          </w:p>
          <w:p>
            <w:pPr>
              <w:pStyle w:val="null3"/>
              <w:ind w:left="15" w:firstLine="400"/>
              <w:jc w:val="both"/>
            </w:pPr>
            <w:r>
              <w:rPr>
                <w:rFonts w:ascii="仿宋_GB2312" w:hAnsi="仿宋_GB2312" w:cs="仿宋_GB2312" w:eastAsia="仿宋_GB2312"/>
                <w:sz w:val="20"/>
              </w:rPr>
              <w:t>提供</w:t>
            </w:r>
            <w:r>
              <w:rPr>
                <w:rFonts w:ascii="仿宋_GB2312" w:hAnsi="仿宋_GB2312" w:cs="仿宋_GB2312" w:eastAsia="仿宋_GB2312"/>
                <w:sz w:val="20"/>
              </w:rPr>
              <w:t>7*24 小时电话响应，为院方提供技术支持及咨询服务，电话接通率大于98%。</w:t>
            </w:r>
          </w:p>
          <w:tbl>
            <w:tblPr>
              <w:tblInd w:type="dxa" w:w="585"/>
              <w:tblBorders>
                <w:top w:val="none" w:color="000000" w:sz="4"/>
                <w:left w:val="none" w:color="000000" w:sz="4"/>
                <w:bottom w:val="none" w:color="000000" w:sz="4"/>
                <w:right w:val="none" w:color="000000" w:sz="4"/>
                <w:insideH w:val="none"/>
                <w:insideV w:val="none"/>
              </w:tblBorders>
            </w:tblPr>
            <w:tblGrid>
              <w:gridCol w:w="785"/>
              <w:gridCol w:w="604"/>
              <w:gridCol w:w="498"/>
              <w:gridCol w:w="654"/>
            </w:tblGrid>
            <w:tr>
              <w:tc>
                <w:tcPr>
                  <w:tcW w:type="dxa" w:w="7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故障级别</w:t>
                  </w:r>
                </w:p>
              </w:tc>
              <w:tc>
                <w:tcPr>
                  <w:tcW w:type="dxa" w:w="6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到达报障现</w:t>
                  </w:r>
                </w:p>
                <w:p>
                  <w:pPr>
                    <w:pStyle w:val="null3"/>
                    <w:jc w:val="center"/>
                  </w:pPr>
                  <w:r>
                    <w:rPr>
                      <w:rFonts w:ascii="仿宋_GB2312" w:hAnsi="仿宋_GB2312" w:cs="仿宋_GB2312" w:eastAsia="仿宋_GB2312"/>
                      <w:sz w:val="20"/>
                    </w:rPr>
                    <w:t>场时间</w:t>
                  </w:r>
                </w:p>
              </w:tc>
              <w:tc>
                <w:tcPr>
                  <w:tcW w:type="dxa" w:w="4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业务恢复时间</w:t>
                  </w:r>
                </w:p>
              </w:tc>
              <w:tc>
                <w:tcPr>
                  <w:tcW w:type="dxa" w:w="6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硬件故障解决时间</w:t>
                  </w:r>
                </w:p>
                <w:p>
                  <w:pPr>
                    <w:pStyle w:val="null3"/>
                    <w:jc w:val="center"/>
                  </w:pPr>
                  <w:r>
                    <w:rPr>
                      <w:rFonts w:ascii="仿宋_GB2312" w:hAnsi="仿宋_GB2312" w:cs="仿宋_GB2312" w:eastAsia="仿宋_GB2312"/>
                      <w:sz w:val="20"/>
                    </w:rPr>
                    <w:t>(必要时更换备件)</w:t>
                  </w:r>
                </w:p>
              </w:tc>
            </w:tr>
            <w:tr>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一级：重大故障</w:t>
                  </w:r>
                </w:p>
              </w:tc>
              <w:tc>
                <w:tcPr>
                  <w:tcW w:type="dxa" w:w="6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 分钟</w:t>
                  </w:r>
                </w:p>
              </w:tc>
              <w:tc>
                <w:tcPr>
                  <w:tcW w:type="dxa" w:w="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 小时内</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 小时</w:t>
                  </w:r>
                </w:p>
              </w:tc>
            </w:tr>
            <w:tr>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二级：严重故障</w:t>
                  </w:r>
                </w:p>
              </w:tc>
              <w:tc>
                <w:tcPr>
                  <w:tcW w:type="dxa" w:w="6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 分钟</w:t>
                  </w:r>
                </w:p>
              </w:tc>
              <w:tc>
                <w:tcPr>
                  <w:tcW w:type="dxa" w:w="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 小时内</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 小时</w:t>
                  </w:r>
                </w:p>
              </w:tc>
            </w:tr>
            <w:tr>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三级：一般性技术故障</w:t>
                  </w:r>
                </w:p>
              </w:tc>
              <w:tc>
                <w:tcPr>
                  <w:tcW w:type="dxa" w:w="6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 分钟内</w:t>
                  </w:r>
                </w:p>
              </w:tc>
              <w:tc>
                <w:tcPr>
                  <w:tcW w:type="dxa" w:w="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 小时</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 小时</w:t>
                  </w:r>
                </w:p>
              </w:tc>
            </w:tr>
            <w:tr>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四级：其他</w:t>
                  </w:r>
                </w:p>
              </w:tc>
              <w:tc>
                <w:tcPr>
                  <w:tcW w:type="dxa" w:w="6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 分钟内</w:t>
                  </w:r>
                </w:p>
              </w:tc>
              <w:tc>
                <w:tcPr>
                  <w:tcW w:type="dxa" w:w="4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 小时</w:t>
                  </w:r>
                </w:p>
              </w:tc>
              <w:tc>
                <w:tcPr>
                  <w:tcW w:type="dxa" w:w="6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 小时</w:t>
                  </w:r>
                </w:p>
              </w:tc>
            </w:tr>
          </w:tbl>
          <w:p>
            <w:pPr>
              <w:pStyle w:val="null3"/>
              <w:numPr>
                <w:ilvl w:val="0"/>
                <w:numId w:val="1"/>
              </w:numPr>
              <w:jc w:val="both"/>
            </w:pPr>
            <w:r>
              <w:rPr>
                <w:rFonts w:ascii="仿宋_GB2312" w:hAnsi="仿宋_GB2312" w:cs="仿宋_GB2312" w:eastAsia="仿宋_GB2312"/>
                <w:sz w:val="20"/>
              </w:rPr>
              <w:t>维保服务预算</w:t>
            </w:r>
          </w:p>
          <w:p>
            <w:pPr>
              <w:pStyle w:val="null3"/>
              <w:ind w:left="15" w:firstLine="400"/>
              <w:jc w:val="both"/>
            </w:pPr>
            <w:r>
              <w:rPr>
                <w:rFonts w:ascii="仿宋_GB2312" w:hAnsi="仿宋_GB2312" w:cs="仿宋_GB2312" w:eastAsia="仿宋_GB2312"/>
                <w:sz w:val="20"/>
                <w:color w:val="000000"/>
              </w:rPr>
              <w:t>本次</w:t>
            </w:r>
            <w:r>
              <w:rPr>
                <w:rFonts w:ascii="仿宋_GB2312" w:hAnsi="仿宋_GB2312" w:cs="仿宋_GB2312" w:eastAsia="仿宋_GB2312"/>
                <w:sz w:val="20"/>
                <w:color w:val="000000"/>
              </w:rPr>
              <w:t>IT系统运维服务预算为35万元，其中服务费13万，配件费22万。</w:t>
            </w:r>
          </w:p>
          <w:p>
            <w:pPr>
              <w:pStyle w:val="null3"/>
              <w:ind w:left="15" w:firstLine="400"/>
              <w:jc w:val="both"/>
            </w:pPr>
            <w:r>
              <w:rPr>
                <w:rFonts w:ascii="仿宋_GB2312" w:hAnsi="仿宋_GB2312" w:cs="仿宋_GB2312" w:eastAsia="仿宋_GB2312"/>
                <w:sz w:val="20"/>
              </w:rPr>
              <w:t>五</w:t>
            </w:r>
            <w:r>
              <w:rPr>
                <w:rFonts w:ascii="仿宋_GB2312" w:hAnsi="仿宋_GB2312" w:cs="仿宋_GB2312" w:eastAsia="仿宋_GB2312"/>
                <w:sz w:val="20"/>
              </w:rPr>
              <w:t>、商务要求</w:t>
            </w:r>
          </w:p>
          <w:p>
            <w:pPr>
              <w:pStyle w:val="null3"/>
              <w:ind w:left="15" w:firstLine="400"/>
              <w:jc w:val="both"/>
            </w:pPr>
            <w:r>
              <w:rPr>
                <w:rFonts w:ascii="仿宋_GB2312" w:hAnsi="仿宋_GB2312" w:cs="仿宋_GB2312" w:eastAsia="仿宋_GB2312"/>
                <w:sz w:val="20"/>
              </w:rPr>
              <w:t>1.驻场服务期限：合同签订后不少于 12 个月；</w:t>
            </w:r>
          </w:p>
          <w:p>
            <w:pPr>
              <w:pStyle w:val="null3"/>
              <w:ind w:left="15" w:firstLine="400"/>
              <w:jc w:val="both"/>
            </w:pPr>
            <w:r>
              <w:rPr>
                <w:rFonts w:ascii="仿宋_GB2312" w:hAnsi="仿宋_GB2312" w:cs="仿宋_GB2312" w:eastAsia="仿宋_GB2312"/>
                <w:sz w:val="20"/>
              </w:rPr>
              <w:t>2.结算方式：合同签订后，即进入驻场运维服务期，服务期满3个月后成交单位在采购人处办理25%的运维部分支付款，服务期满6个月后再支付运维部分金额的25%，服务期满9个月后再支付运维部分金额的25%，服务期满12个月后再支付运维部分金额的25%。成交单位在按季度申请支付运维部分费用时，应同时提交本季度因“更换设备、网络改造等”产生的据实结算部分的费用，由甲方按季度一并支付。</w:t>
            </w:r>
          </w:p>
          <w:p>
            <w:pPr>
              <w:pStyle w:val="null3"/>
              <w:ind w:left="15" w:firstLine="400"/>
              <w:jc w:val="both"/>
            </w:pPr>
            <w:r>
              <w:rPr>
                <w:rFonts w:ascii="仿宋_GB2312" w:hAnsi="仿宋_GB2312" w:cs="仿宋_GB2312" w:eastAsia="仿宋_GB2312"/>
                <w:sz w:val="20"/>
              </w:rPr>
              <w:t>3.季度考核：每3个月，实验室运维</w:t>
            </w:r>
            <w:r>
              <w:rPr>
                <w:rFonts w:ascii="仿宋_GB2312" w:hAnsi="仿宋_GB2312" w:cs="仿宋_GB2312" w:eastAsia="仿宋_GB2312"/>
                <w:sz w:val="20"/>
              </w:rPr>
              <w:t>与信息化</w:t>
            </w:r>
            <w:r>
              <w:rPr>
                <w:rFonts w:ascii="仿宋_GB2312" w:hAnsi="仿宋_GB2312" w:cs="仿宋_GB2312" w:eastAsia="仿宋_GB2312"/>
                <w:sz w:val="20"/>
              </w:rPr>
              <w:t>部对驻场人员及成交单位运维团队进行考核，考核为优秀，全额支付本次约定支付的运维费用；考核为良好，支付本次约定支付的</w:t>
            </w:r>
            <w:r>
              <w:rPr>
                <w:rFonts w:ascii="仿宋_GB2312" w:hAnsi="仿宋_GB2312" w:cs="仿宋_GB2312" w:eastAsia="仿宋_GB2312"/>
                <w:sz w:val="20"/>
              </w:rPr>
              <w:t>80%运维费用；考核为合格，支付本次约定支付的60%运维费用；考核为不合格，支付本次约定支付的50%运维费用；</w:t>
            </w:r>
          </w:p>
          <w:p>
            <w:pPr>
              <w:pStyle w:val="null3"/>
              <w:ind w:left="15" w:firstLine="400"/>
              <w:jc w:val="both"/>
            </w:pPr>
            <w:r>
              <w:rPr>
                <w:rFonts w:ascii="仿宋_GB2312" w:hAnsi="仿宋_GB2312" w:cs="仿宋_GB2312" w:eastAsia="仿宋_GB2312"/>
                <w:sz w:val="20"/>
              </w:rPr>
              <w:t>4.驻场人员：驻场人员应熟悉园区内网络环境，未经用户同意不得随意更换，服务期内人员变动不得超过2次，否则，甲方有权按违约处罚。另外，驻场服务的认证工程师每天 24 小时驻场服务所产生的一切费用由供应商自行承担 (需提供书面承诺函，否则视为无无效文件) 。</w:t>
            </w:r>
          </w:p>
          <w:p>
            <w:pPr>
              <w:pStyle w:val="null3"/>
              <w:ind w:left="15" w:firstLine="400"/>
              <w:jc w:val="both"/>
            </w:pPr>
            <w:r>
              <w:rPr>
                <w:rFonts w:ascii="仿宋_GB2312" w:hAnsi="仿宋_GB2312" w:cs="仿宋_GB2312" w:eastAsia="仿宋_GB2312"/>
                <w:sz w:val="20"/>
              </w:rPr>
              <w:t>5.违约处罚：服务期内供应商未按照服务要求提供服务或未在规定时限内排除故障，每次扣除1000元作为违约金；造成全院网络瘫痪超过4小时，每次扣除2000元作为违约金、超过8小时，每次扣除5000元作为违约金；每季度考核不合格，扣除2000元作为违约金；驻场人员无故离岗或缺席 (2 小时内) ，每次扣除 500 元作为违约金，每季度无故离岗或缺席累计 12 小时，每次按1000 元扣除作为违约金。</w:t>
            </w:r>
          </w:p>
          <w:p>
            <w:pPr>
              <w:pStyle w:val="null3"/>
            </w:pPr>
            <w:r>
              <w:rPr>
                <w:rFonts w:ascii="仿宋_GB2312" w:hAnsi="仿宋_GB2312" w:cs="仿宋_GB2312" w:eastAsia="仿宋_GB2312"/>
                <w:sz w:val="20"/>
              </w:rPr>
              <w:t>不可抗力因素除外</w:t>
            </w:r>
            <w:r>
              <w:rPr>
                <w:rFonts w:ascii="仿宋_GB2312" w:hAnsi="仿宋_GB2312" w:cs="仿宋_GB2312" w:eastAsia="仿宋_GB2312"/>
                <w:sz w:val="20"/>
              </w:rPr>
              <w:t>(地震、火灾、水灾、疫情、停电等等)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（1）供应商须具备ITSS--“运行维护服务”或信息系统业务安全服务资质证书(CCIA)；应具有信息安全管理体系认证证书 (ISO27001) ，信息技术服务管理体系认证证书 (ISO20000)； （2） 项目经理需具备PMP项目经理证书及注册信息安全工程师证书（CISP）； （3）项目组技术支持团队至少 5 人。需具备网络设备厂家认证工程师、安全产品厂家认证工程师、备份产品厂家认证工程师、虚拟化、数据库、操作系统、ITSS-IT 服务工程师、运维产品 (如：北塔、网强、云智慧等) 厂家认证工程师认证证书中至少三个类别的认证证书；满足运维项目实施过程中特种行业操作（电工证等）； （4）驻场要求：1名，7×24小时。需具备网络设备厂家认证工程师证书、安全产品厂家认证工程师证书、操作系统厂家或虚拟化产品厂家认证工程师证书、网络分析厂家认证证书、数据安全厂家认证证书上上述中任意三类认证工程师（不可与技术支持团队人员重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承包人根据项目特性，自行配置投入有利于完成本项目服务各类设施设备（包含但不限于专业设备、辅助设备、工具、软件等）。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因采购人系行政单位，所有的付款均需财政部门审批，本合同履行期间，非因采购人故意拖延付款申请流程造成的逾期付款的，承包方对此予以谅解不得追究采购人的逾期付款责任。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合同签订后不少于12个月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季度考核：每3个月，实验室运维与信息化部对驻场人员及成交单位运维团队进行考核，考核为优秀，全额支付本次约定支付的运维费用；考核为良好，支付本次约定支付的80%运维费用；考核为合格，支付本次约定支付的60%运维费用；考核为不合格，支付本次约定支付的50%运维费用；成交单位在按季度申请支付运维部分费用时，应同时提交本季度因“更换设备、网络改造等”产生的据实结算部分的费用，由甲方按季度一并支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其他，合同签订后，即进入驻场运维服务期，服务期满3个月后支付运维部分费用，达到付款条件起30个工作日内，支付合同总金额的25.0%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其他，服务期满6个月后支付运维部分费用，达到付款条件起30个工作日内，支付合同总金额的25.0%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其他，服务期满9个月后支付运维部分费用，达到付款条件起30个工作日内，支付合同总金额的25.0%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其他，服务期满12个月后再支付运维部分费用，达到付款条件起30个工作日内，支付合同总金额的25.0%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驻场人员：驻场人员应熟悉园区内网络环境，未经用户同意不得随意更换，服务期内人员变动不得超过2次，否则，甲方有权按违约处罚。另外，驻场服务的认证工程师每天24小时驻场服务所产生的一切费用由供应商自行承担 (需提供书面承诺函，否则视为无无效文件)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参与的供应商服务全部由符合政策要求的小微企业承接。</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（1）提供法人或者其他组织有效的营业执照、税务登记证、组织机构代码证（或统一社会信用代码的营业执照）证明文件； （2）法定代表人授权书/身份证明书：法定代表人直接参与投标的，须递交《法定代表人身份证明书》和身份证复印件。法定代表人授权代表参加投标的，须递交《法定代表人授权委托书》及授权代表身份证复印件； （3）财务状况报告：提供2024年度或2025年度的财务审计报告（至少包括资产负债表和利润表，成立时间至提交响应文件截止时间不足一年的可提供成立后任意时段的资产负债表），或投标文件递交截止时间前六个月内其开户银行出具的资信证明； （4）税收缴纳证明：提供2025年6月1日至今已缴纳的至少一个月的纳税证明或完税证明，依法免税的单位应提供相关证明材料； （5）社会保障资金缴纳证明：提供2025年6月1日至今已缴存的至少一个月的社会保障资金缴存单据或社保机构开具的社会保险参保缴费情况证明，依法不需要缴纳社会保障资金的单位应提供相关证明材料； （6）供应商应在磋商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竞争性磋商文件发售之日起至磋商截止日前）并加盖供应商公章； （7）供应商应出具参加政府采购活动前3年内在经营活动中没有重大违法记录的书面声明； （8）保证金缴纳凭证或担保机构出具的保函； （9）提供履行合同所必需的设备及专业技术能力的说明及承诺。 注、本项目不接受联合体（提供非联合体承诺书）。</w:t>
            </w:r>
          </w:p>
        </w:tc>
        <w:tc>
          <w:tcPr>
            <w:tcW w:type="dxa" w:w="1661"/>
          </w:tcPr>
          <w:p>
            <w:pPr>
              <w:pStyle w:val="null3"/>
            </w:pPr>
            <w:r>
              <w:rPr>
                <w:rFonts w:ascii="仿宋_GB2312" w:hAnsi="仿宋_GB2312" w:cs="仿宋_GB2312" w:eastAsia="仿宋_GB2312"/>
              </w:rPr>
              <w:t>响应文件封面 非联合体承诺书.docx 中小企业声明函 残疾人福利性单位声明函 拒绝政府采购领域商业贿赂承诺书.docx 供应商应提交的相关资格证明材料 响应函 监狱企业的证明文件 供应商关联承诺书.docx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1、提供的资格证明文件是否符合国家法律法规和磋商文件的要求，并且齐全、真实、有效； 2、投标文件是否按照磋商文件要求的格式编写； 3、投标内容是否有重大缺漏项； 4、投标报价是否具有唯一性； 5、投标文件的签署、加盖印章是否合格、有效； 6、投标报价是否未超过采购预算； 7、投标文件是否响应了磋商文件规定的其他实质性条款、条件和规格要求，并且提供了支持文件，没有重大偏离。</w:t>
            </w:r>
          </w:p>
        </w:tc>
        <w:tc>
          <w:tcPr>
            <w:tcW w:type="dxa" w:w="1661"/>
          </w:tcPr>
          <w:p>
            <w:pPr>
              <w:pStyle w:val="null3"/>
            </w:pPr>
            <w:r>
              <w:rPr>
                <w:rFonts w:ascii="仿宋_GB2312" w:hAnsi="仿宋_GB2312" w:cs="仿宋_GB2312" w:eastAsia="仿宋_GB2312"/>
              </w:rPr>
              <w:t>响应文件封面 中小企业声明函 残疾人福利性单位声明函 拒绝政府采购领域商业贿赂承诺书.docx 商务应答表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按磋商文件要求提供投标保证金缴纳凭证</w:t>
            </w:r>
          </w:p>
        </w:tc>
        <w:tc>
          <w:tcPr>
            <w:tcW w:type="dxa" w:w="1661"/>
          </w:tcPr>
          <w:p>
            <w:pPr>
              <w:pStyle w:val="null3"/>
            </w:pPr>
            <w:r>
              <w:rPr>
                <w:rFonts w:ascii="仿宋_GB2312" w:hAnsi="仿宋_GB2312" w:cs="仿宋_GB2312" w:eastAsia="仿宋_GB2312"/>
              </w:rPr>
              <w:t>响应文件封面 保证金缴纳凭证.docx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项目理解分析方案</w:t>
            </w:r>
          </w:p>
        </w:tc>
        <w:tc>
          <w:tcPr>
            <w:tcW w:type="dxa" w:w="2492"/>
          </w:tcPr>
          <w:p>
            <w:pPr>
              <w:pStyle w:val="null3"/>
            </w:pPr>
            <w:r>
              <w:rPr>
                <w:rFonts w:ascii="仿宋_GB2312" w:hAnsi="仿宋_GB2312" w:cs="仿宋_GB2312" w:eastAsia="仿宋_GB2312"/>
              </w:rPr>
              <w:t>供应商针对本项目提供项目理解分析方案，内容包括但不限于：①项目背景分析理解、②项目重点难点问题分析、③项目重点、难点问题解决方案等。 1.项目理解分析方案内容全面详实，对项目背景分析透彻，重点难点问题分析精准，解决方案针对性强、切实可行，完全满足本项目需求，得8分。 2.项目理解分析方案内容较全面，对项目背景分析较清晰，重点难点问题分析基本到位，解决方案具有一定的针对性，基本满足本项目需求，得6分。 3.项目理解分析方案内容简单笼统，对项目背景分析不够深入，重点难点问题分析不够明确，解决方案针对性较弱，仅部分满足本项目需求，得4分。 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供应商有必要提供的其他说明.docx</w:t>
            </w:r>
          </w:p>
          <w:p>
            <w:pPr>
              <w:pStyle w:val="null3"/>
            </w:pPr>
            <w:r>
              <w:rPr>
                <w:rFonts w:ascii="仿宋_GB2312" w:hAnsi="仿宋_GB2312" w:cs="仿宋_GB2312" w:eastAsia="仿宋_GB2312"/>
              </w:rPr>
              <w:t>项目理解分析方案.docx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供应商针对本项目提供总体服务方案，其内容包括但不限于：①项目实施方案、②工作流程、③人员管理方案④设备配置方案等。 1.总体服务方案内容全面详实，项目实施方案科学合理、工作流程清晰规范、设备配置方案专业完善，针对性与可操作性极强，完全满足本项目需求，得8分。 2.总体服务方案内容较全面，项目实施方案较合理、工作流程较清晰、设备配置方案较完善，基本满足本项目需求，得6分。 3.总体服务方案内容简单笼统，项目实施方案、工作流程及设备配置方案不够明确，针对性与可操作性较弱，仅部分满足本项目需求，得4分。 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服务保障体系</w:t>
            </w:r>
          </w:p>
        </w:tc>
        <w:tc>
          <w:tcPr>
            <w:tcW w:type="dxa" w:w="2492"/>
          </w:tcPr>
          <w:p>
            <w:pPr>
              <w:pStyle w:val="null3"/>
            </w:pPr>
            <w:r>
              <w:rPr>
                <w:rFonts w:ascii="仿宋_GB2312" w:hAnsi="仿宋_GB2312" w:cs="仿宋_GB2312" w:eastAsia="仿宋_GB2312"/>
              </w:rPr>
              <w:t>供应商针对本项目服务保障体系，内容包括但不限于： ①整体运行保障；②安全管理保障等。 1.服务保障体系内容全面详实，整体运行保障机制完善高效，安全管理保障措施严密周全，针对性与可操作性极强，完全满足本项目需求，得8分。 2.服务保障体系内容较全面，整体运行保障机制较完善，安全管理保障措施较周全，基本满足本项目需求，得6分。 3.服务保障体系内容简单笼统，整体运行保障及安全管理保障措施不够明确，针对性与可操作性较弱，仅部分满足本项目需求，得4分。 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服务保障体系.docx</w:t>
            </w:r>
          </w:p>
        </w:tc>
      </w:tr>
      <w:tr>
        <w:tc>
          <w:tcPr>
            <w:tcW w:type="dxa" w:w="831"/>
            <w:vMerge/>
          </w:tcPr>
          <w:p/>
        </w:tc>
        <w:tc>
          <w:tcPr>
            <w:tcW w:type="dxa" w:w="1661"/>
          </w:tcPr>
          <w:p>
            <w:pPr>
              <w:pStyle w:val="null3"/>
            </w:pPr>
            <w:r>
              <w:rPr>
                <w:rFonts w:ascii="仿宋_GB2312" w:hAnsi="仿宋_GB2312" w:cs="仿宋_GB2312" w:eastAsia="仿宋_GB2312"/>
              </w:rPr>
              <w:t>资质证书及认证证书</w:t>
            </w:r>
          </w:p>
        </w:tc>
        <w:tc>
          <w:tcPr>
            <w:tcW w:type="dxa" w:w="2492"/>
          </w:tcPr>
          <w:p>
            <w:pPr>
              <w:pStyle w:val="null3"/>
            </w:pPr>
            <w:r>
              <w:rPr>
                <w:rFonts w:ascii="仿宋_GB2312" w:hAnsi="仿宋_GB2312" w:cs="仿宋_GB2312" w:eastAsia="仿宋_GB2312"/>
              </w:rPr>
              <w:t>供应商须具备ITSS--“运行维护服务”或信息系统业务安全服务资质证书(CCIA)；应具有信息安全管理体系认证证书 (ISO27001) ，信息技术服务管理体系认证证书 (ISO20000)； 每提供一个得1分，最高3分，不提供不得分。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资质证书及认证证书.docx</w:t>
            </w:r>
          </w:p>
        </w:tc>
      </w:tr>
      <w:tr>
        <w:tc>
          <w:tcPr>
            <w:tcW w:type="dxa" w:w="831"/>
            <w:vMerge/>
          </w:tcPr>
          <w:p/>
        </w:tc>
        <w:tc>
          <w:tcPr>
            <w:tcW w:type="dxa" w:w="1661"/>
          </w:tcPr>
          <w:p>
            <w:pPr>
              <w:pStyle w:val="null3"/>
            </w:pPr>
            <w:r>
              <w:rPr>
                <w:rFonts w:ascii="仿宋_GB2312" w:hAnsi="仿宋_GB2312" w:cs="仿宋_GB2312" w:eastAsia="仿宋_GB2312"/>
              </w:rPr>
              <w:t>驻场人员</w:t>
            </w:r>
          </w:p>
        </w:tc>
        <w:tc>
          <w:tcPr>
            <w:tcW w:type="dxa" w:w="2492"/>
          </w:tcPr>
          <w:p>
            <w:pPr>
              <w:pStyle w:val="null3"/>
            </w:pPr>
            <w:r>
              <w:rPr>
                <w:rFonts w:ascii="仿宋_GB2312" w:hAnsi="仿宋_GB2312" w:cs="仿宋_GB2312" w:eastAsia="仿宋_GB2312"/>
              </w:rPr>
              <w:t>针对本项目拟派驻场人员：1名，7×24小时。需具备网络设备厂家认证工程师证书、安全产品厂家认证工程师证书、操作系统厂家认证工程师证书、虚拟化产品厂家认证工程师证书、网络分析厂家认证证书、数据安全厂家认证证书中任意三类认证工程师（不可与技术支持团队人员重复），在满足以上要求的基础上进行赋分：每多提供一类认证工程师得1分，满分3分。 注：须同时提供以上人员相关证书及在本单位近六个月内连续三个月的社保缴纳证明，并加盖公章，未提供或提供不全不得分。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驻场人员.docx</w:t>
            </w:r>
          </w:p>
        </w:tc>
      </w:tr>
      <w:tr>
        <w:tc>
          <w:tcPr>
            <w:tcW w:type="dxa" w:w="831"/>
            <w:vMerge/>
          </w:tcPr>
          <w:p/>
        </w:tc>
        <w:tc>
          <w:tcPr>
            <w:tcW w:type="dxa" w:w="1661"/>
          </w:tcPr>
          <w:p>
            <w:pPr>
              <w:pStyle w:val="null3"/>
            </w:pPr>
            <w:r>
              <w:rPr>
                <w:rFonts w:ascii="仿宋_GB2312" w:hAnsi="仿宋_GB2312" w:cs="仿宋_GB2312" w:eastAsia="仿宋_GB2312"/>
              </w:rPr>
              <w:t>技术支持团队人员</w:t>
            </w:r>
          </w:p>
        </w:tc>
        <w:tc>
          <w:tcPr>
            <w:tcW w:type="dxa" w:w="2492"/>
          </w:tcPr>
          <w:p>
            <w:pPr>
              <w:pStyle w:val="null3"/>
            </w:pPr>
            <w:r>
              <w:rPr>
                <w:rFonts w:ascii="仿宋_GB2312" w:hAnsi="仿宋_GB2312" w:cs="仿宋_GB2312" w:eastAsia="仿宋_GB2312"/>
              </w:rPr>
              <w:t>针对本项目拟派技术支持团队（含项目经理，不含驻场人员）5人以上且1.项目经理需具备PMP项目经理证书及注册信息安全工程师证书（CISP）；2.项目组技术支持团队需具备网络设备厂家认证工程师、安全产品厂家认证工程师、备份产品厂家认证工程师、虚拟化、数据库、操作系统、ITSS-IT 服务工程师、运维产品厂家认证工程师认证证书中至少三个类别的认证证书且具备运维项目实施过程中特种作业操作证书（电工证等）； 满足以上要求的基础上进行赋分（满分12分）： 1.配备5-6人得5分； 2.配备7-8人得8分； 3.配备9人及以上得12分。 注：须同时提供以上人员相关证书及在本单位履职的证明材料，并加盖公章，未提供或提供不全不得分。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技术支持团队人员.docx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需要对院方指定的网络、系统管理员进行培训，服务期内培训次数不少于2次，培训内容由院方指定。供应商制定完善可行、有针对性的培训服务方案，能够保障使用单位能熟练操作维护和正常使用。 1.方案完善可行且针对性强，能充分保障院方人员熟练掌握维护与操作技能，完全满足需求，得8分； 2.方案较完善且具备一定针对性，能保障院方人员基本掌握维护与操作技能，基本满足需求，得6分； 3.方案简单且针对性一般，仅能部分保障院方人员掌握相关技能，仅部分满足需求，得4分； 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供应商针对本项目提供详细的维保服务方案，包含且不限于：①软件维保服务②硬件维保服务③巡检及网络环境配置优化④故障处理⑤优化和改造等。 1.维保服务方案全面详尽，软件、硬件维保措施及定期巡检、网络环境配置优化等内容具体完善，针对性和可操作性极强，完全满足本项目需求，得8分； 2.维保服务方案内容较全面，软件、硬件维保措施及定期巡检、网络环境配置优化等内容较完善，基本满足本项目需求，得6分； 3.维保服务方案内容简单，软件、硬件维保措施及定期巡检、网络环境配置优化等内容不够明确，仅部分满足本项目需求，得4分； 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维保方案.docx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供应商针对本项目拟定相关管理制度，需包括以下内容： 1.岗位职责制度：岗位工作标准、服务质量标准、作业流程、作业记录规范，每提供一项得1分，满分4分，不提供不得分； 2.内控制度：项目管理组织机构、问责机制、监督机制、自查制度，每提供一项得1分，满分4分，不提供不得分；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管理制度.docx</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供应商须结合本项目档案管理实际与管控需求提供完整的档案管理方案，方案需包括以下内容： 1.档案管理制度：①档案收集、②档案整理、③档案保管、④档案借阅，每提供一项得1分，满分4分，不提供不得分： 2.档案工作人员管理办法：①岗位管理、②作业规范、③岗位纪律、④责任追究，每提供一项得1分，满分4分，不提供不得分。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档案管理方案.docx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供应商针对本项目拟定保密方案，需包括以下内容：①保密目标、②责任体系、③人员管理与教育培训、④保密措施、⑤应急处置、⑥责任追究，每提供一项得1分，满分6分，不提供不得分。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保密方案.docx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投标人提供近三年来（2023年01月01日至今）类似业绩，每提供1个业绩得2分，计满10分为止（提供合同或中标通知书复印件，以合同签订时间或中标通知书签发日期为准，未提供不得分）。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磋商报价为评标基准价，其价格分为满分。其他供应商的价格分统一按照下列公式计算：磋商报价得分=(评标基准价／磋商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详见附件：供应商关联承诺书.docx</w:t>
      </w:r>
    </w:p>
    <w:p>
      <w:pPr>
        <w:pStyle w:val="null3"/>
        <w:ind w:firstLine="960"/>
      </w:pPr>
      <w:r>
        <w:rPr>
          <w:rFonts w:ascii="仿宋_GB2312" w:hAnsi="仿宋_GB2312" w:cs="仿宋_GB2312" w:eastAsia="仿宋_GB2312"/>
        </w:rPr>
        <w:t>详见附件：非联合体承诺书.docx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详见附件：供应商有必要提供的其他说明.docx</w:t>
      </w:r>
    </w:p>
    <w:p>
      <w:pPr>
        <w:pStyle w:val="null3"/>
        <w:ind w:firstLine="960"/>
      </w:pPr>
      <w:r>
        <w:rPr>
          <w:rFonts w:ascii="仿宋_GB2312" w:hAnsi="仿宋_GB2312" w:cs="仿宋_GB2312" w:eastAsia="仿宋_GB2312"/>
        </w:rPr>
        <w:t>详见附件：保密方案.docx</w:t>
      </w:r>
    </w:p>
    <w:p>
      <w:pPr>
        <w:pStyle w:val="null3"/>
        <w:ind w:firstLine="960"/>
      </w:pPr>
      <w:r>
        <w:rPr>
          <w:rFonts w:ascii="仿宋_GB2312" w:hAnsi="仿宋_GB2312" w:cs="仿宋_GB2312" w:eastAsia="仿宋_GB2312"/>
        </w:rPr>
        <w:t>详见附件：档案管理方案.docx</w:t>
      </w:r>
    </w:p>
    <w:p>
      <w:pPr>
        <w:pStyle w:val="null3"/>
        <w:ind w:firstLine="960"/>
      </w:pPr>
      <w:r>
        <w:rPr>
          <w:rFonts w:ascii="仿宋_GB2312" w:hAnsi="仿宋_GB2312" w:cs="仿宋_GB2312" w:eastAsia="仿宋_GB2312"/>
        </w:rPr>
        <w:t>详见附件：服务保障体系.docx</w:t>
      </w:r>
    </w:p>
    <w:p>
      <w:pPr>
        <w:pStyle w:val="null3"/>
        <w:ind w:firstLine="960"/>
      </w:pPr>
      <w:r>
        <w:rPr>
          <w:rFonts w:ascii="仿宋_GB2312" w:hAnsi="仿宋_GB2312" w:cs="仿宋_GB2312" w:eastAsia="仿宋_GB2312"/>
        </w:rPr>
        <w:t>详见附件：管理制度.docx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详见附件：维保方案.docx</w:t>
      </w:r>
    </w:p>
    <w:p>
      <w:pPr>
        <w:pStyle w:val="null3"/>
        <w:ind w:firstLine="960"/>
      </w:pPr>
      <w:r>
        <w:rPr>
          <w:rFonts w:ascii="仿宋_GB2312" w:hAnsi="仿宋_GB2312" w:cs="仿宋_GB2312" w:eastAsia="仿宋_GB2312"/>
        </w:rPr>
        <w:t>详见附件：项目理解分析方案.docx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详见附件：资质证书及认证证书.docx</w:t>
      </w:r>
    </w:p>
    <w:p>
      <w:pPr>
        <w:pStyle w:val="null3"/>
        <w:ind w:firstLine="960"/>
      </w:pPr>
      <w:r>
        <w:rPr>
          <w:rFonts w:ascii="仿宋_GB2312" w:hAnsi="仿宋_GB2312" w:cs="仿宋_GB2312" w:eastAsia="仿宋_GB2312"/>
        </w:rPr>
        <w:t>详见附件：驻场人员.docx</w:t>
      </w:r>
    </w:p>
    <w:p>
      <w:pPr>
        <w:pStyle w:val="null3"/>
        <w:ind w:firstLine="960"/>
      </w:pPr>
      <w:r>
        <w:rPr>
          <w:rFonts w:ascii="仿宋_GB2312" w:hAnsi="仿宋_GB2312" w:cs="仿宋_GB2312" w:eastAsia="仿宋_GB2312"/>
        </w:rPr>
        <w:t>详见附件：技术支持团队人员.docx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