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23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一、项目名称</w:t>
      </w:r>
      <w:bookmarkStart w:id="0" w:name="OLE_LINK7"/>
    </w:p>
    <w:p w14:paraId="0EA8C2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both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2026年中央财政常态化帮扶资金(欠发达国有林场巩固提升任务)龙垭生态茶园建设项目(服务类)</w:t>
      </w:r>
    </w:p>
    <w:bookmarkEnd w:id="0"/>
    <w:p w14:paraId="6575C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二、项目概况</w:t>
      </w:r>
    </w:p>
    <w:p w14:paraId="25D6FA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项目实施地点：汉滨区林场</w:t>
      </w:r>
    </w:p>
    <w:p w14:paraId="5B0B3A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项目主要建设内容及规模：提升改造老茶园250亩。购置相应的茶园管护机械对茶园全面实施清灌（采伐）、深耕、施肥、补植补栽（茶园内缺株断行区域约60亩）及茶树修建等。</w:t>
      </w:r>
    </w:p>
    <w:p w14:paraId="39ACEB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三、商务要求</w:t>
      </w:r>
    </w:p>
    <w:p w14:paraId="37360C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服务期：2026年7月—2026年12月（共6个月）</w:t>
      </w:r>
    </w:p>
    <w:p w14:paraId="7D537B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付款方式：签订合同后，乙方向甲方提供开工报告、正式发票、预付款申请书，甲方按照合同总金额的40%支付乙方预付款；本工程进度达到50%，再付合同总金额的30%；本服务项目范围所有工作内容施工完毕，支付合同总金额的20%；项目竣工经验收合格并办理完成结算及审计，乙方向甲方提交齐全的施工资料、正式票据，甲方向乙方支付合同总价的10%。（本工程税金由乙方承担，若税收政策变化，乙方则按国家新出台的税收政策完税）</w:t>
      </w:r>
    </w:p>
    <w:p w14:paraId="6B7832BC">
      <w:pPr>
        <w:spacing w:line="360" w:lineRule="auto"/>
        <w:ind w:firstLine="456" w:firstLineChars="200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highlight w:val="none"/>
          <w:lang w:val="en-US" w:eastAsia="zh-CN"/>
        </w:rPr>
        <w:t>管护期：管护期1年（包含日常除草、施肥、修剪、浇水、补栽苗木的成活率≥85%），茶园管护设备质保以厂家提供质保日期为准”。</w:t>
      </w:r>
    </w:p>
    <w:p w14:paraId="1B3A4FB2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  <w:t>四、服务要求</w:t>
      </w:r>
    </w:p>
    <w:p w14:paraId="49AE6A6E">
      <w:pPr>
        <w:pStyle w:val="4"/>
        <w:widowControl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 w:val="0"/>
          <w:sz w:val="24"/>
          <w:szCs w:val="24"/>
        </w:rPr>
      </w:pPr>
      <w:bookmarkStart w:id="1" w:name="_Toc13508"/>
      <w:r>
        <w:rPr>
          <w:rFonts w:hint="eastAsia" w:ascii="仿宋" w:hAnsi="仿宋" w:eastAsia="仿宋" w:cs="仿宋"/>
          <w:sz w:val="24"/>
          <w:szCs w:val="24"/>
        </w:rPr>
        <w:t>茶园改造提升作业设计</w:t>
      </w:r>
      <w:bookmarkEnd w:id="1"/>
    </w:p>
    <w:p w14:paraId="676D9C59">
      <w:pPr>
        <w:pStyle w:val="5"/>
        <w:widowControl/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2" w:name="_Toc27458"/>
      <w:r>
        <w:rPr>
          <w:rFonts w:hint="eastAsia" w:ascii="仿宋" w:hAnsi="仿宋" w:eastAsia="仿宋" w:cs="仿宋"/>
          <w:sz w:val="24"/>
          <w:szCs w:val="24"/>
        </w:rPr>
        <w:t>清灌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（采伐）</w:t>
      </w:r>
      <w:r>
        <w:rPr>
          <w:rFonts w:hint="eastAsia" w:ascii="仿宋" w:hAnsi="仿宋" w:eastAsia="仿宋" w:cs="仿宋"/>
          <w:sz w:val="24"/>
          <w:szCs w:val="24"/>
        </w:rPr>
        <w:t>作业</w:t>
      </w:r>
      <w:bookmarkEnd w:id="2"/>
    </w:p>
    <w:p w14:paraId="3F451436">
      <w:pPr>
        <w:pStyle w:val="6"/>
        <w:widowControl/>
        <w:numPr>
          <w:ilvl w:val="0"/>
          <w:numId w:val="2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3" w:name="_Toc26114"/>
      <w:r>
        <w:rPr>
          <w:rFonts w:hint="eastAsia" w:ascii="仿宋" w:hAnsi="仿宋" w:eastAsia="仿宋" w:cs="仿宋"/>
          <w:sz w:val="24"/>
          <w:szCs w:val="24"/>
        </w:rPr>
        <w:t>作业范围</w:t>
      </w:r>
      <w:bookmarkEnd w:id="3"/>
    </w:p>
    <w:p w14:paraId="3B09492F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对250亩茶园全面实施清灌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（采伐）</w:t>
      </w:r>
      <w:r>
        <w:rPr>
          <w:rFonts w:hint="eastAsia" w:ascii="仿宋" w:hAnsi="仿宋" w:eastAsia="仿宋" w:cs="仿宋"/>
          <w:sz w:val="24"/>
          <w:szCs w:val="24"/>
        </w:rPr>
        <w:t>作业，清除茶行间及茶垄上的杂草、灌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（乔）</w:t>
      </w:r>
      <w:r>
        <w:rPr>
          <w:rFonts w:hint="eastAsia" w:ascii="仿宋" w:hAnsi="仿宋" w:eastAsia="仿宋" w:cs="仿宋"/>
          <w:sz w:val="24"/>
          <w:szCs w:val="24"/>
        </w:rPr>
        <w:t>木、藤蔓植物。</w:t>
      </w:r>
    </w:p>
    <w:p w14:paraId="09B2AEDF">
      <w:pPr>
        <w:pStyle w:val="6"/>
        <w:widowControl/>
        <w:numPr>
          <w:ilvl w:val="0"/>
          <w:numId w:val="2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4" w:name="_Toc12164"/>
      <w:r>
        <w:rPr>
          <w:rFonts w:hint="eastAsia" w:ascii="仿宋" w:hAnsi="仿宋" w:eastAsia="仿宋" w:cs="仿宋"/>
          <w:sz w:val="24"/>
          <w:szCs w:val="24"/>
        </w:rPr>
        <w:t>技术标准</w:t>
      </w:r>
      <w:bookmarkEnd w:id="4"/>
    </w:p>
    <w:p w14:paraId="3F113F2F">
      <w:pPr>
        <w:pStyle w:val="7"/>
        <w:widowControl/>
        <w:numPr>
          <w:ilvl w:val="0"/>
          <w:numId w:val="3"/>
        </w:numPr>
        <w:spacing w:line="360" w:lineRule="auto"/>
        <w:ind w:left="-60" w:leftChars="0" w:firstLine="480" w:firstLineChars="0"/>
        <w:rPr>
          <w:rFonts w:hint="eastAsia" w:ascii="仿宋" w:hAnsi="仿宋" w:eastAsia="仿宋" w:cs="仿宋"/>
          <w:b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清除对象：以葛藤、五节芒、白茅、蕨类等杂草及杂灌木为主，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适度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保留茶园内原生乔木（如枫香）及有益植被。</w:t>
      </w:r>
    </w:p>
    <w:p w14:paraId="6E053C9B">
      <w:pPr>
        <w:pStyle w:val="7"/>
        <w:widowControl/>
        <w:numPr>
          <w:ilvl w:val="0"/>
          <w:numId w:val="3"/>
        </w:numPr>
        <w:spacing w:line="360" w:lineRule="auto"/>
        <w:ind w:left="-60" w:leftChars="0" w:firstLine="480" w:firstLineChars="0"/>
        <w:rPr>
          <w:rFonts w:hint="eastAsia" w:ascii="仿宋" w:hAnsi="仿宋" w:eastAsia="仿宋" w:cs="仿宋"/>
          <w:b w:val="0"/>
          <w:color w:val="C0000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清除深度：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在不损害现有茶园的情况下，对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杂草根系清除深度不低于15厘米，灌木根系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、乔木伐桩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予以清除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。</w:t>
      </w:r>
    </w:p>
    <w:p w14:paraId="2084FE2B">
      <w:pPr>
        <w:pStyle w:val="7"/>
        <w:widowControl/>
        <w:numPr>
          <w:ilvl w:val="0"/>
          <w:numId w:val="3"/>
        </w:numPr>
        <w:spacing w:line="360" w:lineRule="auto"/>
        <w:ind w:left="-6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清理要求：清除的杂草、灌木、伐桩及树根应清理出茶园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。</w:t>
      </w:r>
    </w:p>
    <w:p w14:paraId="35F117B3">
      <w:pPr>
        <w:pStyle w:val="7"/>
        <w:widowControl/>
        <w:numPr>
          <w:ilvl w:val="0"/>
          <w:numId w:val="3"/>
        </w:numPr>
        <w:spacing w:line="360" w:lineRule="auto"/>
        <w:ind w:left="-60" w:leftChars="0" w:firstLine="480" w:firstLineChars="0"/>
        <w:rPr>
          <w:rFonts w:hint="eastAsia" w:ascii="仿宋" w:hAnsi="仿宋" w:eastAsia="仿宋" w:cs="仿宋"/>
          <w:b w:val="0"/>
          <w:color w:val="C0000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保留要求：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茶园内原有乔木遮光率不超过30%，对茶树的遮光率超过30%的乔木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在取得采伐证后，按照规范要求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进行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采伐作业</w:t>
      </w:r>
      <w:r>
        <w:rPr>
          <w:rFonts w:hint="eastAsia" w:ascii="仿宋" w:hAnsi="仿宋" w:eastAsia="仿宋" w:cs="仿宋"/>
          <w:color w:val="C00000"/>
          <w:sz w:val="24"/>
          <w:szCs w:val="24"/>
          <w:lang w:eastAsia="zh-CN"/>
        </w:rPr>
        <w:t>。</w:t>
      </w:r>
    </w:p>
    <w:p w14:paraId="4E77E437">
      <w:pPr>
        <w:pStyle w:val="6"/>
        <w:widowControl/>
        <w:numPr>
          <w:ilvl w:val="0"/>
          <w:numId w:val="2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5" w:name="_Toc10348"/>
      <w:r>
        <w:rPr>
          <w:rFonts w:hint="eastAsia" w:ascii="仿宋" w:hAnsi="仿宋" w:eastAsia="仿宋" w:cs="仿宋"/>
          <w:sz w:val="24"/>
          <w:szCs w:val="24"/>
        </w:rPr>
        <w:t>作业方式</w:t>
      </w:r>
      <w:bookmarkEnd w:id="5"/>
    </w:p>
    <w:p w14:paraId="092B152C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采用人工割除为主、机械辅助的方式。陡坡地段采用人工割灌机作业，缓坡地段可采用小型割草机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小型挖掘机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等</w:t>
      </w:r>
      <w:r>
        <w:rPr>
          <w:rFonts w:hint="eastAsia" w:ascii="仿宋" w:hAnsi="仿宋" w:eastAsia="仿宋" w:cs="仿宋"/>
          <w:sz w:val="24"/>
          <w:szCs w:val="24"/>
        </w:rPr>
        <w:t>作业。</w:t>
      </w:r>
    </w:p>
    <w:p w14:paraId="682B3EB6">
      <w:pPr>
        <w:pStyle w:val="6"/>
        <w:widowControl/>
        <w:numPr>
          <w:ilvl w:val="0"/>
          <w:numId w:val="2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6" w:name="_Toc30043"/>
      <w:r>
        <w:rPr>
          <w:rFonts w:hint="eastAsia" w:ascii="仿宋" w:hAnsi="仿宋" w:eastAsia="仿宋" w:cs="仿宋"/>
          <w:sz w:val="24"/>
          <w:szCs w:val="24"/>
        </w:rPr>
        <w:t>工程量</w:t>
      </w:r>
      <w:bookmarkEnd w:id="6"/>
    </w:p>
    <w:p w14:paraId="66AFC648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清灌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（采伐）</w:t>
      </w:r>
      <w:r>
        <w:rPr>
          <w:rFonts w:hint="eastAsia" w:ascii="仿宋" w:hAnsi="仿宋" w:eastAsia="仿宋" w:cs="仿宋"/>
          <w:sz w:val="24"/>
          <w:szCs w:val="24"/>
        </w:rPr>
        <w:t>面积250亩。</w:t>
      </w:r>
    </w:p>
    <w:p w14:paraId="0D6A411F">
      <w:pPr>
        <w:pStyle w:val="5"/>
        <w:widowControl/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7" w:name="_Toc32709"/>
      <w:r>
        <w:rPr>
          <w:rFonts w:hint="eastAsia" w:ascii="仿宋" w:hAnsi="仿宋" w:eastAsia="仿宋" w:cs="仿宋"/>
          <w:sz w:val="24"/>
          <w:szCs w:val="24"/>
        </w:rPr>
        <w:t>深耕作业</w:t>
      </w:r>
      <w:bookmarkEnd w:id="7"/>
    </w:p>
    <w:p w14:paraId="6952A03D">
      <w:pPr>
        <w:pStyle w:val="6"/>
        <w:widowControl/>
        <w:numPr>
          <w:ilvl w:val="0"/>
          <w:numId w:val="4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8" w:name="_Toc1108"/>
      <w:r>
        <w:rPr>
          <w:rFonts w:hint="eastAsia" w:ascii="仿宋" w:hAnsi="仿宋" w:eastAsia="仿宋" w:cs="仿宋"/>
          <w:sz w:val="24"/>
          <w:szCs w:val="24"/>
        </w:rPr>
        <w:t>作业范围</w:t>
      </w:r>
      <w:bookmarkEnd w:id="8"/>
    </w:p>
    <w:p w14:paraId="259AC1DF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对250亩茶园全面实施深耕，改善土壤物理结构，增加土壤通透性。</w:t>
      </w:r>
    </w:p>
    <w:p w14:paraId="044CB96C">
      <w:pPr>
        <w:pStyle w:val="6"/>
        <w:widowControl/>
        <w:numPr>
          <w:ilvl w:val="0"/>
          <w:numId w:val="4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9" w:name="_Toc25847"/>
      <w:r>
        <w:rPr>
          <w:rFonts w:hint="eastAsia" w:ascii="仿宋" w:hAnsi="仿宋" w:eastAsia="仿宋" w:cs="仿宋"/>
          <w:sz w:val="24"/>
          <w:szCs w:val="24"/>
        </w:rPr>
        <w:t>技术标准</w:t>
      </w:r>
      <w:bookmarkEnd w:id="9"/>
    </w:p>
    <w:p w14:paraId="45EDFBDA">
      <w:pPr>
        <w:pStyle w:val="7"/>
        <w:widowControl/>
        <w:numPr>
          <w:ilvl w:val="0"/>
          <w:numId w:val="5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深耕深度：20—25厘米，行间深耕，茶垄附近浅耕（10—15厘米），避免伤及茶树根系。</w:t>
      </w:r>
    </w:p>
    <w:p w14:paraId="44FEBAFB">
      <w:pPr>
        <w:pStyle w:val="7"/>
        <w:widowControl/>
        <w:numPr>
          <w:ilvl w:val="0"/>
          <w:numId w:val="5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深耕时间：9月下旬至10月中旬，结合秋冬季基肥施用同步进行。</w:t>
      </w:r>
    </w:p>
    <w:p w14:paraId="1A22434A">
      <w:pPr>
        <w:pStyle w:val="7"/>
        <w:widowControl/>
        <w:numPr>
          <w:ilvl w:val="0"/>
          <w:numId w:val="5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作业要求：深耕后及时耙平，做到土块细碎、地面平整。坡度大于15度的地块沿等高线横向耕作，防止水土流失。</w:t>
      </w:r>
    </w:p>
    <w:p w14:paraId="05E5102D">
      <w:pPr>
        <w:pStyle w:val="6"/>
        <w:widowControl/>
        <w:numPr>
          <w:ilvl w:val="0"/>
          <w:numId w:val="4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0" w:name="_Toc11022"/>
      <w:r>
        <w:rPr>
          <w:rFonts w:hint="eastAsia" w:ascii="仿宋" w:hAnsi="仿宋" w:eastAsia="仿宋" w:cs="仿宋"/>
          <w:sz w:val="24"/>
          <w:szCs w:val="24"/>
        </w:rPr>
        <w:t>作业方式</w:t>
      </w:r>
      <w:bookmarkEnd w:id="10"/>
    </w:p>
    <w:p w14:paraId="555F8E3D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缓坡地块（坡度小于15度）采用旋耕机机械深耕，陡坡地块采用人工深翻。</w:t>
      </w:r>
    </w:p>
    <w:p w14:paraId="4CFD9421">
      <w:pPr>
        <w:pStyle w:val="6"/>
        <w:widowControl/>
        <w:numPr>
          <w:ilvl w:val="0"/>
          <w:numId w:val="4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1" w:name="_Toc18425"/>
      <w:r>
        <w:rPr>
          <w:rFonts w:hint="eastAsia" w:ascii="仿宋" w:hAnsi="仿宋" w:eastAsia="仿宋" w:cs="仿宋"/>
          <w:sz w:val="24"/>
          <w:szCs w:val="24"/>
        </w:rPr>
        <w:t>工程量</w:t>
      </w:r>
      <w:bookmarkEnd w:id="11"/>
    </w:p>
    <w:p w14:paraId="7422ACB3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深耕面积2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50</w:t>
      </w:r>
      <w:r>
        <w:rPr>
          <w:rFonts w:hint="eastAsia" w:ascii="仿宋" w:hAnsi="仿宋" w:eastAsia="仿宋" w:cs="仿宋"/>
          <w:sz w:val="24"/>
          <w:szCs w:val="24"/>
        </w:rPr>
        <w:t>亩。</w:t>
      </w:r>
    </w:p>
    <w:p w14:paraId="3FB2B0A5">
      <w:pPr>
        <w:pStyle w:val="5"/>
        <w:widowControl/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12" w:name="_Toc28184"/>
      <w:r>
        <w:rPr>
          <w:rFonts w:hint="eastAsia" w:ascii="仿宋" w:hAnsi="仿宋" w:eastAsia="仿宋" w:cs="仿宋"/>
          <w:sz w:val="24"/>
          <w:szCs w:val="24"/>
        </w:rPr>
        <w:t>施肥作业</w:t>
      </w:r>
      <w:bookmarkEnd w:id="12"/>
    </w:p>
    <w:p w14:paraId="7A2BD963">
      <w:pPr>
        <w:pStyle w:val="6"/>
        <w:widowControl/>
        <w:numPr>
          <w:ilvl w:val="0"/>
          <w:numId w:val="6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3" w:name="_Toc26057"/>
      <w:r>
        <w:rPr>
          <w:rFonts w:hint="eastAsia" w:ascii="仿宋" w:hAnsi="仿宋" w:eastAsia="仿宋" w:cs="仿宋"/>
          <w:sz w:val="24"/>
          <w:szCs w:val="24"/>
        </w:rPr>
        <w:t>施肥方案</w:t>
      </w:r>
      <w:bookmarkEnd w:id="13"/>
    </w:p>
    <w:p w14:paraId="48186F42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采用有机肥与复合肥配合施用，有机肥替代率不低于30%（折合纯氮计）。</w:t>
      </w:r>
    </w:p>
    <w:tbl>
      <w:tblPr>
        <w:tblStyle w:val="9"/>
        <w:tblW w:w="9503" w:type="dxa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2"/>
        <w:gridCol w:w="2371"/>
        <w:gridCol w:w="2373"/>
        <w:gridCol w:w="2377"/>
      </w:tblGrid>
      <w:tr w14:paraId="4B142933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2C2BA8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肥料类型</w:t>
            </w:r>
          </w:p>
        </w:tc>
        <w:tc>
          <w:tcPr>
            <w:tcW w:w="237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AAF727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用量标准</w:t>
            </w:r>
          </w:p>
        </w:tc>
        <w:tc>
          <w:tcPr>
            <w:tcW w:w="23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7A680F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施用时间</w:t>
            </w:r>
          </w:p>
        </w:tc>
        <w:tc>
          <w:tcPr>
            <w:tcW w:w="237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13B3B7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施用方法</w:t>
            </w:r>
          </w:p>
        </w:tc>
      </w:tr>
      <w:tr w14:paraId="79F8B3EA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2AD3EC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商品有机肥</w:t>
            </w:r>
          </w:p>
        </w:tc>
        <w:tc>
          <w:tcPr>
            <w:tcW w:w="237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A979390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300公斤/亩</w:t>
            </w:r>
          </w:p>
        </w:tc>
        <w:tc>
          <w:tcPr>
            <w:tcW w:w="23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2BB6499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9月底—10月中旬（基肥）</w:t>
            </w:r>
          </w:p>
        </w:tc>
        <w:tc>
          <w:tcPr>
            <w:tcW w:w="237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24BE0C6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开沟15—20厘米深，施后覆土</w:t>
            </w:r>
          </w:p>
        </w:tc>
      </w:tr>
      <w:tr w14:paraId="0FBF9EA6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7DB33D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茶树专用复合肥（N-P-K: 18-8-12）</w:t>
            </w:r>
          </w:p>
        </w:tc>
        <w:tc>
          <w:tcPr>
            <w:tcW w:w="237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551DFF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100公斤/亩</w:t>
            </w:r>
          </w:p>
        </w:tc>
        <w:tc>
          <w:tcPr>
            <w:tcW w:w="23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A3DA575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基肥50公斤、追肥50公斤</w:t>
            </w:r>
          </w:p>
        </w:tc>
        <w:tc>
          <w:tcPr>
            <w:tcW w:w="237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F0443A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基肥结合深耕施入，追肥开浅沟5—10厘米施入</w:t>
            </w:r>
          </w:p>
        </w:tc>
      </w:tr>
      <w:tr w14:paraId="421E90B9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4EB9F3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叶面硒肥</w:t>
            </w:r>
          </w:p>
        </w:tc>
        <w:tc>
          <w:tcPr>
            <w:tcW w:w="237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42C951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按产品说明</w:t>
            </w:r>
          </w:p>
        </w:tc>
        <w:tc>
          <w:tcPr>
            <w:tcW w:w="23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CE8D52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萌芽期、生长期各1次</w:t>
            </w:r>
          </w:p>
        </w:tc>
        <w:tc>
          <w:tcPr>
            <w:tcW w:w="237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2F8124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叶面喷施</w:t>
            </w:r>
          </w:p>
        </w:tc>
      </w:tr>
    </w:tbl>
    <w:p w14:paraId="3D9AA3BA">
      <w:pPr>
        <w:pStyle w:val="6"/>
        <w:widowControl/>
        <w:numPr>
          <w:ilvl w:val="0"/>
          <w:numId w:val="6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4" w:name="_Toc24187"/>
      <w:r>
        <w:rPr>
          <w:rFonts w:hint="eastAsia" w:ascii="仿宋" w:hAnsi="仿宋" w:eastAsia="仿宋" w:cs="仿宋"/>
          <w:sz w:val="24"/>
          <w:szCs w:val="24"/>
        </w:rPr>
        <w:t>施肥量计算</w:t>
      </w:r>
      <w:bookmarkEnd w:id="14"/>
    </w:p>
    <w:p w14:paraId="7FEE341B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250亩茶园共需：</w:t>
      </w:r>
    </w:p>
    <w:p w14:paraId="339249EA">
      <w:pPr>
        <w:pStyle w:val="7"/>
        <w:widowControl/>
        <w:numPr>
          <w:ilvl w:val="0"/>
          <w:numId w:val="7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商品有机肥：75吨（300公斤/亩×250亩）</w:t>
      </w:r>
    </w:p>
    <w:p w14:paraId="46A98765">
      <w:pPr>
        <w:pStyle w:val="7"/>
        <w:widowControl/>
        <w:numPr>
          <w:ilvl w:val="0"/>
          <w:numId w:val="7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茶树专用复合肥：25吨（100公斤/亩×250亩）</w:t>
      </w:r>
    </w:p>
    <w:p w14:paraId="263F6C26">
      <w:pPr>
        <w:pStyle w:val="7"/>
        <w:widowControl/>
        <w:numPr>
          <w:ilvl w:val="0"/>
          <w:numId w:val="7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叶面硒肥：按产品说明</w:t>
      </w:r>
    </w:p>
    <w:p w14:paraId="4128723E">
      <w:pPr>
        <w:pStyle w:val="6"/>
        <w:widowControl/>
        <w:numPr>
          <w:ilvl w:val="0"/>
          <w:numId w:val="6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5" w:name="_Toc15178"/>
      <w:r>
        <w:rPr>
          <w:rFonts w:hint="eastAsia" w:ascii="仿宋" w:hAnsi="仿宋" w:eastAsia="仿宋" w:cs="仿宋"/>
          <w:sz w:val="24"/>
          <w:szCs w:val="24"/>
        </w:rPr>
        <w:t>施肥技术要求</w:t>
      </w:r>
      <w:bookmarkEnd w:id="15"/>
    </w:p>
    <w:p w14:paraId="5BD9253E">
      <w:pPr>
        <w:pStyle w:val="7"/>
        <w:widowControl/>
        <w:numPr>
          <w:ilvl w:val="0"/>
          <w:numId w:val="8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基肥开沟深度15—20厘米，施肥后立即覆土，减少养分挥发。</w:t>
      </w:r>
    </w:p>
    <w:p w14:paraId="14F667CB">
      <w:pPr>
        <w:pStyle w:val="7"/>
        <w:widowControl/>
        <w:numPr>
          <w:ilvl w:val="0"/>
          <w:numId w:val="8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追肥在春茶开采前40—50天施用，开浅沟5—10厘米施入，或地表撒施结合浅旋耕。</w:t>
      </w:r>
    </w:p>
    <w:p w14:paraId="623EFB4E">
      <w:pPr>
        <w:pStyle w:val="7"/>
        <w:widowControl/>
        <w:numPr>
          <w:ilvl w:val="0"/>
          <w:numId w:val="8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年氮素总用量不超过300公斤/公顷（折纯），避免过量施肥造成面源污染。</w:t>
      </w:r>
    </w:p>
    <w:p w14:paraId="1E9BE2D2">
      <w:pPr>
        <w:pStyle w:val="7"/>
        <w:widowControl/>
        <w:numPr>
          <w:ilvl w:val="0"/>
          <w:numId w:val="8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建立施肥台账，详细记录施肥时间、品种、数量、方式。</w:t>
      </w:r>
    </w:p>
    <w:p w14:paraId="27D6A32A">
      <w:pPr>
        <w:pStyle w:val="6"/>
        <w:widowControl/>
        <w:numPr>
          <w:ilvl w:val="0"/>
          <w:numId w:val="6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6" w:name="_Toc23967"/>
      <w:r>
        <w:rPr>
          <w:rFonts w:hint="eastAsia" w:ascii="仿宋" w:hAnsi="仿宋" w:eastAsia="仿宋" w:cs="仿宋"/>
          <w:sz w:val="24"/>
          <w:szCs w:val="24"/>
        </w:rPr>
        <w:t>工程</w:t>
      </w:r>
      <w:bookmarkEnd w:id="16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量</w:t>
      </w:r>
    </w:p>
    <w:p w14:paraId="3E094DEB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施肥面积250亩。</w:t>
      </w:r>
    </w:p>
    <w:p w14:paraId="0077AF8E">
      <w:pPr>
        <w:pStyle w:val="5"/>
        <w:widowControl/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17" w:name="_Toc25609"/>
      <w:r>
        <w:rPr>
          <w:rFonts w:hint="eastAsia" w:ascii="仿宋" w:hAnsi="仿宋" w:eastAsia="仿宋" w:cs="仿宋"/>
          <w:sz w:val="24"/>
          <w:szCs w:val="24"/>
        </w:rPr>
        <w:t>补植补栽作业</w:t>
      </w:r>
      <w:bookmarkEnd w:id="17"/>
    </w:p>
    <w:p w14:paraId="6B51B577">
      <w:pPr>
        <w:pStyle w:val="6"/>
        <w:widowControl/>
        <w:numPr>
          <w:ilvl w:val="0"/>
          <w:numId w:val="9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8" w:name="_Toc381"/>
      <w:r>
        <w:rPr>
          <w:rFonts w:hint="eastAsia" w:ascii="仿宋" w:hAnsi="仿宋" w:eastAsia="仿宋" w:cs="仿宋"/>
          <w:sz w:val="24"/>
          <w:szCs w:val="24"/>
        </w:rPr>
        <w:t>补植范围</w:t>
      </w:r>
      <w:bookmarkEnd w:id="18"/>
    </w:p>
    <w:p w14:paraId="4A3320FB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对茶园内缺株断行区域进行补植补栽，总体面积约 60 亩（占总面积 24%）。</w:t>
      </w:r>
    </w:p>
    <w:p w14:paraId="20670B40">
      <w:pPr>
        <w:pStyle w:val="6"/>
        <w:widowControl/>
        <w:numPr>
          <w:ilvl w:val="0"/>
          <w:numId w:val="9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19" w:name="_Toc27703"/>
      <w:r>
        <w:rPr>
          <w:rFonts w:hint="eastAsia" w:ascii="仿宋" w:hAnsi="仿宋" w:eastAsia="仿宋" w:cs="仿宋"/>
          <w:sz w:val="24"/>
          <w:szCs w:val="24"/>
        </w:rPr>
        <w:t>品种选择</w:t>
      </w:r>
      <w:bookmarkEnd w:id="19"/>
    </w:p>
    <w:p w14:paraId="64B46336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补植品种选用适应当地气候的“紫阳群体种”或“陕茶 1 号”无性系良种茶</w:t>
      </w:r>
    </w:p>
    <w:p w14:paraId="461DEB4A">
      <w:pPr>
        <w:pStyle w:val="7"/>
        <w:widowControl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苗。其中：“陕茶 1 号”具有发芽早、生长势旺、适应性强、品质优良的特点，</w:t>
      </w:r>
    </w:p>
    <w:p w14:paraId="0B359F80">
      <w:pPr>
        <w:pStyle w:val="7"/>
        <w:widowControl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已在汉滨区大面积推广种植。</w:t>
      </w:r>
    </w:p>
    <w:p w14:paraId="10B58686">
      <w:pPr>
        <w:pStyle w:val="6"/>
        <w:widowControl/>
        <w:numPr>
          <w:ilvl w:val="0"/>
          <w:numId w:val="9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20" w:name="_Toc9016"/>
      <w:r>
        <w:rPr>
          <w:rFonts w:hint="eastAsia" w:ascii="仿宋" w:hAnsi="仿宋" w:eastAsia="仿宋" w:cs="仿宋"/>
          <w:sz w:val="24"/>
          <w:szCs w:val="24"/>
        </w:rPr>
        <w:t>种植技术标准</w:t>
      </w:r>
      <w:bookmarkEnd w:id="20"/>
    </w:p>
    <w:p w14:paraId="4591D172">
      <w:pPr>
        <w:pStyle w:val="7"/>
        <w:widowControl/>
        <w:numPr>
          <w:ilvl w:val="0"/>
          <w:numId w:val="10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茶苗规格：无性系良种苗，苗高不低于20厘米，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径不低于0.3厘米，根系完整。</w:t>
      </w:r>
    </w:p>
    <w:p w14:paraId="56962D75">
      <w:pPr>
        <w:pStyle w:val="7"/>
        <w:widowControl/>
        <w:numPr>
          <w:ilvl w:val="0"/>
          <w:numId w:val="10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种植密度：根据作业区现状，对茶叶稀疏区域进行补植补栽，大行距150—180 厘米，小行距 30—40 厘米，株距 30—40 厘米。</w:t>
      </w:r>
    </w:p>
    <w:p w14:paraId="6003E841">
      <w:pPr>
        <w:pStyle w:val="7"/>
        <w:widowControl/>
        <w:numPr>
          <w:ilvl w:val="0"/>
          <w:numId w:val="10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种植时间：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月下旬至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中旬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阴天移栽定植。</w:t>
      </w:r>
    </w:p>
    <w:p w14:paraId="0CE8EAAF">
      <w:pPr>
        <w:pStyle w:val="7"/>
        <w:widowControl/>
        <w:numPr>
          <w:ilvl w:val="0"/>
          <w:numId w:val="10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种植方法：</w:t>
      </w:r>
    </w:p>
    <w:p w14:paraId="0540AB99">
      <w:pPr>
        <w:pStyle w:val="7"/>
        <w:widowControl/>
        <w:numPr>
          <w:ilvl w:val="0"/>
          <w:numId w:val="0"/>
        </w:numPr>
        <w:spacing w:line="360" w:lineRule="auto"/>
        <w:ind w:leftChars="200" w:right="0" w:righ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①种植前开挖种植沟（穴），沟宽40—50厘米，深40—50厘米。</w:t>
      </w:r>
    </w:p>
    <w:p w14:paraId="59C7341A">
      <w:pPr>
        <w:pStyle w:val="7"/>
        <w:widowControl/>
        <w:numPr>
          <w:ilvl w:val="0"/>
          <w:numId w:val="0"/>
        </w:numPr>
        <w:spacing w:line="360" w:lineRule="auto"/>
        <w:ind w:leftChars="200" w:right="0" w:righ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②每穴施入有机肥0.5—1公斤作底肥，与表土拌匀后覆土10—15厘米。</w:t>
      </w:r>
    </w:p>
    <w:p w14:paraId="2AECCE61">
      <w:pPr>
        <w:pStyle w:val="7"/>
        <w:widowControl/>
        <w:numPr>
          <w:ilvl w:val="0"/>
          <w:numId w:val="0"/>
        </w:numPr>
        <w:spacing w:line="360" w:lineRule="auto"/>
        <w:ind w:leftChars="200" w:right="0" w:righ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③茶苗栽植时将根系收拢向下，覆土至根茎处，压实表土。</w:t>
      </w:r>
    </w:p>
    <w:p w14:paraId="2ABB0DF1">
      <w:pPr>
        <w:pStyle w:val="7"/>
        <w:widowControl/>
        <w:numPr>
          <w:ilvl w:val="0"/>
          <w:numId w:val="0"/>
        </w:numPr>
        <w:spacing w:line="360" w:lineRule="auto"/>
        <w:ind w:leftChars="200" w:right="0" w:righ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④栽后立即浇足定根水，地表覆盖稻草或杂草保湿。</w:t>
      </w:r>
    </w:p>
    <w:p w14:paraId="379FF876">
      <w:pPr>
        <w:pStyle w:val="6"/>
        <w:widowControl/>
        <w:numPr>
          <w:ilvl w:val="0"/>
          <w:numId w:val="9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21" w:name="_Toc5974"/>
      <w:r>
        <w:rPr>
          <w:rFonts w:hint="eastAsia" w:ascii="仿宋" w:hAnsi="仿宋" w:eastAsia="仿宋" w:cs="仿宋"/>
          <w:sz w:val="24"/>
          <w:szCs w:val="24"/>
        </w:rPr>
        <w:t>工程量</w:t>
      </w:r>
      <w:bookmarkEnd w:id="21"/>
    </w:p>
    <w:p w14:paraId="03CAE747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按整体面积24%进行补植补栽，面积约为60亩。</w:t>
      </w:r>
    </w:p>
    <w:p w14:paraId="653F4C77">
      <w:pPr>
        <w:pStyle w:val="5"/>
        <w:widowControl/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22" w:name="_Toc13197"/>
      <w:r>
        <w:rPr>
          <w:rFonts w:hint="eastAsia" w:ascii="仿宋" w:hAnsi="仿宋" w:eastAsia="仿宋" w:cs="仿宋"/>
          <w:sz w:val="24"/>
          <w:szCs w:val="24"/>
        </w:rPr>
        <w:t>茶树修剪作业</w:t>
      </w:r>
      <w:bookmarkEnd w:id="22"/>
    </w:p>
    <w:p w14:paraId="345EEAEB">
      <w:pPr>
        <w:pStyle w:val="6"/>
        <w:widowControl/>
        <w:numPr>
          <w:ilvl w:val="0"/>
          <w:numId w:val="11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23" w:name="_Toc26985"/>
      <w:r>
        <w:rPr>
          <w:rFonts w:hint="eastAsia" w:ascii="仿宋" w:hAnsi="仿宋" w:eastAsia="仿宋" w:cs="仿宋"/>
          <w:sz w:val="24"/>
          <w:szCs w:val="24"/>
        </w:rPr>
        <w:t>修剪类型及标准</w:t>
      </w:r>
      <w:bookmarkEnd w:id="23"/>
    </w:p>
    <w:p w14:paraId="497D4F68">
      <w:pPr>
        <w:pStyle w:val="7"/>
        <w:widowControl/>
        <w:spacing w:line="360" w:lineRule="auto"/>
        <w:ind w:firstLine="480" w:firstLineChars="20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根据茶树树势状况，实施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重</w:t>
      </w:r>
      <w:r>
        <w:rPr>
          <w:rFonts w:hint="eastAsia" w:ascii="仿宋" w:hAnsi="仿宋" w:eastAsia="仿宋" w:cs="仿宋"/>
          <w:sz w:val="24"/>
          <w:szCs w:val="24"/>
        </w:rPr>
        <w:t>修剪：在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9月-10月</w:t>
      </w:r>
      <w:r>
        <w:rPr>
          <w:rFonts w:hint="eastAsia" w:ascii="仿宋" w:hAnsi="仿宋" w:eastAsia="仿宋" w:cs="仿宋"/>
          <w:sz w:val="24"/>
          <w:szCs w:val="24"/>
        </w:rPr>
        <w:t>进行，修剪深度在蓬面下10—15厘米，剪去鸡爪枝、枯焦枝，重新培育树冠。</w:t>
      </w:r>
    </w:p>
    <w:p w14:paraId="28BF0D94">
      <w:pPr>
        <w:pStyle w:val="6"/>
        <w:widowControl/>
        <w:numPr>
          <w:ilvl w:val="0"/>
          <w:numId w:val="11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24" w:name="_Toc3005"/>
      <w:r>
        <w:rPr>
          <w:rFonts w:hint="eastAsia" w:ascii="仿宋" w:hAnsi="仿宋" w:eastAsia="仿宋" w:cs="仿宋"/>
          <w:sz w:val="24"/>
          <w:szCs w:val="24"/>
        </w:rPr>
        <w:t>修剪作业要求</w:t>
      </w:r>
      <w:bookmarkEnd w:id="24"/>
    </w:p>
    <w:p w14:paraId="1769E710">
      <w:pPr>
        <w:pStyle w:val="7"/>
        <w:widowControl/>
        <w:numPr>
          <w:ilvl w:val="0"/>
          <w:numId w:val="1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修剪切口平滑，不撕裂枝条。</w:t>
      </w:r>
    </w:p>
    <w:p w14:paraId="2B127315">
      <w:pPr>
        <w:pStyle w:val="7"/>
        <w:widowControl/>
        <w:numPr>
          <w:ilvl w:val="0"/>
          <w:numId w:val="1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修剪后及时清理剪下的枝条，集中堆放或覆盖于茶行间。</w:t>
      </w:r>
    </w:p>
    <w:p w14:paraId="77472BAC">
      <w:pPr>
        <w:pStyle w:val="7"/>
        <w:widowControl/>
        <w:numPr>
          <w:ilvl w:val="0"/>
          <w:numId w:val="1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修剪后结合施肥，促进新梢萌发。</w:t>
      </w:r>
    </w:p>
    <w:p w14:paraId="776174A5">
      <w:pPr>
        <w:pStyle w:val="7"/>
        <w:widowControl/>
        <w:numPr>
          <w:ilvl w:val="0"/>
          <w:numId w:val="1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修剪工具使用前后进行消毒，防止病害传播。</w:t>
      </w:r>
    </w:p>
    <w:p w14:paraId="33021BE5">
      <w:pPr>
        <w:pStyle w:val="6"/>
        <w:widowControl/>
        <w:numPr>
          <w:ilvl w:val="0"/>
          <w:numId w:val="11"/>
        </w:numPr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 w:val="0"/>
          <w:sz w:val="24"/>
          <w:szCs w:val="24"/>
        </w:rPr>
      </w:pPr>
      <w:bookmarkStart w:id="25" w:name="_Toc28341"/>
      <w:r>
        <w:rPr>
          <w:rFonts w:hint="eastAsia" w:ascii="仿宋" w:hAnsi="仿宋" w:eastAsia="仿宋" w:cs="仿宋"/>
          <w:sz w:val="24"/>
          <w:szCs w:val="24"/>
        </w:rPr>
        <w:t>修剪时间安排</w:t>
      </w:r>
      <w:bookmarkEnd w:id="25"/>
    </w:p>
    <w:tbl>
      <w:tblPr>
        <w:tblStyle w:val="9"/>
        <w:tblW w:w="9503" w:type="dxa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2"/>
        <w:gridCol w:w="2381"/>
        <w:gridCol w:w="2375"/>
        <w:gridCol w:w="2375"/>
      </w:tblGrid>
      <w:tr w14:paraId="133F3034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9EBF39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修剪类型</w:t>
            </w:r>
          </w:p>
        </w:tc>
        <w:tc>
          <w:tcPr>
            <w:tcW w:w="238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EB76A2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实施时间</w:t>
            </w:r>
          </w:p>
        </w:tc>
        <w:tc>
          <w:tcPr>
            <w:tcW w:w="2375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361B420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面积</w:t>
            </w:r>
          </w:p>
        </w:tc>
        <w:tc>
          <w:tcPr>
            <w:tcW w:w="2375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976F79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作业方式</w:t>
            </w:r>
          </w:p>
        </w:tc>
      </w:tr>
      <w:tr w14:paraId="72C85E87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66E14C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修剪</w:t>
            </w:r>
          </w:p>
        </w:tc>
        <w:tc>
          <w:tcPr>
            <w:tcW w:w="238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9C6EA7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9月-10月</w:t>
            </w:r>
          </w:p>
        </w:tc>
        <w:tc>
          <w:tcPr>
            <w:tcW w:w="2375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CE0C45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250亩</w:t>
            </w:r>
          </w:p>
        </w:tc>
        <w:tc>
          <w:tcPr>
            <w:tcW w:w="2375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6FC698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修剪机+人工辅助</w:t>
            </w:r>
          </w:p>
        </w:tc>
      </w:tr>
    </w:tbl>
    <w:p w14:paraId="442E3967">
      <w:pPr>
        <w:keepNext w:val="0"/>
        <w:keepLines w:val="0"/>
        <w:widowControl/>
        <w:suppressLineNumbers w:val="0"/>
        <w:spacing w:before="0" w:beforeAutospacing="1" w:after="200" w:afterAutospacing="0" w:line="273" w:lineRule="auto"/>
        <w:ind w:left="0" w:right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4.5.4 </w:t>
      </w:r>
      <w:r>
        <w:rPr>
          <w:rFonts w:hint="eastAsia" w:ascii="仿宋" w:hAnsi="仿宋" w:eastAsia="仿宋" w:cs="仿宋"/>
          <w:sz w:val="24"/>
          <w:szCs w:val="24"/>
        </w:rPr>
        <w:t>工程量</w:t>
      </w:r>
    </w:p>
    <w:p w14:paraId="514EBFF4">
      <w:pPr>
        <w:keepNext w:val="0"/>
        <w:keepLines w:val="0"/>
        <w:widowControl/>
        <w:suppressLineNumbers w:val="0"/>
        <w:spacing w:before="0" w:beforeAutospacing="1" w:after="200" w:afterAutospacing="0" w:line="273" w:lineRule="auto"/>
        <w:ind w:left="0" w:right="0"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茶树修剪面积250亩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2353BED6">
      <w:pPr>
        <w:pStyle w:val="4"/>
        <w:widowControl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 w:val="0"/>
          <w:sz w:val="24"/>
          <w:szCs w:val="24"/>
        </w:rPr>
      </w:pPr>
      <w:bookmarkStart w:id="26" w:name="_Toc26339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五、</w:t>
      </w:r>
      <w:r>
        <w:rPr>
          <w:rFonts w:hint="eastAsia" w:ascii="仿宋" w:hAnsi="仿宋" w:eastAsia="仿宋" w:cs="仿宋"/>
          <w:sz w:val="24"/>
          <w:szCs w:val="24"/>
        </w:rPr>
        <w:t>茶园管护设备配置</w:t>
      </w:r>
      <w:bookmarkEnd w:id="26"/>
    </w:p>
    <w:p w14:paraId="4C55E960">
      <w:pPr>
        <w:pStyle w:val="5"/>
        <w:widowControl/>
        <w:numPr>
          <w:ilvl w:val="0"/>
          <w:numId w:val="13"/>
        </w:numPr>
        <w:spacing w:line="360" w:lineRule="auto"/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27" w:name="_Toc24132"/>
      <w:r>
        <w:rPr>
          <w:rFonts w:hint="eastAsia" w:ascii="仿宋" w:hAnsi="仿宋" w:eastAsia="仿宋" w:cs="仿宋"/>
          <w:sz w:val="24"/>
          <w:szCs w:val="24"/>
        </w:rPr>
        <w:t>设备配置原则</w:t>
      </w:r>
      <w:bookmarkEnd w:id="27"/>
    </w:p>
    <w:p w14:paraId="4D8C78F5">
      <w:pPr>
        <w:pStyle w:val="7"/>
        <w:widowControl/>
        <w:numPr>
          <w:ilvl w:val="0"/>
          <w:numId w:val="14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满足250亩茶园日常管护作业需求，实现机械化作业覆盖率达到80%以上。</w:t>
      </w:r>
    </w:p>
    <w:p w14:paraId="65407577">
      <w:pPr>
        <w:pStyle w:val="7"/>
        <w:widowControl/>
        <w:numPr>
          <w:ilvl w:val="0"/>
          <w:numId w:val="14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选用成熟机型，操作简便，维护成本低，配件供应有保障。</w:t>
      </w:r>
    </w:p>
    <w:p w14:paraId="2B4D05DE">
      <w:pPr>
        <w:pStyle w:val="7"/>
        <w:widowControl/>
        <w:numPr>
          <w:ilvl w:val="0"/>
          <w:numId w:val="14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设备选型符合国家农机购置补贴目录，可享受农机购置补贴。</w:t>
      </w:r>
    </w:p>
    <w:p w14:paraId="038F2873">
      <w:pPr>
        <w:pStyle w:val="5"/>
        <w:widowControl/>
        <w:numPr>
          <w:ilvl w:val="0"/>
          <w:numId w:val="13"/>
        </w:numPr>
        <w:ind w:left="0" w:leftChars="0" w:firstLine="0" w:firstLineChars="0"/>
        <w:outlineLvl w:val="0"/>
        <w:rPr>
          <w:rFonts w:hint="eastAsia" w:ascii="仿宋" w:hAnsi="仿宋" w:eastAsia="仿宋" w:cs="仿宋"/>
          <w:b w:val="0"/>
          <w:sz w:val="24"/>
          <w:szCs w:val="24"/>
        </w:rPr>
      </w:pPr>
      <w:bookmarkStart w:id="28" w:name="_Toc20176"/>
      <w:r>
        <w:rPr>
          <w:rFonts w:hint="eastAsia" w:ascii="仿宋" w:hAnsi="仿宋" w:eastAsia="仿宋" w:cs="仿宋"/>
          <w:sz w:val="24"/>
          <w:szCs w:val="24"/>
        </w:rPr>
        <w:t>管护设备明细表</w:t>
      </w:r>
      <w:bookmarkEnd w:id="28"/>
    </w:p>
    <w:tbl>
      <w:tblPr>
        <w:tblStyle w:val="9"/>
        <w:tblW w:w="9492" w:type="dxa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727"/>
        <w:gridCol w:w="3773"/>
        <w:gridCol w:w="938"/>
        <w:gridCol w:w="2274"/>
      </w:tblGrid>
      <w:tr w14:paraId="22BFB0FB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210B65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68235A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设备名称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F9E1171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主要技术参数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844821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4DCC1D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用途</w:t>
            </w:r>
          </w:p>
        </w:tc>
      </w:tr>
      <w:tr w14:paraId="621CAFAD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5A5B3F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CA0A8B1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茶树修剪机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8525FC6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单刃往复式，切割幅宽750mm，配套动力1E32F汽油机，功率0.7kW，作业效率0.8亩/h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01E7A7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10台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3AA8298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茶树修剪</w:t>
            </w:r>
          </w:p>
        </w:tc>
      </w:tr>
      <w:tr w14:paraId="53A0A96A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56A670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688E0A0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双人采茶修剪机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836161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双人操作，切割幅宽1000mm，汽油机动力，作业效率2亩/h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DB0E0A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467F4D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大宗茶采摘、茶园平整修剪</w:t>
            </w:r>
          </w:p>
        </w:tc>
      </w:tr>
      <w:tr w14:paraId="18453E5C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ECF33FD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C3FD5A1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微耕机（茶园专用）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155994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功率4.0kW，耕宽100cm，耕深15-25cm，汽油机动力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5B16F40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A4A4B36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茶园行间浅耕、中耕、松土</w:t>
            </w:r>
          </w:p>
        </w:tc>
      </w:tr>
      <w:tr w14:paraId="17AB76A5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57D00AD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D10A41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背负式割灌机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123072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排量42.7cc，功率1.5kW，割幅450mm，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BA2F76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7D8253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茶园边缘杂草灌木清除</w:t>
            </w:r>
          </w:p>
        </w:tc>
      </w:tr>
      <w:tr w14:paraId="4BD6D366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3B110E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A7A3F6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电动修枝剪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B8F51B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20V锂电，刀片长度200mm，剪切直径≤30mm，单电4.0Ah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60710E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20把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0D06F78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茶树精细修剪、疏枝</w:t>
            </w:r>
          </w:p>
        </w:tc>
      </w:tr>
      <w:tr w14:paraId="7BD4B0B7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80A9085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1DBC40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背负式喷雾器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18540D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20L容量，锂电池动力，额定流量1.2L/min，扬（射）程4-6m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8A6FD3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10台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08ABED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叶面施肥、病虫害防治</w:t>
            </w:r>
          </w:p>
        </w:tc>
      </w:tr>
      <w:tr w14:paraId="13F53D6E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D228C06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D86DE8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太阳能杀虫灯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6738A6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太阳能供电，LED光源波长365nm，覆盖面积15亩/台，配自动清虫功能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AFB079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20台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D742E2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茶园害虫物理防治</w:t>
            </w:r>
          </w:p>
        </w:tc>
      </w:tr>
      <w:tr w14:paraId="3E56D46A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D9B8BFA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A3AE515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茶园中耕除草机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C0DFA2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功率4.0kW，耕深5-15cm，耕宽40-60cm，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A6187D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B14751D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茶行间中耕除草</w:t>
            </w:r>
          </w:p>
        </w:tc>
      </w:tr>
      <w:tr w14:paraId="4E8DC369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3C38979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5FC972D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小型汽油抽水泵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7D34C3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流量80L/min，扬程30m，配套动力1.5kW汽油机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A8E99CC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5台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4BEB99F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茶园灌溉抽水</w:t>
            </w:r>
          </w:p>
        </w:tc>
      </w:tr>
      <w:tr w14:paraId="74AA0B0A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763117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C4C891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手动修枝剪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33AD69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刀片长度60mm，剪切直径≤15mm，总长200mm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69C084C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50把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869A29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日常精细修剪</w:t>
            </w:r>
          </w:p>
        </w:tc>
      </w:tr>
      <w:tr w14:paraId="138C51B9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02AF4F9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0366F5B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工具箱及配件</w:t>
            </w: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320C0AE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含扳手、螺丝刀、钳子、刀片等常用维修工具</w:t>
            </w: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94512B1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8套</w:t>
            </w: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46BD339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设备日常维护保养</w:t>
            </w:r>
          </w:p>
        </w:tc>
      </w:tr>
      <w:tr w14:paraId="17810FA3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E1F10F6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合计</w:t>
            </w:r>
          </w:p>
        </w:tc>
        <w:tc>
          <w:tcPr>
            <w:tcW w:w="1727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1F6C55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D3AF640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A353B52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0600AB3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273" w:lineRule="auto"/>
              <w:ind w:left="0" w:right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40BF8117">
      <w:bookmarkStart w:id="29" w:name="_GoBack"/>
      <w:bookmarkEnd w:id="29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392BF4"/>
    <w:multiLevelType w:val="singleLevel"/>
    <w:tmpl w:val="82392BF4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>
    <w:nsid w:val="A08CA846"/>
    <w:multiLevelType w:val="singleLevel"/>
    <w:tmpl w:val="A08CA846"/>
    <w:lvl w:ilvl="0" w:tentative="0">
      <w:start w:val="1"/>
      <w:numFmt w:val="decimal"/>
      <w:suff w:val="space"/>
      <w:lvlText w:val="4.%1"/>
      <w:lvlJc w:val="left"/>
      <w:pPr>
        <w:ind w:left="0" w:firstLine="0"/>
      </w:pPr>
      <w:rPr>
        <w:rFonts w:hint="default"/>
      </w:rPr>
    </w:lvl>
  </w:abstractNum>
  <w:abstractNum w:abstractNumId="2">
    <w:nsid w:val="A3517C92"/>
    <w:multiLevelType w:val="singleLevel"/>
    <w:tmpl w:val="A3517C92"/>
    <w:lvl w:ilvl="0" w:tentative="0">
      <w:start w:val="1"/>
      <w:numFmt w:val="decimal"/>
      <w:suff w:val="space"/>
      <w:lvlText w:val="4.3.%1"/>
      <w:lvlJc w:val="left"/>
      <w:pPr>
        <w:ind w:left="0" w:firstLine="0"/>
      </w:pPr>
      <w:rPr>
        <w:rFonts w:hint="default"/>
      </w:rPr>
    </w:lvl>
  </w:abstractNum>
  <w:abstractNum w:abstractNumId="3">
    <w:nsid w:val="AFE6245A"/>
    <w:multiLevelType w:val="singleLevel"/>
    <w:tmpl w:val="AFE6245A"/>
    <w:lvl w:ilvl="0" w:tentative="0">
      <w:start w:val="1"/>
      <w:numFmt w:val="decimal"/>
      <w:suff w:val="space"/>
      <w:lvlText w:val="4.5.%1"/>
      <w:lvlJc w:val="left"/>
      <w:pPr>
        <w:ind w:left="0" w:firstLine="0"/>
      </w:pPr>
      <w:rPr>
        <w:rFonts w:hint="default"/>
      </w:rPr>
    </w:lvl>
  </w:abstractNum>
  <w:abstractNum w:abstractNumId="4">
    <w:nsid w:val="B2B30BD6"/>
    <w:multiLevelType w:val="singleLevel"/>
    <w:tmpl w:val="B2B30BD6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5">
    <w:nsid w:val="CA2A7877"/>
    <w:multiLevelType w:val="singleLevel"/>
    <w:tmpl w:val="CA2A787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6">
    <w:nsid w:val="D61B20B0"/>
    <w:multiLevelType w:val="singleLevel"/>
    <w:tmpl w:val="D61B20B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7">
    <w:nsid w:val="DE7F0C2B"/>
    <w:multiLevelType w:val="singleLevel"/>
    <w:tmpl w:val="DE7F0C2B"/>
    <w:lvl w:ilvl="0" w:tentative="0">
      <w:start w:val="1"/>
      <w:numFmt w:val="decimal"/>
      <w:suff w:val="space"/>
      <w:lvlText w:val="5.%1"/>
      <w:lvlJc w:val="left"/>
      <w:pPr>
        <w:ind w:left="0" w:firstLine="0"/>
      </w:pPr>
      <w:rPr>
        <w:rFonts w:hint="default"/>
      </w:rPr>
    </w:lvl>
  </w:abstractNum>
  <w:abstractNum w:abstractNumId="8">
    <w:nsid w:val="F50BE4B7"/>
    <w:multiLevelType w:val="singleLevel"/>
    <w:tmpl w:val="F50BE4B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9">
    <w:nsid w:val="026EFF86"/>
    <w:multiLevelType w:val="singleLevel"/>
    <w:tmpl w:val="026EFF86"/>
    <w:lvl w:ilvl="0" w:tentative="0">
      <w:start w:val="1"/>
      <w:numFmt w:val="decimal"/>
      <w:suff w:val="space"/>
      <w:lvlText w:val="4.4.%1"/>
      <w:lvlJc w:val="left"/>
      <w:pPr>
        <w:ind w:left="0" w:firstLine="0"/>
      </w:pPr>
      <w:rPr>
        <w:rFonts w:hint="default"/>
      </w:rPr>
    </w:lvl>
  </w:abstractNum>
  <w:abstractNum w:abstractNumId="10">
    <w:nsid w:val="3CF208C6"/>
    <w:multiLevelType w:val="singleLevel"/>
    <w:tmpl w:val="3CF208C6"/>
    <w:lvl w:ilvl="0" w:tentative="0">
      <w:start w:val="1"/>
      <w:numFmt w:val="decimal"/>
      <w:suff w:val="space"/>
      <w:lvlText w:val="4.1.%1"/>
      <w:lvlJc w:val="left"/>
      <w:pPr>
        <w:ind w:left="0" w:firstLine="0"/>
      </w:pPr>
      <w:rPr>
        <w:rFonts w:hint="default"/>
      </w:rPr>
    </w:lvl>
  </w:abstractNum>
  <w:abstractNum w:abstractNumId="11">
    <w:nsid w:val="59520887"/>
    <w:multiLevelType w:val="singleLevel"/>
    <w:tmpl w:val="59520887"/>
    <w:lvl w:ilvl="0" w:tentative="0">
      <w:start w:val="1"/>
      <w:numFmt w:val="decimal"/>
      <w:suff w:val="space"/>
      <w:lvlText w:val="%1."/>
      <w:lvlJc w:val="left"/>
      <w:pPr>
        <w:ind w:left="-60" w:firstLine="480"/>
      </w:pPr>
      <w:rPr>
        <w:rFonts w:hint="default"/>
        <w:color w:val="auto"/>
      </w:rPr>
    </w:lvl>
  </w:abstractNum>
  <w:abstractNum w:abstractNumId="12">
    <w:nsid w:val="7D775AFD"/>
    <w:multiLevelType w:val="singleLevel"/>
    <w:tmpl w:val="7D775AFD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3">
    <w:nsid w:val="7DB23BC1"/>
    <w:multiLevelType w:val="singleLevel"/>
    <w:tmpl w:val="7DB23BC1"/>
    <w:lvl w:ilvl="0" w:tentative="0">
      <w:start w:val="1"/>
      <w:numFmt w:val="decimal"/>
      <w:suff w:val="space"/>
      <w:lvlText w:val="4.2.%1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13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12"/>
  </w:num>
  <w:num w:numId="11">
    <w:abstractNumId w:val="3"/>
  </w:num>
  <w:num w:numId="12">
    <w:abstractNumId w:val="0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2C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4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5">
    <w:name w:val="heading 2"/>
    <w:basedOn w:val="1"/>
    <w:next w:val="1"/>
    <w:qFormat/>
    <w:uiPriority w:val="0"/>
    <w:pPr>
      <w:keepNext/>
      <w:spacing w:line="600" w:lineRule="exact"/>
      <w:outlineLvl w:val="1"/>
    </w:pPr>
    <w:rPr>
      <w:rFonts w:ascii="宋体" w:hAnsi="宋体"/>
      <w:b/>
      <w:color w:val="000000"/>
      <w:sz w:val="24"/>
    </w:rPr>
  </w:style>
  <w:style w:type="paragraph" w:styleId="6">
    <w:name w:val="heading 3"/>
    <w:next w:val="1"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styleId="3">
    <w:name w:val="toc 4"/>
    <w:basedOn w:val="1"/>
    <w:next w:val="1"/>
    <w:qFormat/>
    <w:uiPriority w:val="0"/>
    <w:pPr>
      <w:tabs>
        <w:tab w:val="right" w:leader="dot" w:pos="9060"/>
      </w:tabs>
      <w:ind w:left="420" w:leftChars="200"/>
    </w:pPr>
  </w:style>
  <w:style w:type="paragraph" w:styleId="7">
    <w:name w:val="Body Text"/>
    <w:basedOn w:val="1"/>
    <w:next w:val="8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toc 2"/>
    <w:basedOn w:val="1"/>
    <w:next w:val="1"/>
    <w:qFormat/>
    <w:uiPriority w:val="39"/>
    <w:pPr>
      <w:keepLines/>
      <w:widowControl/>
      <w:tabs>
        <w:tab w:val="left" w:pos="735"/>
        <w:tab w:val="right" w:leader="dot" w:pos="8958"/>
        <w:tab w:val="right" w:leader="dot" w:pos="9380"/>
      </w:tabs>
      <w:ind w:left="130" w:leftChars="130" w:firstLine="0" w:firstLineChars="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2026-06-26T10:41:49Z</dcterms:created>
  <dc:creator>江小花</dc:creator>
  <cp:lastModifiedBy>江小花</cp:lastModifiedBy>
  <dcterms:modified xsi:type="dcterms:W3CDTF">2026-06-26T10:42:12Z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eyJoZGlkIjoiNjNiZGNhYTJmOGY3MDhjYzhhYTI2Mjc0NTBhODEzODYiLCJ1c2VySWQiOiIxMjY1MTc4OTA3In0=</vt:lpwstr>
  </property>
  <property fmtid="{D5CDD505-2E9C-101B-9397-08002B2CF9AE}" pid="4" name="ICV">
    <vt:lpwstr>C7A3859FB0304531AAF6FDDDB462820C_12</vt:lpwstr>
  </property>
</Properties>
</file>