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版本号：SXGL-ZFCG-2026-11号20260529001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铜川新材料产业园区总体发展规划（2025-2035年）环境影响报告采购项目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SXGL-ZFCG-2026-11号</w:t>
      </w:r>
      <w:r>
        <w:br/>
      </w:r>
      <w:r>
        <w:br/>
      </w:r>
      <w:r>
        <w:br/>
      </w:r>
    </w:p>
    <w:p>
      <w:pPr>
        <w:pStyle w:val="null3"/>
        <w:jc w:val="center"/>
        <w:outlineLvl w:val="2"/>
      </w:pPr>
      <w:r>
        <w:rPr>
          <w:rFonts w:ascii="仿宋_GB2312" w:hAnsi="仿宋_GB2312" w:cs="仿宋_GB2312" w:eastAsia="仿宋_GB2312"/>
          <w:sz w:val="28"/>
          <w:b/>
        </w:rPr>
        <w:t>铜川新材料产业园区管理委员会</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铜川新材料产业园区管理委员会</w:t>
      </w:r>
      <w:r>
        <w:rPr>
          <w:rFonts w:ascii="仿宋_GB2312" w:hAnsi="仿宋_GB2312" w:cs="仿宋_GB2312" w:eastAsia="仿宋_GB2312"/>
        </w:rPr>
        <w:t>委托，拟对</w:t>
      </w:r>
      <w:r>
        <w:rPr>
          <w:rFonts w:ascii="仿宋_GB2312" w:hAnsi="仿宋_GB2312" w:cs="仿宋_GB2312" w:eastAsia="仿宋_GB2312"/>
        </w:rPr>
        <w:t>铜川新材料产业园区总体发展规划（2025-2035年）环境影响报告采购项目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SXGL-ZFCG-2026-11号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铜川新材料产业园区总体发展规划（2025-2035年）环境影响报告采购项目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铜川新材料产业园区总体发展规划（2025-2035年）环境影响报告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采购包1（铜川新材料产业园区总体发展规划（2025-2035年）环境影响报告采购项目）：属于专门面向中小企业采购。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1）或提供（2）：（1）提供2024年度财务报告复印件，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3、税收缴纳证明：提供2025年6月至今任意1个月已缴纳的纳税证明或完税证明（成立未满1个月的单位提供相关证明和材料），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6月至今任意1个月已缴纳的社会保障资金缴存单据或社保机构开具的社会保险参保缴费情况证明（成立未满1个月的单位提供相关证明和材料），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5、信用查询：供应商不得列入“信用中国(www.creditchina.gov.cn)”中失信被执行人和重大税收违法案件当事人名单，不得为“中国政府采购网(www.ccgp.gov.cn)” 政府采购严重违法失信行为记录名单中被财政部门禁止参加政府采购活动的提供平台截图并加盖公章。供应商需在项目电子化交易系统中按要求上传相应证明文件并进行电子签章。</w:t>
      </w:r>
    </w:p>
    <w:p>
      <w:pPr>
        <w:pStyle w:val="null3"/>
      </w:pPr>
      <w:r>
        <w:rPr>
          <w:rFonts w:ascii="仿宋_GB2312" w:hAnsi="仿宋_GB2312" w:cs="仿宋_GB2312" w:eastAsia="仿宋_GB2312"/>
        </w:rPr>
        <w:t>6、设备和专业技术能力承诺：具有履行合同所必需的设备和专业技术能力，提供证明材料或书面承诺并加盖公章。</w:t>
      </w:r>
    </w:p>
    <w:p>
      <w:pPr>
        <w:pStyle w:val="null3"/>
      </w:pPr>
      <w:r>
        <w:rPr>
          <w:rFonts w:ascii="仿宋_GB2312" w:hAnsi="仿宋_GB2312" w:cs="仿宋_GB2312" w:eastAsia="仿宋_GB2312"/>
        </w:rPr>
        <w:t>7、无重大违法记录声明：参加政府采购活动近三年内，在经营活动中没有重大违法记录，提供书面声明并加盖公章。</w:t>
      </w:r>
    </w:p>
    <w:p>
      <w:pPr>
        <w:pStyle w:val="null3"/>
      </w:pPr>
      <w:r>
        <w:rPr>
          <w:rFonts w:ascii="仿宋_GB2312" w:hAnsi="仿宋_GB2312" w:cs="仿宋_GB2312" w:eastAsia="仿宋_GB2312"/>
        </w:rPr>
        <w:t>8、资格要求：供应商须为生态环境部环境影响评价信用平台注册的企业；至递交截止时间，投标人当前状态须为守信名单或正常公开（http://xypt.china-eia.com:8080/XYPT/提供平台截图）并加盖公章。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铜川新材料产业园区管理委员会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陕西省铜川市耀州区坡头街道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0919-3586029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13359195803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代理服务费收费标准：招标代理服务费依据国家发展计划委员会计价格（2002）1980号文件和国家发展改革委发改价格[2011]534号文件规定按标收费额的80%计取；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铜川新材料产业园区管理委员会</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铜川新材料产业园区管理委员会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铜川新材料产业园区管理委员会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供应商提出验收申请之日起3日内组织验收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地址：铜川市新区鸿翔逸境北门向东119号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铜川新材料产业园区总体发展规划（2025-2035年）环境影响报告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铜川新材料产业园区总体发展规划（2025-2035年） 环境影响报告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标的名称：铜川新材料产业园区总体发展规划（2025-2035年） 环境影响报告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8"/>
              </w:rPr>
              <w:t>根据《铜川新材料产业园区总体发展规划（</w:t>
            </w:r>
            <w:r>
              <w:rPr>
                <w:rFonts w:ascii="仿宋_GB2312" w:hAnsi="仿宋_GB2312" w:cs="仿宋_GB2312" w:eastAsia="仿宋_GB2312"/>
                <w:sz w:val="18"/>
              </w:rPr>
              <w:t>2025-2035年）》开展铜川新材料产业园区总体发展规划（2025-2035年）环境影响评价工作，分析铜川新材料产业园区总体规划与生态环境相关法律、法规、政策的相符性，构建环境影响识别与评价指标体系，依据《规划环境影响评价技术导则总纲》编制《铜川新材料产业园区总体发展规划（2025-2035年）环境影响报告书》并报审，取得生态环境审批部门审查意见并配合相关评审、修改与汇报工作。</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1）规划实施情况调查：主要是对上一轮规划实施的进展情况、规划实施的各项经济指标、环境指标回顾性调查、上一轮规划环评及审查意见落实情况和环境保护措施的效果等内容的调查；</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2）现状调查：开展资源利用和生态环境现状调查，明确评价区域资源利用水平和生态功能、环境质量现状、污染物排放状况，分析主要生态环境问题及成因，梳理规划实施的资源、生态、环境制约因素；</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3）规划分析：明确可能对生态环境造成影响的规划内容，并明确规划与相关法律、法规、政策的相符性，以及规划在空间布局、资源保护与利用、生态环境保护等方面的冲突和矛盾；分析与相关法律、法规、政策、上层规划、同位规划、区域“三线一单”管控要求的符合性；</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4）环境影响识别与评价指标体系构建：识别规划实施可能产生的资源、生态、环境影响，初步判断影响的性质、范围和程度，确定评价重点，明确环境目标，建立评价的指标体系；</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5）环境影响预测与评价：主要针对环境影响识别出的资源、生态、环境要素，开展多情景的影响预测与评价；</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6）规划方案综合论证和优化调整建议：以改善环境质量和保障生态安全为核心，综合环境影响预测与评价结果，论证规划目标、规模、布局、结构等规划内容的环境合理性以及评价设定的环境目标的可达性，分析判定规划实施的重大资源、生态、环境制约的程度、范围、方式等，提出规划方案的优化调整建议并推荐环境可行的规划方案。如果规划方案优化调整后资源、生态、环境仍难以承载，不能满足资源利用上线和环境质量底线要求，提出规划方案的重大调整建议。</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7）环境影响减缓对策与措施：针对评价推荐的规划方案实施可能产生的不良环境影响，在充分评估规划方案中已明确的污染防治、生态保护、资源能源增效等相关措施的基础上，提出的环境保护方案和管控要求。</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8）规划所包含建设项目环评要求、环境影响跟踪评价计划、公众参与和会商意见处理；</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9）报告编制。</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10）完成审批。</w:t>
            </w:r>
          </w:p>
          <w:p>
            <w:pPr>
              <w:pStyle w:val="null3"/>
              <w:ind w:firstLine="643"/>
              <w:jc w:val="both"/>
            </w:pPr>
            <w:r>
              <w:rPr>
                <w:rFonts w:ascii="仿宋_GB2312" w:hAnsi="仿宋_GB2312" w:cs="仿宋_GB2312" w:eastAsia="仿宋_GB2312"/>
                <w:sz w:val="18"/>
                <w:b/>
              </w:rPr>
              <w:t>成果要求：</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1）评价程序需符合国家有关规定要求；</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2）通过行政主管部门或评审评估机构的技术审查，并取得审查意见。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项目负责人1名;其他人员按需分配.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供应商按需自行配备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进度款，一轮公示完成 ，达到付款条件起，达到付款条件起7个工作日内，支付合同总金额的30.0%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进度款，评审验收合格后，达到付款条件起，达到付款条件起7个工作日内，支付合同总金额的30.0%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进度款，批复完成后 ，达到付款条件起，达到付款条件起1个工作日内，支付合同总金额的30.0%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进度款，一年合同满后，达到付款条件起，达到付款条件起1个工作日内，支付合同总金额的10.0%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1、本项目最高限价为680000.00元，各供应商在报价时不得高于此报价。 2、为顺利推进政府采购电子化交易平台应用工作，供应商需要在线提交所有通过电子化交易平台实施的政府采购项目的竞争性磋商响应文件，同时，于开标前线下提交生成带电子签章的竞争性磋商响应文件纸质版至 陕西省铜川市耀州区陕西省铜川市新区朝阳路鸿翔逸境1号楼1-4层商业区三楼304室，响应文件正本一份，副本一份。竞争性磋商响应文件纸质版正本、副本与电子版一同密封，且在封袋正面标明“竞争性磋商响应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2024年度财务报告复印件，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1个月已缴纳的纳税证明或完税证明（成立未满1个月的单位提供相关证明和材料），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1个月已缴纳的社会保障资金缴存单据或社保机构开具的社会保险参保缴费情况证明（成立未满1个月的单位提供相关证明和材料），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供应商不得列入“信用中国(www.creditchina.gov.cn)”中失信被执行人和重大税收违法案件当事人名单，不得为“中国政府采购网(www.ccgp.gov.cn)” 政府采购严重违法失信行为记录名单中被财政部门禁止参加政府采购活动的提供平台截图并加盖公章。供应商需在项目电子化交易系统中按要求上传相应证明文件并进行电子签章。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供应商须为生态环境部环境影响评价信用平台注册的企业；至递交截止时间，投标人当前状态须为守信名单或正常公开（http://xypt.china-eia.com:8080/XYPT/提供平台截图）并加盖公章。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完全满足磋商文件文件格式要求签字盖章</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报价表 响应文件封面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不论其大写或小写金额均只能有一个有效报价，且未超过最高限价。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需满足磋商文件要求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提供2023年以来类似项目业绩合同（以合同签订时间为准），每份计1分，满分3分。（注：以上证明文件在磋商响应文件中附业绩合同扫描件并加盖公司公章。）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1、项目背景及需求分析内容包括①项目需求分析；②项目背景分析；③政策的把握。2、方案全面、切合本项目实际情况、步骤清晰、合理，操作性强，方案能够紧扣项目实际情况，内容科学合理。3、共三条每条完全满足评审标准得4分，每条评审内容存在缺陷，扣0.1-2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针对本项目制定详细的环境影响评价方案</w:t>
            </w:r>
          </w:p>
        </w:tc>
        <w:tc>
          <w:tcPr>
            <w:tcW w:type="dxa" w:w="2492"/>
          </w:tcPr>
          <w:p>
            <w:pPr>
              <w:pStyle w:val="null3"/>
            </w:pPr>
            <w:r>
              <w:rPr>
                <w:rFonts w:ascii="仿宋_GB2312" w:hAnsi="仿宋_GB2312" w:cs="仿宋_GB2312" w:eastAsia="仿宋_GB2312"/>
              </w:rPr>
              <w:t>1、针对本项目制定详细的环境影响评价方案，内容包含①服务内容；②服务措施；③服务目标；④项目实施的重要性及必要性；⑤预期目标。2、方案全面、切合本项目实际情况、步骤清晰、合理，操作性强，方案能够紧扣项目实际情况，内容科学合理。3、共五条每条完全满足评审标准得3分，每条评审内容存在缺陷，扣0.1-1.5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承担本项⽬的项⽬负责⼈具备环境影响评价⼯程师资格，具有⾼级⼯程师职称或同等职称的，得3分，具有中级⼯程师或同等职称的得2分，其他不得分。注：需提供⼈员职称证书、环境影响评价工程师证书及在本单位缴纳的社保证明，并加盖公章。 拟派团队成员（项⽬负责⼈除外）提供具有相关专业⼯程师技术职称证书和环境影响评价⼯程师证书，每提供1⼈得1分，最⾼得5分。注：需提供⼈员职称证书、环境影响评价工程师证书及在本单位缴纳的社保证明，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1、项目团队配置①组织机构设置方案；②团队的职能分工及职责划分方案；③人员奖惩考核制度；④资料管理保障措施；⑤安全、保密保障措施。 2、方案全面、切合本项目实际情况、步骤清晰、合理，操作性强，方案能够紧扣项目实际情况，内容科学合理。3、共五条每条完全满足评审标准得2分，每条评审内容存在缺陷，扣0.1-1.0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服务质量管理方案</w:t>
            </w:r>
          </w:p>
        </w:tc>
        <w:tc>
          <w:tcPr>
            <w:tcW w:type="dxa" w:w="2492"/>
          </w:tcPr>
          <w:p>
            <w:pPr>
              <w:pStyle w:val="null3"/>
            </w:pPr>
            <w:r>
              <w:rPr>
                <w:rFonts w:ascii="仿宋_GB2312" w:hAnsi="仿宋_GB2312" w:cs="仿宋_GB2312" w:eastAsia="仿宋_GB2312"/>
              </w:rPr>
              <w:t>1、服务质量管理方案包含① 质量保障目标；②主要的质量控制点；③质量保障体系及措施；④成果内容及交付标准。2、方案全面、切合本项目实际情况、步骤清晰、合理，操作性强，方案能够紧扣项目实际情况，内容科学合理。3、共四条每条完全满足评审标准得3分，每条评审内容存在缺陷，扣0.1-1.5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1、实施进度安排合理，能够在承诺的时间内完成服务，进度保证措施包含①进度计划安排；②项目进度保障措施；③工作方法和工作流程；④拟投设备仪器清单。2、方案全面、切合本项目实际情况、步骤清晰、合理，操作性强，方案能够紧扣项目实际情况，内容科学合理。3、共四条每条完全满足评审标准得3分，每条评审内容存在缺陷，扣0.1-1.5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根据提供的：①项目现状分析；②重点、难点阐述；③解决方案；④技术实力保障等内容进行综合评审；2、方案全面、切合本项目实际情况、步骤清晰、合理，操作性强，方案能够紧扣项目实际情况，内容科学合理。3、共四条每条完全满足评审标准得3分，每条评审内容存在缺陷，扣0.1-1.5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根据提供的：①完全承诺磋商文件和合同条款的要求②对成果交付时间内质量、人员到位情况承诺③后期服务的响应时间及配合程度等做出实质性承诺（内容应当包含不能完全履行承诺时愿意接受相关处罚的相关承诺）。2、共三条每条承诺得2分，共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价格分采用低价优先法计算，即满足磋商文件要求且最后报价最低的价格为磋商基准价，其价格分为满分。其他价格分统一按照下列公式计算：磋商报价得分=（磋商基准价/最后磋商报价）×价格权重（10%）×100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详见附件：环评委托合同.docx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