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315DE">
      <w:pPr>
        <w:tabs>
          <w:tab w:val="left" w:pos="5460"/>
        </w:tabs>
        <w:autoSpaceDE w:val="0"/>
        <w:autoSpaceDN w:val="0"/>
        <w:adjustRightInd w:val="0"/>
        <w:snapToGrid w:val="0"/>
        <w:spacing w:line="480" w:lineRule="auto"/>
        <w:jc w:val="center"/>
        <w:rPr>
          <w:rFonts w:hint="eastAsia" w:ascii="宋体" w:hAnsi="宋体" w:eastAsia="宋体" w:cs="宋体"/>
          <w:b/>
          <w:bCs/>
          <w:color w:val="auto"/>
          <w:sz w:val="32"/>
          <w:szCs w:val="30"/>
          <w:highlight w:val="none"/>
          <w:lang w:val="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sectPr>
      </w:pPr>
      <w:r>
        <w:rPr>
          <w:rFonts w:hint="eastAsia" w:ascii="宋体" w:hAnsi="宋体" w:eastAsia="宋体" w:cs="宋体"/>
          <w:b/>
          <w:bCs/>
          <w:color w:val="auto"/>
          <w:sz w:val="32"/>
          <w:szCs w:val="30"/>
          <w:highlight w:val="none"/>
          <w:lang w:val="zh-CN"/>
        </w:rPr>
        <w:drawing>
          <wp:anchor distT="0" distB="0" distL="114300" distR="114300" simplePos="0" relativeHeight="251659264" behindDoc="0" locked="0" layoutInCell="1" allowOverlap="1">
            <wp:simplePos x="0" y="0"/>
            <wp:positionH relativeFrom="column">
              <wp:posOffset>-848995</wp:posOffset>
            </wp:positionH>
            <wp:positionV relativeFrom="paragraph">
              <wp:posOffset>-1038225</wp:posOffset>
            </wp:positionV>
            <wp:extent cx="7721600" cy="10915650"/>
            <wp:effectExtent l="0" t="0" r="12700" b="0"/>
            <wp:wrapNone/>
            <wp:docPr id="1" name="图片 1" descr="SKM_C2662607191342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KM_C26626071913420_01"/>
                    <pic:cNvPicPr>
                      <a:picLocks noChangeAspect="1"/>
                    </pic:cNvPicPr>
                  </pic:nvPicPr>
                  <pic:blipFill>
                    <a:blip r:embed="rId10"/>
                    <a:stretch>
                      <a:fillRect/>
                    </a:stretch>
                  </pic:blipFill>
                  <pic:spPr>
                    <a:xfrm>
                      <a:off x="0" y="0"/>
                      <a:ext cx="7721600" cy="10915650"/>
                    </a:xfrm>
                    <a:prstGeom prst="rect">
                      <a:avLst/>
                    </a:prstGeom>
                  </pic:spPr>
                </pic:pic>
              </a:graphicData>
            </a:graphic>
          </wp:anchor>
        </w:drawing>
      </w:r>
    </w:p>
    <w:p w14:paraId="293A0CC1">
      <w:pPr>
        <w:rPr>
          <w:rFonts w:hint="eastAsia" w:ascii="宋体" w:hAnsi="宋体" w:eastAsia="宋体" w:cs="宋体"/>
          <w:color w:val="auto"/>
          <w:highlight w:val="none"/>
          <w:lang w:val="zh-CN"/>
        </w:rPr>
      </w:pPr>
    </w:p>
    <w:p w14:paraId="4CF15572">
      <w:pPr>
        <w:tabs>
          <w:tab w:val="left" w:pos="5460"/>
        </w:tabs>
        <w:autoSpaceDE w:val="0"/>
        <w:autoSpaceDN w:val="0"/>
        <w:adjustRightInd w:val="0"/>
        <w:snapToGrid w:val="0"/>
        <w:spacing w:line="360" w:lineRule="auto"/>
        <w:jc w:val="center"/>
        <w:rPr>
          <w:rFonts w:hint="eastAsia" w:ascii="宋体" w:hAnsi="宋体" w:eastAsia="宋体" w:cs="宋体"/>
          <w:b/>
          <w:bCs/>
          <w:color w:val="auto"/>
          <w:kern w:val="44"/>
          <w:sz w:val="44"/>
          <w:szCs w:val="44"/>
          <w:highlight w:val="none"/>
          <w:lang w:val="zh-CN"/>
        </w:rPr>
      </w:pPr>
      <w:r>
        <w:rPr>
          <w:rFonts w:hint="eastAsia" w:ascii="宋体" w:hAnsi="宋体" w:eastAsia="宋体" w:cs="宋体"/>
          <w:b/>
          <w:bCs/>
          <w:color w:val="auto"/>
          <w:kern w:val="44"/>
          <w:sz w:val="44"/>
          <w:szCs w:val="44"/>
          <w:highlight w:val="none"/>
          <w:lang w:val="zh-CN"/>
        </w:rPr>
        <w:t>温馨提示</w:t>
      </w:r>
    </w:p>
    <w:p w14:paraId="0CEF959E">
      <w:pPr>
        <w:spacing w:line="480" w:lineRule="auto"/>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1、请您仔细阅读</w:t>
      </w:r>
      <w:r>
        <w:rPr>
          <w:rFonts w:hint="eastAsia" w:ascii="宋体" w:hAnsi="宋体" w:eastAsia="宋体" w:cs="宋体"/>
          <w:color w:val="auto"/>
          <w:sz w:val="24"/>
          <w:szCs w:val="36"/>
          <w:highlight w:val="none"/>
          <w:lang w:eastAsia="zh-CN"/>
        </w:rPr>
        <w:t>谈判</w:t>
      </w:r>
      <w:r>
        <w:rPr>
          <w:rFonts w:hint="eastAsia" w:ascii="宋体" w:hAnsi="宋体" w:eastAsia="宋体" w:cs="宋体"/>
          <w:color w:val="auto"/>
          <w:sz w:val="24"/>
          <w:szCs w:val="36"/>
          <w:highlight w:val="none"/>
        </w:rPr>
        <w:t>文件并正确理解</w:t>
      </w:r>
      <w:r>
        <w:rPr>
          <w:rFonts w:hint="eastAsia" w:ascii="宋体" w:hAnsi="宋体" w:eastAsia="宋体" w:cs="宋体"/>
          <w:color w:val="auto"/>
          <w:sz w:val="24"/>
          <w:szCs w:val="36"/>
          <w:highlight w:val="none"/>
          <w:lang w:eastAsia="zh-CN"/>
        </w:rPr>
        <w:t>谈判</w:t>
      </w:r>
      <w:r>
        <w:rPr>
          <w:rFonts w:hint="eastAsia" w:ascii="宋体" w:hAnsi="宋体" w:eastAsia="宋体" w:cs="宋体"/>
          <w:color w:val="auto"/>
          <w:sz w:val="24"/>
          <w:szCs w:val="36"/>
          <w:highlight w:val="none"/>
        </w:rPr>
        <w:t>文件中各项具体要求。</w:t>
      </w:r>
    </w:p>
    <w:p w14:paraId="7A9BB189">
      <w:pPr>
        <w:spacing w:line="480" w:lineRule="auto"/>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lang w:val="en-US" w:eastAsia="zh-CN"/>
        </w:rPr>
        <w:t>2、本项目采用电子化投标方式谈判，供应商须使用数字认证证书（CA锁）对电子谈判响应文件进行签章、加密、递交、开标时解密及二次报价等相关事宜。开标时供应商须携带数字认证证书（CA锁），如因供应商自身原因未携带数字认证证书（CA锁）造成无法解密谈判响应文件，按无效投标对待。</w:t>
      </w:r>
    </w:p>
    <w:p w14:paraId="56BE861F">
      <w:pPr>
        <w:spacing w:line="480" w:lineRule="auto"/>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lang w:val="en-US" w:eastAsia="zh-CN"/>
        </w:rPr>
        <w:t>3</w:t>
      </w:r>
      <w:r>
        <w:rPr>
          <w:rFonts w:hint="eastAsia" w:ascii="宋体" w:hAnsi="宋体" w:eastAsia="宋体" w:cs="宋体"/>
          <w:color w:val="auto"/>
          <w:sz w:val="24"/>
          <w:szCs w:val="36"/>
          <w:highlight w:val="none"/>
        </w:rPr>
        <w:t>、请您确保</w:t>
      </w:r>
      <w:r>
        <w:rPr>
          <w:rFonts w:hint="eastAsia" w:ascii="宋体" w:hAnsi="宋体" w:eastAsia="宋体" w:cs="宋体"/>
          <w:color w:val="auto"/>
          <w:sz w:val="24"/>
          <w:szCs w:val="36"/>
          <w:highlight w:val="none"/>
          <w:lang w:eastAsia="zh-CN"/>
        </w:rPr>
        <w:t>谈判</w:t>
      </w:r>
      <w:r>
        <w:rPr>
          <w:rFonts w:hint="eastAsia" w:ascii="宋体" w:hAnsi="宋体" w:eastAsia="宋体" w:cs="宋体"/>
          <w:color w:val="auto"/>
          <w:sz w:val="24"/>
          <w:szCs w:val="36"/>
          <w:highlight w:val="none"/>
        </w:rPr>
        <w:t>保证金凭证已办理。</w:t>
      </w:r>
    </w:p>
    <w:p w14:paraId="22C76B54">
      <w:pPr>
        <w:spacing w:line="480" w:lineRule="auto"/>
        <w:rPr>
          <w:rFonts w:hint="eastAsia" w:ascii="宋体" w:hAnsi="宋体" w:eastAsia="宋体" w:cs="宋体"/>
          <w:color w:val="auto"/>
          <w:sz w:val="24"/>
          <w:szCs w:val="36"/>
          <w:highlight w:val="none"/>
          <w:lang w:eastAsia="zh-CN"/>
        </w:rPr>
      </w:pPr>
      <w:r>
        <w:rPr>
          <w:rFonts w:hint="eastAsia" w:ascii="宋体" w:hAnsi="宋体" w:eastAsia="宋体" w:cs="宋体"/>
          <w:color w:val="auto"/>
          <w:sz w:val="24"/>
          <w:szCs w:val="36"/>
          <w:highlight w:val="none"/>
          <w:lang w:val="en-US" w:eastAsia="zh-CN"/>
        </w:rPr>
        <w:t>4</w:t>
      </w:r>
      <w:r>
        <w:rPr>
          <w:rFonts w:hint="eastAsia" w:ascii="宋体" w:hAnsi="宋体" w:eastAsia="宋体" w:cs="宋体"/>
          <w:color w:val="auto"/>
          <w:sz w:val="24"/>
          <w:szCs w:val="36"/>
          <w:highlight w:val="none"/>
        </w:rPr>
        <w:t>、请您严格按照</w:t>
      </w:r>
      <w:r>
        <w:rPr>
          <w:rFonts w:hint="eastAsia" w:ascii="宋体" w:hAnsi="宋体" w:eastAsia="宋体" w:cs="宋体"/>
          <w:color w:val="auto"/>
          <w:sz w:val="24"/>
          <w:szCs w:val="36"/>
          <w:highlight w:val="none"/>
          <w:lang w:eastAsia="zh-CN"/>
        </w:rPr>
        <w:t>谈判时间按时参加</w:t>
      </w:r>
      <w:r>
        <w:rPr>
          <w:rFonts w:hint="eastAsia" w:ascii="宋体" w:hAnsi="宋体" w:eastAsia="宋体" w:cs="宋体"/>
          <w:color w:val="auto"/>
          <w:sz w:val="24"/>
          <w:szCs w:val="36"/>
          <w:highlight w:val="none"/>
          <w:lang w:val="en-US" w:eastAsia="zh-CN"/>
        </w:rPr>
        <w:t>线上</w:t>
      </w:r>
      <w:r>
        <w:rPr>
          <w:rFonts w:hint="eastAsia" w:ascii="宋体" w:hAnsi="宋体" w:eastAsia="宋体" w:cs="宋体"/>
          <w:color w:val="auto"/>
          <w:sz w:val="24"/>
          <w:szCs w:val="36"/>
          <w:highlight w:val="none"/>
          <w:lang w:eastAsia="zh-CN"/>
        </w:rPr>
        <w:t>谈判会议。</w:t>
      </w:r>
    </w:p>
    <w:p w14:paraId="0B20BBC3">
      <w:pPr>
        <w:spacing w:line="480" w:lineRule="auto"/>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lang w:val="en-US" w:eastAsia="zh-CN"/>
        </w:rPr>
        <w:t>5</w:t>
      </w:r>
      <w:r>
        <w:rPr>
          <w:rFonts w:hint="eastAsia" w:ascii="宋体" w:hAnsi="宋体" w:eastAsia="宋体" w:cs="宋体"/>
          <w:color w:val="auto"/>
          <w:sz w:val="24"/>
          <w:szCs w:val="36"/>
          <w:highlight w:val="none"/>
        </w:rPr>
        <w:t>、咨询其他问题，请与我们的工作人员联系，竭诚为您服务。</w:t>
      </w:r>
    </w:p>
    <w:p w14:paraId="62D78ADA">
      <w:pPr>
        <w:spacing w:line="480" w:lineRule="auto"/>
        <w:ind w:firstLine="120" w:firstLineChars="50"/>
        <w:rPr>
          <w:rFonts w:hint="eastAsia" w:ascii="宋体" w:hAnsi="宋体" w:eastAsia="宋体" w:cs="宋体"/>
          <w:color w:val="auto"/>
          <w:sz w:val="24"/>
          <w:szCs w:val="36"/>
          <w:highlight w:val="none"/>
        </w:rPr>
      </w:pPr>
    </w:p>
    <w:p w14:paraId="5EE5362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36"/>
          <w:highlight w:val="none"/>
          <w:lang w:eastAsia="zh-CN"/>
        </w:rPr>
      </w:pPr>
      <w:r>
        <w:rPr>
          <w:rFonts w:hint="eastAsia" w:ascii="宋体" w:hAnsi="宋体" w:eastAsia="宋体" w:cs="宋体"/>
          <w:color w:val="auto"/>
          <w:sz w:val="24"/>
          <w:szCs w:val="36"/>
          <w:highlight w:val="none"/>
        </w:rPr>
        <w:t>代理机构：</w:t>
      </w:r>
      <w:r>
        <w:rPr>
          <w:rFonts w:hint="eastAsia" w:ascii="宋体" w:hAnsi="宋体" w:cs="宋体"/>
          <w:color w:val="auto"/>
          <w:sz w:val="24"/>
          <w:szCs w:val="36"/>
          <w:highlight w:val="none"/>
          <w:lang w:eastAsia="zh-CN"/>
        </w:rPr>
        <w:t>陕西紫方乔项目管理有限公司</w:t>
      </w:r>
      <w:r>
        <w:rPr>
          <w:rFonts w:hint="eastAsia" w:ascii="宋体" w:hAnsi="宋体" w:eastAsia="宋体" w:cs="宋体"/>
          <w:color w:val="auto"/>
          <w:sz w:val="24"/>
          <w:szCs w:val="36"/>
          <w:highlight w:val="none"/>
          <w:lang w:eastAsia="zh-CN"/>
        </w:rPr>
        <w:t xml:space="preserve"> </w:t>
      </w:r>
    </w:p>
    <w:p w14:paraId="51F9C75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36"/>
          <w:highlight w:val="none"/>
          <w:lang w:val="en-US" w:eastAsia="zh-CN"/>
        </w:rPr>
      </w:pPr>
      <w:r>
        <w:rPr>
          <w:rFonts w:hint="eastAsia" w:ascii="宋体" w:hAnsi="宋体" w:eastAsia="宋体" w:cs="宋体"/>
          <w:color w:val="auto"/>
          <w:sz w:val="24"/>
          <w:szCs w:val="36"/>
          <w:highlight w:val="none"/>
        </w:rPr>
        <w:t>地　　址：</w:t>
      </w:r>
      <w:r>
        <w:rPr>
          <w:rFonts w:hint="eastAsia" w:ascii="宋体" w:hAnsi="宋体" w:cs="宋体"/>
          <w:color w:val="auto"/>
          <w:sz w:val="24"/>
          <w:szCs w:val="36"/>
          <w:highlight w:val="none"/>
          <w:lang w:val="en-US" w:eastAsia="zh-CN"/>
        </w:rPr>
        <w:t>陕西省西安市长安区长安双创中心A座9层HD-CA-A698</w:t>
      </w:r>
    </w:p>
    <w:p w14:paraId="01D493E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联系</w:t>
      </w:r>
      <w:r>
        <w:rPr>
          <w:rFonts w:hint="eastAsia" w:ascii="宋体" w:hAnsi="宋体" w:eastAsia="宋体" w:cs="宋体"/>
          <w:color w:val="auto"/>
          <w:sz w:val="24"/>
          <w:szCs w:val="36"/>
          <w:highlight w:val="none"/>
          <w:lang w:eastAsia="zh-CN"/>
        </w:rPr>
        <w:t>人</w:t>
      </w:r>
      <w:r>
        <w:rPr>
          <w:rFonts w:hint="eastAsia" w:ascii="宋体" w:hAnsi="宋体" w:eastAsia="宋体" w:cs="宋体"/>
          <w:color w:val="auto"/>
          <w:sz w:val="24"/>
          <w:szCs w:val="36"/>
          <w:highlight w:val="none"/>
        </w:rPr>
        <w:t>：</w:t>
      </w:r>
      <w:r>
        <w:rPr>
          <w:rFonts w:hint="eastAsia" w:ascii="宋体" w:hAnsi="宋体" w:cs="宋体"/>
          <w:color w:val="auto"/>
          <w:sz w:val="24"/>
          <w:szCs w:val="36"/>
          <w:highlight w:val="none"/>
          <w:lang w:val="en-US" w:eastAsia="zh-CN"/>
        </w:rPr>
        <w:t>李静乔</w:t>
      </w:r>
      <w:r>
        <w:rPr>
          <w:rFonts w:hint="eastAsia" w:ascii="宋体" w:hAnsi="宋体" w:eastAsia="宋体" w:cs="宋体"/>
          <w:color w:val="auto"/>
          <w:sz w:val="24"/>
          <w:szCs w:val="36"/>
          <w:highlight w:val="none"/>
          <w:lang w:val="en-US" w:eastAsia="zh-CN"/>
        </w:rPr>
        <w:t xml:space="preserve"> </w:t>
      </w:r>
      <w:r>
        <w:rPr>
          <w:rFonts w:hint="eastAsia" w:ascii="宋体" w:hAnsi="宋体" w:eastAsia="宋体" w:cs="宋体"/>
          <w:color w:val="auto"/>
          <w:sz w:val="24"/>
          <w:szCs w:val="36"/>
          <w:highlight w:val="none"/>
        </w:rPr>
        <w:t xml:space="preserve"> </w:t>
      </w:r>
    </w:p>
    <w:p w14:paraId="3FFB01DB">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bCs/>
          <w:color w:val="auto"/>
          <w:sz w:val="32"/>
          <w:szCs w:val="32"/>
          <w:highlight w:val="none"/>
          <w:lang w:val="zh-CN"/>
        </w:rPr>
      </w:pPr>
      <w:r>
        <w:rPr>
          <w:rFonts w:hint="eastAsia" w:ascii="宋体" w:hAnsi="宋体" w:eastAsia="宋体" w:cs="宋体"/>
          <w:color w:val="auto"/>
          <w:sz w:val="24"/>
          <w:szCs w:val="36"/>
          <w:highlight w:val="none"/>
          <w:lang w:eastAsia="zh-CN"/>
        </w:rPr>
        <w:t>联系电</w:t>
      </w:r>
      <w:r>
        <w:rPr>
          <w:rFonts w:hint="eastAsia" w:ascii="宋体" w:hAnsi="宋体" w:eastAsia="宋体" w:cs="宋体"/>
          <w:color w:val="auto"/>
          <w:sz w:val="24"/>
          <w:szCs w:val="36"/>
          <w:highlight w:val="none"/>
          <w:lang w:val="en-US" w:eastAsia="zh-CN"/>
        </w:rPr>
        <w:t>话：</w:t>
      </w:r>
      <w:r>
        <w:rPr>
          <w:rFonts w:hint="eastAsia" w:ascii="宋体" w:hAnsi="宋体" w:cs="宋体"/>
          <w:color w:val="auto"/>
          <w:sz w:val="24"/>
          <w:szCs w:val="36"/>
          <w:highlight w:val="none"/>
          <w:lang w:val="en-US" w:eastAsia="zh-CN"/>
        </w:rPr>
        <w:t>0917-3223571</w:t>
      </w:r>
    </w:p>
    <w:p w14:paraId="5FBD9A47">
      <w:pPr>
        <w:pStyle w:val="22"/>
        <w:tabs>
          <w:tab w:val="right" w:leader="hyphen" w:pos="9746"/>
          <w:tab w:val="clear" w:pos="1260"/>
          <w:tab w:val="clear" w:pos="1685"/>
          <w:tab w:val="clear" w:pos="8400"/>
        </w:tabs>
        <w:rPr>
          <w:rFonts w:hint="eastAsia" w:ascii="宋体" w:hAnsi="宋体" w:eastAsia="宋体" w:cs="宋体"/>
          <w:b/>
          <w:color w:val="auto"/>
          <w:sz w:val="32"/>
          <w:szCs w:val="32"/>
          <w:highlight w:val="none"/>
        </w:rPr>
      </w:pPr>
    </w:p>
    <w:p w14:paraId="0E715B30">
      <w:pPr>
        <w:pStyle w:val="22"/>
        <w:tabs>
          <w:tab w:val="right" w:leader="hyphen" w:pos="9746"/>
          <w:tab w:val="clear" w:pos="1260"/>
          <w:tab w:val="clear" w:pos="1685"/>
          <w:tab w:val="clear" w:pos="8400"/>
        </w:tabs>
        <w:rPr>
          <w:rFonts w:hint="eastAsia" w:ascii="宋体" w:hAnsi="宋体" w:eastAsia="宋体" w:cs="宋体"/>
          <w:b/>
          <w:color w:val="auto"/>
          <w:sz w:val="32"/>
          <w:szCs w:val="32"/>
          <w:highlight w:val="none"/>
        </w:rPr>
      </w:pPr>
    </w:p>
    <w:p w14:paraId="27692950">
      <w:pPr>
        <w:rPr>
          <w:rFonts w:hint="eastAsia" w:ascii="宋体" w:hAnsi="宋体" w:eastAsia="宋体" w:cs="宋体"/>
          <w:b/>
          <w:color w:val="auto"/>
          <w:sz w:val="32"/>
          <w:szCs w:val="32"/>
          <w:highlight w:val="none"/>
        </w:rPr>
      </w:pPr>
    </w:p>
    <w:p w14:paraId="18F838B5">
      <w:pPr>
        <w:pStyle w:val="46"/>
        <w:rPr>
          <w:rFonts w:hint="eastAsia" w:ascii="宋体" w:hAnsi="宋体" w:eastAsia="宋体" w:cs="宋体"/>
          <w:b/>
          <w:color w:val="auto"/>
          <w:sz w:val="32"/>
          <w:szCs w:val="32"/>
          <w:highlight w:val="none"/>
        </w:rPr>
      </w:pPr>
    </w:p>
    <w:p w14:paraId="48D547DC">
      <w:pPr>
        <w:pStyle w:val="46"/>
        <w:rPr>
          <w:rFonts w:hint="eastAsia" w:ascii="宋体" w:hAnsi="宋体" w:eastAsia="宋体" w:cs="宋体"/>
          <w:b/>
          <w:color w:val="auto"/>
          <w:sz w:val="32"/>
          <w:szCs w:val="32"/>
          <w:highlight w:val="none"/>
        </w:rPr>
      </w:pPr>
    </w:p>
    <w:p w14:paraId="6B57FE9B">
      <w:pPr>
        <w:pStyle w:val="46"/>
        <w:rPr>
          <w:rFonts w:hint="eastAsia" w:ascii="宋体" w:hAnsi="宋体" w:eastAsia="宋体" w:cs="宋体"/>
          <w:b/>
          <w:color w:val="auto"/>
          <w:sz w:val="32"/>
          <w:szCs w:val="32"/>
          <w:highlight w:val="none"/>
        </w:rPr>
      </w:pPr>
    </w:p>
    <w:p w14:paraId="0EE99DFA">
      <w:pPr>
        <w:pStyle w:val="46"/>
        <w:rPr>
          <w:rFonts w:hint="eastAsia" w:ascii="宋体" w:hAnsi="宋体" w:eastAsia="宋体" w:cs="宋体"/>
          <w:b/>
          <w:color w:val="auto"/>
          <w:sz w:val="32"/>
          <w:szCs w:val="32"/>
          <w:highlight w:val="none"/>
        </w:rPr>
      </w:pPr>
    </w:p>
    <w:p w14:paraId="12A9CD23">
      <w:pPr>
        <w:pStyle w:val="46"/>
        <w:rPr>
          <w:rFonts w:hint="eastAsia" w:ascii="宋体" w:hAnsi="宋体" w:eastAsia="宋体" w:cs="宋体"/>
          <w:b/>
          <w:color w:val="auto"/>
          <w:sz w:val="32"/>
          <w:szCs w:val="32"/>
          <w:highlight w:val="none"/>
        </w:rPr>
      </w:pPr>
    </w:p>
    <w:p w14:paraId="5C37EAAA">
      <w:pPr>
        <w:pStyle w:val="46"/>
        <w:rPr>
          <w:rFonts w:hint="eastAsia" w:ascii="宋体" w:hAnsi="宋体" w:eastAsia="宋体" w:cs="宋体"/>
          <w:b/>
          <w:color w:val="auto"/>
          <w:sz w:val="32"/>
          <w:szCs w:val="32"/>
          <w:highlight w:val="none"/>
        </w:rPr>
      </w:pPr>
    </w:p>
    <w:p w14:paraId="28D5FA75">
      <w:pPr>
        <w:pStyle w:val="46"/>
        <w:rPr>
          <w:rFonts w:hint="eastAsia" w:ascii="宋体" w:hAnsi="宋体" w:eastAsia="宋体" w:cs="宋体"/>
          <w:b/>
          <w:color w:val="auto"/>
          <w:sz w:val="32"/>
          <w:szCs w:val="32"/>
          <w:highlight w:val="none"/>
        </w:rPr>
      </w:pPr>
    </w:p>
    <w:p w14:paraId="31C332B0">
      <w:pPr>
        <w:pStyle w:val="46"/>
        <w:rPr>
          <w:rFonts w:hint="eastAsia" w:ascii="宋体" w:hAnsi="宋体" w:eastAsia="宋体" w:cs="宋体"/>
          <w:b/>
          <w:color w:val="auto"/>
          <w:sz w:val="32"/>
          <w:szCs w:val="32"/>
          <w:highlight w:val="none"/>
        </w:rPr>
      </w:pPr>
    </w:p>
    <w:p w14:paraId="1CA6CCD4">
      <w:pPr>
        <w:pStyle w:val="46"/>
        <w:rPr>
          <w:rFonts w:hint="eastAsia" w:ascii="宋体" w:hAnsi="宋体" w:eastAsia="宋体" w:cs="宋体"/>
          <w:b/>
          <w:color w:val="auto"/>
          <w:sz w:val="32"/>
          <w:szCs w:val="32"/>
          <w:highlight w:val="none"/>
        </w:rPr>
      </w:pPr>
    </w:p>
    <w:p w14:paraId="5C375B6A">
      <w:pPr>
        <w:pStyle w:val="46"/>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目</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lang w:eastAsia="zh-CN"/>
        </w:rPr>
        <w:t>录</w:t>
      </w:r>
    </w:p>
    <w:p w14:paraId="2F3037EA">
      <w:pPr>
        <w:pStyle w:val="22"/>
        <w:tabs>
          <w:tab w:val="right" w:leader="dot" w:pos="9746"/>
          <w:tab w:val="clear" w:pos="1260"/>
          <w:tab w:val="clear" w:pos="1685"/>
          <w:tab w:val="clear" w:pos="8400"/>
        </w:tabs>
        <w:spacing w:line="480" w:lineRule="auto"/>
        <w:ind w:left="0" w:leftChars="0" w:firstLine="0" w:firstLineChars="0"/>
        <w:rPr>
          <w:highlight w:val="none"/>
        </w:rPr>
      </w:pPr>
      <w:r>
        <w:rPr>
          <w:rFonts w:hint="eastAsia" w:ascii="宋体" w:hAnsi="宋体" w:eastAsia="宋体" w:cs="宋体"/>
          <w:b/>
          <w:color w:val="auto"/>
          <w:sz w:val="36"/>
          <w:szCs w:val="36"/>
          <w:highlight w:val="none"/>
        </w:rPr>
        <w:fldChar w:fldCharType="begin"/>
      </w:r>
      <w:r>
        <w:rPr>
          <w:rFonts w:hint="eastAsia" w:ascii="宋体" w:hAnsi="宋体" w:eastAsia="宋体" w:cs="宋体"/>
          <w:b/>
          <w:color w:val="auto"/>
          <w:sz w:val="36"/>
          <w:szCs w:val="36"/>
          <w:highlight w:val="none"/>
        </w:rPr>
        <w:instrText xml:space="preserve">TOC \o "1-1" \h \u </w:instrText>
      </w:r>
      <w:r>
        <w:rPr>
          <w:rFonts w:hint="eastAsia" w:ascii="宋体" w:hAnsi="宋体" w:eastAsia="宋体" w:cs="宋体"/>
          <w:b/>
          <w:color w:val="auto"/>
          <w:sz w:val="36"/>
          <w:szCs w:val="36"/>
          <w:highlight w:val="none"/>
        </w:rPr>
        <w:fldChar w:fldCharType="separate"/>
      </w: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_Toc29439 </w:instrText>
      </w:r>
      <w:r>
        <w:rPr>
          <w:rFonts w:hint="eastAsia" w:ascii="宋体" w:hAnsi="宋体" w:eastAsia="宋体" w:cs="宋体"/>
          <w:szCs w:val="36"/>
          <w:highlight w:val="none"/>
        </w:rPr>
        <w:fldChar w:fldCharType="separate"/>
      </w:r>
      <w:r>
        <w:rPr>
          <w:rFonts w:hint="eastAsia" w:ascii="宋体" w:hAnsi="宋体" w:eastAsia="宋体" w:cs="宋体"/>
          <w:kern w:val="2"/>
          <w:szCs w:val="32"/>
          <w:highlight w:val="none"/>
          <w:lang w:val="en-US" w:eastAsia="zh-CN" w:bidi="ar-SA"/>
        </w:rPr>
        <w:t>第一章、</w:t>
      </w:r>
      <w:r>
        <w:rPr>
          <w:rFonts w:hint="eastAsia" w:ascii="宋体" w:hAnsi="宋体" w:eastAsia="宋体" w:cs="宋体"/>
          <w:szCs w:val="32"/>
          <w:highlight w:val="none"/>
        </w:rPr>
        <w:t>竞争性谈判公告</w:t>
      </w:r>
      <w:r>
        <w:rPr>
          <w:highlight w:val="none"/>
        </w:rPr>
        <w:tab/>
      </w:r>
      <w:r>
        <w:rPr>
          <w:highlight w:val="none"/>
        </w:rPr>
        <w:fldChar w:fldCharType="begin"/>
      </w:r>
      <w:r>
        <w:rPr>
          <w:highlight w:val="none"/>
        </w:rPr>
        <w:instrText xml:space="preserve"> PAGEREF _Toc29439 \h </w:instrText>
      </w:r>
      <w:r>
        <w:rPr>
          <w:highlight w:val="none"/>
        </w:rPr>
        <w:fldChar w:fldCharType="separate"/>
      </w:r>
      <w:r>
        <w:rPr>
          <w:highlight w:val="none"/>
        </w:rPr>
        <w:t>4</w:t>
      </w:r>
      <w:r>
        <w:rPr>
          <w:highlight w:val="none"/>
        </w:rPr>
        <w:fldChar w:fldCharType="end"/>
      </w:r>
      <w:r>
        <w:rPr>
          <w:rFonts w:hint="eastAsia" w:ascii="宋体" w:hAnsi="宋体" w:eastAsia="宋体" w:cs="宋体"/>
          <w:color w:val="auto"/>
          <w:szCs w:val="36"/>
          <w:highlight w:val="none"/>
        </w:rPr>
        <w:fldChar w:fldCharType="end"/>
      </w:r>
    </w:p>
    <w:p w14:paraId="34EF1884">
      <w:pPr>
        <w:pStyle w:val="22"/>
        <w:tabs>
          <w:tab w:val="right" w:leader="dot" w:pos="9746"/>
          <w:tab w:val="clear" w:pos="1260"/>
          <w:tab w:val="clear" w:pos="1685"/>
          <w:tab w:val="clear" w:pos="8400"/>
        </w:tabs>
        <w:spacing w:line="480" w:lineRule="auto"/>
        <w:ind w:left="0" w:leftChars="0" w:firstLine="0" w:firstLineChars="0"/>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_Toc10175 </w:instrText>
      </w:r>
      <w:r>
        <w:rPr>
          <w:rFonts w:hint="eastAsia" w:ascii="宋体" w:hAnsi="宋体" w:eastAsia="宋体" w:cs="宋体"/>
          <w:szCs w:val="36"/>
          <w:highlight w:val="none"/>
        </w:rPr>
        <w:fldChar w:fldCharType="separate"/>
      </w:r>
      <w:r>
        <w:rPr>
          <w:rFonts w:hint="eastAsia" w:ascii="宋体" w:hAnsi="宋体" w:eastAsia="宋体" w:cs="宋体"/>
          <w:szCs w:val="32"/>
          <w:highlight w:val="none"/>
        </w:rPr>
        <w:t>第二章、</w:t>
      </w:r>
      <w:r>
        <w:rPr>
          <w:rFonts w:hint="eastAsia" w:ascii="宋体" w:hAnsi="宋体" w:eastAsia="宋体" w:cs="宋体"/>
          <w:szCs w:val="32"/>
          <w:highlight w:val="none"/>
          <w:lang w:val="zh-CN"/>
        </w:rPr>
        <w:t>竞争性谈判须知</w:t>
      </w:r>
      <w:r>
        <w:rPr>
          <w:highlight w:val="none"/>
        </w:rPr>
        <w:tab/>
      </w:r>
      <w:r>
        <w:rPr>
          <w:highlight w:val="none"/>
        </w:rPr>
        <w:fldChar w:fldCharType="begin"/>
      </w:r>
      <w:r>
        <w:rPr>
          <w:highlight w:val="none"/>
        </w:rPr>
        <w:instrText xml:space="preserve"> PAGEREF _Toc10175 \h </w:instrText>
      </w:r>
      <w:r>
        <w:rPr>
          <w:highlight w:val="none"/>
        </w:rPr>
        <w:fldChar w:fldCharType="separate"/>
      </w:r>
      <w:r>
        <w:rPr>
          <w:highlight w:val="none"/>
        </w:rPr>
        <w:t>4</w:t>
      </w:r>
      <w:r>
        <w:rPr>
          <w:highlight w:val="none"/>
        </w:rPr>
        <w:fldChar w:fldCharType="end"/>
      </w:r>
      <w:r>
        <w:rPr>
          <w:rFonts w:hint="eastAsia" w:ascii="宋体" w:hAnsi="宋体" w:eastAsia="宋体" w:cs="宋体"/>
          <w:color w:val="auto"/>
          <w:szCs w:val="36"/>
          <w:highlight w:val="none"/>
        </w:rPr>
        <w:fldChar w:fldCharType="end"/>
      </w:r>
    </w:p>
    <w:p w14:paraId="1512BA46">
      <w:pPr>
        <w:pStyle w:val="22"/>
        <w:tabs>
          <w:tab w:val="right" w:leader="dot" w:pos="9746"/>
          <w:tab w:val="clear" w:pos="1260"/>
          <w:tab w:val="clear" w:pos="1685"/>
          <w:tab w:val="clear" w:pos="8400"/>
        </w:tabs>
        <w:spacing w:line="480" w:lineRule="auto"/>
        <w:ind w:left="0" w:leftChars="0" w:firstLine="0" w:firstLineChars="0"/>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_Toc26166 </w:instrText>
      </w:r>
      <w:r>
        <w:rPr>
          <w:rFonts w:hint="eastAsia" w:ascii="宋体" w:hAnsi="宋体" w:eastAsia="宋体" w:cs="宋体"/>
          <w:szCs w:val="36"/>
          <w:highlight w:val="none"/>
        </w:rPr>
        <w:fldChar w:fldCharType="separate"/>
      </w:r>
      <w:r>
        <w:rPr>
          <w:rFonts w:hint="eastAsia" w:ascii="宋体" w:hAnsi="宋体" w:eastAsia="宋体" w:cs="宋体"/>
          <w:szCs w:val="32"/>
          <w:highlight w:val="none"/>
          <w:lang w:val="en-US" w:eastAsia="zh-CN"/>
        </w:rPr>
        <w:t>第三章、</w:t>
      </w:r>
      <w:r>
        <w:rPr>
          <w:rFonts w:hint="eastAsia" w:ascii="宋体" w:hAnsi="宋体" w:eastAsia="宋体" w:cs="宋体"/>
          <w:szCs w:val="32"/>
          <w:highlight w:val="none"/>
          <w:lang w:val="zh-CN"/>
        </w:rPr>
        <w:t>采购内容及要求</w:t>
      </w:r>
      <w:r>
        <w:rPr>
          <w:highlight w:val="none"/>
        </w:rPr>
        <w:tab/>
      </w:r>
      <w:r>
        <w:rPr>
          <w:highlight w:val="none"/>
        </w:rPr>
        <w:fldChar w:fldCharType="begin"/>
      </w:r>
      <w:r>
        <w:rPr>
          <w:highlight w:val="none"/>
        </w:rPr>
        <w:instrText xml:space="preserve"> PAGEREF _Toc26166 \h </w:instrText>
      </w:r>
      <w:r>
        <w:rPr>
          <w:highlight w:val="none"/>
        </w:rPr>
        <w:fldChar w:fldCharType="separate"/>
      </w:r>
      <w:r>
        <w:rPr>
          <w:highlight w:val="none"/>
        </w:rPr>
        <w:t>33</w:t>
      </w:r>
      <w:r>
        <w:rPr>
          <w:highlight w:val="none"/>
        </w:rPr>
        <w:fldChar w:fldCharType="end"/>
      </w:r>
      <w:r>
        <w:rPr>
          <w:rFonts w:hint="eastAsia" w:ascii="宋体" w:hAnsi="宋体" w:eastAsia="宋体" w:cs="宋体"/>
          <w:color w:val="auto"/>
          <w:szCs w:val="36"/>
          <w:highlight w:val="none"/>
        </w:rPr>
        <w:fldChar w:fldCharType="end"/>
      </w:r>
    </w:p>
    <w:p w14:paraId="5C8A9E00">
      <w:pPr>
        <w:pStyle w:val="22"/>
        <w:tabs>
          <w:tab w:val="right" w:leader="dot" w:pos="9746"/>
          <w:tab w:val="clear" w:pos="1260"/>
          <w:tab w:val="clear" w:pos="1685"/>
          <w:tab w:val="clear" w:pos="8400"/>
        </w:tabs>
        <w:spacing w:line="480" w:lineRule="auto"/>
        <w:ind w:left="0" w:leftChars="0" w:firstLine="0" w:firstLineChars="0"/>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_Toc31837 </w:instrText>
      </w:r>
      <w:r>
        <w:rPr>
          <w:rFonts w:hint="eastAsia" w:ascii="宋体" w:hAnsi="宋体" w:eastAsia="宋体" w:cs="宋体"/>
          <w:szCs w:val="36"/>
          <w:highlight w:val="none"/>
        </w:rPr>
        <w:fldChar w:fldCharType="separate"/>
      </w:r>
      <w:r>
        <w:rPr>
          <w:rFonts w:hint="eastAsia" w:ascii="宋体" w:hAnsi="宋体" w:eastAsia="宋体" w:cs="宋体"/>
          <w:szCs w:val="32"/>
          <w:highlight w:val="none"/>
          <w:lang w:val="en-US" w:eastAsia="zh-CN"/>
        </w:rPr>
        <w:t>第四章、商务要求</w:t>
      </w:r>
      <w:bookmarkStart w:id="58" w:name="_GoBack"/>
      <w:bookmarkEnd w:id="58"/>
      <w:r>
        <w:rPr>
          <w:highlight w:val="none"/>
        </w:rPr>
        <w:tab/>
      </w:r>
      <w:r>
        <w:rPr>
          <w:highlight w:val="none"/>
        </w:rPr>
        <w:fldChar w:fldCharType="begin"/>
      </w:r>
      <w:r>
        <w:rPr>
          <w:highlight w:val="none"/>
        </w:rPr>
        <w:instrText xml:space="preserve"> PAGEREF _Toc31837 \h </w:instrText>
      </w:r>
      <w:r>
        <w:rPr>
          <w:highlight w:val="none"/>
        </w:rPr>
        <w:fldChar w:fldCharType="separate"/>
      </w:r>
      <w:r>
        <w:rPr>
          <w:highlight w:val="none"/>
        </w:rPr>
        <w:t>42</w:t>
      </w:r>
      <w:r>
        <w:rPr>
          <w:highlight w:val="none"/>
        </w:rPr>
        <w:fldChar w:fldCharType="end"/>
      </w:r>
      <w:r>
        <w:rPr>
          <w:rFonts w:hint="eastAsia" w:ascii="宋体" w:hAnsi="宋体" w:eastAsia="宋体" w:cs="宋体"/>
          <w:color w:val="auto"/>
          <w:szCs w:val="36"/>
          <w:highlight w:val="none"/>
        </w:rPr>
        <w:fldChar w:fldCharType="end"/>
      </w:r>
    </w:p>
    <w:p w14:paraId="251FCF8C">
      <w:pPr>
        <w:pStyle w:val="22"/>
        <w:tabs>
          <w:tab w:val="right" w:leader="dot" w:pos="9746"/>
          <w:tab w:val="clear" w:pos="1260"/>
          <w:tab w:val="clear" w:pos="1685"/>
          <w:tab w:val="clear" w:pos="8400"/>
        </w:tabs>
        <w:spacing w:line="480" w:lineRule="auto"/>
        <w:ind w:left="0" w:leftChars="0" w:firstLine="0" w:firstLineChars="0"/>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_Toc20017 </w:instrText>
      </w:r>
      <w:r>
        <w:rPr>
          <w:rFonts w:hint="eastAsia" w:ascii="宋体" w:hAnsi="宋体" w:eastAsia="宋体" w:cs="宋体"/>
          <w:szCs w:val="36"/>
          <w:highlight w:val="none"/>
        </w:rPr>
        <w:fldChar w:fldCharType="separate"/>
      </w:r>
      <w:r>
        <w:rPr>
          <w:rFonts w:hint="eastAsia" w:ascii="宋体" w:hAnsi="宋体" w:eastAsia="宋体" w:cs="宋体"/>
          <w:szCs w:val="28"/>
          <w:highlight w:val="none"/>
          <w:lang w:val="en-US" w:eastAsia="zh-CN"/>
        </w:rPr>
        <w:t>第五章、</w:t>
      </w:r>
      <w:r>
        <w:rPr>
          <w:rFonts w:hint="eastAsia" w:ascii="宋体" w:hAnsi="宋体" w:eastAsia="宋体" w:cs="宋体"/>
          <w:szCs w:val="28"/>
          <w:highlight w:val="none"/>
        </w:rPr>
        <w:t>拟签订的</w:t>
      </w:r>
      <w:r>
        <w:rPr>
          <w:rFonts w:hint="eastAsia" w:ascii="宋体" w:hAnsi="宋体" w:eastAsia="宋体" w:cs="宋体"/>
          <w:szCs w:val="28"/>
          <w:highlight w:val="none"/>
          <w:lang w:val="zh-CN"/>
        </w:rPr>
        <w:t>合同</w:t>
      </w:r>
      <w:r>
        <w:rPr>
          <w:rFonts w:hint="eastAsia" w:ascii="宋体" w:hAnsi="宋体" w:eastAsia="宋体" w:cs="宋体"/>
          <w:szCs w:val="28"/>
          <w:highlight w:val="none"/>
        </w:rPr>
        <w:t>文本</w:t>
      </w:r>
      <w:r>
        <w:rPr>
          <w:highlight w:val="none"/>
        </w:rPr>
        <w:tab/>
      </w:r>
      <w:r>
        <w:rPr>
          <w:highlight w:val="none"/>
        </w:rPr>
        <w:fldChar w:fldCharType="begin"/>
      </w:r>
      <w:r>
        <w:rPr>
          <w:highlight w:val="none"/>
        </w:rPr>
        <w:instrText xml:space="preserve"> PAGEREF _Toc20017 \h </w:instrText>
      </w:r>
      <w:r>
        <w:rPr>
          <w:highlight w:val="none"/>
        </w:rPr>
        <w:fldChar w:fldCharType="separate"/>
      </w:r>
      <w:r>
        <w:rPr>
          <w:highlight w:val="none"/>
        </w:rPr>
        <w:t>44</w:t>
      </w:r>
      <w:r>
        <w:rPr>
          <w:highlight w:val="none"/>
        </w:rPr>
        <w:fldChar w:fldCharType="end"/>
      </w:r>
      <w:r>
        <w:rPr>
          <w:rFonts w:hint="eastAsia" w:ascii="宋体" w:hAnsi="宋体" w:eastAsia="宋体" w:cs="宋体"/>
          <w:color w:val="auto"/>
          <w:szCs w:val="36"/>
          <w:highlight w:val="none"/>
        </w:rPr>
        <w:fldChar w:fldCharType="end"/>
      </w:r>
    </w:p>
    <w:p w14:paraId="3F7B9794">
      <w:pPr>
        <w:pStyle w:val="22"/>
        <w:tabs>
          <w:tab w:val="right" w:leader="dot" w:pos="9746"/>
          <w:tab w:val="clear" w:pos="1260"/>
          <w:tab w:val="clear" w:pos="1685"/>
          <w:tab w:val="clear" w:pos="8400"/>
        </w:tabs>
        <w:spacing w:line="480" w:lineRule="auto"/>
        <w:ind w:left="0" w:leftChars="0" w:firstLine="0" w:firstLineChars="0"/>
        <w:rPr>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_Toc16654 </w:instrText>
      </w:r>
      <w:r>
        <w:rPr>
          <w:rFonts w:hint="eastAsia" w:ascii="宋体" w:hAnsi="宋体" w:eastAsia="宋体" w:cs="宋体"/>
          <w:szCs w:val="36"/>
          <w:highlight w:val="none"/>
        </w:rPr>
        <w:fldChar w:fldCharType="separate"/>
      </w:r>
      <w:r>
        <w:rPr>
          <w:rFonts w:hint="eastAsia" w:ascii="宋体" w:hAnsi="宋体" w:eastAsia="宋体" w:cs="宋体"/>
          <w:szCs w:val="32"/>
          <w:highlight w:val="none"/>
        </w:rPr>
        <w:t>第六章、</w:t>
      </w:r>
      <w:r>
        <w:rPr>
          <w:rFonts w:hint="eastAsia" w:ascii="宋体" w:hAnsi="宋体" w:eastAsia="宋体" w:cs="宋体"/>
          <w:szCs w:val="32"/>
          <w:highlight w:val="none"/>
          <w:lang w:val="zh-CN"/>
        </w:rPr>
        <w:t>谈判响应文件组成</w:t>
      </w:r>
      <w:r>
        <w:rPr>
          <w:highlight w:val="none"/>
        </w:rPr>
        <w:tab/>
      </w:r>
      <w:r>
        <w:rPr>
          <w:highlight w:val="none"/>
        </w:rPr>
        <w:fldChar w:fldCharType="begin"/>
      </w:r>
      <w:r>
        <w:rPr>
          <w:highlight w:val="none"/>
        </w:rPr>
        <w:instrText xml:space="preserve"> PAGEREF _Toc16654 \h </w:instrText>
      </w:r>
      <w:r>
        <w:rPr>
          <w:highlight w:val="none"/>
        </w:rPr>
        <w:fldChar w:fldCharType="separate"/>
      </w:r>
      <w:r>
        <w:rPr>
          <w:highlight w:val="none"/>
        </w:rPr>
        <w:t>47</w:t>
      </w:r>
      <w:r>
        <w:rPr>
          <w:highlight w:val="none"/>
        </w:rPr>
        <w:fldChar w:fldCharType="end"/>
      </w:r>
      <w:r>
        <w:rPr>
          <w:rFonts w:hint="eastAsia" w:ascii="宋体" w:hAnsi="宋体" w:eastAsia="宋体" w:cs="宋体"/>
          <w:color w:val="auto"/>
          <w:szCs w:val="36"/>
          <w:highlight w:val="none"/>
        </w:rPr>
        <w:fldChar w:fldCharType="end"/>
      </w:r>
    </w:p>
    <w:p w14:paraId="631C25D7">
      <w:pPr>
        <w:pStyle w:val="2"/>
        <w:pageBreakBefore/>
        <w:spacing w:line="480" w:lineRule="auto"/>
        <w:jc w:val="center"/>
        <w:outlineLvl w:val="0"/>
        <w:rPr>
          <w:rFonts w:hint="eastAsia" w:ascii="宋体" w:hAnsi="宋体" w:eastAsia="宋体" w:cs="宋体"/>
          <w:color w:val="auto"/>
          <w:highlight w:val="none"/>
        </w:rPr>
      </w:pPr>
      <w:r>
        <w:rPr>
          <w:rFonts w:hint="eastAsia" w:ascii="宋体" w:hAnsi="宋体" w:eastAsia="宋体" w:cs="宋体"/>
          <w:color w:val="auto"/>
          <w:szCs w:val="36"/>
          <w:highlight w:val="none"/>
        </w:rPr>
        <w:fldChar w:fldCharType="end"/>
      </w:r>
      <w:bookmarkStart w:id="0" w:name="_Toc29439"/>
      <w:bookmarkStart w:id="1" w:name="_Toc20288"/>
      <w:bookmarkStart w:id="2" w:name="_Toc13453"/>
      <w:bookmarkStart w:id="3" w:name="_Toc17392"/>
      <w:r>
        <w:rPr>
          <w:rFonts w:hint="eastAsia" w:ascii="宋体" w:hAnsi="宋体" w:eastAsia="宋体" w:cs="宋体"/>
          <w:b/>
          <w:color w:val="auto"/>
          <w:kern w:val="2"/>
          <w:sz w:val="32"/>
          <w:szCs w:val="32"/>
          <w:highlight w:val="none"/>
          <w:lang w:val="en-US" w:eastAsia="zh-CN" w:bidi="ar-SA"/>
        </w:rPr>
        <w:t>第一章、</w:t>
      </w:r>
      <w:r>
        <w:rPr>
          <w:rFonts w:hint="eastAsia" w:ascii="宋体" w:hAnsi="宋体" w:eastAsia="宋体" w:cs="宋体"/>
          <w:b/>
          <w:color w:val="auto"/>
          <w:sz w:val="32"/>
          <w:szCs w:val="32"/>
          <w:highlight w:val="none"/>
        </w:rPr>
        <w:t>竞争性谈判公告</w:t>
      </w:r>
      <w:bookmarkEnd w:id="0"/>
      <w:bookmarkEnd w:id="1"/>
      <w:bookmarkEnd w:id="2"/>
      <w:bookmarkEnd w:id="3"/>
    </w:p>
    <w:p w14:paraId="5A389728">
      <w:pPr>
        <w:spacing w:line="360" w:lineRule="auto"/>
        <w:jc w:val="center"/>
        <w:rPr>
          <w:rFonts w:hint="eastAsia" w:ascii="宋体" w:hAnsi="宋体" w:eastAsia="宋体" w:cs="宋体"/>
          <w:sz w:val="24"/>
          <w:szCs w:val="24"/>
          <w:highlight w:val="none"/>
        </w:rPr>
      </w:pPr>
      <w:bookmarkStart w:id="4" w:name="_Toc4903"/>
      <w:bookmarkStart w:id="5" w:name="_Toc16436"/>
      <w:bookmarkStart w:id="6" w:name="_Toc499709872"/>
      <w:bookmarkStart w:id="7" w:name="_Toc10175"/>
      <w:bookmarkStart w:id="8" w:name="_Toc7112"/>
      <w:r>
        <w:rPr>
          <w:rFonts w:hint="eastAsia" w:ascii="宋体" w:hAnsi="宋体" w:eastAsia="宋体" w:cs="宋体"/>
          <w:b/>
          <w:bCs/>
          <w:sz w:val="32"/>
          <w:szCs w:val="32"/>
          <w:highlight w:val="none"/>
          <w:lang w:val="en-US" w:eastAsia="zh-CN"/>
        </w:rPr>
        <w:t>宝鸡市凤翔区竞存第一中学智慧黑板采购项目竞争性谈判公告</w:t>
      </w:r>
    </w:p>
    <w:p w14:paraId="7FE071DB">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项目概况</w:t>
      </w:r>
    </w:p>
    <w:p w14:paraId="1960902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智慧黑板采购项目采购项目的潜在供应商应在【全国公共资源交易平台（陕西省·宝鸡市）】获取采购文件，并于2026年07月24日 09时00分（北京时间）前提交响应文件。</w:t>
      </w:r>
    </w:p>
    <w:p w14:paraId="33C468B2">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一、项目基本情况</w:t>
      </w:r>
    </w:p>
    <w:p w14:paraId="089046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项目编号：DX-BJ-2026-039(CG)</w:t>
      </w:r>
    </w:p>
    <w:p w14:paraId="293245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项目名称：智慧黑板采购项目</w:t>
      </w:r>
    </w:p>
    <w:p w14:paraId="7DEBD1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采购方式：竞争性谈判</w:t>
      </w:r>
    </w:p>
    <w:p w14:paraId="6D9D2E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预算金额：600,000.00元</w:t>
      </w:r>
    </w:p>
    <w:p w14:paraId="7E1FFF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采购需求：</w:t>
      </w:r>
    </w:p>
    <w:p w14:paraId="61CCF2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合同包1(宝鸡市凤翔区竞存第一中学智慧黑板采购项目):</w:t>
      </w:r>
    </w:p>
    <w:p w14:paraId="1CAF74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合同包预算金额：600,000.00元</w:t>
      </w:r>
    </w:p>
    <w:p w14:paraId="4B7991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合同包最高限价：600,000.00元</w:t>
      </w:r>
    </w:p>
    <w:tbl>
      <w:tblPr>
        <w:tblStyle w:val="30"/>
        <w:tblW w:w="1007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23"/>
        <w:gridCol w:w="1779"/>
        <w:gridCol w:w="3021"/>
        <w:gridCol w:w="1241"/>
        <w:gridCol w:w="1672"/>
        <w:gridCol w:w="1440"/>
      </w:tblGrid>
      <w:tr w14:paraId="548A541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6" w:hRule="atLeast"/>
          <w:tblHeader/>
          <w:jc w:val="center"/>
        </w:trPr>
        <w:tc>
          <w:tcPr>
            <w:tcW w:w="9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28378D">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品目号</w:t>
            </w:r>
          </w:p>
        </w:tc>
        <w:tc>
          <w:tcPr>
            <w:tcW w:w="17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94130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品目名称</w:t>
            </w:r>
          </w:p>
        </w:tc>
        <w:tc>
          <w:tcPr>
            <w:tcW w:w="30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105923">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采购标的</w:t>
            </w:r>
          </w:p>
        </w:tc>
        <w:tc>
          <w:tcPr>
            <w:tcW w:w="12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306D0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数量（单位）</w:t>
            </w:r>
          </w:p>
        </w:tc>
        <w:tc>
          <w:tcPr>
            <w:tcW w:w="16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2DC0D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65B26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品目预算(元)</w:t>
            </w:r>
          </w:p>
        </w:tc>
      </w:tr>
      <w:tr w14:paraId="717622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13" w:hRule="atLeast"/>
          <w:jc w:val="center"/>
        </w:trPr>
        <w:tc>
          <w:tcPr>
            <w:tcW w:w="9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5853F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w:t>
            </w:r>
          </w:p>
        </w:tc>
        <w:tc>
          <w:tcPr>
            <w:tcW w:w="17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AD22F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其他信息化设备</w:t>
            </w:r>
          </w:p>
        </w:tc>
        <w:tc>
          <w:tcPr>
            <w:tcW w:w="30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D56A6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宝鸡市凤翔区竞存第一中学智慧黑板采购项目</w:t>
            </w:r>
          </w:p>
        </w:tc>
        <w:tc>
          <w:tcPr>
            <w:tcW w:w="12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B8BA2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AE88A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6E905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600,000.00</w:t>
            </w:r>
          </w:p>
        </w:tc>
      </w:tr>
    </w:tbl>
    <w:p w14:paraId="4E962CA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233370F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合同履行期限：自合同签订之日起30个日历天内交货、安装、调试</w:t>
      </w:r>
    </w:p>
    <w:p w14:paraId="42C082E3">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二、申请人的资格要求：</w:t>
      </w:r>
    </w:p>
    <w:p w14:paraId="05EB26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487DA5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w:t>
      </w:r>
    </w:p>
    <w:p w14:paraId="5B8433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合同包1(宝鸡市凤翔区竞存第一中学智慧黑板采购项目)落实政府采购政策需满足的资格要求如下:</w:t>
      </w:r>
    </w:p>
    <w:p w14:paraId="68C61B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（1）《国务院办公厅关于建立政府强制采购节能产品制度的通知》（国办发〔2007〕51号）；</w:t>
      </w:r>
    </w:p>
    <w:p w14:paraId="11D68A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（2）《财政部司法部关于政府采购支持监狱企业发展有关问题的通知》（财库〔2014〕68号）；</w:t>
      </w:r>
    </w:p>
    <w:p w14:paraId="5BA1A9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（3）《财政部民政部中国残疾人联合会关于促进残疾人就业政府采购政策的通知》（财库〔2017〕141号）；</w:t>
      </w:r>
    </w:p>
    <w:p w14:paraId="013313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（4）《财政部发展改革委生态环境部市场监管总局关于调整优化节能产品、环境标志产品政府采购执行机制的通知》（财库〔2019〕9号）；</w:t>
      </w:r>
    </w:p>
    <w:p w14:paraId="455B8F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（5）《关于运用政府采购政策支持乡村产业振兴的通知》（财库〔2021〕19号）；</w:t>
      </w:r>
    </w:p>
    <w:p w14:paraId="40157B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（6）《政府采购促进中小企业发展管理办法》（财库〔2020〕46号）；</w:t>
      </w:r>
    </w:p>
    <w:p w14:paraId="119E8B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（7）《陕西省中小企业政府采购信用融资办法》（陕财办采〔2018〕23号）；</w:t>
      </w:r>
    </w:p>
    <w:p w14:paraId="2BEE17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（8）《关于进一步加大政府采购支持中小企业力度的通知》（财库〔2023〕19号）；</w:t>
      </w:r>
    </w:p>
    <w:p w14:paraId="79EE2F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（9）《陕西省财政厅关于进一步落实政府采购支持中小企业相关政策的通知》（陕财办采〔2023〕3号）；</w:t>
      </w:r>
    </w:p>
    <w:p w14:paraId="48E4E5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（10）《陕西省财政厅关于加强政府采购绿色采购有关工作的通知》（陕财办采〔2021〕29号）；</w:t>
      </w:r>
    </w:p>
    <w:p w14:paraId="27A984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（11）若国家、陕西省后续新颁布政府采购相关政策文件，本项目统一按最新有效文件规定执行。</w:t>
      </w:r>
    </w:p>
    <w:p w14:paraId="262F81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756230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合同包1(宝鸡市凤翔区竞存第一中学智慧黑板采购项目)特定资格要求如下:</w:t>
      </w:r>
    </w:p>
    <w:p w14:paraId="108A73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主体资格证明：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6F31F6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（2）谈判授权代表材料：供应商应授权合法的人员参加谈判，其中法定代表人直接参加的，须出具法定代表人证明书；被授权代表参加的，须出具法定代表人授权书；</w:t>
      </w:r>
    </w:p>
    <w:p w14:paraId="3A4FC9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财务状况证明：提供经审计的2025年度完整财务审计报告；若供应商成立至响应文件递交截止时间不足一年，可提供成立后任意时段财务报表，或递交截止前三个月内基本存款账户开户行出具的资信证明；其他组织、自然人可提供银行出具的资信证明或财务报表；</w:t>
      </w:r>
      <w:r>
        <w:rPr>
          <w:rFonts w:hint="eastAsia" w:ascii="宋体" w:hAnsi="宋体" w:eastAsia="宋体" w:cs="宋体"/>
          <w:b w:val="0"/>
          <w:bCs/>
          <w:color w:val="auto"/>
          <w:kern w:val="2"/>
          <w:sz w:val="24"/>
          <w:szCs w:val="24"/>
          <w:highlight w:val="none"/>
          <w:lang w:val="zh-CN" w:eastAsia="zh-CN" w:bidi="ar-SA"/>
        </w:rPr>
        <w:t>(注:依据财政部、国务院国资委、金融监管总局印发&lt;&lt;关于加强审计报告查验工作的通知&gt;&gt;(财会(2023]15号)报告须在注册会计师行业统一监管平台备案并由该平台赋予二维码)</w:t>
      </w:r>
    </w:p>
    <w:p w14:paraId="02CFE9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税收缴纳证明：提供2025年07月01日至今已缴纳的至少六个月的纳税证明或完税证明（时间以税款所属日期为准、税种须包含增值税或所得税）；若供应商成立至响应截止不足六个月、依法零申报或免税，应提供税务机关出具的相关佐证材料;</w:t>
      </w:r>
    </w:p>
    <w:p w14:paraId="43ADA3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社会保障资金缴纳证明：提供2025年07月01日至今至少连续六个月社保缴费银行单据或社保经办机构出具的参保缴费证明；若供应商成立至响应截止不足六个月，可提供实际缴纳时段社保凭证；依法无需缴纳社会保障资金的单位，须提供相关主管部门出具的免缴证明材料；</w:t>
      </w:r>
    </w:p>
    <w:p w14:paraId="0429C5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（6）信用记录要求：供应商未被列入“信用中国”网站(www.creditchina.gov.cn)失信被执行人、重大税收违法失信主体；未被列入中国政府采购网(www.ccgp.gov.cn)政府采购严重违法失信行为记录名单。</w:t>
      </w:r>
    </w:p>
    <w:p w14:paraId="3542C6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（7）履约能力承诺书：供应商须提供书面承诺书，承诺自身具备完成本项目供货、运输、安装、调试、售后维保、人员培训全流程服务所需设备、场地、专业技术人员及配套服务能力；</w:t>
      </w:r>
    </w:p>
    <w:p w14:paraId="1FBCEE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中小企业专项要求：本项目专门面向中小企业采购，供应商响应文件中必须提供财政部统一格式《中小企业声明函》；监狱企业、残疾人福利性单位视同中小企业，须同步提供对应官方认定证明文件，否则资格审查不予通过；</w:t>
      </w:r>
    </w:p>
    <w:p w14:paraId="311D85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hint="eastAsia" w:ascii="宋体" w:hAnsi="宋体" w:cs="宋体"/>
          <w:sz w:val="24"/>
          <w:szCs w:val="24"/>
          <w:highlight w:val="none"/>
          <w:lang w:eastAsia="zh-CN"/>
        </w:rPr>
        <w:t>控股管理关系：</w:t>
      </w:r>
      <w:r>
        <w:rPr>
          <w:rFonts w:hint="eastAsia" w:ascii="宋体" w:hAnsi="宋体" w:eastAsia="宋体" w:cs="宋体"/>
          <w:sz w:val="24"/>
          <w:szCs w:val="24"/>
          <w:highlight w:val="none"/>
        </w:rPr>
        <w:t>单位负责人为同一人或者存在直接控股、管理关系的不同供应商，不得同时参与本项目采购活动；</w:t>
      </w:r>
    </w:p>
    <w:p w14:paraId="25F280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（10）书面</w:t>
      </w:r>
      <w:r>
        <w:rPr>
          <w:rFonts w:hint="eastAsia" w:ascii="宋体" w:hAnsi="宋体" w:eastAsia="宋体" w:cs="宋体"/>
          <w:sz w:val="24"/>
          <w:szCs w:val="24"/>
          <w:highlight w:val="none"/>
          <w:lang w:eastAsia="zh-CN"/>
        </w:rPr>
        <w:t>声明</w:t>
      </w:r>
      <w:r>
        <w:rPr>
          <w:rFonts w:hint="eastAsia" w:ascii="宋体" w:hAnsi="宋体" w:eastAsia="宋体" w:cs="宋体"/>
          <w:sz w:val="24"/>
          <w:szCs w:val="24"/>
          <w:highlight w:val="none"/>
        </w:rPr>
        <w:t>：出具参加政府采购活动前3年内在经营活动中没有重大违法记录的书面声明；</w:t>
      </w:r>
    </w:p>
    <w:p w14:paraId="514410B6">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三、获取采购文件</w:t>
      </w:r>
    </w:p>
    <w:p w14:paraId="66C878B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时间：2026年07月21日至2026年07月23日，每天上午00:00:00至12:00:00，下午12:00:00至23:59:59（北京时间）</w:t>
      </w:r>
    </w:p>
    <w:p w14:paraId="6D2D532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途径：【全国公共资源交易平台（陕西省·宝鸡市）】</w:t>
      </w:r>
    </w:p>
    <w:p w14:paraId="4797116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方式：在线获取</w:t>
      </w:r>
    </w:p>
    <w:p w14:paraId="4F74F0A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售价：免费获取</w:t>
      </w:r>
    </w:p>
    <w:p w14:paraId="24B5D119">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四、响应文件提交</w:t>
      </w:r>
    </w:p>
    <w:p w14:paraId="40457A3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截止时间：2026年07月24日 09时00分00秒（北京时间）</w:t>
      </w:r>
    </w:p>
    <w:p w14:paraId="069DB43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地点：【全国公共资源交易平台（陕西省·宝鸡市）】线上提交</w:t>
      </w:r>
    </w:p>
    <w:p w14:paraId="6EB158AC">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五、开启</w:t>
      </w:r>
    </w:p>
    <w:p w14:paraId="07F19BE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时间：2026年07月24日 09时00分00秒（北京时间）</w:t>
      </w:r>
    </w:p>
    <w:p w14:paraId="47A1409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地点：【全国公共资源交易平台（陕西省·宝鸡市）】线上开启</w:t>
      </w:r>
    </w:p>
    <w:p w14:paraId="2C5F4109">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六、公告期限</w:t>
      </w:r>
    </w:p>
    <w:p w14:paraId="37AD32A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自本公告发布之日起3个工作日。</w:t>
      </w:r>
    </w:p>
    <w:p w14:paraId="42B0A2EF">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七、其他补充事宜</w:t>
      </w:r>
    </w:p>
    <w:p w14:paraId="02132C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1、有意向参与项目采购活动的投标商应按照陕西省财政厅关于政府采购供应商注册登记有关事项的通知中的要求，通过陕西省政府采购网（http：//www.ccgp-shaanxi.gov.cn/）注册登记加入陕西省政府采购供应商库。</w:t>
      </w:r>
    </w:p>
    <w:p w14:paraId="56E3C0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项目采用电子化投标的方式，相关操作流程详见全国公共资源交易平台(陕西省)网站[服务指南-下载专区]中的《陕西省公共资源交易中心政府采购项目投标指南》；开标前必需在全国公共资源交易平台(陕西省宝鸡市)网站上传电子文件，如未进行线上操作，导致无法参与投标的，责任自负。请务必在采购文件获取期限内及时下载电子采购文件并做好备份，逾期下载通道将关闭，未及时下载采购文件将会影响响应文件编制及后续投标活动。</w:t>
      </w:r>
    </w:p>
    <w:p w14:paraId="74858B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采用“不见面开标”方式。不见面开标大厅登录方式为：全国公共资源交易平台（陕西省·宝鸡市）→不见面开标系统（新）。相关操作流程详见全国公共资源交易平台（宝鸡市）网站〖首页·〉服务指南·〉下载专区〗中的《宝鸡公共资源交易不见面开标大厅投标人操作手册》。</w:t>
      </w:r>
    </w:p>
    <w:p w14:paraId="46596E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为了保证远程不见面开标顺利进行，供应商需使用配备相关设备的电脑提前一小时登录网络开标大厅，因供应商自身设施故障或自身原因导致无法完成签到、解密、谈判或二次报价的，由供应商自行承担后果。</w:t>
      </w:r>
    </w:p>
    <w:p w14:paraId="2005C4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5、注意事项：供应商应随时留意可能发布的变更公告，当澄清或修改的内容影响响应文件编制时，将在交易平台上同步发布答疑文件，此时供应商应从“项目流程-答疑文件下载”下载最新发布的答疑文件。</w:t>
      </w:r>
    </w:p>
    <w:p w14:paraId="3759CA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根据《陕西省财政厅关于印发＜陕西省中小企业政府采购信用融资办法＞的通知》（陕财办采〔2018〕23号）相关规定，有融资需求的供应商可根据自身情况，在陕西省政府采购信用融资平台自主选择金融机构及其融资产品，凭政府采购中标（成交）通知书或政府采购合同提出融资申请。</w:t>
      </w:r>
    </w:p>
    <w:p w14:paraId="301E4EB0">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八、对本次招标提出询问，请按以下方式联系。</w:t>
      </w:r>
    </w:p>
    <w:p w14:paraId="2B2525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14:paraId="094657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名称：宝鸡市凤翔区竞存第一中学</w:t>
      </w:r>
    </w:p>
    <w:p w14:paraId="4B6262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地址：城关镇太白巷</w:t>
      </w:r>
    </w:p>
    <w:p w14:paraId="17A48F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联系方式：13892738999</w:t>
      </w:r>
    </w:p>
    <w:p w14:paraId="35520E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14:paraId="0A2CCE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名称：陕西紫方乔项目管理有限公司</w:t>
      </w:r>
    </w:p>
    <w:p w14:paraId="1B3814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地址：陕西省西安市长安区长安双创中心A座9层HD-CA-A698</w:t>
      </w:r>
    </w:p>
    <w:p w14:paraId="7761C9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联系方式：0917-3223571</w:t>
      </w:r>
    </w:p>
    <w:p w14:paraId="37563E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p>
    <w:p w14:paraId="7FB1AC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项目联系人：紫方乔经办</w:t>
      </w:r>
    </w:p>
    <w:p w14:paraId="3406FC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电话：0917-3223571</w:t>
      </w:r>
    </w:p>
    <w:p w14:paraId="09916015">
      <w:pPr>
        <w:spacing w:line="360" w:lineRule="auto"/>
        <w:jc w:val="right"/>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sz w:val="24"/>
          <w:szCs w:val="24"/>
          <w:highlight w:val="none"/>
        </w:rPr>
        <w:t>陕西紫方乔项目管理有限公司</w:t>
      </w:r>
    </w:p>
    <w:p w14:paraId="089F224A">
      <w:pPr>
        <w:keepNext w:val="0"/>
        <w:keepLines w:val="0"/>
        <w:widowControl/>
        <w:suppressLineNumbers w:val="0"/>
        <w:wordWrap w:val="0"/>
        <w:spacing w:line="480" w:lineRule="atLeast"/>
        <w:jc w:val="both"/>
        <w:rPr>
          <w:rFonts w:hint="eastAsia" w:ascii="微软雅黑" w:hAnsi="微软雅黑" w:eastAsia="微软雅黑" w:cs="微软雅黑"/>
          <w:sz w:val="21"/>
          <w:szCs w:val="21"/>
          <w:highlight w:val="none"/>
        </w:rPr>
      </w:pPr>
    </w:p>
    <w:p w14:paraId="14B0DCA2">
      <w:pPr>
        <w:pStyle w:val="2"/>
        <w:pageBreakBefore/>
        <w:outlineLvl w:val="0"/>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rPr>
        <w:t>第二章、</w:t>
      </w:r>
      <w:r>
        <w:rPr>
          <w:rFonts w:hint="eastAsia" w:ascii="宋体" w:hAnsi="宋体" w:eastAsia="宋体" w:cs="宋体"/>
          <w:b/>
          <w:color w:val="auto"/>
          <w:sz w:val="32"/>
          <w:szCs w:val="32"/>
          <w:highlight w:val="none"/>
          <w:lang w:val="zh-CN"/>
        </w:rPr>
        <w:t>竞争性谈判须知</w:t>
      </w:r>
      <w:bookmarkEnd w:id="4"/>
      <w:bookmarkEnd w:id="5"/>
      <w:bookmarkEnd w:id="6"/>
      <w:bookmarkEnd w:id="7"/>
      <w:bookmarkEnd w:id="8"/>
    </w:p>
    <w:p w14:paraId="7A87A928">
      <w:pPr>
        <w:pStyle w:val="3"/>
        <w:shd w:val="clear"/>
        <w:spacing w:before="0" w:after="0" w:line="480" w:lineRule="exact"/>
        <w:outlineLvl w:val="1"/>
        <w:rPr>
          <w:rFonts w:hint="eastAsia" w:ascii="宋体" w:hAnsi="宋体" w:eastAsia="宋体" w:cs="宋体"/>
          <w:color w:val="auto"/>
          <w:kern w:val="0"/>
          <w:sz w:val="24"/>
          <w:szCs w:val="24"/>
          <w:highlight w:val="none"/>
        </w:rPr>
      </w:pPr>
      <w:bookmarkStart w:id="9" w:name="_Toc32605"/>
      <w:r>
        <w:rPr>
          <w:rFonts w:hint="eastAsia" w:ascii="宋体" w:hAnsi="宋体" w:eastAsia="宋体" w:cs="宋体"/>
          <w:color w:val="auto"/>
          <w:kern w:val="0"/>
          <w:sz w:val="24"/>
          <w:szCs w:val="24"/>
          <w:highlight w:val="none"/>
        </w:rPr>
        <w:t>一、供应商须知前附表</w:t>
      </w:r>
      <w:bookmarkEnd w:id="9"/>
    </w:p>
    <w:tbl>
      <w:tblPr>
        <w:tblStyle w:val="30"/>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2118"/>
        <w:gridCol w:w="6918"/>
      </w:tblGrid>
      <w:tr w14:paraId="08845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229404AA">
            <w:pPr>
              <w:shd w:val="clea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2118" w:type="dxa"/>
            <w:vAlign w:val="center"/>
          </w:tcPr>
          <w:p w14:paraId="6DB44EB0">
            <w:pPr>
              <w:shd w:val="clea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条款名称</w:t>
            </w:r>
          </w:p>
        </w:tc>
        <w:tc>
          <w:tcPr>
            <w:tcW w:w="6918" w:type="dxa"/>
          </w:tcPr>
          <w:p w14:paraId="2BA225CD">
            <w:pPr>
              <w:shd w:val="clea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说明和要求</w:t>
            </w:r>
          </w:p>
        </w:tc>
      </w:tr>
      <w:tr w14:paraId="4B577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0ABECD62">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18" w:type="dxa"/>
            <w:vAlign w:val="center"/>
          </w:tcPr>
          <w:p w14:paraId="72889548">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6918" w:type="dxa"/>
            <w:vAlign w:val="top"/>
          </w:tcPr>
          <w:p w14:paraId="7C0FC4F6">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名    称：</w:t>
            </w:r>
            <w:r>
              <w:rPr>
                <w:rFonts w:hint="eastAsia" w:cs="宋体"/>
                <w:b w:val="0"/>
                <w:bCs/>
                <w:color w:val="auto"/>
                <w:kern w:val="2"/>
                <w:sz w:val="24"/>
                <w:szCs w:val="24"/>
                <w:highlight w:val="none"/>
                <w:lang w:val="en-US" w:eastAsia="zh-CN" w:bidi="ar-SA"/>
              </w:rPr>
              <w:t>宝鸡市凤翔区竞存第一中学</w:t>
            </w:r>
          </w:p>
          <w:p w14:paraId="13E2341D">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地    址：</w:t>
            </w:r>
            <w:r>
              <w:rPr>
                <w:rFonts w:hint="eastAsia" w:cs="宋体"/>
                <w:b w:val="0"/>
                <w:bCs/>
                <w:color w:val="auto"/>
                <w:kern w:val="2"/>
                <w:sz w:val="24"/>
                <w:szCs w:val="24"/>
                <w:highlight w:val="none"/>
                <w:lang w:val="en-US" w:eastAsia="zh-CN" w:bidi="ar-SA"/>
              </w:rPr>
              <w:t>城关镇太白巷</w:t>
            </w:r>
          </w:p>
          <w:p w14:paraId="0FE95048">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联 系 人：</w:t>
            </w:r>
            <w:r>
              <w:rPr>
                <w:rFonts w:hint="eastAsia" w:cs="宋体"/>
                <w:b w:val="0"/>
                <w:bCs/>
                <w:color w:val="auto"/>
                <w:kern w:val="2"/>
                <w:sz w:val="24"/>
                <w:szCs w:val="24"/>
                <w:highlight w:val="none"/>
                <w:lang w:val="en-US" w:eastAsia="zh-CN" w:bidi="ar-SA"/>
              </w:rPr>
              <w:t>孙建刚</w:t>
            </w:r>
          </w:p>
          <w:p w14:paraId="47D059D5">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righ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b w:val="0"/>
                <w:bCs/>
                <w:color w:val="auto"/>
                <w:kern w:val="2"/>
                <w:sz w:val="24"/>
                <w:szCs w:val="24"/>
                <w:highlight w:val="none"/>
                <w:lang w:val="en-US" w:eastAsia="zh-CN" w:bidi="ar-SA"/>
              </w:rPr>
              <w:t>联系方式：0917-4762765</w:t>
            </w:r>
          </w:p>
        </w:tc>
      </w:tr>
      <w:tr w14:paraId="6232A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79089441">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18" w:type="dxa"/>
            <w:vAlign w:val="center"/>
          </w:tcPr>
          <w:p w14:paraId="110C3FEE">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w:t>
            </w:r>
          </w:p>
        </w:tc>
        <w:tc>
          <w:tcPr>
            <w:tcW w:w="6918" w:type="dxa"/>
            <w:vAlign w:val="top"/>
          </w:tcPr>
          <w:p w14:paraId="4B5730A1">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名称：</w:t>
            </w:r>
            <w:r>
              <w:rPr>
                <w:rFonts w:hint="eastAsia" w:cs="宋体"/>
                <w:b w:val="0"/>
                <w:bCs/>
                <w:color w:val="auto"/>
                <w:kern w:val="2"/>
                <w:sz w:val="24"/>
                <w:szCs w:val="24"/>
                <w:highlight w:val="none"/>
                <w:lang w:val="en-US" w:eastAsia="zh-CN" w:bidi="ar-SA"/>
              </w:rPr>
              <w:t>陕西紫方乔项目管理有限公司</w:t>
            </w:r>
          </w:p>
          <w:p w14:paraId="114FBF45">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地址：</w:t>
            </w:r>
            <w:r>
              <w:rPr>
                <w:rFonts w:hint="eastAsia" w:cs="宋体"/>
                <w:b w:val="0"/>
                <w:bCs/>
                <w:color w:val="auto"/>
                <w:kern w:val="2"/>
                <w:sz w:val="24"/>
                <w:szCs w:val="24"/>
                <w:highlight w:val="none"/>
                <w:lang w:val="en-US" w:eastAsia="zh-CN" w:bidi="ar-SA"/>
              </w:rPr>
              <w:t>陕西省西安市长安区长安双创中心A座9层HD-CA-A698</w:t>
            </w:r>
          </w:p>
          <w:p w14:paraId="25F11E02">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联系人：</w:t>
            </w:r>
            <w:r>
              <w:rPr>
                <w:rFonts w:hint="eastAsia" w:cs="宋体"/>
                <w:b w:val="0"/>
                <w:bCs/>
                <w:color w:val="auto"/>
                <w:kern w:val="2"/>
                <w:sz w:val="24"/>
                <w:szCs w:val="24"/>
                <w:highlight w:val="none"/>
                <w:lang w:val="en-US" w:eastAsia="zh-CN" w:bidi="ar-SA"/>
              </w:rPr>
              <w:t>李静乔</w:t>
            </w:r>
          </w:p>
          <w:p w14:paraId="67849386">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rightChars="0" w:firstLine="0" w:firstLineChars="0"/>
              <w:jc w:val="both"/>
              <w:rPr>
                <w:rFonts w:hint="eastAsia" w:ascii="宋体" w:hAnsi="宋体" w:eastAsia="宋体" w:cs="宋体"/>
                <w:color w:val="auto"/>
                <w:sz w:val="24"/>
                <w:szCs w:val="24"/>
                <w:highlight w:val="none"/>
                <w:lang w:eastAsia="zh-CN"/>
              </w:rPr>
            </w:pPr>
            <w:r>
              <w:rPr>
                <w:rFonts w:hint="eastAsia" w:ascii="宋体" w:hAnsi="宋体" w:eastAsia="宋体" w:cs="宋体"/>
                <w:b w:val="0"/>
                <w:bCs/>
                <w:color w:val="auto"/>
                <w:kern w:val="2"/>
                <w:sz w:val="24"/>
                <w:szCs w:val="24"/>
                <w:highlight w:val="none"/>
                <w:lang w:val="en-US" w:eastAsia="zh-CN" w:bidi="ar-SA"/>
              </w:rPr>
              <w:t>联系方式：</w:t>
            </w:r>
            <w:r>
              <w:rPr>
                <w:rFonts w:hint="eastAsia" w:cs="宋体"/>
                <w:b w:val="0"/>
                <w:bCs/>
                <w:color w:val="auto"/>
                <w:kern w:val="2"/>
                <w:sz w:val="24"/>
                <w:szCs w:val="24"/>
                <w:highlight w:val="none"/>
                <w:lang w:val="en-US" w:eastAsia="zh-CN" w:bidi="ar-SA"/>
              </w:rPr>
              <w:t>0917-3223571</w:t>
            </w:r>
          </w:p>
        </w:tc>
      </w:tr>
      <w:tr w14:paraId="5AA33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vAlign w:val="center"/>
          </w:tcPr>
          <w:p w14:paraId="357A9CD1">
            <w:pPr>
              <w:shd w:val="clear"/>
              <w:spacing w:line="36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18" w:type="dxa"/>
            <w:vAlign w:val="center"/>
          </w:tcPr>
          <w:p w14:paraId="054FCDC2">
            <w:pPr>
              <w:shd w:val="clear"/>
              <w:spacing w:line="36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监督管理机构</w:t>
            </w:r>
          </w:p>
        </w:tc>
        <w:tc>
          <w:tcPr>
            <w:tcW w:w="6918" w:type="dxa"/>
            <w:vAlign w:val="top"/>
          </w:tcPr>
          <w:p w14:paraId="25D85462">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rightChars="0" w:firstLine="0" w:firstLineChars="0"/>
              <w:jc w:val="both"/>
              <w:rPr>
                <w:rFonts w:hint="eastAsia" w:ascii="宋体" w:hAnsi="宋体" w:eastAsia="宋体" w:cs="宋体"/>
                <w:color w:val="auto"/>
                <w:sz w:val="24"/>
                <w:szCs w:val="24"/>
                <w:highlight w:val="none"/>
                <w:lang w:val="en-US" w:eastAsia="zh-CN"/>
              </w:rPr>
            </w:pPr>
            <w:r>
              <w:rPr>
                <w:rFonts w:hint="eastAsia" w:cs="宋体"/>
                <w:b w:val="0"/>
                <w:bCs/>
                <w:color w:val="auto"/>
                <w:kern w:val="2"/>
                <w:sz w:val="24"/>
                <w:szCs w:val="24"/>
                <w:highlight w:val="none"/>
                <w:lang w:val="en-US" w:eastAsia="zh-CN" w:bidi="ar-SA"/>
              </w:rPr>
              <w:t>凤翔区教育体育局</w:t>
            </w:r>
          </w:p>
        </w:tc>
      </w:tr>
      <w:tr w14:paraId="3457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26C2B8F6">
            <w:pPr>
              <w:shd w:val="clear"/>
              <w:spacing w:line="36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118" w:type="dxa"/>
            <w:vAlign w:val="center"/>
          </w:tcPr>
          <w:p w14:paraId="0BFFA952">
            <w:pPr>
              <w:shd w:val="clear"/>
              <w:spacing w:line="36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918" w:type="dxa"/>
            <w:vAlign w:val="top"/>
          </w:tcPr>
          <w:p w14:paraId="7583D87E">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rightChars="0" w:firstLine="0" w:firstLineChars="0"/>
              <w:jc w:val="both"/>
              <w:rPr>
                <w:rFonts w:hint="eastAsia" w:ascii="宋体" w:hAnsi="宋体" w:eastAsia="宋体" w:cs="宋体"/>
                <w:color w:val="auto"/>
                <w:sz w:val="24"/>
                <w:szCs w:val="24"/>
                <w:highlight w:val="none"/>
                <w:lang w:val="en-US" w:eastAsia="zh-CN"/>
              </w:rPr>
            </w:pPr>
            <w:r>
              <w:rPr>
                <w:rFonts w:hint="eastAsia" w:cs="宋体"/>
                <w:b w:val="0"/>
                <w:bCs/>
                <w:color w:val="auto"/>
                <w:kern w:val="2"/>
                <w:sz w:val="24"/>
                <w:szCs w:val="24"/>
                <w:highlight w:val="none"/>
                <w:lang w:val="en-US" w:eastAsia="zh-CN" w:bidi="ar-SA"/>
              </w:rPr>
              <w:t>宝鸡市凤翔区竞存第一中学智慧黑板采购项目</w:t>
            </w:r>
          </w:p>
        </w:tc>
      </w:tr>
      <w:tr w14:paraId="21CF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vAlign w:val="center"/>
          </w:tcPr>
          <w:p w14:paraId="35B70B1A">
            <w:pPr>
              <w:shd w:val="clear"/>
              <w:spacing w:line="36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118" w:type="dxa"/>
            <w:vAlign w:val="center"/>
          </w:tcPr>
          <w:p w14:paraId="70F45387">
            <w:pPr>
              <w:shd w:val="clear"/>
              <w:spacing w:line="36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c>
        <w:tc>
          <w:tcPr>
            <w:tcW w:w="6918" w:type="dxa"/>
            <w:vAlign w:val="top"/>
          </w:tcPr>
          <w:p w14:paraId="34C8CDF6">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rightChars="0" w:firstLine="0" w:firstLineChars="0"/>
              <w:jc w:val="both"/>
              <w:rPr>
                <w:rFonts w:hint="eastAsia" w:ascii="宋体" w:hAnsi="宋体" w:eastAsia="宋体" w:cs="宋体"/>
                <w:color w:val="auto"/>
                <w:sz w:val="24"/>
                <w:szCs w:val="24"/>
                <w:highlight w:val="none"/>
                <w:lang w:val="en-US" w:eastAsia="zh-CN"/>
              </w:rPr>
            </w:pPr>
            <w:r>
              <w:rPr>
                <w:rFonts w:hint="eastAsia" w:cs="宋体"/>
                <w:b w:val="0"/>
                <w:bCs/>
                <w:color w:val="auto"/>
                <w:kern w:val="2"/>
                <w:sz w:val="24"/>
                <w:szCs w:val="24"/>
                <w:highlight w:val="none"/>
                <w:lang w:val="en-US" w:eastAsia="zh-CN" w:bidi="ar-SA"/>
              </w:rPr>
              <w:t>DX-BJ-2026-039(CG)</w:t>
            </w:r>
          </w:p>
        </w:tc>
      </w:tr>
      <w:tr w14:paraId="3E0D0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1579CB85">
            <w:pPr>
              <w:shd w:val="clear"/>
              <w:spacing w:line="36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118" w:type="dxa"/>
            <w:vAlign w:val="center"/>
          </w:tcPr>
          <w:p w14:paraId="7D730D06">
            <w:pPr>
              <w:shd w:val="clear"/>
              <w:spacing w:line="36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资金性质</w:t>
            </w:r>
          </w:p>
        </w:tc>
        <w:tc>
          <w:tcPr>
            <w:tcW w:w="6918" w:type="dxa"/>
            <w:vAlign w:val="top"/>
          </w:tcPr>
          <w:p w14:paraId="4D5E4DD5">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leftChars="0" w:right="0" w:rightChars="0" w:firstLine="0" w:firstLineChars="0"/>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bidi="ar-SA"/>
              </w:rPr>
              <w:t>财政资金</w:t>
            </w:r>
          </w:p>
        </w:tc>
      </w:tr>
      <w:tr w14:paraId="167C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vAlign w:val="center"/>
          </w:tcPr>
          <w:p w14:paraId="15EBC6C2">
            <w:pPr>
              <w:shd w:val="clear"/>
              <w:spacing w:line="36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118" w:type="dxa"/>
            <w:vAlign w:val="center"/>
          </w:tcPr>
          <w:p w14:paraId="22440014">
            <w:pPr>
              <w:shd w:val="clear"/>
              <w:spacing w:line="365"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eastAsia="zh-CN"/>
              </w:rPr>
              <w:t>最高限价</w:t>
            </w:r>
          </w:p>
        </w:tc>
        <w:tc>
          <w:tcPr>
            <w:tcW w:w="6918" w:type="dxa"/>
            <w:vAlign w:val="center"/>
          </w:tcPr>
          <w:p w14:paraId="322E1B5C">
            <w:pPr>
              <w:shd w:val="clear"/>
              <w:spacing w:line="365"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lang w:val="en-US" w:eastAsia="zh-CN"/>
              </w:rPr>
              <w:t>0000.00元</w:t>
            </w:r>
          </w:p>
        </w:tc>
      </w:tr>
      <w:tr w14:paraId="21335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vAlign w:val="center"/>
          </w:tcPr>
          <w:p w14:paraId="7A09F9BC">
            <w:pPr>
              <w:shd w:val="clear"/>
              <w:spacing w:line="365"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2118" w:type="dxa"/>
            <w:vAlign w:val="center"/>
          </w:tcPr>
          <w:p w14:paraId="3DBBBB54">
            <w:pPr>
              <w:shd w:val="clear"/>
              <w:spacing w:line="365"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采购内容和要求</w:t>
            </w:r>
          </w:p>
        </w:tc>
        <w:tc>
          <w:tcPr>
            <w:tcW w:w="6918" w:type="dxa"/>
            <w:vAlign w:val="center"/>
          </w:tcPr>
          <w:p w14:paraId="5D96F469">
            <w:pPr>
              <w:pStyle w:val="27"/>
              <w:shd w:val="clear"/>
              <w:spacing w:line="365" w:lineRule="auto"/>
              <w:rPr>
                <w:rFonts w:hint="eastAsia" w:ascii="宋体" w:hAnsi="宋体" w:eastAsia="宋体" w:cs="宋体"/>
                <w:color w:val="auto"/>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竞争性谈判文件第三章</w:t>
            </w:r>
          </w:p>
        </w:tc>
      </w:tr>
      <w:tr w14:paraId="3559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5BC3BC48">
            <w:pPr>
              <w:shd w:val="clea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9</w:t>
            </w:r>
          </w:p>
        </w:tc>
        <w:tc>
          <w:tcPr>
            <w:tcW w:w="2118" w:type="dxa"/>
            <w:vAlign w:val="center"/>
          </w:tcPr>
          <w:p w14:paraId="3ECCE851">
            <w:pPr>
              <w:shd w:val="clea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6918" w:type="dxa"/>
          </w:tcPr>
          <w:p w14:paraId="4916D94B">
            <w:pPr>
              <w:shd w:val="clear"/>
              <w:spacing w:line="420" w:lineRule="exac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SA"/>
              </w:rPr>
              <w:t>响应</w:t>
            </w:r>
            <w:r>
              <w:rPr>
                <w:rFonts w:hint="eastAsia" w:ascii="宋体" w:hAnsi="宋体" w:eastAsia="宋体" w:cs="宋体"/>
                <w:color w:val="auto"/>
                <w:kern w:val="0"/>
                <w:sz w:val="24"/>
                <w:szCs w:val="24"/>
                <w:highlight w:val="none"/>
                <w:lang w:val="en-US" w:eastAsia="zh-CN" w:bidi="ar-SA"/>
              </w:rPr>
              <w:fldChar w:fldCharType="begin"/>
            </w:r>
            <w:r>
              <w:rPr>
                <w:rFonts w:hint="eastAsia" w:ascii="宋体" w:hAnsi="宋体" w:eastAsia="宋体" w:cs="宋体"/>
                <w:color w:val="auto"/>
                <w:kern w:val="0"/>
                <w:sz w:val="24"/>
                <w:szCs w:val="24"/>
                <w:highlight w:val="none"/>
                <w:lang w:val="en-US" w:eastAsia="zh-CN" w:bidi="ar-SA"/>
              </w:rPr>
              <w:instrText xml:space="preserve"> HYPERLINK "http://baike.baidu.com/view/8707.htm" \t "_blank" </w:instrText>
            </w:r>
            <w:r>
              <w:rPr>
                <w:rFonts w:hint="eastAsia" w:ascii="宋体" w:hAnsi="宋体" w:eastAsia="宋体" w:cs="宋体"/>
                <w:color w:val="auto"/>
                <w:kern w:val="0"/>
                <w:sz w:val="24"/>
                <w:szCs w:val="24"/>
                <w:highlight w:val="none"/>
                <w:lang w:val="en-US" w:eastAsia="zh-CN" w:bidi="ar-SA"/>
              </w:rPr>
              <w:fldChar w:fldCharType="separate"/>
            </w:r>
            <w:r>
              <w:rPr>
                <w:rFonts w:hint="eastAsia" w:ascii="宋体" w:hAnsi="宋体" w:eastAsia="宋体" w:cs="宋体"/>
                <w:color w:val="auto"/>
                <w:kern w:val="0"/>
                <w:sz w:val="24"/>
                <w:szCs w:val="24"/>
                <w:highlight w:val="none"/>
                <w:lang w:val="en-US" w:eastAsia="zh-CN" w:bidi="ar-SA"/>
              </w:rPr>
              <w:t>谈判</w:t>
            </w:r>
            <w:r>
              <w:rPr>
                <w:rFonts w:hint="eastAsia" w:ascii="宋体" w:hAnsi="宋体" w:eastAsia="宋体" w:cs="宋体"/>
                <w:color w:val="auto"/>
                <w:kern w:val="0"/>
                <w:sz w:val="24"/>
                <w:szCs w:val="24"/>
                <w:highlight w:val="none"/>
                <w:lang w:val="en-US" w:eastAsia="zh-CN" w:bidi="ar-SA"/>
              </w:rPr>
              <w:fldChar w:fldCharType="end"/>
            </w:r>
            <w:r>
              <w:rPr>
                <w:rFonts w:hint="eastAsia" w:ascii="宋体" w:hAnsi="宋体" w:eastAsia="宋体" w:cs="宋体"/>
                <w:color w:val="auto"/>
                <w:kern w:val="0"/>
                <w:sz w:val="24"/>
                <w:szCs w:val="24"/>
                <w:highlight w:val="none"/>
                <w:lang w:val="en-US" w:eastAsia="zh-CN" w:bidi="ar-SA"/>
              </w:rPr>
              <w:t>并且符合竞争性谈判文件规定资格条件和参加谈判竞争的法人或其他组织。</w:t>
            </w:r>
          </w:p>
        </w:tc>
      </w:tr>
      <w:tr w14:paraId="373A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vAlign w:val="center"/>
          </w:tcPr>
          <w:p w14:paraId="1A4A066A">
            <w:pPr>
              <w:shd w:val="clea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0</w:t>
            </w:r>
          </w:p>
        </w:tc>
        <w:tc>
          <w:tcPr>
            <w:tcW w:w="2118" w:type="dxa"/>
            <w:vAlign w:val="center"/>
          </w:tcPr>
          <w:p w14:paraId="6357686D">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供应商资格要求</w:t>
            </w:r>
          </w:p>
        </w:tc>
        <w:tc>
          <w:tcPr>
            <w:tcW w:w="6918" w:type="dxa"/>
          </w:tcPr>
          <w:p w14:paraId="170012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548037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w:t>
            </w:r>
          </w:p>
          <w:p w14:paraId="3A1DFF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合同包1(宝鸡市凤翔区竞存第一中学智慧黑板采购项目)落实政府采购政策需满足的资格要求如下:</w:t>
            </w:r>
          </w:p>
          <w:p w14:paraId="124E77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（1）《国务院办公厅关于建立政府强制采购节能产品制度的通知》（国办发〔2007〕51号）；</w:t>
            </w:r>
          </w:p>
          <w:p w14:paraId="2FB1DC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（2）《财政部司法部关于政府采购支持监狱企业发展有关问题的通知》（财库〔2014〕68号）；</w:t>
            </w:r>
          </w:p>
          <w:p w14:paraId="26B9D1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（3）《财政部民政部中国残疾人联合会关于促进残疾人就业政府采购政策的通知》（财库〔2017〕141号）；</w:t>
            </w:r>
          </w:p>
          <w:p w14:paraId="5A89E8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（4）《财政部发展改革委生态环境部市场监管总局关于调整优化节能产品、环境标志产品政府采购执行机制的通知》（财库〔2019〕9号）；</w:t>
            </w:r>
          </w:p>
          <w:p w14:paraId="36BAA1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（5）《关于运用政府采购政策支持乡村产业振兴的通知》（财库〔2021〕19号）；</w:t>
            </w:r>
          </w:p>
          <w:p w14:paraId="65F1B0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（6）《政府采购促进中小企业发展管理办法》（财库〔2020〕46号）；</w:t>
            </w:r>
          </w:p>
          <w:p w14:paraId="2C3239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（7）《陕西省中小企业政府采购信用融资办法》（陕财办采〔2018〕23号）；</w:t>
            </w:r>
          </w:p>
          <w:p w14:paraId="0E9BF5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（8）《关于进一步加大政府采购支持中小企业力度的通知》（财库〔2023〕19号）；</w:t>
            </w:r>
          </w:p>
          <w:p w14:paraId="378109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（9）《陕西省财政厅关于进一步落实政府采购支持中小企业相关政策的通知》（陕财办采〔2023〕3号）；</w:t>
            </w:r>
          </w:p>
          <w:p w14:paraId="42B410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（10）《陕西省财政厅关于加强政府采购绿色采购有关工作的通知》（陕财办采〔2021〕29号）；</w:t>
            </w:r>
          </w:p>
          <w:p w14:paraId="778BD9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（11）若国家、陕西省后续新颁布政府采购相关政策文件，本项目统一按最新有效文件规定执行。</w:t>
            </w:r>
          </w:p>
          <w:p w14:paraId="716D60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507899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合同包1(宝鸡市凤翔区竞存第一中学智慧黑板采购项目)特定资格要求如下:</w:t>
            </w:r>
          </w:p>
          <w:p w14:paraId="4FCE80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主体资格证明：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1329A8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（2）谈判授权代表材料：供应商应授权合法的人员参加谈判，其中法定代表人直接参加的，须出具法定代表人证明书；被授权代表参加的，须出具法定代表人授权书；</w:t>
            </w:r>
          </w:p>
          <w:p w14:paraId="25E414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财务状况证明：提供经审计的2025年度完整财务审计报告；若供应商成立至响应文件递交截止时间不足一年，可提供成立后任意时段财务报表，或递交截止前三个月内基本存款账户开户行出具的资信证明；其他组织、自然人可提供银行出具的资信证明或财务报表；</w:t>
            </w:r>
            <w:r>
              <w:rPr>
                <w:rFonts w:hint="eastAsia" w:ascii="宋体" w:hAnsi="宋体" w:eastAsia="宋体" w:cs="宋体"/>
                <w:b w:val="0"/>
                <w:bCs/>
                <w:color w:val="auto"/>
                <w:kern w:val="2"/>
                <w:sz w:val="24"/>
                <w:szCs w:val="24"/>
                <w:highlight w:val="none"/>
                <w:lang w:val="zh-CN" w:eastAsia="zh-CN" w:bidi="ar-SA"/>
              </w:rPr>
              <w:t>(注:依据财政部、国务院国资委、金融监管总局印发&lt;&lt;关于加强审计报告查验工作的通知&gt;&gt;(财会(2023]15号)报告须在注册会计师行业统一监管平台备案并由该平台赋予二维码)</w:t>
            </w:r>
          </w:p>
          <w:p w14:paraId="4FAF36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税收缴纳证明：提供2025年07月01日至今已缴纳的至少六个月的纳税证明或完税证明（时间以税款所属日期为准、税种须包含增值税或所得税）；若供应商成立至响应截止不足六个月、依法零申报或免税，应提供税务机关出具的相关佐证材料;</w:t>
            </w:r>
          </w:p>
          <w:p w14:paraId="507514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社会保障资金缴纳证明：提供2025年07月01日至今至少连续六个月社保缴费银行单据或社保经办机构出具的参保缴费证明；若供应商成立至响应截止不足六个月，可提供实际缴纳时段社保凭证；依法无需缴纳社会保障资金的单位，须提供相关主管部门出具的免缴证明材料；</w:t>
            </w:r>
          </w:p>
          <w:p w14:paraId="1D5FE2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（6）信用记录要求：供应商未被列入“信用中国”网站(www.creditchina.gov.cn)失信被执行人、重大税收违法失信主体；未被列入中国政府采购网(www.ccgp.gov.cn)政府采购严重违法失信行为记录名单。</w:t>
            </w:r>
          </w:p>
          <w:p w14:paraId="198897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（7）履约能力承诺书：供应商须提供书面承诺书，承诺自身具备完成本项目供货、运输、安装、调试、售后维保、人员培训全流程服务所需设备、场地、专业技术人员及配套服务能力；</w:t>
            </w:r>
          </w:p>
          <w:p w14:paraId="532DEB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中小企业专项要求：本项目专门面向中小企业采购，供应商响应文件中必须提供财政部统一格式《中小企业声明函》；监狱企业、残疾人福利性单位视同中小企业，须同步提供对应官方认定证明文件，否则资格审查不予通过；</w:t>
            </w:r>
          </w:p>
          <w:p w14:paraId="43F5B3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hint="eastAsia" w:ascii="宋体" w:hAnsi="宋体" w:cs="宋体"/>
                <w:sz w:val="24"/>
                <w:szCs w:val="24"/>
                <w:highlight w:val="none"/>
                <w:lang w:eastAsia="zh-CN"/>
              </w:rPr>
              <w:t>控股管理关系</w:t>
            </w:r>
            <w:r>
              <w:rPr>
                <w:rFonts w:hint="eastAsia" w:ascii="宋体" w:hAnsi="宋体" w:eastAsia="宋体" w:cs="宋体"/>
                <w:sz w:val="24"/>
                <w:szCs w:val="24"/>
                <w:highlight w:val="none"/>
              </w:rPr>
              <w:t>。单位负责人为同一人或者存在直接控股、管理关系的不同供应商，不得同时参与本项目采购活动；</w:t>
            </w:r>
          </w:p>
          <w:p w14:paraId="71698A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ighlight w:val="none"/>
              </w:rPr>
            </w:pPr>
            <w:r>
              <w:rPr>
                <w:rFonts w:hint="eastAsia" w:ascii="宋体" w:hAnsi="宋体" w:eastAsia="宋体" w:cs="宋体"/>
                <w:sz w:val="24"/>
                <w:szCs w:val="24"/>
                <w:highlight w:val="none"/>
              </w:rPr>
              <w:t>（10）书面</w:t>
            </w:r>
            <w:r>
              <w:rPr>
                <w:rFonts w:hint="eastAsia" w:ascii="宋体" w:hAnsi="宋体" w:eastAsia="宋体" w:cs="宋体"/>
                <w:sz w:val="24"/>
                <w:szCs w:val="24"/>
                <w:highlight w:val="none"/>
                <w:lang w:eastAsia="zh-CN"/>
              </w:rPr>
              <w:t>声明</w:t>
            </w:r>
            <w:r>
              <w:rPr>
                <w:rFonts w:hint="eastAsia" w:ascii="宋体" w:hAnsi="宋体" w:eastAsia="宋体" w:cs="宋体"/>
                <w:sz w:val="24"/>
                <w:szCs w:val="24"/>
                <w:highlight w:val="none"/>
              </w:rPr>
              <w:t>：出具参加政府采购活动前3年内在经营活动中没有重大违法记录的书面声明；</w:t>
            </w:r>
          </w:p>
        </w:tc>
      </w:tr>
      <w:tr w14:paraId="3F80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594EBC3B">
            <w:pPr>
              <w:shd w:val="clea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2118" w:type="dxa"/>
            <w:vAlign w:val="center"/>
          </w:tcPr>
          <w:p w14:paraId="6D826774">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供货期、地点</w:t>
            </w:r>
          </w:p>
        </w:tc>
        <w:tc>
          <w:tcPr>
            <w:tcW w:w="6918" w:type="dxa"/>
          </w:tcPr>
          <w:p w14:paraId="30FCD5B9">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供货期：</w:t>
            </w:r>
            <w:r>
              <w:rPr>
                <w:rFonts w:hint="eastAsia" w:ascii="宋体" w:hAnsi="宋体" w:cs="宋体"/>
                <w:color w:val="000000"/>
                <w:kern w:val="0"/>
                <w:sz w:val="24"/>
                <w:szCs w:val="24"/>
                <w:highlight w:val="none"/>
                <w:lang w:val="en-US" w:eastAsia="zh-CN" w:bidi="ar"/>
              </w:rPr>
              <w:t>自合同签订之日起30个日历天内交货、安装、调试</w:t>
            </w:r>
            <w:r>
              <w:rPr>
                <w:rFonts w:hint="eastAsia" w:ascii="宋体" w:hAnsi="宋体" w:eastAsia="宋体" w:cs="宋体"/>
                <w:color w:val="000000"/>
                <w:kern w:val="0"/>
                <w:sz w:val="24"/>
                <w:szCs w:val="24"/>
                <w:highlight w:val="none"/>
                <w:lang w:val="en-US" w:eastAsia="zh-CN" w:bidi="ar"/>
              </w:rPr>
              <w:t>。</w:t>
            </w:r>
          </w:p>
          <w:p w14:paraId="5ED758FB">
            <w:pPr>
              <w:shd w:val="clear"/>
              <w:spacing w:line="460" w:lineRule="exact"/>
              <w:rPr>
                <w:rFonts w:hint="eastAsia" w:ascii="宋体" w:hAnsi="宋体" w:eastAsia="宋体" w:cs="宋体"/>
                <w:color w:val="auto"/>
                <w:sz w:val="24"/>
                <w:highlight w:val="none"/>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地点</w:t>
            </w:r>
            <w:r>
              <w:rPr>
                <w:rFonts w:hint="eastAsia" w:ascii="宋体" w:hAnsi="宋体" w:eastAsia="宋体" w:cs="宋体"/>
                <w:i w:val="0"/>
                <w:iCs w:val="0"/>
                <w:caps w:val="0"/>
                <w:color w:val="auto"/>
                <w:spacing w:val="0"/>
                <w:kern w:val="0"/>
                <w:sz w:val="24"/>
                <w:szCs w:val="24"/>
                <w:highlight w:val="none"/>
                <w:shd w:val="clear" w:fill="FFFFFF"/>
                <w:lang w:val="zh-CN" w:eastAsia="zh-CN" w:bidi="ar-SA"/>
              </w:rPr>
              <w:t>：</w:t>
            </w:r>
            <w:r>
              <w:rPr>
                <w:rFonts w:hint="eastAsia" w:ascii="宋体" w:hAnsi="宋体" w:eastAsia="宋体" w:cs="宋体"/>
                <w:i w:val="0"/>
                <w:iCs w:val="0"/>
                <w:caps w:val="0"/>
                <w:color w:val="auto"/>
                <w:spacing w:val="0"/>
                <w:kern w:val="0"/>
                <w:sz w:val="24"/>
                <w:szCs w:val="24"/>
                <w:highlight w:val="none"/>
                <w:shd w:val="clear" w:fill="FFFFFF"/>
                <w:lang w:val="en-US" w:eastAsia="zh-CN" w:bidi="ar-SA"/>
              </w:rPr>
              <w:t>采购人指定地点</w:t>
            </w:r>
            <w:r>
              <w:rPr>
                <w:rFonts w:hint="eastAsia" w:ascii="宋体" w:hAnsi="宋体" w:eastAsia="宋体" w:cs="宋体"/>
                <w:i w:val="0"/>
                <w:iCs w:val="0"/>
                <w:caps w:val="0"/>
                <w:color w:val="auto"/>
                <w:spacing w:val="0"/>
                <w:kern w:val="0"/>
                <w:sz w:val="24"/>
                <w:szCs w:val="24"/>
                <w:highlight w:val="none"/>
                <w:shd w:val="clear" w:fill="FFFFFF"/>
                <w:lang w:val="zh-CN" w:eastAsia="zh-CN" w:bidi="ar-SA"/>
              </w:rPr>
              <w:t>。</w:t>
            </w:r>
          </w:p>
        </w:tc>
      </w:tr>
      <w:tr w14:paraId="53A6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3" w:type="dxa"/>
            <w:vAlign w:val="center"/>
          </w:tcPr>
          <w:p w14:paraId="17E2A92D">
            <w:pPr>
              <w:shd w:val="clea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c>
          <w:tcPr>
            <w:tcW w:w="2118" w:type="dxa"/>
            <w:vAlign w:val="center"/>
          </w:tcPr>
          <w:p w14:paraId="5FBE9AF3">
            <w:pPr>
              <w:shd w:val="clea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竞争性谈判文件获取</w:t>
            </w:r>
          </w:p>
        </w:tc>
        <w:tc>
          <w:tcPr>
            <w:tcW w:w="6918" w:type="dxa"/>
          </w:tcPr>
          <w:p w14:paraId="0A50170D">
            <w:pPr>
              <w:pStyle w:val="114"/>
              <w:shd w:val="clear"/>
              <w:spacing w:line="460" w:lineRule="exact"/>
              <w:ind w:left="24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获取</w:t>
            </w:r>
            <w:r>
              <w:rPr>
                <w:rFonts w:hint="eastAsia" w:ascii="宋体" w:hAnsi="宋体" w:eastAsia="宋体" w:cs="宋体"/>
                <w:color w:val="auto"/>
                <w:sz w:val="24"/>
                <w:szCs w:val="24"/>
                <w:highlight w:val="none"/>
              </w:rPr>
              <w:t>时间：2026年07月21日至2026年07月23日，每天上午00:00:00至12:00:00，下午12:00:00至23:59:59（北京时间）。</w:t>
            </w:r>
          </w:p>
          <w:p w14:paraId="586B4CB7">
            <w:pPr>
              <w:pStyle w:val="114"/>
              <w:shd w:val="clea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获取方式</w:t>
            </w:r>
            <w:r>
              <w:rPr>
                <w:rFonts w:hint="eastAsia" w:ascii="宋体" w:hAnsi="宋体" w:eastAsia="宋体" w:cs="宋体"/>
                <w:color w:val="auto"/>
                <w:sz w:val="24"/>
                <w:szCs w:val="24"/>
                <w:highlight w:val="none"/>
              </w:rPr>
              <w:t>：</w:t>
            </w:r>
            <w:r>
              <w:rPr>
                <w:rFonts w:hint="eastAsia" w:ascii="宋体" w:hAnsi="宋体" w:eastAsia="宋体" w:cs="宋体"/>
                <w:sz w:val="24"/>
                <w:szCs w:val="24"/>
                <w:highlight w:val="none"/>
              </w:rPr>
              <w:t>【全国公共资源交易平台（陕西省·宝鸡市）】</w:t>
            </w:r>
            <w:r>
              <w:rPr>
                <w:rFonts w:hint="eastAsia" w:ascii="宋体" w:hAnsi="宋体" w:eastAsia="宋体" w:cs="宋体"/>
                <w:color w:val="auto"/>
                <w:sz w:val="24"/>
                <w:szCs w:val="24"/>
                <w:highlight w:val="none"/>
              </w:rPr>
              <w:t>（http://</w:t>
            </w:r>
            <w:r>
              <w:rPr>
                <w:rFonts w:hint="eastAsia" w:ascii="宋体" w:hAnsi="宋体" w:eastAsia="宋体" w:cs="宋体"/>
                <w:color w:val="auto"/>
                <w:sz w:val="24"/>
                <w:szCs w:val="24"/>
                <w:highlight w:val="none"/>
                <w:lang w:eastAsia="zh-CN"/>
              </w:rPr>
              <w:t>ggzy.baoji.gov.cn</w:t>
            </w:r>
            <w:r>
              <w:rPr>
                <w:rFonts w:hint="eastAsia" w:ascii="宋体" w:hAnsi="宋体" w:eastAsia="宋体" w:cs="宋体"/>
                <w:color w:val="auto"/>
                <w:sz w:val="24"/>
                <w:szCs w:val="24"/>
                <w:highlight w:val="none"/>
              </w:rPr>
              <w:t>/）下载。</w:t>
            </w:r>
          </w:p>
        </w:tc>
      </w:tr>
      <w:tr w14:paraId="19783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63" w:type="dxa"/>
            <w:vAlign w:val="center"/>
          </w:tcPr>
          <w:p w14:paraId="04A2EBE5">
            <w:pPr>
              <w:shd w:val="clea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w:t>
            </w:r>
          </w:p>
        </w:tc>
        <w:tc>
          <w:tcPr>
            <w:tcW w:w="2118" w:type="dxa"/>
            <w:vAlign w:val="center"/>
          </w:tcPr>
          <w:p w14:paraId="48F05B36">
            <w:pPr>
              <w:shd w:val="clea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联合体</w:t>
            </w:r>
            <w:r>
              <w:rPr>
                <w:rFonts w:hint="eastAsia" w:ascii="宋体" w:hAnsi="宋体" w:eastAsia="宋体" w:cs="宋体"/>
                <w:color w:val="auto"/>
                <w:sz w:val="24"/>
                <w:highlight w:val="none"/>
                <w:lang w:eastAsia="zh-CN"/>
              </w:rPr>
              <w:t>谈判</w:t>
            </w:r>
          </w:p>
        </w:tc>
        <w:tc>
          <w:tcPr>
            <w:tcW w:w="6918" w:type="dxa"/>
          </w:tcPr>
          <w:p w14:paraId="73048128">
            <w:pPr>
              <w:shd w:val="clea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不接受</w:t>
            </w:r>
          </w:p>
        </w:tc>
      </w:tr>
      <w:tr w14:paraId="3E0E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663" w:type="dxa"/>
            <w:vAlign w:val="center"/>
          </w:tcPr>
          <w:p w14:paraId="0359875B">
            <w:pPr>
              <w:shd w:val="clea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2118" w:type="dxa"/>
            <w:vAlign w:val="center"/>
          </w:tcPr>
          <w:p w14:paraId="6FA8D2C1">
            <w:pPr>
              <w:shd w:val="clear"/>
              <w:spacing w:line="4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现场勘查、标前答疑会</w:t>
            </w:r>
          </w:p>
        </w:tc>
        <w:tc>
          <w:tcPr>
            <w:tcW w:w="6918" w:type="dxa"/>
            <w:vAlign w:val="center"/>
          </w:tcPr>
          <w:p w14:paraId="03EF3CC7">
            <w:pPr>
              <w:shd w:val="clear"/>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不</w:t>
            </w:r>
            <w:r>
              <w:rPr>
                <w:rFonts w:hint="eastAsia" w:ascii="宋体" w:hAnsi="宋体" w:eastAsia="宋体" w:cs="宋体"/>
                <w:color w:val="auto"/>
                <w:sz w:val="24"/>
                <w:highlight w:val="none"/>
                <w:lang w:val="en-US" w:eastAsia="zh-CN"/>
              </w:rPr>
              <w:t>统一</w:t>
            </w:r>
            <w:r>
              <w:rPr>
                <w:rFonts w:hint="eastAsia" w:ascii="宋体" w:hAnsi="宋体" w:eastAsia="宋体" w:cs="宋体"/>
                <w:color w:val="auto"/>
                <w:sz w:val="24"/>
                <w:highlight w:val="none"/>
              </w:rPr>
              <w:t>组织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供应商认为有必要的可自行前往进行踏勘，所产生的费用供应商自负。</w:t>
            </w:r>
          </w:p>
        </w:tc>
      </w:tr>
      <w:tr w14:paraId="301A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57A58A78">
            <w:pPr>
              <w:shd w:val="clea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2118" w:type="dxa"/>
            <w:vAlign w:val="center"/>
          </w:tcPr>
          <w:p w14:paraId="3EBEFFE5">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w:t>
            </w:r>
            <w:r>
              <w:rPr>
                <w:rFonts w:hint="eastAsia" w:ascii="宋体" w:hAnsi="宋体" w:eastAsia="宋体" w:cs="宋体"/>
                <w:color w:val="auto"/>
                <w:sz w:val="24"/>
                <w:highlight w:val="none"/>
                <w:lang w:eastAsia="zh-CN"/>
              </w:rPr>
              <w:t>竞争性谈判文件</w:t>
            </w:r>
            <w:r>
              <w:rPr>
                <w:rFonts w:hint="eastAsia" w:ascii="宋体" w:hAnsi="宋体" w:eastAsia="宋体" w:cs="宋体"/>
                <w:color w:val="auto"/>
                <w:sz w:val="24"/>
                <w:highlight w:val="none"/>
              </w:rPr>
              <w:t>提出质疑的时间</w:t>
            </w:r>
          </w:p>
        </w:tc>
        <w:tc>
          <w:tcPr>
            <w:tcW w:w="6918" w:type="dxa"/>
          </w:tcPr>
          <w:p w14:paraId="1BC26D32">
            <w:pPr>
              <w:shd w:val="clea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可在</w:t>
            </w:r>
            <w:r>
              <w:rPr>
                <w:rFonts w:hint="eastAsia" w:ascii="宋体" w:hAnsi="宋体" w:eastAsia="宋体" w:cs="宋体"/>
                <w:color w:val="auto"/>
                <w:sz w:val="24"/>
                <w:szCs w:val="24"/>
                <w:highlight w:val="none"/>
                <w:lang w:val="en-US" w:eastAsia="zh-CN"/>
              </w:rPr>
              <w:t>下载</w:t>
            </w:r>
            <w:r>
              <w:rPr>
                <w:rFonts w:hint="eastAsia" w:ascii="宋体" w:hAnsi="宋体" w:eastAsia="宋体" w:cs="宋体"/>
                <w:color w:val="auto"/>
                <w:sz w:val="24"/>
                <w:szCs w:val="24"/>
                <w:highlight w:val="none"/>
                <w:lang w:eastAsia="zh-CN"/>
              </w:rPr>
              <w:t>谈判文件</w:t>
            </w:r>
            <w:r>
              <w:rPr>
                <w:rFonts w:hint="eastAsia" w:ascii="宋体" w:hAnsi="宋体" w:eastAsia="宋体" w:cs="宋体"/>
                <w:color w:val="auto"/>
                <w:sz w:val="24"/>
                <w:szCs w:val="24"/>
                <w:highlight w:val="none"/>
              </w:rPr>
              <w:t>之日起或本项目</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公告期限届满之日起七个工作日内，以书面形式向采购代理机构一次性提出，</w:t>
            </w:r>
            <w:r>
              <w:rPr>
                <w:rFonts w:hint="eastAsia" w:ascii="宋体" w:hAnsi="宋体" w:eastAsia="宋体" w:cs="宋体"/>
                <w:color w:val="auto"/>
                <w:sz w:val="24"/>
                <w:highlight w:val="none"/>
              </w:rPr>
              <w:t>在此之后提出的质疑无效</w:t>
            </w:r>
            <w:r>
              <w:rPr>
                <w:rFonts w:hint="eastAsia" w:ascii="宋体" w:hAnsi="宋体" w:eastAsia="宋体" w:cs="宋体"/>
                <w:color w:val="auto"/>
                <w:sz w:val="24"/>
                <w:szCs w:val="24"/>
                <w:highlight w:val="none"/>
              </w:rPr>
              <w:t>。</w:t>
            </w:r>
          </w:p>
        </w:tc>
      </w:tr>
      <w:tr w14:paraId="75EF1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500D2E73">
            <w:pPr>
              <w:shd w:val="clea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2118" w:type="dxa"/>
            <w:vAlign w:val="center"/>
          </w:tcPr>
          <w:p w14:paraId="62B18A8C">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构成</w:t>
            </w:r>
            <w:r>
              <w:rPr>
                <w:rFonts w:hint="eastAsia" w:ascii="宋体" w:hAnsi="宋体" w:eastAsia="宋体" w:cs="宋体"/>
                <w:color w:val="auto"/>
                <w:sz w:val="24"/>
                <w:highlight w:val="none"/>
                <w:lang w:eastAsia="zh-CN"/>
              </w:rPr>
              <w:t>竞争性谈判文件</w:t>
            </w:r>
            <w:r>
              <w:rPr>
                <w:rFonts w:hint="eastAsia" w:ascii="宋体" w:hAnsi="宋体" w:eastAsia="宋体" w:cs="宋体"/>
                <w:color w:val="auto"/>
                <w:sz w:val="24"/>
                <w:highlight w:val="none"/>
              </w:rPr>
              <w:t>的其他文件</w:t>
            </w:r>
          </w:p>
        </w:tc>
        <w:tc>
          <w:tcPr>
            <w:tcW w:w="6918" w:type="dxa"/>
          </w:tcPr>
          <w:p w14:paraId="52DA78D0">
            <w:pPr>
              <w:shd w:val="clea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竞争性谈判文件</w:t>
            </w:r>
            <w:r>
              <w:rPr>
                <w:rFonts w:hint="eastAsia" w:ascii="宋体" w:hAnsi="宋体" w:eastAsia="宋体" w:cs="宋体"/>
                <w:color w:val="auto"/>
                <w:sz w:val="24"/>
                <w:highlight w:val="none"/>
              </w:rPr>
              <w:t>的澄清、修改及有关补充通知均为</w:t>
            </w:r>
            <w:r>
              <w:rPr>
                <w:rFonts w:hint="eastAsia" w:ascii="宋体" w:hAnsi="宋体" w:eastAsia="宋体" w:cs="宋体"/>
                <w:color w:val="auto"/>
                <w:sz w:val="24"/>
                <w:highlight w:val="none"/>
                <w:lang w:eastAsia="zh-CN"/>
              </w:rPr>
              <w:t>竞争性谈判文件</w:t>
            </w:r>
            <w:r>
              <w:rPr>
                <w:rFonts w:hint="eastAsia" w:ascii="宋体" w:hAnsi="宋体" w:eastAsia="宋体" w:cs="宋体"/>
                <w:color w:val="auto"/>
                <w:sz w:val="24"/>
                <w:highlight w:val="none"/>
              </w:rPr>
              <w:t>的有效组成部分。</w:t>
            </w:r>
          </w:p>
        </w:tc>
      </w:tr>
      <w:tr w14:paraId="2AC1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35E6D502">
            <w:pPr>
              <w:shd w:val="clea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w:t>
            </w:r>
          </w:p>
        </w:tc>
        <w:tc>
          <w:tcPr>
            <w:tcW w:w="2118" w:type="dxa"/>
            <w:vAlign w:val="center"/>
          </w:tcPr>
          <w:p w14:paraId="55B9266F">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响应文件提交截止时间及</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时间和地点</w:t>
            </w:r>
          </w:p>
        </w:tc>
        <w:tc>
          <w:tcPr>
            <w:tcW w:w="6918" w:type="dxa"/>
          </w:tcPr>
          <w:p w14:paraId="3356C8BC">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响应文件提交截止时间：</w:t>
            </w:r>
            <w:r>
              <w:rPr>
                <w:rFonts w:hint="eastAsia" w:ascii="宋体" w:hAnsi="宋体" w:eastAsia="宋体" w:cs="宋体"/>
                <w:sz w:val="24"/>
                <w:szCs w:val="24"/>
                <w:highlight w:val="none"/>
              </w:rPr>
              <w:t>2026年07月24日 09时00分00秒（北京时间）</w:t>
            </w:r>
          </w:p>
          <w:p w14:paraId="52C5B019">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时间：</w:t>
            </w:r>
            <w:r>
              <w:rPr>
                <w:rFonts w:hint="eastAsia" w:ascii="宋体" w:hAnsi="宋体" w:eastAsia="宋体" w:cs="宋体"/>
                <w:sz w:val="24"/>
                <w:szCs w:val="24"/>
                <w:highlight w:val="none"/>
              </w:rPr>
              <w:t>2026年07月24日 09时00分00秒（北京时间）</w:t>
            </w:r>
          </w:p>
          <w:p w14:paraId="0120C20C">
            <w:pPr>
              <w:pStyle w:val="27"/>
              <w:shd w:val="clear"/>
              <w:spacing w:before="0" w:beforeAutospacing="0" w:after="0" w:afterAutospacing="0" w:line="384" w:lineRule="atLeas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3</w:t>
            </w:r>
            <w:r>
              <w:rPr>
                <w:rFonts w:hint="eastAsia" w:ascii="宋体" w:hAnsi="宋体" w:eastAsia="宋体" w:cs="宋体"/>
                <w:color w:val="auto"/>
                <w:kern w:val="2"/>
                <w:highlight w:val="none"/>
              </w:rPr>
              <w:t>、</w:t>
            </w:r>
            <w:r>
              <w:rPr>
                <w:rFonts w:hint="eastAsia" w:ascii="宋体" w:hAnsi="宋体" w:eastAsia="宋体" w:cs="宋体"/>
                <w:color w:val="auto"/>
                <w:kern w:val="2"/>
                <w:highlight w:val="none"/>
                <w:lang w:eastAsia="zh-CN"/>
              </w:rPr>
              <w:t>谈判</w:t>
            </w:r>
            <w:r>
              <w:rPr>
                <w:rFonts w:hint="eastAsia" w:ascii="宋体" w:hAnsi="宋体" w:eastAsia="宋体" w:cs="宋体"/>
                <w:color w:val="auto"/>
                <w:kern w:val="2"/>
                <w:highlight w:val="none"/>
              </w:rPr>
              <w:t>响应文件提交及</w:t>
            </w:r>
            <w:r>
              <w:rPr>
                <w:rFonts w:hint="eastAsia" w:ascii="宋体" w:hAnsi="宋体" w:eastAsia="宋体" w:cs="宋体"/>
                <w:color w:val="auto"/>
                <w:kern w:val="2"/>
                <w:highlight w:val="none"/>
                <w:lang w:eastAsia="zh-CN"/>
              </w:rPr>
              <w:t>谈判</w:t>
            </w:r>
            <w:r>
              <w:rPr>
                <w:rFonts w:hint="eastAsia" w:ascii="宋体" w:hAnsi="宋体" w:eastAsia="宋体" w:cs="宋体"/>
                <w:color w:val="auto"/>
                <w:kern w:val="2"/>
                <w:highlight w:val="none"/>
              </w:rPr>
              <w:t>地点：</w:t>
            </w:r>
            <w:r>
              <w:rPr>
                <w:rFonts w:hint="eastAsia" w:ascii="宋体" w:hAnsi="宋体" w:eastAsia="宋体" w:cs="宋体"/>
                <w:sz w:val="24"/>
                <w:szCs w:val="24"/>
                <w:highlight w:val="none"/>
              </w:rPr>
              <w:t>【全国公共资源交易平台（陕西省·宝鸡市）】</w:t>
            </w:r>
            <w:r>
              <w:rPr>
                <w:rFonts w:hint="eastAsia" w:ascii="宋体" w:hAnsi="宋体" w:eastAsia="宋体" w:cs="宋体"/>
                <w:color w:val="auto"/>
                <w:kern w:val="2"/>
                <w:highlight w:val="none"/>
                <w:lang w:val="en-US" w:eastAsia="zh-CN"/>
              </w:rPr>
              <w:t>线上提交。</w:t>
            </w:r>
          </w:p>
        </w:tc>
      </w:tr>
      <w:tr w14:paraId="4B537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663" w:type="dxa"/>
            <w:vAlign w:val="center"/>
          </w:tcPr>
          <w:p w14:paraId="69F71384">
            <w:pPr>
              <w:shd w:val="clea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p>
        </w:tc>
        <w:tc>
          <w:tcPr>
            <w:tcW w:w="2118" w:type="dxa"/>
            <w:vAlign w:val="center"/>
          </w:tcPr>
          <w:p w14:paraId="22DB8863">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响应有效期</w:t>
            </w:r>
          </w:p>
        </w:tc>
        <w:tc>
          <w:tcPr>
            <w:tcW w:w="6918" w:type="dxa"/>
          </w:tcPr>
          <w:p w14:paraId="7CCD3DE3">
            <w:pPr>
              <w:shd w:val="clear"/>
              <w:spacing w:line="460" w:lineRule="exact"/>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自</w:t>
            </w:r>
            <w:r>
              <w:rPr>
                <w:rFonts w:hint="eastAsia" w:ascii="宋体" w:hAnsi="宋体" w:eastAsia="宋体" w:cs="宋体"/>
                <w:color w:val="auto"/>
                <w:spacing w:val="-4"/>
                <w:sz w:val="24"/>
                <w:highlight w:val="none"/>
                <w:lang w:eastAsia="zh-CN"/>
              </w:rPr>
              <w:t>谈判</w:t>
            </w:r>
            <w:r>
              <w:rPr>
                <w:rFonts w:hint="eastAsia" w:ascii="宋体" w:hAnsi="宋体" w:eastAsia="宋体" w:cs="宋体"/>
                <w:color w:val="auto"/>
                <w:spacing w:val="-4"/>
                <w:sz w:val="24"/>
                <w:highlight w:val="none"/>
              </w:rPr>
              <w:t>之日起算90日历日。</w:t>
            </w:r>
          </w:p>
        </w:tc>
      </w:tr>
      <w:tr w14:paraId="75167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17BBE1B9">
            <w:pPr>
              <w:shd w:val="clea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w:t>
            </w:r>
          </w:p>
        </w:tc>
        <w:tc>
          <w:tcPr>
            <w:tcW w:w="2118" w:type="dxa"/>
            <w:vAlign w:val="center"/>
          </w:tcPr>
          <w:p w14:paraId="198C23B1">
            <w:pPr>
              <w:shd w:val="clea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担保</w:t>
            </w:r>
          </w:p>
        </w:tc>
        <w:tc>
          <w:tcPr>
            <w:tcW w:w="6918" w:type="dxa"/>
          </w:tcPr>
          <w:p w14:paraId="21F67A2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金额：</w:t>
            </w:r>
            <w:r>
              <w:rPr>
                <w:rFonts w:hint="eastAsia" w:ascii="宋体" w:hAnsi="宋体" w:eastAsia="宋体" w:cs="宋体"/>
                <w:sz w:val="24"/>
                <w:szCs w:val="24"/>
                <w:highlight w:val="none"/>
                <w:lang w:val="en-US" w:eastAsia="zh-CN"/>
              </w:rPr>
              <w:t>壹万元整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000.00元）</w:t>
            </w:r>
          </w:p>
          <w:p w14:paraId="2DAAFE0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缴纳形式：银行转账、电汇、保函、信用承诺。</w:t>
            </w:r>
          </w:p>
          <w:p w14:paraId="1082D431">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缴纳截止时间：同响应文件递交（上传）截止时间</w:t>
            </w:r>
          </w:p>
          <w:p w14:paraId="42A5CA10">
            <w:pPr>
              <w:spacing w:line="360" w:lineRule="auto"/>
              <w:ind w:firstLine="240" w:firstLineChars="1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重要提示：</w:t>
            </w:r>
          </w:p>
          <w:p w14:paraId="75DB7477">
            <w:pPr>
              <w:spacing w:line="360" w:lineRule="auto"/>
              <w:ind w:firstLine="240" w:firstLineChars="1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1：以银行转账、电汇形式交纳谈判保证金的必须在响应文件截止时间前交纳至以下账户：</w:t>
            </w:r>
          </w:p>
          <w:p w14:paraId="4DC9AB8A">
            <w:pPr>
              <w:shd w:val="clear"/>
              <w:tabs>
                <w:tab w:val="left" w:pos="8280"/>
              </w:tabs>
              <w:spacing w:line="365"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账户名：宝鸡市公共资源交易中心保证金专户</w:t>
            </w:r>
          </w:p>
          <w:p w14:paraId="0A2A32DD">
            <w:pPr>
              <w:shd w:val="clear"/>
              <w:tabs>
                <w:tab w:val="left" w:pos="8280"/>
              </w:tabs>
              <w:spacing w:line="365"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开户行：长安银行股份有限公司宝鸡分行营业部</w:t>
            </w:r>
          </w:p>
          <w:p w14:paraId="5F62E93C">
            <w:pPr>
              <w:shd w:val="clear"/>
              <w:tabs>
                <w:tab w:val="left" w:pos="8280"/>
              </w:tabs>
              <w:spacing w:line="365" w:lineRule="auto"/>
              <w:ind w:firstLine="482" w:firstLineChars="200"/>
              <w:rPr>
                <w:rFonts w:hint="eastAsia" w:ascii="宋体" w:hAnsi="宋体" w:eastAsia="宋体" w:cs="宋体"/>
                <w:b/>
                <w:bCs w:val="0"/>
                <w:color w:val="FF0000"/>
                <w:sz w:val="24"/>
                <w:szCs w:val="24"/>
                <w:highlight w:val="none"/>
                <w:lang w:eastAsia="zh-CN"/>
              </w:rPr>
            </w:pPr>
            <w:r>
              <w:rPr>
                <w:rFonts w:hint="eastAsia" w:ascii="宋体" w:hAnsi="宋体" w:eastAsia="宋体" w:cs="宋体"/>
                <w:b/>
                <w:bCs w:val="0"/>
                <w:color w:val="auto"/>
                <w:sz w:val="24"/>
                <w:szCs w:val="24"/>
                <w:highlight w:val="none"/>
              </w:rPr>
              <w:t>账  号</w:t>
            </w:r>
            <w:r>
              <w:rPr>
                <w:rFonts w:hint="eastAsia" w:ascii="宋体" w:hAnsi="宋体" w:eastAsia="宋体" w:cs="宋体"/>
                <w:b/>
                <w:bCs w:val="0"/>
                <w:color w:val="auto"/>
                <w:sz w:val="24"/>
                <w:szCs w:val="24"/>
                <w:highlight w:val="none"/>
                <w:lang w:eastAsia="zh-CN"/>
              </w:rPr>
              <w:t>：</w:t>
            </w:r>
            <w:r>
              <w:rPr>
                <w:rFonts w:hint="eastAsia" w:ascii="宋体" w:hAnsi="宋体" w:cs="宋体"/>
                <w:b/>
                <w:bCs w:val="0"/>
                <w:color w:val="auto"/>
                <w:sz w:val="24"/>
                <w:szCs w:val="24"/>
                <w:highlight w:val="none"/>
                <w:lang w:eastAsia="zh-CN"/>
              </w:rPr>
              <w:t>80602000142101980618667</w:t>
            </w:r>
          </w:p>
          <w:p w14:paraId="11CF1BCC">
            <w:pPr>
              <w:keepNext w:val="0"/>
              <w:keepLines w:val="0"/>
              <w:widowControl/>
              <w:suppressLineNumbers w:val="0"/>
              <w:spacing w:line="360" w:lineRule="auto"/>
              <w:ind w:firstLine="240" w:firstLineChars="1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2、供应商以担保机构保函（格式见采购文件第六章）或银保函形式交纳保证金须在开标前2-3个工作日采购代理机构进行备案，逾期未提供视为放弃投标，有效期应当符合采购文件规定。 </w:t>
            </w:r>
          </w:p>
          <w:p w14:paraId="5EE48A2C">
            <w:pPr>
              <w:keepNext w:val="0"/>
              <w:keepLines w:val="0"/>
              <w:widowControl/>
              <w:suppressLineNumbers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 </w:t>
            </w:r>
          </w:p>
          <w:p w14:paraId="03C3033A">
            <w:pPr>
              <w:keepNext w:val="0"/>
              <w:keepLines w:val="0"/>
              <w:widowControl/>
              <w:suppressLineNumbers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b/>
                <w:bCs/>
                <w:sz w:val="24"/>
                <w:szCs w:val="24"/>
                <w:highlight w:val="none"/>
                <w:lang w:val="en-US" w:eastAsia="zh-CN"/>
              </w:rPr>
              <w:t>转账时请备注“保证金账号后五位数”</w:t>
            </w:r>
            <w:r>
              <w:rPr>
                <w:rFonts w:hint="eastAsia" w:ascii="宋体" w:hAnsi="宋体" w:eastAsia="宋体" w:cs="宋体"/>
                <w:sz w:val="24"/>
                <w:szCs w:val="24"/>
                <w:highlight w:val="none"/>
                <w:lang w:val="en-US" w:eastAsia="zh-CN"/>
              </w:rPr>
              <w:t xml:space="preserve">无需填写其他内容，否则导致的查账延误责任自负，以到账时间为准； </w:t>
            </w:r>
          </w:p>
          <w:p w14:paraId="500016FA">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（2）须将保证金转账凭证及开户许可证（或基本存款账户信息）复印件或保函正本复印件粘贴于谈判响应文件规定处。 </w:t>
            </w:r>
          </w:p>
          <w:p w14:paraId="6CDD2E17">
            <w:pPr>
              <w:shd w:val="clear"/>
              <w:tabs>
                <w:tab w:val="left" w:pos="8280"/>
              </w:tabs>
              <w:spacing w:line="365" w:lineRule="auto"/>
              <w:rPr>
                <w:rFonts w:hint="eastAsia" w:ascii="宋体" w:hAnsi="宋体" w:eastAsia="宋体" w:cs="宋体"/>
                <w:b/>
                <w:color w:val="auto"/>
                <w:sz w:val="24"/>
                <w:highlight w:val="none"/>
              </w:rPr>
            </w:pPr>
            <w:r>
              <w:rPr>
                <w:rFonts w:hint="eastAsia" w:ascii="宋体" w:hAnsi="宋体" w:eastAsia="宋体" w:cs="宋体"/>
                <w:sz w:val="24"/>
                <w:szCs w:val="24"/>
                <w:highlight w:val="none"/>
                <w:lang w:val="en-US" w:eastAsia="zh-CN"/>
              </w:rPr>
              <w:t>3、依据宝市交易发[2025]19 号文件及补充说明通知的规定，可以以信用承诺替代谈判保证金，供应商应按照采购文件格式（格式见采购文件第六章）填写交易保证金信用承诺书，信用承诺有效期满足谈判有效期时效，承诺书后附“信用中国”网站下载的信用报告显示无不良信用记录（带水印）并加盖公章，信用报告查询出具日期为项目公告发布之日起至供应商响应文件递交截止之日，供应商未按上述要求提供信用承诺书的，也未采用其他方式交纳谈判保证金的视为未交纳谈判保证金，按无效响应处理。</w:t>
            </w:r>
          </w:p>
        </w:tc>
      </w:tr>
      <w:tr w14:paraId="0C3C4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7AB851A6">
            <w:pPr>
              <w:numPr>
                <w:ilvl w:val="0"/>
                <w:numId w:val="0"/>
              </w:numPr>
              <w:ind w:left="0" w:leftChars="0" w:firstLine="0" w:firstLineChars="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20</w:t>
            </w:r>
          </w:p>
        </w:tc>
        <w:tc>
          <w:tcPr>
            <w:tcW w:w="2118" w:type="dxa"/>
            <w:vAlign w:val="center"/>
          </w:tcPr>
          <w:p w14:paraId="6CB6F07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备选</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方案</w:t>
            </w:r>
          </w:p>
          <w:p w14:paraId="4D67EF7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和报价</w:t>
            </w:r>
          </w:p>
        </w:tc>
        <w:tc>
          <w:tcPr>
            <w:tcW w:w="6918" w:type="dxa"/>
            <w:vAlign w:val="center"/>
          </w:tcPr>
          <w:p w14:paraId="4B389D99">
            <w:pPr>
              <w:tabs>
                <w:tab w:val="left" w:pos="7013"/>
              </w:tabs>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不接受备选</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方案和多个报价。</w:t>
            </w:r>
          </w:p>
        </w:tc>
      </w:tr>
      <w:tr w14:paraId="2FFE1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3D1EF438">
            <w:pPr>
              <w:numPr>
                <w:ilvl w:val="0"/>
                <w:numId w:val="0"/>
              </w:numPr>
              <w:ind w:left="0" w:leftChars="0" w:firstLine="0" w:firstLineChars="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p>
        </w:tc>
        <w:tc>
          <w:tcPr>
            <w:tcW w:w="2118" w:type="dxa"/>
            <w:vAlign w:val="center"/>
          </w:tcPr>
          <w:p w14:paraId="5E540C4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盖章签字</w:t>
            </w:r>
          </w:p>
        </w:tc>
        <w:tc>
          <w:tcPr>
            <w:tcW w:w="6918" w:type="dxa"/>
            <w:vAlign w:val="center"/>
          </w:tcPr>
          <w:p w14:paraId="3EC7F374">
            <w:pPr>
              <w:tabs>
                <w:tab w:val="left" w:pos="7013"/>
              </w:tabs>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必须按照</w:t>
            </w:r>
            <w:r>
              <w:rPr>
                <w:rFonts w:hint="eastAsia" w:ascii="宋体" w:hAnsi="宋体" w:eastAsia="宋体" w:cs="宋体"/>
                <w:color w:val="auto"/>
                <w:sz w:val="24"/>
                <w:highlight w:val="none"/>
                <w:lang w:eastAsia="zh-CN"/>
              </w:rPr>
              <w:t>竞争性谈判文件</w:t>
            </w:r>
            <w:r>
              <w:rPr>
                <w:rFonts w:hint="eastAsia" w:ascii="宋体" w:hAnsi="宋体" w:eastAsia="宋体" w:cs="宋体"/>
                <w:color w:val="auto"/>
                <w:sz w:val="24"/>
                <w:highlight w:val="none"/>
              </w:rPr>
              <w:t>的规定和要求在竞争性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响应文件中指定的页面落款处加盖公章（鲜章）并由法定代表人或被授权人签字（或盖章），其余页面逐页加盖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公章（鲜章），否则将作为无效</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处理。</w:t>
            </w:r>
            <w:r>
              <w:rPr>
                <w:rFonts w:hint="eastAsia" w:ascii="宋体" w:hAnsi="宋体" w:eastAsia="宋体" w:cs="宋体"/>
                <w:color w:val="auto"/>
                <w:sz w:val="24"/>
                <w:highlight w:val="none"/>
                <w:lang w:eastAsia="zh-CN"/>
              </w:rPr>
              <w:t>竞争性谈判文件</w:t>
            </w:r>
            <w:r>
              <w:rPr>
                <w:rFonts w:hint="eastAsia" w:ascii="宋体" w:hAnsi="宋体" w:eastAsia="宋体" w:cs="宋体"/>
                <w:color w:val="auto"/>
                <w:sz w:val="24"/>
                <w:highlight w:val="none"/>
              </w:rPr>
              <w:t>凡是要求法定代表人签字或盖章之处，非法人单位的负责人均参照执行。</w:t>
            </w:r>
          </w:p>
        </w:tc>
      </w:tr>
      <w:tr w14:paraId="33A3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vAlign w:val="center"/>
          </w:tcPr>
          <w:p w14:paraId="2B84B66D">
            <w:pPr>
              <w:numPr>
                <w:ilvl w:val="0"/>
                <w:numId w:val="0"/>
              </w:numPr>
              <w:ind w:left="0" w:leftChars="0" w:firstLine="0" w:firstLineChars="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22</w:t>
            </w:r>
          </w:p>
        </w:tc>
        <w:tc>
          <w:tcPr>
            <w:tcW w:w="2118" w:type="dxa"/>
            <w:vAlign w:val="center"/>
          </w:tcPr>
          <w:p w14:paraId="67275A26">
            <w:pPr>
              <w:pageBreakBefore w:val="0"/>
              <w:wordWrap/>
              <w:topLinePunct w:val="0"/>
              <w:bidi w:val="0"/>
              <w:spacing w:line="365"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文件的</w:t>
            </w:r>
            <w:r>
              <w:rPr>
                <w:rFonts w:hint="eastAsia" w:ascii="宋体" w:hAnsi="宋体" w:eastAsia="宋体" w:cs="宋体"/>
                <w:color w:val="auto"/>
                <w:sz w:val="24"/>
                <w:highlight w:val="none"/>
                <w:lang w:eastAsia="zh-CN"/>
              </w:rPr>
              <w:t>递交</w:t>
            </w:r>
          </w:p>
        </w:tc>
        <w:tc>
          <w:tcPr>
            <w:tcW w:w="6918" w:type="dxa"/>
            <w:vAlign w:val="center"/>
          </w:tcPr>
          <w:p w14:paraId="425E98AD">
            <w:pPr>
              <w:tabs>
                <w:tab w:val="left" w:pos="7013"/>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方式投标。电子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可于提交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截止时间前任意时段登录全国公共资源交易平台（陕西省·宝鸡市）网站[电子交易平台-企业端]进行提交，逾期系统将拒绝接收。提交时，</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应登录全国公共资源交易中心平台（陕西省·宝鸡市），选择[“首页&gt;电子交易平台&gt;企业端&gt;我的项目”，点击[项目流程]，在打开的[项目管理]对话框中选择[上传响应文件]，上传加密的电子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（*.SXSTF），上传成功后，电子化平台将予以记录。</w:t>
            </w:r>
          </w:p>
          <w:p w14:paraId="6B751751">
            <w:pPr>
              <w:pStyle w:val="46"/>
              <w:spacing w:line="360" w:lineRule="auto"/>
              <w:ind w:left="0" w:leftChars="0" w:firstLine="0" w:firstLineChars="0"/>
              <w:rPr>
                <w:rFonts w:hint="eastAsia"/>
                <w:highlight w:val="none"/>
              </w:rPr>
            </w:pPr>
            <w:r>
              <w:rPr>
                <w:rFonts w:hint="eastAsia" w:ascii="宋体" w:hAnsi="宋体" w:eastAsia="宋体" w:cs="宋体"/>
                <w:color w:val="auto"/>
                <w:kern w:val="2"/>
                <w:sz w:val="24"/>
                <w:highlight w:val="none"/>
                <w:lang w:val="en-US" w:eastAsia="zh-CN" w:bidi="ar-SA"/>
              </w:rPr>
              <w:t>电子投标文件制作过程中，需要法定代表人签字或盖章的地方，请使用“法人CA锁”进行签章；需要加盖投标人公章的地方，请使用“企业CA锁”进行签章。</w:t>
            </w:r>
          </w:p>
          <w:p w14:paraId="3FD2AD57">
            <w:pPr>
              <w:spacing w:before="0" w:after="0" w:line="360" w:lineRule="auto"/>
              <w:rPr>
                <w:rFonts w:hint="eastAsia" w:ascii="宋体" w:hAnsi="宋体" w:eastAsia="宋体" w:cs="宋体"/>
                <w:color w:val="auto"/>
                <w:highlight w:val="none"/>
                <w:lang w:val="en-US" w:eastAsia="zh-CN"/>
              </w:rPr>
            </w:pPr>
            <w:r>
              <w:rPr>
                <w:rFonts w:hint="eastAsia" w:ascii="宋体" w:hAnsi="宋体" w:eastAsia="宋体" w:cs="宋体"/>
                <w:b/>
                <w:bCs/>
                <w:color w:val="auto"/>
                <w:sz w:val="24"/>
                <w:highlight w:val="none"/>
                <w:lang w:val="en-US" w:eastAsia="zh-CN"/>
              </w:rPr>
              <w:t>注：由成交单位在领取成交通知书时提供成交单位最终上传系统的纸质版谈判响应文件正本一份、副本二份</w:t>
            </w:r>
            <w:r>
              <w:rPr>
                <w:rFonts w:hint="eastAsia" w:ascii="宋体" w:hAnsi="宋体" w:cs="宋体"/>
                <w:b/>
                <w:bCs/>
                <w:color w:val="auto"/>
                <w:sz w:val="24"/>
                <w:highlight w:val="none"/>
                <w:lang w:val="en-US" w:eastAsia="zh-CN"/>
              </w:rPr>
              <w:t>（电子U一份）</w:t>
            </w:r>
            <w:r>
              <w:rPr>
                <w:rFonts w:hint="eastAsia" w:ascii="宋体" w:hAnsi="宋体" w:eastAsia="宋体" w:cs="宋体"/>
                <w:b/>
                <w:bCs/>
                <w:color w:val="auto"/>
                <w:sz w:val="24"/>
                <w:highlight w:val="none"/>
                <w:lang w:val="en-US" w:eastAsia="zh-CN"/>
              </w:rPr>
              <w:t>。</w:t>
            </w:r>
          </w:p>
        </w:tc>
      </w:tr>
      <w:tr w14:paraId="36B51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63" w:type="dxa"/>
            <w:vAlign w:val="center"/>
          </w:tcPr>
          <w:p w14:paraId="7E6A062D">
            <w:pPr>
              <w:numPr>
                <w:ilvl w:val="0"/>
                <w:numId w:val="0"/>
              </w:numPr>
              <w:ind w:left="0" w:leftChars="0" w:firstLine="0" w:firstLineChars="0"/>
              <w:jc w:val="both"/>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23</w:t>
            </w:r>
          </w:p>
        </w:tc>
        <w:tc>
          <w:tcPr>
            <w:tcW w:w="2118" w:type="dxa"/>
            <w:vAlign w:val="center"/>
          </w:tcPr>
          <w:p w14:paraId="15CD815D">
            <w:pPr>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电</w:t>
            </w:r>
            <w:r>
              <w:rPr>
                <w:rFonts w:hint="eastAsia" w:ascii="宋体" w:hAnsi="宋体" w:eastAsia="宋体" w:cs="宋体"/>
                <w:color w:val="auto"/>
                <w:sz w:val="24"/>
                <w:highlight w:val="none"/>
                <w:lang w:val="en-US" w:eastAsia="zh-CN"/>
              </w:rPr>
              <w:t>子响应文件的</w:t>
            </w:r>
            <w:r>
              <w:rPr>
                <w:rFonts w:hint="eastAsia" w:ascii="宋体" w:hAnsi="宋体" w:eastAsia="宋体" w:cs="宋体"/>
                <w:color w:val="auto"/>
                <w:sz w:val="24"/>
                <w:highlight w:val="none"/>
                <w:lang w:eastAsia="zh-CN"/>
              </w:rPr>
              <w:t>制作和签署</w:t>
            </w:r>
          </w:p>
        </w:tc>
        <w:tc>
          <w:tcPr>
            <w:tcW w:w="6918" w:type="dxa"/>
            <w:vAlign w:val="center"/>
          </w:tcPr>
          <w:p w14:paraId="5C2F9C30">
            <w:pPr>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编制电子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文件时，应使用最新发布的电子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及专用制作工具进行编制。并使用数字认证证书（CA）对电子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文件进行签署、加密、递交及开标时解密及二次报</w:t>
            </w:r>
            <w:r>
              <w:rPr>
                <w:rFonts w:hint="eastAsia" w:ascii="宋体" w:hAnsi="宋体" w:eastAsia="宋体" w:cs="宋体"/>
                <w:color w:val="auto"/>
                <w:sz w:val="24"/>
                <w:highlight w:val="none"/>
                <w:lang w:val="en-US" w:eastAsia="zh-CN"/>
              </w:rPr>
              <w:t>价</w:t>
            </w:r>
            <w:r>
              <w:rPr>
                <w:rFonts w:hint="eastAsia" w:ascii="宋体" w:hAnsi="宋体" w:eastAsia="宋体" w:cs="宋体"/>
                <w:color w:val="auto"/>
                <w:sz w:val="24"/>
                <w:highlight w:val="none"/>
                <w:lang w:eastAsia="zh-CN"/>
              </w:rPr>
              <w:t>等相关操作。</w:t>
            </w:r>
          </w:p>
          <w:p w14:paraId="15EB44C9">
            <w:pPr>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下载</w:t>
            </w:r>
          </w:p>
          <w:p w14:paraId="7B39AEE0">
            <w:pPr>
              <w:spacing w:before="0" w:after="0"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供应商登录全国公共资源交易平台（陕西省·宝鸡市）网站[电子交易平台-企业端]后，在[我的项目]中点击“项目流程-交易文件下载”下载电子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（*.SXSZF）；注意：该项目如有变更文件，则应点击“项目流程&gt;答疑文件下载”下载更新后的电子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（*.SXSCF），使用旧版电子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制作的电子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文件，系统将拒绝接收。</w:t>
            </w:r>
          </w:p>
          <w:p w14:paraId="3BA44106">
            <w:pPr>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需要使用专用软件打开、浏览</w:t>
            </w:r>
          </w:p>
          <w:p w14:paraId="4ED20C0B">
            <w:pPr>
              <w:spacing w:before="0" w:after="0"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供应商登录全国公共资源交易平台（陕西省·宝鸡市）网站[服务指南-下载专区]免费下载《陕西省公共资源交易平台政府采购电子标书制作工具(V8.0.0.2)》，并升级至最新版本，使用该客户端可以打开电子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。软件操作手册详见全国公共资源交易平台（陕西省·宝鸡市）网站[服务指南-下载专区]中的《陕西省公共资源交易（政府采购类）</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文件制作软件操作手册》；</w:t>
            </w:r>
          </w:p>
          <w:p w14:paraId="26F62D0C">
            <w:pPr>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制作电子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w:t>
            </w:r>
          </w:p>
          <w:p w14:paraId="7BBCB41B">
            <w:pPr>
              <w:spacing w:before="0" w:after="0"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文件同样需要使用上述软件进行编制。在编制过程中，如有技术性问题，请先翻阅操作手册或致电软件开发商，技术支持热线：4009280095、4009980000；</w:t>
            </w:r>
          </w:p>
          <w:p w14:paraId="61E5A529">
            <w:pPr>
              <w:tabs>
                <w:tab w:val="left" w:pos="7013"/>
              </w:tabs>
              <w:spacing w:line="460" w:lineRule="exact"/>
              <w:rPr>
                <w:rFonts w:hint="eastAsia" w:ascii="宋体" w:hAnsi="宋体" w:eastAsia="宋体" w:cs="宋体"/>
                <w:color w:val="auto"/>
                <w:sz w:val="24"/>
                <w:highlight w:val="none"/>
              </w:rPr>
            </w:pPr>
            <w:r>
              <w:rPr>
                <w:rFonts w:hint="eastAsia" w:ascii="宋体" w:hAnsi="宋体" w:eastAsia="宋体" w:cs="宋体"/>
                <w:b/>
                <w:bCs/>
                <w:color w:val="auto"/>
                <w:kern w:val="2"/>
                <w:sz w:val="24"/>
                <w:szCs w:val="21"/>
                <w:highlight w:val="none"/>
                <w:lang w:val="en-US" w:eastAsia="zh-CN" w:bidi="ar-SA"/>
              </w:rPr>
              <w:t>注：如未按照上述要求进行响应文件制作和签署的均视其为无效响应文件。</w:t>
            </w:r>
          </w:p>
        </w:tc>
      </w:tr>
      <w:tr w14:paraId="0D00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63" w:type="dxa"/>
            <w:vAlign w:val="center"/>
          </w:tcPr>
          <w:p w14:paraId="3B750191">
            <w:pPr>
              <w:numPr>
                <w:ilvl w:val="0"/>
                <w:numId w:val="0"/>
              </w:numPr>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24</w:t>
            </w:r>
          </w:p>
        </w:tc>
        <w:tc>
          <w:tcPr>
            <w:tcW w:w="2118" w:type="dxa"/>
            <w:vAlign w:val="center"/>
          </w:tcPr>
          <w:p w14:paraId="1DED33FA">
            <w:pPr>
              <w:pageBreakBefore w:val="0"/>
              <w:wordWrap/>
              <w:topLinePunct w:val="0"/>
              <w:bidi w:val="0"/>
              <w:spacing w:line="365"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无效文件说明</w:t>
            </w:r>
          </w:p>
        </w:tc>
        <w:tc>
          <w:tcPr>
            <w:tcW w:w="6918" w:type="dxa"/>
            <w:vAlign w:val="center"/>
          </w:tcPr>
          <w:p w14:paraId="58A58D34">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在开标环节出现下列情况之一的，其</w:t>
            </w:r>
            <w:r>
              <w:rPr>
                <w:rFonts w:hint="eastAsia" w:ascii="宋体" w:hAnsi="宋体" w:eastAsia="宋体" w:cs="宋体"/>
                <w:b/>
                <w:color w:val="auto"/>
                <w:sz w:val="24"/>
                <w:szCs w:val="22"/>
                <w:highlight w:val="none"/>
                <w:lang w:val="en-US" w:eastAsia="zh-CN"/>
              </w:rPr>
              <w:t>响应</w:t>
            </w:r>
            <w:r>
              <w:rPr>
                <w:rFonts w:hint="eastAsia" w:ascii="宋体" w:hAnsi="宋体" w:eastAsia="宋体" w:cs="宋体"/>
                <w:b/>
                <w:color w:val="auto"/>
                <w:sz w:val="24"/>
                <w:szCs w:val="22"/>
                <w:highlight w:val="none"/>
              </w:rPr>
              <w:t>文件视为无效文件：</w:t>
            </w:r>
          </w:p>
          <w:p w14:paraId="58448088">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1、供应商</w:t>
            </w:r>
            <w:r>
              <w:rPr>
                <w:rFonts w:hint="eastAsia" w:ascii="宋体" w:hAnsi="宋体" w:eastAsia="宋体" w:cs="宋体"/>
                <w:b/>
                <w:color w:val="auto"/>
                <w:sz w:val="24"/>
                <w:szCs w:val="22"/>
                <w:highlight w:val="none"/>
              </w:rPr>
              <w:t>在规定时间内</w:t>
            </w:r>
            <w:r>
              <w:rPr>
                <w:rFonts w:hint="eastAsia" w:ascii="宋体" w:hAnsi="宋体" w:eastAsia="宋体" w:cs="宋体"/>
                <w:b/>
                <w:color w:val="auto"/>
                <w:sz w:val="24"/>
                <w:szCs w:val="22"/>
                <w:highlight w:val="none"/>
                <w:lang w:eastAsia="zh-CN"/>
              </w:rPr>
              <w:t>未</w:t>
            </w:r>
            <w:r>
              <w:rPr>
                <w:rFonts w:hint="eastAsia" w:ascii="宋体" w:hAnsi="宋体" w:eastAsia="宋体" w:cs="宋体"/>
                <w:b/>
                <w:color w:val="auto"/>
                <w:sz w:val="24"/>
                <w:szCs w:val="22"/>
                <w:highlight w:val="none"/>
              </w:rPr>
              <w:t>对电子</w:t>
            </w:r>
            <w:r>
              <w:rPr>
                <w:rFonts w:hint="eastAsia" w:ascii="宋体" w:hAnsi="宋体" w:eastAsia="宋体" w:cs="宋体"/>
                <w:b/>
                <w:color w:val="auto"/>
                <w:sz w:val="24"/>
                <w:szCs w:val="22"/>
                <w:highlight w:val="none"/>
                <w:lang w:val="en-US" w:eastAsia="zh-CN"/>
              </w:rPr>
              <w:t>响应</w:t>
            </w:r>
            <w:r>
              <w:rPr>
                <w:rFonts w:hint="eastAsia" w:ascii="宋体" w:hAnsi="宋体" w:eastAsia="宋体" w:cs="宋体"/>
                <w:b/>
                <w:color w:val="auto"/>
                <w:sz w:val="24"/>
                <w:szCs w:val="22"/>
                <w:highlight w:val="none"/>
              </w:rPr>
              <w:t>文件进行解密的；</w:t>
            </w:r>
          </w:p>
          <w:p w14:paraId="08172612">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2、</w:t>
            </w:r>
            <w:r>
              <w:rPr>
                <w:rFonts w:hint="eastAsia" w:ascii="宋体" w:hAnsi="宋体" w:eastAsia="宋体" w:cs="宋体"/>
                <w:b/>
                <w:color w:val="auto"/>
                <w:sz w:val="24"/>
                <w:szCs w:val="22"/>
                <w:highlight w:val="none"/>
              </w:rPr>
              <w:t>上传的电子</w:t>
            </w:r>
            <w:r>
              <w:rPr>
                <w:rFonts w:hint="eastAsia" w:ascii="宋体" w:hAnsi="宋体" w:eastAsia="宋体" w:cs="宋体"/>
                <w:b/>
                <w:color w:val="auto"/>
                <w:sz w:val="24"/>
                <w:szCs w:val="22"/>
                <w:highlight w:val="none"/>
                <w:lang w:val="en-US" w:eastAsia="zh-CN"/>
              </w:rPr>
              <w:t>响应</w:t>
            </w:r>
            <w:r>
              <w:rPr>
                <w:rFonts w:hint="eastAsia" w:ascii="宋体" w:hAnsi="宋体" w:eastAsia="宋体" w:cs="宋体"/>
                <w:b/>
                <w:color w:val="auto"/>
                <w:sz w:val="24"/>
                <w:szCs w:val="22"/>
                <w:highlight w:val="none"/>
              </w:rPr>
              <w:t>文件无法打开的；</w:t>
            </w:r>
          </w:p>
          <w:p w14:paraId="771CE583">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3、</w:t>
            </w:r>
            <w:r>
              <w:rPr>
                <w:rFonts w:hint="eastAsia" w:ascii="宋体" w:hAnsi="宋体" w:eastAsia="宋体" w:cs="宋体"/>
                <w:b/>
                <w:color w:val="auto"/>
                <w:sz w:val="24"/>
                <w:szCs w:val="22"/>
                <w:highlight w:val="none"/>
              </w:rPr>
              <w:t>法律法规规定的其他无效情形。</w:t>
            </w:r>
          </w:p>
          <w:p w14:paraId="337CB2FF">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4、供应商</w:t>
            </w:r>
            <w:r>
              <w:rPr>
                <w:rFonts w:hint="eastAsia" w:ascii="宋体" w:hAnsi="宋体" w:eastAsia="宋体" w:cs="宋体"/>
                <w:b/>
                <w:color w:val="auto"/>
                <w:sz w:val="24"/>
                <w:szCs w:val="22"/>
                <w:highlight w:val="none"/>
              </w:rPr>
              <w:t>拒绝对电子</w:t>
            </w:r>
            <w:r>
              <w:rPr>
                <w:rFonts w:hint="eastAsia" w:ascii="宋体" w:hAnsi="宋体" w:eastAsia="宋体" w:cs="宋体"/>
                <w:b/>
                <w:color w:val="auto"/>
                <w:sz w:val="24"/>
                <w:szCs w:val="22"/>
                <w:highlight w:val="none"/>
                <w:lang w:val="en-US" w:eastAsia="zh-CN"/>
              </w:rPr>
              <w:t>响应</w:t>
            </w:r>
            <w:r>
              <w:rPr>
                <w:rFonts w:hint="eastAsia" w:ascii="宋体" w:hAnsi="宋体" w:eastAsia="宋体" w:cs="宋体"/>
                <w:b/>
                <w:color w:val="auto"/>
                <w:sz w:val="24"/>
                <w:szCs w:val="22"/>
                <w:highlight w:val="none"/>
              </w:rPr>
              <w:t>文件进行解密的；</w:t>
            </w:r>
          </w:p>
          <w:p w14:paraId="66FFFF13">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highlight w:val="none"/>
              </w:rPr>
            </w:pPr>
            <w:r>
              <w:rPr>
                <w:rFonts w:hint="eastAsia" w:ascii="宋体" w:hAnsi="宋体" w:eastAsia="宋体" w:cs="宋体"/>
                <w:b/>
                <w:color w:val="auto"/>
                <w:sz w:val="24"/>
                <w:szCs w:val="22"/>
                <w:highlight w:val="none"/>
                <w:lang w:val="en-US" w:eastAsia="zh-CN"/>
              </w:rPr>
              <w:t>5、未在规定时间内进行最终报价的；</w:t>
            </w:r>
          </w:p>
          <w:p w14:paraId="566FD0F9">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6、因供应商自身原因（如未带CA锁、或所带CA锁与制作电子响应文件使用的CA锁不一致、或沿用旧版谈判文件编制响应文件等情形），导致在规定时间内无法解密响应文件的；</w:t>
            </w:r>
          </w:p>
          <w:p w14:paraId="16DE14F7">
            <w:pPr>
              <w:pageBreakBefore w:val="0"/>
              <w:wordWrap/>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rPr>
              <w:t>特殊情形下的应急处置</w:t>
            </w:r>
            <w:r>
              <w:rPr>
                <w:rFonts w:hint="eastAsia" w:ascii="宋体" w:hAnsi="宋体" w:eastAsia="宋体" w:cs="宋体"/>
                <w:b/>
                <w:color w:val="auto"/>
                <w:sz w:val="24"/>
                <w:szCs w:val="22"/>
                <w:highlight w:val="none"/>
                <w:lang w:eastAsia="zh-CN"/>
              </w:rPr>
              <w:t>：</w:t>
            </w:r>
          </w:p>
          <w:p w14:paraId="1B973AE3">
            <w:pPr>
              <w:pageBreakBefore w:val="0"/>
              <w:wordWrap/>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在开标、评审过程中，如因</w:t>
            </w:r>
            <w:r>
              <w:rPr>
                <w:rFonts w:hint="eastAsia" w:ascii="宋体" w:hAnsi="宋体" w:eastAsia="宋体" w:cs="宋体"/>
                <w:b/>
                <w:color w:val="auto"/>
                <w:sz w:val="24"/>
                <w:szCs w:val="24"/>
                <w:highlight w:val="none"/>
                <w:lang w:val="en-US" w:eastAsia="zh-CN"/>
              </w:rPr>
              <w:t>宝鸡市公共资源交易中心</w:t>
            </w:r>
            <w:r>
              <w:rPr>
                <w:rFonts w:hint="eastAsia" w:ascii="宋体" w:hAnsi="宋体" w:eastAsia="宋体" w:cs="宋体"/>
                <w:b/>
                <w:color w:val="auto"/>
                <w:sz w:val="24"/>
                <w:szCs w:val="24"/>
                <w:highlight w:val="none"/>
              </w:rPr>
              <w:t>停电、断网、电子化系统故障等特殊原因导致电子化开、评标无法正常进行时，将</w:t>
            </w:r>
            <w:r>
              <w:rPr>
                <w:rFonts w:hint="eastAsia" w:ascii="宋体" w:hAnsi="宋体" w:eastAsia="宋体" w:cs="宋体"/>
                <w:b/>
                <w:color w:val="auto"/>
                <w:sz w:val="24"/>
                <w:szCs w:val="24"/>
                <w:highlight w:val="none"/>
                <w:lang w:eastAsia="zh-CN"/>
              </w:rPr>
              <w:t>延后</w:t>
            </w:r>
            <w:r>
              <w:rPr>
                <w:rFonts w:hint="eastAsia" w:ascii="宋体" w:hAnsi="宋体" w:eastAsia="宋体" w:cs="宋体"/>
                <w:b/>
                <w:color w:val="auto"/>
                <w:sz w:val="24"/>
                <w:szCs w:val="24"/>
                <w:highlight w:val="none"/>
              </w:rPr>
              <w:t>开展后续</w:t>
            </w:r>
            <w:r>
              <w:rPr>
                <w:rFonts w:hint="eastAsia" w:ascii="宋体" w:hAnsi="宋体" w:eastAsia="宋体" w:cs="宋体"/>
                <w:b/>
                <w:color w:val="auto"/>
                <w:sz w:val="24"/>
                <w:szCs w:val="24"/>
                <w:highlight w:val="none"/>
                <w:lang w:val="en-US" w:eastAsia="zh-CN"/>
              </w:rPr>
              <w:t>招标</w:t>
            </w:r>
            <w:r>
              <w:rPr>
                <w:rFonts w:hint="eastAsia" w:ascii="宋体" w:hAnsi="宋体" w:eastAsia="宋体" w:cs="宋体"/>
                <w:b/>
                <w:color w:val="auto"/>
                <w:sz w:val="24"/>
                <w:szCs w:val="24"/>
                <w:highlight w:val="none"/>
              </w:rPr>
              <w:t>活动。</w:t>
            </w:r>
          </w:p>
        </w:tc>
      </w:tr>
      <w:tr w14:paraId="413C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663" w:type="dxa"/>
            <w:vAlign w:val="center"/>
          </w:tcPr>
          <w:p w14:paraId="34B54ED9">
            <w:pPr>
              <w:numPr>
                <w:ilvl w:val="0"/>
                <w:numId w:val="0"/>
              </w:numPr>
              <w:ind w:left="0" w:lef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25</w:t>
            </w:r>
          </w:p>
        </w:tc>
        <w:tc>
          <w:tcPr>
            <w:tcW w:w="2118" w:type="dxa"/>
            <w:vAlign w:val="center"/>
          </w:tcPr>
          <w:p w14:paraId="171D63DB">
            <w:pPr>
              <w:pageBreakBefore w:val="0"/>
              <w:wordWrap/>
              <w:topLinePunct w:val="0"/>
              <w:bidi w:val="0"/>
              <w:spacing w:line="365"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32"/>
                <w:highlight w:val="none"/>
                <w:lang w:eastAsia="zh-CN"/>
              </w:rPr>
              <w:t>谈判</w:t>
            </w:r>
            <w:r>
              <w:rPr>
                <w:rFonts w:hint="eastAsia" w:ascii="宋体" w:hAnsi="宋体" w:eastAsia="宋体" w:cs="宋体"/>
                <w:color w:val="auto"/>
                <w:sz w:val="24"/>
                <w:szCs w:val="32"/>
                <w:highlight w:val="none"/>
              </w:rPr>
              <w:t>报价</w:t>
            </w:r>
          </w:p>
        </w:tc>
        <w:tc>
          <w:tcPr>
            <w:tcW w:w="6918" w:type="dxa"/>
            <w:vAlign w:val="center"/>
          </w:tcPr>
          <w:p w14:paraId="34AC5B20">
            <w:pPr>
              <w:spacing w:before="0" w:after="0"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包含生产厂商到采购人指定送达现场所需的成本、装卸、运输（含保险费）、现场保管费</w:t>
            </w:r>
            <w:r>
              <w:rPr>
                <w:rFonts w:hint="eastAsia" w:ascii="宋体" w:hAnsi="宋体" w:cs="宋体"/>
                <w:sz w:val="24"/>
                <w:szCs w:val="24"/>
                <w:highlight w:val="none"/>
                <w:lang w:eastAsia="zh-CN"/>
              </w:rPr>
              <w:t>、耗材</w:t>
            </w:r>
            <w:r>
              <w:rPr>
                <w:rFonts w:hint="eastAsia" w:ascii="宋体" w:hAnsi="宋体" w:eastAsia="宋体" w:cs="宋体"/>
                <w:sz w:val="24"/>
                <w:szCs w:val="24"/>
                <w:highlight w:val="none"/>
                <w:lang w:eastAsia="zh-CN"/>
              </w:rPr>
              <w:t>、人工费、税金、利润等一切费用。</w:t>
            </w:r>
          </w:p>
        </w:tc>
      </w:tr>
      <w:tr w14:paraId="5D21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63" w:type="dxa"/>
            <w:vAlign w:val="center"/>
          </w:tcPr>
          <w:p w14:paraId="7EF73FB6">
            <w:pPr>
              <w:numPr>
                <w:ilvl w:val="0"/>
                <w:numId w:val="0"/>
              </w:numPr>
              <w:ind w:left="0" w:lef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26</w:t>
            </w:r>
          </w:p>
        </w:tc>
        <w:tc>
          <w:tcPr>
            <w:tcW w:w="2118" w:type="dxa"/>
            <w:shd w:val="clear" w:color="auto" w:fill="auto"/>
            <w:vAlign w:val="center"/>
          </w:tcPr>
          <w:p w14:paraId="7FE8B90B">
            <w:pPr>
              <w:spacing w:before="0" w:after="0"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付款方式</w:t>
            </w:r>
          </w:p>
        </w:tc>
        <w:tc>
          <w:tcPr>
            <w:tcW w:w="6918" w:type="dxa"/>
            <w:shd w:val="clear" w:color="auto" w:fill="auto"/>
            <w:vAlign w:val="center"/>
          </w:tcPr>
          <w:p w14:paraId="649C28FE">
            <w:pPr>
              <w:spacing w:before="0" w:after="0"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验收合格后支付</w:t>
            </w:r>
            <w:r>
              <w:rPr>
                <w:rFonts w:hint="eastAsia" w:ascii="宋体" w:hAnsi="宋体" w:cs="宋体"/>
                <w:color w:val="auto"/>
                <w:sz w:val="24"/>
                <w:szCs w:val="24"/>
                <w:highlight w:val="none"/>
                <w:lang w:val="en-US" w:eastAsia="zh-CN"/>
              </w:rPr>
              <w:t>到合同金额80%</w:t>
            </w:r>
            <w:r>
              <w:rPr>
                <w:rFonts w:hint="eastAsia" w:ascii="宋体" w:hAnsi="宋体" w:eastAsia="宋体" w:cs="宋体"/>
                <w:color w:val="auto"/>
                <w:sz w:val="24"/>
                <w:szCs w:val="24"/>
                <w:highlight w:val="none"/>
                <w:lang w:val="en-US" w:eastAsia="zh-CN"/>
              </w:rPr>
              <w:t>，决算审计后支付</w:t>
            </w:r>
            <w:r>
              <w:rPr>
                <w:rFonts w:hint="eastAsia" w:ascii="宋体" w:hAnsi="宋体" w:cs="宋体"/>
                <w:color w:val="auto"/>
                <w:sz w:val="24"/>
                <w:szCs w:val="24"/>
                <w:highlight w:val="none"/>
                <w:lang w:val="en-US" w:eastAsia="zh-CN"/>
              </w:rPr>
              <w:t>到合同金额97%</w:t>
            </w:r>
            <w:r>
              <w:rPr>
                <w:rFonts w:hint="eastAsia" w:ascii="宋体" w:hAnsi="宋体" w:eastAsia="宋体" w:cs="宋体"/>
                <w:color w:val="auto"/>
                <w:sz w:val="24"/>
                <w:szCs w:val="24"/>
                <w:highlight w:val="none"/>
                <w:lang w:val="en-US" w:eastAsia="zh-CN"/>
              </w:rPr>
              <w:t>，剩余</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质保期满后一次性支付。</w:t>
            </w:r>
          </w:p>
        </w:tc>
      </w:tr>
      <w:tr w14:paraId="204A7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63" w:type="dxa"/>
            <w:vAlign w:val="center"/>
          </w:tcPr>
          <w:p w14:paraId="30CB6C1F">
            <w:pPr>
              <w:numPr>
                <w:ilvl w:val="0"/>
                <w:numId w:val="0"/>
              </w:numPr>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w:t>
            </w:r>
          </w:p>
        </w:tc>
        <w:tc>
          <w:tcPr>
            <w:tcW w:w="2118" w:type="dxa"/>
            <w:vAlign w:val="center"/>
          </w:tcPr>
          <w:p w14:paraId="4B369D46">
            <w:pPr>
              <w:spacing w:before="0"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评标办法及标准</w:t>
            </w:r>
          </w:p>
        </w:tc>
        <w:tc>
          <w:tcPr>
            <w:tcW w:w="6918" w:type="dxa"/>
            <w:vAlign w:val="center"/>
          </w:tcPr>
          <w:p w14:paraId="65D8E44F">
            <w:pPr>
              <w:spacing w:before="0" w:after="0"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详见竞争性谈判文件第二章。</w:t>
            </w:r>
          </w:p>
        </w:tc>
      </w:tr>
      <w:tr w14:paraId="05E11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663" w:type="dxa"/>
            <w:vAlign w:val="center"/>
          </w:tcPr>
          <w:p w14:paraId="4C3B4683">
            <w:pPr>
              <w:numPr>
                <w:ilvl w:val="0"/>
                <w:numId w:val="0"/>
              </w:numPr>
              <w:ind w:left="0" w:lef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28</w:t>
            </w:r>
          </w:p>
        </w:tc>
        <w:tc>
          <w:tcPr>
            <w:tcW w:w="2118" w:type="dxa"/>
            <w:vAlign w:val="center"/>
          </w:tcPr>
          <w:p w14:paraId="440CCE15">
            <w:pPr>
              <w:spacing w:before="0"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不见面开标注意事项</w:t>
            </w:r>
          </w:p>
          <w:p w14:paraId="2F768278">
            <w:pPr>
              <w:spacing w:before="0" w:after="0" w:line="360" w:lineRule="auto"/>
              <w:ind w:firstLine="480" w:firstLineChars="200"/>
              <w:rPr>
                <w:rFonts w:hint="eastAsia" w:ascii="宋体" w:hAnsi="宋体" w:eastAsia="宋体" w:cs="宋体"/>
                <w:color w:val="auto"/>
                <w:sz w:val="24"/>
                <w:highlight w:val="none"/>
                <w:lang w:val="en-US" w:eastAsia="zh-CN"/>
              </w:rPr>
            </w:pPr>
          </w:p>
        </w:tc>
        <w:tc>
          <w:tcPr>
            <w:tcW w:w="6918" w:type="dxa"/>
            <w:vAlign w:val="center"/>
          </w:tcPr>
          <w:p w14:paraId="75916115">
            <w:pPr>
              <w:spacing w:before="0" w:after="0"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在响应文件提交截止时间前，各供应商必须在电子交易平台递交响应文件，否则无法进入后续的开标环节。</w:t>
            </w:r>
          </w:p>
          <w:p w14:paraId="46ACECE2">
            <w:pPr>
              <w:spacing w:before="0" w:after="0"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供应商通过线上观看开标现场音视频，无需到现场参加开标谈判会议。</w:t>
            </w:r>
          </w:p>
          <w:p w14:paraId="37A04914">
            <w:pPr>
              <w:spacing w:before="0" w:after="0"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实施“不见面开标”，供应商应确保自己的电脑环境、CA锁、网络等状况良好，以免影响其参与交易活动。</w:t>
            </w:r>
          </w:p>
          <w:p w14:paraId="525CE60C">
            <w:pPr>
              <w:spacing w:before="0" w:after="0"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为保证线上不见面开标顺利进行，各供应商应及时访问全国公共资源交易平台（陕西省·宝鸡市）网站“服务指南-下载专区”栏目，下载学习“不见面开标”操作指南---《政府采购电子交易-不见面系统操作手册》、（新版政府采购不见面开标系统操作演示），提前做好有关设施、设备配置安装准备工作。因供应商自身软硬件配备不齐全、不达要求或发生故障等问题而导致在交互过程中出现不稳定或中断等情况的，由供应商自身承担后果。</w:t>
            </w:r>
          </w:p>
          <w:p w14:paraId="53BA15CB">
            <w:pPr>
              <w:spacing w:before="0" w:after="0" w:line="360" w:lineRule="auto"/>
              <w:ind w:firstLine="482" w:firstLineChars="200"/>
              <w:rPr>
                <w:rFonts w:hint="eastAsia" w:ascii="宋体" w:hAnsi="宋体" w:eastAsia="宋体" w:cs="宋体"/>
                <w:highlight w:val="none"/>
                <w:lang w:val="en-US" w:eastAsia="zh-CN"/>
              </w:rPr>
            </w:pPr>
            <w:r>
              <w:rPr>
                <w:rFonts w:hint="eastAsia" w:ascii="宋体" w:hAnsi="宋体" w:eastAsia="宋体" w:cs="宋体"/>
                <w:b/>
                <w:bCs/>
                <w:color w:val="auto"/>
                <w:sz w:val="24"/>
                <w:highlight w:val="none"/>
                <w:lang w:val="en-US" w:eastAsia="zh-CN"/>
              </w:rPr>
              <w:t>注：各供应商在开标会议开始前，在开标系统及时进行签到，务必预留联系人、联系电话等信息，以保证在后续谈判及二次报价环节及时取得与供应商的联系。</w:t>
            </w:r>
          </w:p>
        </w:tc>
      </w:tr>
      <w:tr w14:paraId="2DC95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663" w:type="dxa"/>
            <w:vAlign w:val="center"/>
          </w:tcPr>
          <w:p w14:paraId="3A8FA0BC">
            <w:pPr>
              <w:numPr>
                <w:ilvl w:val="0"/>
                <w:numId w:val="0"/>
              </w:numPr>
              <w:ind w:left="0" w:lef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29</w:t>
            </w:r>
          </w:p>
        </w:tc>
        <w:tc>
          <w:tcPr>
            <w:tcW w:w="2118" w:type="dxa"/>
            <w:vAlign w:val="center"/>
          </w:tcPr>
          <w:p w14:paraId="5DE1B359">
            <w:pPr>
              <w:tabs>
                <w:tab w:val="left" w:pos="7013"/>
              </w:tabs>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标的所属行业</w:t>
            </w:r>
          </w:p>
        </w:tc>
        <w:tc>
          <w:tcPr>
            <w:tcW w:w="6918" w:type="dxa"/>
            <w:vAlign w:val="center"/>
          </w:tcPr>
          <w:p w14:paraId="100190EF">
            <w:pPr>
              <w:keepNext w:val="0"/>
              <w:keepLines w:val="0"/>
              <w:widowControl/>
              <w:suppressLineNumbers w:val="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本项目标的所属行业：工业。</w:t>
            </w:r>
          </w:p>
        </w:tc>
      </w:tr>
      <w:tr w14:paraId="5BCE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663" w:type="dxa"/>
            <w:vAlign w:val="center"/>
          </w:tcPr>
          <w:p w14:paraId="4D44ED77">
            <w:pPr>
              <w:numPr>
                <w:ilvl w:val="0"/>
                <w:numId w:val="0"/>
              </w:numPr>
              <w:ind w:left="0" w:lef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30</w:t>
            </w:r>
          </w:p>
        </w:tc>
        <w:tc>
          <w:tcPr>
            <w:tcW w:w="2118" w:type="dxa"/>
            <w:vAlign w:val="center"/>
          </w:tcPr>
          <w:p w14:paraId="4BE51FD4">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其它事项</w:t>
            </w:r>
          </w:p>
        </w:tc>
        <w:tc>
          <w:tcPr>
            <w:tcW w:w="6918" w:type="dxa"/>
            <w:vAlign w:val="center"/>
          </w:tcPr>
          <w:p w14:paraId="22DC4CFC">
            <w:pPr>
              <w:pStyle w:val="114"/>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rPr>
              <w:t>本次采购、</w:t>
            </w:r>
            <w:r>
              <w:rPr>
                <w:rFonts w:hint="eastAsia" w:ascii="宋体" w:hAnsi="宋体" w:eastAsia="宋体" w:cs="宋体"/>
                <w:color w:val="auto"/>
                <w:kern w:val="2"/>
                <w:sz w:val="24"/>
                <w:szCs w:val="24"/>
                <w:highlight w:val="none"/>
                <w:lang w:eastAsia="zh-CN"/>
              </w:rPr>
              <w:t>谈判</w:t>
            </w:r>
            <w:r>
              <w:rPr>
                <w:rFonts w:hint="eastAsia" w:ascii="宋体" w:hAnsi="宋体" w:eastAsia="宋体" w:cs="宋体"/>
                <w:color w:val="auto"/>
                <w:kern w:val="2"/>
                <w:sz w:val="24"/>
                <w:szCs w:val="24"/>
                <w:highlight w:val="none"/>
              </w:rPr>
              <w:t>报价、评审和合同授予均以项目为单位，供应商必须就一个完整项目进行响应。成交供应商与采购人在成交通知书发出</w:t>
            </w:r>
            <w:r>
              <w:rPr>
                <w:rFonts w:hint="eastAsia" w:ascii="宋体" w:hAnsi="宋体" w:eastAsia="宋体" w:cs="宋体"/>
                <w:color w:val="auto"/>
                <w:kern w:val="2"/>
                <w:sz w:val="24"/>
                <w:szCs w:val="24"/>
                <w:highlight w:val="none"/>
                <w:lang w:val="en-US" w:eastAsia="zh-CN"/>
              </w:rPr>
              <w:t>25</w:t>
            </w:r>
            <w:r>
              <w:rPr>
                <w:rFonts w:hint="eastAsia" w:ascii="宋体" w:hAnsi="宋体" w:eastAsia="宋体" w:cs="宋体"/>
                <w:color w:val="auto"/>
                <w:kern w:val="2"/>
                <w:sz w:val="24"/>
                <w:szCs w:val="24"/>
                <w:highlight w:val="none"/>
              </w:rPr>
              <w:t>天内签订合同，不及时签订视为自动放弃。非经采购人同意，本项目不允许成交后另行转包或者分包。成交人无正当理由不得放弃中标。</w:t>
            </w:r>
            <w:r>
              <w:rPr>
                <w:rFonts w:hint="eastAsia" w:ascii="宋体" w:hAnsi="宋体" w:eastAsia="宋体" w:cs="宋体"/>
                <w:color w:val="auto"/>
                <w:sz w:val="24"/>
                <w:szCs w:val="24"/>
                <w:highlight w:val="none"/>
              </w:rPr>
              <w:t>因自身原因拒绝签订政府采购合同的或者未按合同约定进行履约的，成交人不得参加对该项目重新开展的</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活动。</w:t>
            </w:r>
          </w:p>
        </w:tc>
      </w:tr>
    </w:tbl>
    <w:p w14:paraId="6E20D602">
      <w:pPr>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二、名词解释</w:t>
      </w:r>
    </w:p>
    <w:p w14:paraId="6450E722">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1、采购人：</w:t>
      </w:r>
      <w:r>
        <w:rPr>
          <w:rFonts w:hint="eastAsia" w:cs="宋体"/>
          <w:highlight w:val="none"/>
          <w:lang w:val="en-US" w:eastAsia="zh-CN"/>
        </w:rPr>
        <w:t>宝鸡市凤翔区竞存第一中学</w:t>
      </w:r>
    </w:p>
    <w:p w14:paraId="4F8D1ACF">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2、监督机构：</w:t>
      </w:r>
      <w:r>
        <w:rPr>
          <w:rFonts w:hint="eastAsia" w:cs="宋体"/>
          <w:color w:val="auto"/>
          <w:highlight w:val="none"/>
          <w:lang w:val="zh-CN"/>
        </w:rPr>
        <w:t>凤翔区教育体育局</w:t>
      </w:r>
    </w:p>
    <w:p w14:paraId="3B6379AD">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3、采购代理机构：</w:t>
      </w:r>
      <w:r>
        <w:rPr>
          <w:rFonts w:hint="eastAsia" w:cs="宋体"/>
          <w:color w:val="auto"/>
          <w:highlight w:val="none"/>
          <w:lang w:val="zh-CN"/>
        </w:rPr>
        <w:t>陕西紫方乔项目管理有限公司</w:t>
      </w:r>
    </w:p>
    <w:p w14:paraId="4299F4EB">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4、供应商：响应谈判并且符合竞争性谈判文件规定资格条件和参加谈判竞争的法人、其他组织。</w:t>
      </w:r>
    </w:p>
    <w:p w14:paraId="79CE2FF8">
      <w:pPr>
        <w:autoSpaceDE w:val="0"/>
        <w:autoSpaceDN w:val="0"/>
        <w:adjustRightInd w:val="0"/>
        <w:spacing w:line="336" w:lineRule="auto"/>
        <w:outlineLvl w:val="1"/>
        <w:rPr>
          <w:rFonts w:hint="eastAsia" w:ascii="宋体" w:hAnsi="宋体" w:eastAsia="宋体" w:cs="宋体"/>
          <w:color w:val="auto"/>
          <w:sz w:val="24"/>
          <w:szCs w:val="24"/>
          <w:highlight w:val="none"/>
          <w:lang w:val="zh-CN"/>
        </w:rPr>
      </w:pPr>
      <w:r>
        <w:rPr>
          <w:rFonts w:hint="eastAsia" w:ascii="宋体" w:hAnsi="宋体" w:eastAsia="宋体" w:cs="宋体"/>
          <w:b/>
          <w:color w:val="auto"/>
          <w:sz w:val="28"/>
          <w:szCs w:val="28"/>
          <w:highlight w:val="none"/>
          <w:lang w:val="zh-CN"/>
        </w:rPr>
        <w:t>三、竞争性谈判文件及要求</w:t>
      </w:r>
    </w:p>
    <w:p w14:paraId="69A4FECF">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1、竞争性谈判文件组成：竞争性谈判文件是根据本项目的特点和采购人的实际需求编制，包括以下内容：</w:t>
      </w:r>
    </w:p>
    <w:p w14:paraId="62E17744">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1-1、竞争性谈判公告</w:t>
      </w:r>
    </w:p>
    <w:p w14:paraId="286C1385">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1-2、竞争性谈判须知</w:t>
      </w:r>
    </w:p>
    <w:p w14:paraId="771C04B8">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1-3、采购内容及要求</w:t>
      </w:r>
    </w:p>
    <w:p w14:paraId="2997C199">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1-4、商务要求</w:t>
      </w:r>
    </w:p>
    <w:p w14:paraId="04890777">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rPr>
        <w:t>、拟签订的合同文本</w:t>
      </w:r>
    </w:p>
    <w:p w14:paraId="0AE3B98D">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val="zh-CN"/>
        </w:rPr>
        <w:t>、谈判响应文件组成</w:t>
      </w:r>
    </w:p>
    <w:p w14:paraId="3795243A">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2、竞争性谈判文件的获取：各供应商应从</w:t>
      </w:r>
      <w:r>
        <w:rPr>
          <w:rFonts w:hint="eastAsia" w:ascii="宋体" w:hAnsi="宋体" w:eastAsia="宋体" w:cs="宋体"/>
          <w:b w:val="0"/>
          <w:bCs/>
          <w:color w:val="auto"/>
          <w:kern w:val="2"/>
          <w:sz w:val="24"/>
          <w:szCs w:val="24"/>
          <w:highlight w:val="none"/>
          <w:lang w:val="en-US" w:eastAsia="zh-CN" w:bidi="ar-SA"/>
        </w:rPr>
        <w:t>全国公共资源交易平台（陕西省·宝鸡市）宝鸡市公共资源交易中心（http://ggzy.baoji.gov.cn/）自行</w:t>
      </w:r>
      <w:r>
        <w:rPr>
          <w:rFonts w:hint="eastAsia" w:ascii="宋体" w:hAnsi="宋体" w:eastAsia="宋体" w:cs="宋体"/>
          <w:color w:val="auto"/>
          <w:highlight w:val="none"/>
          <w:lang w:val="en-US" w:eastAsia="zh-CN"/>
        </w:rPr>
        <w:t>获取</w:t>
      </w:r>
      <w:r>
        <w:rPr>
          <w:rFonts w:hint="eastAsia" w:ascii="宋体" w:hAnsi="宋体" w:eastAsia="宋体" w:cs="宋体"/>
          <w:color w:val="auto"/>
          <w:highlight w:val="none"/>
          <w:lang w:val="zh-CN"/>
        </w:rPr>
        <w:t>竞争性谈判文件，谈判文件仅作为本次谈判使用。</w:t>
      </w:r>
    </w:p>
    <w:p w14:paraId="44704E43">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3、采购代理机构应在谈判文件要求提交首次响应文件截止时间三个工作日前，对已发出的谈判文件进行必要的澄清或者修改，澄清或者修改的内容可能影响响应文件编制的，不足三个工作日应延长至三个工作日。澄清或者修改内容在政府采购发布媒体上发布更正公告，并在公共资源交易系统内上传电子版澄清文件，各供应商在线下载查看，澄清文件作为谈判文件的组成部分。</w:t>
      </w:r>
    </w:p>
    <w:p w14:paraId="1FC3A9DA">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4、对采购活动事项有疑问或有质疑的供应商，应在谈判截止时间两日前，以书面形式提出。采购代理机构将予以答复，涉及变更或修正内容在政府采购发布媒体上发布更正公告，并以</w:t>
      </w:r>
      <w:r>
        <w:rPr>
          <w:rFonts w:hint="eastAsia" w:ascii="宋体" w:hAnsi="宋体" w:eastAsia="宋体" w:cs="宋体"/>
          <w:color w:val="auto"/>
          <w:highlight w:val="none"/>
          <w:lang w:val="zh-CN" w:eastAsia="zh-CN"/>
        </w:rPr>
        <w:t>在谈判文件发布平台</w:t>
      </w:r>
      <w:r>
        <w:rPr>
          <w:rFonts w:hint="eastAsia" w:ascii="宋体" w:hAnsi="宋体" w:eastAsia="宋体" w:cs="宋体"/>
          <w:color w:val="auto"/>
          <w:highlight w:val="none"/>
          <w:lang w:val="zh-CN"/>
        </w:rPr>
        <w:t>上传澄清说明的形式通知所有谈判文件收受人，且作为谈判文件的组成部分。</w:t>
      </w:r>
    </w:p>
    <w:p w14:paraId="4B39F395">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5、竞争性谈判文件的解释权归采购代理机构。</w:t>
      </w:r>
    </w:p>
    <w:p w14:paraId="1ACE3E1A">
      <w:pPr>
        <w:autoSpaceDE w:val="0"/>
        <w:autoSpaceDN w:val="0"/>
        <w:adjustRightInd w:val="0"/>
        <w:spacing w:line="336" w:lineRule="auto"/>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四、谈判及响应文件</w:t>
      </w:r>
    </w:p>
    <w:p w14:paraId="1C07E220">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各供应商按照谈判文件中的所有事项、格式、条款和要求编制响应文件，对谈判文件的内容及要求作出实质性响应，提交响应资料，并对其提交的响应文件的真实性和合法性承担法律责任。谈判响应文件应为一个整体，不得在其中选项或将其中内容再行分解。</w:t>
      </w:r>
    </w:p>
    <w:p w14:paraId="60D1B6D1">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2、合格供应商要求：</w:t>
      </w:r>
    </w:p>
    <w:p w14:paraId="67FA19D3">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1.满足《中华人民共和国政府采购法》第二十二条规定;</w:t>
      </w:r>
    </w:p>
    <w:p w14:paraId="4CE7DFA6">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2.落实政府采购政策需满足的资格要求：</w:t>
      </w:r>
    </w:p>
    <w:p w14:paraId="573D7F6E">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合同包1(</w:t>
      </w:r>
      <w:r>
        <w:rPr>
          <w:rFonts w:hint="eastAsia" w:cs="宋体"/>
          <w:color w:val="auto"/>
          <w:highlight w:val="none"/>
          <w:lang w:val="zh-CN"/>
        </w:rPr>
        <w:t>宝鸡市凤翔区竞存第一中学智慧黑板采购项目</w:t>
      </w:r>
      <w:r>
        <w:rPr>
          <w:rFonts w:hint="eastAsia" w:ascii="宋体" w:hAnsi="宋体" w:eastAsia="宋体" w:cs="宋体"/>
          <w:color w:val="auto"/>
          <w:highlight w:val="none"/>
          <w:lang w:val="zh-CN"/>
        </w:rPr>
        <w:t>)落实政府采购政策需满足的资格要求如下:</w:t>
      </w:r>
    </w:p>
    <w:p w14:paraId="4ECB20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（1）《国务院办公厅关于建立政府强制采购节能产品制度的通知》（国办发〔2007〕51号）；</w:t>
      </w:r>
    </w:p>
    <w:p w14:paraId="45810C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（2）《财政部司法部关于政府采购支持监狱企业发展有关问题的通知》（财库〔2014〕68号）；</w:t>
      </w:r>
    </w:p>
    <w:p w14:paraId="18E65E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（3）《财政部民政部中国残疾人联合会关于促进残疾人就业政府采购政策的通知》（财库〔2017〕141号）；</w:t>
      </w:r>
    </w:p>
    <w:p w14:paraId="449CB5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（4）《财政部发展改革委生态环境部市场监管总局关于调整优化节能产品、环境标志产品政府采购执行机制的通知》（财库〔2019〕9号）；</w:t>
      </w:r>
    </w:p>
    <w:p w14:paraId="6FD453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（5）《关于运用政府采购政策支持乡村产业振兴的通知》（财库〔2021〕19号）；</w:t>
      </w:r>
    </w:p>
    <w:p w14:paraId="1FD96D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（6）《政府采购促进中小企业发展管理办法》（财库〔2020〕46号）；</w:t>
      </w:r>
    </w:p>
    <w:p w14:paraId="4D9100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（7）《陕西省中小企业政府采购信用融资办法》（陕财办采〔2018〕23号）；</w:t>
      </w:r>
    </w:p>
    <w:p w14:paraId="056B01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（8）《关于进一步加大政府采购支持中小企业力度的通知》（财库〔2023〕19号）；</w:t>
      </w:r>
    </w:p>
    <w:p w14:paraId="362366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（9）《陕西省财政厅关于进一步落实政府采购支持中小企业相关政策的通知》（陕财办采〔2023〕3号）；</w:t>
      </w:r>
    </w:p>
    <w:p w14:paraId="2BE815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（10）《陕西省财政厅关于加强政府采购绿色采购有关工作的通知》（陕财办采〔2021〕29号）；</w:t>
      </w:r>
    </w:p>
    <w:p w14:paraId="16E772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（11）若国家、陕西省后续新颁布政府采购相关政策文件，本项目统一按最新有效文件规定执行。</w:t>
      </w:r>
    </w:p>
    <w:p w14:paraId="2CCC6FB9">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本项目专门面向中小企业采购。（残疾人福利性单位、监狱企业视同小型、微型企业）；须符合《政府采购促进中小企业发展管理办法》（财库〔2020〕46号）规定的中小企业参加；本项目采购标的所属行业为：工业。</w:t>
      </w:r>
    </w:p>
    <w:p w14:paraId="5E1D27F9">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3.本项目的特定资格要求：</w:t>
      </w:r>
    </w:p>
    <w:p w14:paraId="04B4701A">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合同包1(</w:t>
      </w:r>
      <w:r>
        <w:rPr>
          <w:rFonts w:hint="eastAsia" w:cs="宋体"/>
          <w:color w:val="auto"/>
          <w:highlight w:val="none"/>
          <w:lang w:val="zh-CN" w:eastAsia="zh-CN"/>
        </w:rPr>
        <w:t>宝鸡市凤翔区竞存第一中学智慧黑板采购项目</w:t>
      </w:r>
      <w:r>
        <w:rPr>
          <w:rFonts w:hint="eastAsia" w:ascii="宋体" w:hAnsi="宋体" w:eastAsia="宋体" w:cs="宋体"/>
          <w:color w:val="auto"/>
          <w:highlight w:val="none"/>
          <w:lang w:val="zh-CN" w:eastAsia="zh-CN"/>
        </w:rPr>
        <w:t>)特定资格要求如下:</w:t>
      </w:r>
    </w:p>
    <w:p w14:paraId="5DC480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主体资格证明：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62DE59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（2）谈判授权代表材料：供应商应授权合法的人员参加谈判，其中法定代表人直接参加的，须出具法定代表人证明书；被授权代表参加的，须出具法定代表人授权书；</w:t>
      </w:r>
    </w:p>
    <w:p w14:paraId="712F7D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财务状况证明：提供经审计的2025年度完整财务审计报告；若供应商成立至响应文件递交截止时间不足一年，可提供成立后任意时段财务报表，或递交截止前三个月内基本存款账户开户行出具的资信证明；其他组织、自然人可提供银行出具的资信证明或财务报表；</w:t>
      </w:r>
      <w:r>
        <w:rPr>
          <w:rFonts w:hint="eastAsia" w:ascii="宋体" w:hAnsi="宋体" w:eastAsia="宋体" w:cs="宋体"/>
          <w:b w:val="0"/>
          <w:bCs/>
          <w:color w:val="auto"/>
          <w:kern w:val="2"/>
          <w:sz w:val="24"/>
          <w:szCs w:val="24"/>
          <w:highlight w:val="none"/>
          <w:lang w:val="zh-CN" w:eastAsia="zh-CN" w:bidi="ar-SA"/>
        </w:rPr>
        <w:t>(注:依据财政部、国务院国资委、金融监管总局印发&lt;&lt;关于加强审计报告查验工作的通知&gt;&gt;(财会(2023]15号)报告须在注册会计师行业统一监管平台备案并由该平台赋予二维码)</w:t>
      </w:r>
    </w:p>
    <w:p w14:paraId="3DB03D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税收缴纳证明：提供2025年07月01日至今已缴纳的至少六个月的纳税证明或完税证明（时间以税款所属日期为准、税种须包含增值税或所得税）；若供应商成立至响应截止不足六个月、依法零申报或免税，应提供税务机关出具的相关佐证材料;</w:t>
      </w:r>
    </w:p>
    <w:p w14:paraId="04FF76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社会保障资金缴纳证明：提供2025年07月01日至今至少连续六个月社保缴费银行单据或社保经办机构出具的参保缴费证明；若供应商成立至响应截止不足六个月，可提供实际缴纳时段社保凭证；依法无需缴纳社会保障资金的单位，须提供相关主管部门出具的免缴证明材料；</w:t>
      </w:r>
    </w:p>
    <w:p w14:paraId="29F96A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（6）信用记录要求：供应商未被列入“信用中国”网站(www.creditchina.gov.cn)失信被执行人、重大税收违法失信主体；未被列入中国政府采购网(www.ccgp.gov.cn)政府采购严重违法失信行为记录名单。</w:t>
      </w:r>
    </w:p>
    <w:p w14:paraId="6DF7FD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（7）履约能力承诺书：供应商须提供书面承诺书，承诺自身具备完成本项目供货、运输、安装、调试、售后维保、人员培训全流程服务所需设备、场地、专业技术人员及配套服务能力；</w:t>
      </w:r>
    </w:p>
    <w:p w14:paraId="00569F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中小企业专项要求：本项目专门面向中小企业采购，供应商响应文件中必须提供财政部统一格式《中小企业声明函》；监狱企业、残疾人福利性单位视同中小企业，须同步提供对应官方认定证明文件，否则资格审查不予通过；</w:t>
      </w:r>
    </w:p>
    <w:p w14:paraId="18E850D9">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sz w:val="24"/>
          <w:szCs w:val="24"/>
          <w:highlight w:val="none"/>
        </w:rPr>
        <w:t>（9）</w:t>
      </w:r>
      <w:r>
        <w:rPr>
          <w:rFonts w:hint="eastAsia" w:cs="宋体"/>
          <w:sz w:val="24"/>
          <w:szCs w:val="24"/>
          <w:highlight w:val="none"/>
          <w:lang w:eastAsia="zh-CN"/>
        </w:rPr>
        <w:t>控股管理关系</w:t>
      </w:r>
      <w:r>
        <w:rPr>
          <w:rFonts w:hint="eastAsia" w:ascii="宋体" w:hAnsi="宋体" w:eastAsia="宋体" w:cs="宋体"/>
          <w:sz w:val="24"/>
          <w:szCs w:val="24"/>
          <w:highlight w:val="none"/>
        </w:rPr>
        <w:t>。单位负责人为同一人或者存在直接控股、管理关系的不同供应商，不得同时参与本项目采购活动</w:t>
      </w:r>
      <w:r>
        <w:rPr>
          <w:rFonts w:hint="eastAsia" w:ascii="宋体" w:hAnsi="宋体" w:eastAsia="宋体" w:cs="宋体"/>
          <w:b w:val="0"/>
          <w:bCs/>
          <w:color w:val="auto"/>
          <w:kern w:val="2"/>
          <w:sz w:val="24"/>
          <w:szCs w:val="24"/>
          <w:highlight w:val="none"/>
          <w:lang w:val="zh-CN" w:eastAsia="zh-CN" w:bidi="ar-SA"/>
        </w:rPr>
        <w:t>；</w:t>
      </w:r>
    </w:p>
    <w:p w14:paraId="34DF80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sz w:val="24"/>
          <w:szCs w:val="24"/>
          <w:highlight w:val="none"/>
        </w:rPr>
        <w:t>（10）书面</w:t>
      </w:r>
      <w:r>
        <w:rPr>
          <w:rFonts w:hint="eastAsia" w:ascii="宋体" w:hAnsi="宋体" w:eastAsia="宋体" w:cs="宋体"/>
          <w:sz w:val="24"/>
          <w:szCs w:val="24"/>
          <w:highlight w:val="none"/>
          <w:lang w:eastAsia="zh-CN"/>
        </w:rPr>
        <w:t>声明</w:t>
      </w:r>
      <w:r>
        <w:rPr>
          <w:rFonts w:hint="eastAsia" w:ascii="宋体" w:hAnsi="宋体" w:eastAsia="宋体" w:cs="宋体"/>
          <w:sz w:val="24"/>
          <w:szCs w:val="24"/>
          <w:highlight w:val="none"/>
        </w:rPr>
        <w:t>：出具参加政府采购活动前3年内在经营活动中没有重大违法记录的书面声明；</w:t>
      </w:r>
      <w:r>
        <w:rPr>
          <w:rFonts w:hint="eastAsia" w:ascii="宋体" w:hAnsi="宋体" w:eastAsia="宋体" w:cs="宋体"/>
          <w:b w:val="0"/>
          <w:bCs/>
          <w:color w:val="auto"/>
          <w:kern w:val="2"/>
          <w:sz w:val="24"/>
          <w:szCs w:val="24"/>
          <w:highlight w:val="none"/>
          <w:lang w:val="en-US" w:eastAsia="zh-CN" w:bidi="ar-SA"/>
        </w:rPr>
        <w:t xml:space="preserve">  </w:t>
      </w:r>
    </w:p>
    <w:p w14:paraId="5721C6D2">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en-US" w:eastAsia="zh-CN" w:bidi="ar-SA"/>
        </w:rPr>
        <w:t>3、</w:t>
      </w:r>
      <w:r>
        <w:rPr>
          <w:rFonts w:hint="eastAsia" w:ascii="宋体" w:hAnsi="宋体" w:eastAsia="宋体" w:cs="宋体"/>
          <w:b w:val="0"/>
          <w:bCs/>
          <w:color w:val="auto"/>
          <w:kern w:val="2"/>
          <w:sz w:val="24"/>
          <w:szCs w:val="24"/>
          <w:highlight w:val="none"/>
          <w:lang w:val="zh-CN" w:eastAsia="zh-CN" w:bidi="ar-SA"/>
        </w:rPr>
        <w:t>限制谈判的供应商</w:t>
      </w:r>
    </w:p>
    <w:p w14:paraId="7F29A117">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供应商单位负责人为同一人或者存在直接控股、管理关系的不同供应商，不得参加同一项目同一包号的政府采购活动。</w:t>
      </w:r>
    </w:p>
    <w:p w14:paraId="0A169F09">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4、本次采购项目不接受联合体谈判。</w:t>
      </w:r>
    </w:p>
    <w:p w14:paraId="3472A1CA">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en-US" w:eastAsia="zh-CN" w:bidi="ar-SA"/>
        </w:rPr>
        <w:t>5</w:t>
      </w:r>
      <w:r>
        <w:rPr>
          <w:rFonts w:hint="eastAsia" w:ascii="宋体" w:hAnsi="宋体" w:eastAsia="宋体" w:cs="宋体"/>
          <w:b w:val="0"/>
          <w:bCs/>
          <w:color w:val="auto"/>
          <w:kern w:val="2"/>
          <w:sz w:val="24"/>
          <w:szCs w:val="24"/>
          <w:highlight w:val="none"/>
          <w:lang w:val="zh-CN" w:eastAsia="zh-CN" w:bidi="ar-SA"/>
        </w:rPr>
        <w:t>、供应商信用信息：</w:t>
      </w:r>
    </w:p>
    <w:p w14:paraId="3064F7A1">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en-US" w:eastAsia="zh-CN" w:bidi="ar-SA"/>
        </w:rPr>
        <w:t>5</w:t>
      </w:r>
      <w:r>
        <w:rPr>
          <w:rFonts w:hint="eastAsia" w:ascii="宋体" w:hAnsi="宋体" w:eastAsia="宋体" w:cs="宋体"/>
          <w:b w:val="0"/>
          <w:bCs/>
          <w:color w:val="auto"/>
          <w:kern w:val="2"/>
          <w:sz w:val="24"/>
          <w:szCs w:val="24"/>
          <w:highlight w:val="none"/>
          <w:lang w:val="zh-CN" w:eastAsia="zh-CN" w:bidi="ar-SA"/>
        </w:rPr>
        <w:t>-1</w:t>
      </w:r>
      <w:r>
        <w:rPr>
          <w:rFonts w:hint="eastAsia" w:ascii="宋体" w:hAnsi="宋体" w:eastAsia="宋体" w:cs="宋体"/>
          <w:b w:val="0"/>
          <w:bCs/>
          <w:color w:val="auto"/>
          <w:kern w:val="2"/>
          <w:sz w:val="24"/>
          <w:szCs w:val="24"/>
          <w:highlight w:val="none"/>
          <w:lang w:val="en-US" w:eastAsia="zh-CN" w:bidi="ar-SA"/>
        </w:rPr>
        <w:t>、</w:t>
      </w:r>
      <w:r>
        <w:rPr>
          <w:rFonts w:hint="eastAsia" w:ascii="宋体" w:hAnsi="宋体" w:eastAsia="宋体" w:cs="宋体"/>
          <w:b w:val="0"/>
          <w:bCs/>
          <w:color w:val="auto"/>
          <w:kern w:val="2"/>
          <w:sz w:val="24"/>
          <w:szCs w:val="24"/>
          <w:highlight w:val="none"/>
          <w:lang w:val="zh-CN" w:eastAsia="zh-CN" w:bidi="ar-SA"/>
        </w:rPr>
        <w:t>“信用中国”网站（www.creditchina.gov.cn）、中国政府采购网（www.ccgp.gov.cn）相关主体信用记录，</w:t>
      </w:r>
      <w:r>
        <w:rPr>
          <w:rFonts w:hint="eastAsia" w:ascii="宋体" w:hAnsi="宋体" w:eastAsia="宋体" w:cs="宋体"/>
          <w:b w:val="0"/>
          <w:bCs/>
          <w:color w:val="auto"/>
          <w:kern w:val="2"/>
          <w:sz w:val="24"/>
          <w:szCs w:val="24"/>
          <w:highlight w:val="none"/>
          <w:lang w:val="en-US" w:eastAsia="zh-CN" w:bidi="ar-SA"/>
        </w:rPr>
        <w:t>供应商应提供信用承诺书，并对其承诺书的真实性负责</w:t>
      </w:r>
      <w:r>
        <w:rPr>
          <w:rFonts w:hint="eastAsia" w:ascii="宋体" w:hAnsi="宋体" w:eastAsia="宋体" w:cs="宋体"/>
          <w:b w:val="0"/>
          <w:bCs/>
          <w:color w:val="auto"/>
          <w:kern w:val="2"/>
          <w:sz w:val="24"/>
          <w:szCs w:val="24"/>
          <w:highlight w:val="none"/>
          <w:lang w:val="zh-CN" w:eastAsia="zh-CN" w:bidi="ar-SA"/>
        </w:rPr>
        <w:t>。</w:t>
      </w:r>
    </w:p>
    <w:p w14:paraId="045E6266">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5</w:t>
      </w:r>
      <w:r>
        <w:rPr>
          <w:rFonts w:hint="eastAsia" w:ascii="宋体" w:hAnsi="宋体" w:eastAsia="宋体" w:cs="宋体"/>
          <w:b w:val="0"/>
          <w:bCs/>
          <w:color w:val="auto"/>
          <w:kern w:val="2"/>
          <w:sz w:val="24"/>
          <w:szCs w:val="24"/>
          <w:highlight w:val="none"/>
          <w:lang w:val="zh-CN" w:eastAsia="zh-CN" w:bidi="ar-SA"/>
        </w:rPr>
        <w:t>-</w:t>
      </w:r>
      <w:r>
        <w:rPr>
          <w:rFonts w:hint="eastAsia" w:ascii="宋体" w:hAnsi="宋体" w:eastAsia="宋体" w:cs="宋体"/>
          <w:b w:val="0"/>
          <w:bCs/>
          <w:color w:val="auto"/>
          <w:kern w:val="2"/>
          <w:sz w:val="24"/>
          <w:szCs w:val="24"/>
          <w:highlight w:val="none"/>
          <w:lang w:val="en-US" w:eastAsia="zh-CN" w:bidi="ar-SA"/>
        </w:rPr>
        <w:t>2、</w:t>
      </w:r>
      <w:r>
        <w:rPr>
          <w:rFonts w:hint="eastAsia" w:ascii="宋体" w:hAnsi="宋体" w:eastAsia="宋体" w:cs="宋体"/>
          <w:b w:val="0"/>
          <w:bCs/>
          <w:color w:val="auto"/>
          <w:kern w:val="2"/>
          <w:sz w:val="24"/>
          <w:szCs w:val="24"/>
          <w:highlight w:val="none"/>
          <w:lang w:val="zh-CN" w:eastAsia="zh-CN" w:bidi="ar-SA"/>
        </w:rPr>
        <w:t>特别说明：供应商如在成交通知书发出前出现违法失信行为，采购人仍有权利提请谈判小组取消其成交资格；</w:t>
      </w:r>
    </w:p>
    <w:p w14:paraId="4E80F3E6">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en-US" w:eastAsia="zh-CN" w:bidi="ar-SA"/>
        </w:rPr>
        <w:t>6</w:t>
      </w:r>
      <w:r>
        <w:rPr>
          <w:rFonts w:hint="eastAsia" w:ascii="宋体" w:hAnsi="宋体" w:eastAsia="宋体" w:cs="宋体"/>
          <w:b w:val="0"/>
          <w:bCs/>
          <w:color w:val="auto"/>
          <w:kern w:val="2"/>
          <w:sz w:val="24"/>
          <w:szCs w:val="24"/>
          <w:highlight w:val="none"/>
          <w:lang w:val="zh-CN" w:eastAsia="zh-CN" w:bidi="ar-SA"/>
        </w:rPr>
        <w:t>、响应文件的编制</w:t>
      </w:r>
    </w:p>
    <w:p w14:paraId="0E65348C">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en-US" w:eastAsia="zh-CN" w:bidi="ar-SA"/>
        </w:rPr>
        <w:t>6</w:t>
      </w:r>
      <w:r>
        <w:rPr>
          <w:rFonts w:hint="eastAsia" w:ascii="宋体" w:hAnsi="宋体" w:eastAsia="宋体" w:cs="宋体"/>
          <w:b w:val="0"/>
          <w:bCs/>
          <w:color w:val="auto"/>
          <w:kern w:val="2"/>
          <w:sz w:val="24"/>
          <w:szCs w:val="24"/>
          <w:highlight w:val="none"/>
          <w:lang w:val="zh-CN" w:eastAsia="zh-CN" w:bidi="ar-SA"/>
        </w:rPr>
        <w:t>-</w:t>
      </w:r>
      <w:r>
        <w:rPr>
          <w:rFonts w:hint="eastAsia" w:ascii="宋体" w:hAnsi="宋体" w:eastAsia="宋体" w:cs="宋体"/>
          <w:b w:val="0"/>
          <w:bCs/>
          <w:color w:val="auto"/>
          <w:kern w:val="2"/>
          <w:sz w:val="24"/>
          <w:szCs w:val="24"/>
          <w:highlight w:val="none"/>
          <w:lang w:val="en-US" w:eastAsia="zh-CN" w:bidi="ar-SA"/>
        </w:rPr>
        <w:t>1</w:t>
      </w:r>
      <w:r>
        <w:rPr>
          <w:rFonts w:hint="eastAsia" w:ascii="宋体" w:hAnsi="宋体" w:eastAsia="宋体" w:cs="宋体"/>
          <w:b w:val="0"/>
          <w:bCs/>
          <w:color w:val="auto"/>
          <w:kern w:val="2"/>
          <w:sz w:val="24"/>
          <w:szCs w:val="24"/>
          <w:highlight w:val="none"/>
          <w:lang w:val="zh-CN" w:eastAsia="zh-CN" w:bidi="ar-SA"/>
        </w:rPr>
        <w:t>、供应商在编制响应文件时，应依据谈判文件的要求，对谈判文件作出实质性的响应，内容应包括：</w:t>
      </w:r>
    </w:p>
    <w:p w14:paraId="6F9FDADA">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en-US" w:eastAsia="zh-CN" w:bidi="ar-SA"/>
        </w:rPr>
        <w:t>6</w:t>
      </w:r>
      <w:r>
        <w:rPr>
          <w:rFonts w:hint="eastAsia" w:ascii="宋体" w:hAnsi="宋体" w:eastAsia="宋体" w:cs="宋体"/>
          <w:b w:val="0"/>
          <w:bCs/>
          <w:color w:val="auto"/>
          <w:kern w:val="2"/>
          <w:sz w:val="24"/>
          <w:szCs w:val="24"/>
          <w:highlight w:val="none"/>
          <w:lang w:val="zh-CN" w:eastAsia="zh-CN" w:bidi="ar-SA"/>
        </w:rPr>
        <w:t>-</w:t>
      </w:r>
      <w:r>
        <w:rPr>
          <w:rFonts w:hint="eastAsia" w:ascii="宋体" w:hAnsi="宋体" w:eastAsia="宋体" w:cs="宋体"/>
          <w:b w:val="0"/>
          <w:bCs/>
          <w:color w:val="auto"/>
          <w:kern w:val="2"/>
          <w:sz w:val="24"/>
          <w:szCs w:val="24"/>
          <w:highlight w:val="none"/>
          <w:lang w:val="en-US" w:eastAsia="zh-CN" w:bidi="ar-SA"/>
        </w:rPr>
        <w:t>1</w:t>
      </w:r>
      <w:r>
        <w:rPr>
          <w:rFonts w:hint="eastAsia" w:ascii="宋体" w:hAnsi="宋体" w:eastAsia="宋体" w:cs="宋体"/>
          <w:b w:val="0"/>
          <w:bCs/>
          <w:color w:val="auto"/>
          <w:kern w:val="2"/>
          <w:sz w:val="24"/>
          <w:szCs w:val="24"/>
          <w:highlight w:val="none"/>
          <w:lang w:val="zh-CN" w:eastAsia="zh-CN" w:bidi="ar-SA"/>
        </w:rPr>
        <w:t>-1、对谈判响应函格式中内容的响应；</w:t>
      </w:r>
    </w:p>
    <w:p w14:paraId="01E1B25D">
      <w:pPr>
        <w:pStyle w:val="2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en-US" w:eastAsia="zh-CN" w:bidi="ar-SA"/>
        </w:rPr>
        <w:t>6</w:t>
      </w:r>
      <w:r>
        <w:rPr>
          <w:rFonts w:hint="eastAsia" w:ascii="宋体" w:hAnsi="宋体" w:eastAsia="宋体" w:cs="宋体"/>
          <w:b w:val="0"/>
          <w:bCs/>
          <w:color w:val="auto"/>
          <w:kern w:val="2"/>
          <w:sz w:val="24"/>
          <w:szCs w:val="24"/>
          <w:highlight w:val="none"/>
          <w:lang w:val="zh-CN" w:eastAsia="zh-CN" w:bidi="ar-SA"/>
        </w:rPr>
        <w:t>-</w:t>
      </w:r>
      <w:r>
        <w:rPr>
          <w:rFonts w:hint="eastAsia" w:ascii="宋体" w:hAnsi="宋体" w:eastAsia="宋体" w:cs="宋体"/>
          <w:b w:val="0"/>
          <w:bCs/>
          <w:color w:val="auto"/>
          <w:kern w:val="2"/>
          <w:sz w:val="24"/>
          <w:szCs w:val="24"/>
          <w:highlight w:val="none"/>
          <w:lang w:val="en-US" w:eastAsia="zh-CN" w:bidi="ar-SA"/>
        </w:rPr>
        <w:t>1</w:t>
      </w:r>
      <w:r>
        <w:rPr>
          <w:rFonts w:hint="eastAsia" w:ascii="宋体" w:hAnsi="宋体" w:eastAsia="宋体" w:cs="宋体"/>
          <w:b w:val="0"/>
          <w:bCs/>
          <w:color w:val="auto"/>
          <w:kern w:val="2"/>
          <w:sz w:val="24"/>
          <w:szCs w:val="24"/>
          <w:highlight w:val="none"/>
          <w:lang w:val="zh-CN" w:eastAsia="zh-CN" w:bidi="ar-SA"/>
        </w:rPr>
        <w:t>-2、首次谈判报价一览表：报价货币：人民币      单位:元。</w:t>
      </w:r>
    </w:p>
    <w:p w14:paraId="18C90154">
      <w:pPr>
        <w:pStyle w:val="2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bCs/>
          <w:color w:val="auto"/>
          <w:kern w:val="0"/>
          <w:sz w:val="24"/>
          <w:szCs w:val="24"/>
          <w:highlight w:val="none"/>
          <w:lang w:val="zh-CN" w:eastAsia="zh-CN" w:bidi="ar-SA"/>
        </w:rPr>
      </w:pPr>
      <w:r>
        <w:rPr>
          <w:rFonts w:hint="eastAsia" w:ascii="宋体" w:hAnsi="宋体" w:eastAsia="宋体" w:cs="宋体"/>
          <w:b/>
          <w:bCs/>
          <w:color w:val="auto"/>
          <w:kern w:val="0"/>
          <w:sz w:val="24"/>
          <w:szCs w:val="24"/>
          <w:highlight w:val="none"/>
          <w:lang w:val="zh-CN" w:eastAsia="zh-CN" w:bidi="ar-SA"/>
        </w:rPr>
        <w:t>总报价包含：包含生产厂商到采购人指定送达现场所需的成本、装卸、运输（含保险费）、现场保管费、</w:t>
      </w:r>
      <w:r>
        <w:rPr>
          <w:rFonts w:hint="eastAsia" w:cs="宋体"/>
          <w:b/>
          <w:bCs/>
          <w:color w:val="auto"/>
          <w:kern w:val="0"/>
          <w:sz w:val="24"/>
          <w:szCs w:val="24"/>
          <w:highlight w:val="none"/>
          <w:lang w:val="zh-CN" w:eastAsia="zh-CN" w:bidi="ar-SA"/>
        </w:rPr>
        <w:t>耗材、</w:t>
      </w:r>
      <w:r>
        <w:rPr>
          <w:rFonts w:hint="eastAsia" w:ascii="宋体" w:hAnsi="宋体" w:eastAsia="宋体" w:cs="宋体"/>
          <w:b/>
          <w:bCs/>
          <w:color w:val="auto"/>
          <w:kern w:val="0"/>
          <w:sz w:val="24"/>
          <w:szCs w:val="24"/>
          <w:highlight w:val="none"/>
          <w:lang w:val="zh-CN" w:eastAsia="zh-CN" w:bidi="ar-SA"/>
        </w:rPr>
        <w:t>人工费、税金、利润等一切费用。</w:t>
      </w:r>
      <w:r>
        <w:rPr>
          <w:rFonts w:hint="eastAsia" w:ascii="宋体" w:hAnsi="宋体" w:eastAsia="宋体" w:cs="宋体"/>
          <w:b/>
          <w:bCs/>
          <w:color w:val="auto"/>
          <w:kern w:val="0"/>
          <w:sz w:val="24"/>
          <w:szCs w:val="24"/>
          <w:highlight w:val="none"/>
          <w:lang w:val="en-US" w:eastAsia="zh-CN" w:bidi="ar-SA"/>
        </w:rPr>
        <w:t>任何有选择的报价将不予接受，按无效投标处理。</w:t>
      </w:r>
    </w:p>
    <w:p w14:paraId="1C628C14">
      <w:pPr>
        <w:spacing w:line="360" w:lineRule="auto"/>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-3、供应商须出具的合格供应商证明文件，证明参加谈判供应商是响应本项目谈判的合格供应商。</w:t>
      </w:r>
    </w:p>
    <w:p w14:paraId="39F0F800">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、响应文件必须加盖供应商单位公章和法定代表人（或其授权代表人）签字或盖章。</w:t>
      </w:r>
    </w:p>
    <w:p w14:paraId="5C55DD60">
      <w:pPr>
        <w:spacing w:line="480" w:lineRule="exact"/>
        <w:ind w:firstLine="472" w:firstLineChars="196"/>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6-3、电子谈判响应文件的制作和签署</w:t>
      </w:r>
    </w:p>
    <w:p w14:paraId="7812CD51">
      <w:pPr>
        <w:spacing w:line="48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供应商登录全国公共资源交易平台（陕西省·宝鸡市）网站[服务指南-下载专区]免费下载《政府采购电子标书制作工具》。编制电子响应文件时，应使用最新发布的电子谈判文件及专用制作工具进行编制。并使用数字认证证书（CA）对响应文件进行签署、加密、递交、开标时解密及二次报价等相关操作。电子谈判响应文件在编制过程中，如有技术性问题，请先翻阅操作手册或致电软件开发商，技术支持热线：4009980000。</w:t>
      </w:r>
    </w:p>
    <w:p w14:paraId="6CB57C3D">
      <w:pPr>
        <w:spacing w:line="480" w:lineRule="exact"/>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注：该项目如有变更文件，则应点击“项目流程答疑文件下载”下载更新后的电子采购文件（*.SXSCF），使用旧版电子采购文件制作的电子响应文件，系统将拒绝接收。</w:t>
      </w:r>
    </w:p>
    <w:p w14:paraId="64E010C4">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、响应报价要求</w:t>
      </w:r>
    </w:p>
    <w:p w14:paraId="64C40759">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-1、供应商应按照谈判文件规定的产品和</w:t>
      </w:r>
      <w:r>
        <w:rPr>
          <w:rFonts w:hint="eastAsia" w:ascii="宋体" w:hAnsi="宋体" w:eastAsia="宋体" w:cs="宋体"/>
          <w:color w:val="auto"/>
          <w:sz w:val="24"/>
          <w:szCs w:val="24"/>
          <w:highlight w:val="none"/>
          <w:lang w:val="en-US" w:eastAsia="zh-CN"/>
        </w:rPr>
        <w:t>质量、</w:t>
      </w:r>
      <w:r>
        <w:rPr>
          <w:rFonts w:hint="eastAsia" w:ascii="宋体" w:hAnsi="宋体" w:eastAsia="宋体" w:cs="宋体"/>
          <w:color w:val="auto"/>
          <w:sz w:val="24"/>
          <w:szCs w:val="24"/>
          <w:highlight w:val="none"/>
          <w:lang w:val="zh-CN" w:eastAsia="zh-CN"/>
        </w:rPr>
        <w:t>服务要求，责任范围和合同条件进行报价，各供应商须在响应文件中的报价表上按要求标明报价，任何有选择的报价不予接受。</w:t>
      </w:r>
    </w:p>
    <w:p w14:paraId="23E94B44">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-2、响应报价是完成采购内容所需的全部费用</w:t>
      </w:r>
      <w:r>
        <w:rPr>
          <w:rFonts w:hint="eastAsia" w:ascii="宋体" w:hAnsi="宋体" w:eastAsia="宋体" w:cs="宋体"/>
          <w:color w:val="auto"/>
          <w:sz w:val="24"/>
          <w:szCs w:val="24"/>
          <w:highlight w:val="none"/>
          <w:lang w:val="en-US" w:eastAsia="zh-CN"/>
        </w:rPr>
        <w:t>。</w:t>
      </w:r>
    </w:p>
    <w:p w14:paraId="514F6E01">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-1、本次采购原则上采用两轮报价。</w:t>
      </w:r>
    </w:p>
    <w:p w14:paraId="43BDD6D9">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-2、若报价相同，需再次报价，直至产生唯一最低报价，依此报价确定成交供应商。</w:t>
      </w:r>
    </w:p>
    <w:p w14:paraId="6F0121AF">
      <w:pPr>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、首次响应报价随响应文件提交</w:t>
      </w:r>
      <w:r>
        <w:rPr>
          <w:rFonts w:hint="eastAsia" w:ascii="宋体" w:hAnsi="宋体" w:eastAsia="宋体" w:cs="宋体"/>
          <w:color w:val="auto"/>
          <w:sz w:val="24"/>
          <w:szCs w:val="24"/>
          <w:highlight w:val="none"/>
          <w:lang w:val="en-US" w:eastAsia="zh-CN"/>
        </w:rPr>
        <w:t>(谈判一览表）</w:t>
      </w:r>
      <w:r>
        <w:rPr>
          <w:rFonts w:hint="eastAsia" w:ascii="宋体" w:hAnsi="宋体" w:eastAsia="宋体" w:cs="宋体"/>
          <w:color w:val="auto"/>
          <w:sz w:val="24"/>
          <w:szCs w:val="24"/>
          <w:highlight w:val="none"/>
          <w:lang w:val="zh-CN" w:eastAsia="zh-CN"/>
        </w:rPr>
        <w:t>。最终报价在谈判后</w:t>
      </w:r>
      <w:r>
        <w:rPr>
          <w:rFonts w:hint="eastAsia" w:ascii="宋体" w:hAnsi="宋体" w:eastAsia="宋体" w:cs="宋体"/>
          <w:color w:val="auto"/>
          <w:sz w:val="24"/>
          <w:szCs w:val="24"/>
          <w:highlight w:val="none"/>
        </w:rPr>
        <w:t>结束后，</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小组要求所有实质性响应的供应商在规定时间内提交最后报价。</w:t>
      </w:r>
      <w:r>
        <w:rPr>
          <w:rFonts w:hint="eastAsia" w:ascii="宋体" w:hAnsi="宋体" w:eastAsia="宋体" w:cs="宋体"/>
          <w:b/>
          <w:bCs/>
          <w:color w:val="auto"/>
          <w:sz w:val="24"/>
          <w:szCs w:val="24"/>
          <w:highlight w:val="none"/>
          <w:lang w:val="en-US" w:eastAsia="zh-CN"/>
        </w:rPr>
        <w:t>供应商须用数字认证证书登陆系统进行最终报价，</w:t>
      </w:r>
      <w:r>
        <w:rPr>
          <w:rFonts w:hint="eastAsia" w:ascii="宋体" w:hAnsi="宋体" w:eastAsia="宋体" w:cs="宋体"/>
          <w:b w:val="0"/>
          <w:bCs w:val="0"/>
          <w:color w:val="auto"/>
          <w:sz w:val="24"/>
          <w:szCs w:val="24"/>
          <w:highlight w:val="none"/>
          <w:lang w:val="en-US" w:eastAsia="zh-CN"/>
        </w:rPr>
        <w:t>系统按照评标规则自动评审。</w:t>
      </w:r>
    </w:p>
    <w:p w14:paraId="500019CB">
      <w:pPr>
        <w:spacing w:line="480" w:lineRule="exact"/>
        <w:ind w:firstLine="472" w:firstLineChars="196"/>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zh-CN" w:eastAsia="zh-CN"/>
        </w:rPr>
        <w:t>、最终响应报价，在采购内容无实质性变更下，不得高于首次或前次响应报价。</w:t>
      </w:r>
    </w:p>
    <w:p w14:paraId="743046BD">
      <w:pPr>
        <w:keepNext w:val="0"/>
        <w:keepLines w:val="0"/>
        <w:pageBreakBefore w:val="0"/>
        <w:kinsoku/>
        <w:wordWrap/>
        <w:overflowPunct/>
        <w:topLinePunct w:val="0"/>
        <w:bidi w:val="0"/>
        <w:adjustRightInd w:val="0"/>
        <w:snapToGrid w:val="0"/>
        <w:spacing w:line="480" w:lineRule="exact"/>
        <w:ind w:firstLine="482" w:firstLineChars="200"/>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sz w:val="24"/>
          <w:highlight w:val="none"/>
          <w:lang w:val="en-US" w:eastAsia="zh-CN"/>
        </w:rPr>
        <w:t>7-5</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highlight w:val="none"/>
        </w:rPr>
        <w:t>供应商不得以低于成本的报价参加谈判</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kern w:val="2"/>
          <w:sz w:val="24"/>
          <w:szCs w:val="24"/>
          <w:highlight w:val="none"/>
          <w:lang w:val="zh-CN" w:eastAsia="zh-CN" w:bidi="ar-SA"/>
        </w:rPr>
        <w:t>采购异常低价审查标准及处理办法：</w:t>
      </w:r>
    </w:p>
    <w:p w14:paraId="2C934A35">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right="0" w:firstLine="482" w:firstLineChars="200"/>
        <w:jc w:val="both"/>
        <w:textAlignment w:val="baseline"/>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本项目评审中出现下列情形之一的，谈判小组会应当启动异常低价投标（响应）审查程序：</w:t>
      </w:r>
    </w:p>
    <w:p w14:paraId="6A1AD369">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1.投标（响应）报价低于全部通过符合性审查供应商投标（响应）报价平均值50%的，即投标（响应）报价&lt;全部通过符合性审查供应商投标（响应）报价平均值×50%；</w:t>
      </w:r>
    </w:p>
    <w:p w14:paraId="789E218A">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2.投标（响应）报价低于通过符合性审查的次低报价供应商投标（响应）报价50%的，即投标（响应）报价&lt;通过符合性审查的次低报价供应商投标（响应）报价×50%；</w:t>
      </w:r>
    </w:p>
    <w:p w14:paraId="7CEB034C">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3.投标（响应）报价低于采购项目最高限价45%的，即投标（响应）报价&lt;采购项目最高限价×45%；</w:t>
      </w:r>
    </w:p>
    <w:p w14:paraId="529C5896">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4.谈判小组基于专业判断，认为供应商报价过低，有可能影响产品质量或者不能诚信履约的其他情形。</w:t>
      </w:r>
    </w:p>
    <w:p w14:paraId="411EC072">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en-US" w:eastAsia="zh-CN" w:bidi="ar-SA"/>
        </w:rPr>
        <w:t>5、</w:t>
      </w:r>
      <w:r>
        <w:rPr>
          <w:rFonts w:hint="eastAsia" w:ascii="宋体" w:hAnsi="宋体" w:eastAsia="宋体" w:cs="宋体"/>
          <w:b/>
          <w:bCs/>
          <w:color w:val="auto"/>
          <w:kern w:val="2"/>
          <w:sz w:val="24"/>
          <w:szCs w:val="24"/>
          <w:highlight w:val="none"/>
          <w:lang w:val="zh-CN" w:eastAsia="zh-CN" w:bidi="ar-SA"/>
        </w:rPr>
        <w:t>谈判小组启动异常低价投标（响应）审查后，属于前述第1项至第4项情形的，相关供应商在评审现场合理的时间内对投标（响应）价格作出解释，提供项目具体成本测算等与报价合理性相关的书面说明及必要的证明材料，包括但不限于原材料成本、人工成本、制造费用等，给予相关供应商提供证明资料的时间为30分钟。其中，属于第3项情形，供应商已随投标（响应）文件一并提交相关书面说明及必要的证明材料的，在评审现场可不再重复提交。</w:t>
      </w:r>
    </w:p>
    <w:p w14:paraId="2B1F1EBC">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eastAsia" w:ascii="宋体" w:hAnsi="宋体" w:eastAsia="宋体" w:cs="宋体"/>
          <w:highlight w:val="none"/>
          <w:lang w:val="zh-CN" w:eastAsia="zh-CN"/>
        </w:rPr>
      </w:pPr>
      <w:r>
        <w:rPr>
          <w:rFonts w:hint="eastAsia" w:ascii="宋体" w:hAnsi="宋体" w:eastAsia="宋体" w:cs="宋体"/>
          <w:b/>
          <w:bCs/>
          <w:color w:val="auto"/>
          <w:kern w:val="2"/>
          <w:sz w:val="24"/>
          <w:szCs w:val="24"/>
          <w:highlight w:val="none"/>
          <w:lang w:val="en-US" w:eastAsia="zh-CN" w:bidi="ar-SA"/>
        </w:rPr>
        <w:t>6、</w:t>
      </w:r>
      <w:r>
        <w:rPr>
          <w:rFonts w:hint="eastAsia" w:ascii="宋体" w:hAnsi="宋体" w:eastAsia="宋体" w:cs="宋体"/>
          <w:b/>
          <w:bCs/>
          <w:color w:val="auto"/>
          <w:kern w:val="2"/>
          <w:sz w:val="24"/>
          <w:szCs w:val="24"/>
          <w:highlight w:val="none"/>
          <w:lang w:val="zh-CN" w:eastAsia="zh-CN" w:bidi="ar-SA"/>
        </w:rPr>
        <w:t>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p>
    <w:p w14:paraId="704A8181">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、谈判后最终的响应报价，一次性包死，在合同洽谈和合同执行过程中，不得以任何理由变更。</w:t>
      </w:r>
    </w:p>
    <w:p w14:paraId="63731814">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、凡因供应商对谈判文件阅读不深、理解不透、误解、疏漏、或因市场行情了解不清造成的后果和风险均由供应商自行负责。</w:t>
      </w:r>
    </w:p>
    <w:p w14:paraId="48C75D2C">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、谈判过程中所产生的一切费用由供应商自行承担。</w:t>
      </w:r>
    </w:p>
    <w:p w14:paraId="093AF7C2">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、响应报价超出采购预算的供应商不进入谈判程序。</w:t>
      </w:r>
    </w:p>
    <w:p w14:paraId="603066F4">
      <w:pPr>
        <w:spacing w:line="480" w:lineRule="exact"/>
        <w:ind w:firstLine="470" w:firstLineChars="196"/>
        <w:rPr>
          <w:rFonts w:hint="eastAsia" w:ascii="宋体" w:hAnsi="宋体" w:eastAsia="宋体" w:cs="宋体"/>
          <w:b w:val="0"/>
          <w:bCs w:val="0"/>
          <w:color w:val="auto"/>
          <w:sz w:val="24"/>
          <w:szCs w:val="24"/>
          <w:highlight w:val="none"/>
          <w:lang w:val="en-US" w:eastAsia="zh-CN"/>
        </w:rPr>
      </w:pPr>
      <w:bookmarkStart w:id="10" w:name="_Toc458617458"/>
      <w:bookmarkStart w:id="11" w:name="_Toc458617735"/>
      <w:bookmarkStart w:id="12" w:name="_Toc3407"/>
      <w:bookmarkStart w:id="13" w:name="_Toc5736"/>
      <w:r>
        <w:rPr>
          <w:rFonts w:hint="eastAsia" w:ascii="宋体" w:hAnsi="宋体" w:eastAsia="宋体" w:cs="宋体"/>
          <w:b w:val="0"/>
          <w:bCs w:val="0"/>
          <w:color w:val="auto"/>
          <w:sz w:val="24"/>
          <w:szCs w:val="24"/>
          <w:highlight w:val="none"/>
          <w:lang w:val="en-US" w:eastAsia="zh-CN"/>
        </w:rPr>
        <w:t>8、供应商</w:t>
      </w:r>
      <w:r>
        <w:rPr>
          <w:rFonts w:hint="eastAsia" w:ascii="宋体" w:hAnsi="宋体" w:cs="宋体"/>
          <w:b w:val="0"/>
          <w:bCs w:val="0"/>
          <w:color w:val="auto"/>
          <w:sz w:val="24"/>
          <w:szCs w:val="24"/>
          <w:highlight w:val="none"/>
          <w:lang w:val="en-US" w:eastAsia="zh-CN"/>
        </w:rPr>
        <w:t>在本项目投标中对以下内容做出书面承诺</w:t>
      </w:r>
      <w:r>
        <w:rPr>
          <w:rFonts w:hint="eastAsia" w:ascii="宋体" w:hAnsi="宋体" w:eastAsia="宋体" w:cs="宋体"/>
          <w:b w:val="0"/>
          <w:bCs w:val="0"/>
          <w:color w:val="auto"/>
          <w:sz w:val="24"/>
          <w:szCs w:val="24"/>
          <w:highlight w:val="none"/>
          <w:lang w:val="en-US" w:eastAsia="zh-CN"/>
        </w:rPr>
        <w:t>：</w:t>
      </w:r>
    </w:p>
    <w:p w14:paraId="2B68B56E">
      <w:pPr>
        <w:spacing w:line="480" w:lineRule="exact"/>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8-1、供应商以他人名义投标和串通投标。</w:t>
      </w:r>
    </w:p>
    <w:p w14:paraId="31DC4A9E">
      <w:pPr>
        <w:spacing w:line="480" w:lineRule="exact"/>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w:t>
      </w:r>
      <w:r>
        <w:rPr>
          <w:rFonts w:hint="eastAsia" w:ascii="宋体" w:hAnsi="宋体" w:cs="宋体"/>
          <w:color w:val="auto"/>
          <w:sz w:val="24"/>
          <w:szCs w:val="24"/>
          <w:highlight w:val="none"/>
          <w:lang w:val="en-US" w:eastAsia="zh-CN"/>
        </w:rPr>
        <w:t>未</w:t>
      </w:r>
      <w:r>
        <w:rPr>
          <w:rFonts w:hint="eastAsia" w:ascii="宋体" w:hAnsi="宋体" w:eastAsia="宋体" w:cs="宋体"/>
          <w:color w:val="auto"/>
          <w:sz w:val="24"/>
          <w:szCs w:val="24"/>
          <w:highlight w:val="none"/>
          <w:lang w:val="en-US" w:eastAsia="zh-CN"/>
        </w:rPr>
        <w:t>根据谈判文件</w:t>
      </w:r>
      <w:r>
        <w:rPr>
          <w:rFonts w:hint="eastAsia" w:ascii="宋体" w:hAnsi="宋体" w:cs="宋体"/>
          <w:color w:val="auto"/>
          <w:sz w:val="24"/>
          <w:szCs w:val="24"/>
          <w:highlight w:val="none"/>
          <w:lang w:val="en-US" w:eastAsia="zh-CN"/>
        </w:rPr>
        <w:t>及谈判响应文件</w:t>
      </w:r>
      <w:r>
        <w:rPr>
          <w:rFonts w:hint="eastAsia" w:ascii="宋体" w:hAnsi="宋体" w:eastAsia="宋体" w:cs="宋体"/>
          <w:color w:val="auto"/>
          <w:sz w:val="24"/>
          <w:szCs w:val="24"/>
          <w:highlight w:val="none"/>
          <w:lang w:val="en-US" w:eastAsia="zh-CN"/>
        </w:rPr>
        <w:t>要求进行供货、服务等。</w:t>
      </w:r>
    </w:p>
    <w:p w14:paraId="32449388">
      <w:pPr>
        <w:spacing w:line="480" w:lineRule="exact"/>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w:t>
      </w:r>
      <w:r>
        <w:rPr>
          <w:rFonts w:hint="eastAsia" w:ascii="宋体" w:hAnsi="宋体" w:cs="宋体"/>
          <w:color w:val="auto"/>
          <w:sz w:val="24"/>
          <w:szCs w:val="24"/>
          <w:highlight w:val="none"/>
          <w:lang w:val="en-US" w:eastAsia="zh-CN"/>
        </w:rPr>
        <w:t>未</w:t>
      </w:r>
      <w:r>
        <w:rPr>
          <w:rFonts w:hint="eastAsia" w:ascii="宋体" w:hAnsi="宋体" w:eastAsia="宋体" w:cs="宋体"/>
          <w:color w:val="auto"/>
          <w:sz w:val="24"/>
          <w:szCs w:val="24"/>
          <w:highlight w:val="none"/>
          <w:lang w:val="en-US" w:eastAsia="zh-CN"/>
        </w:rPr>
        <w:t>经采购人同意，将本项目内容进行分包实施</w:t>
      </w:r>
      <w:r>
        <w:rPr>
          <w:rFonts w:hint="eastAsia" w:ascii="宋体" w:hAnsi="宋体" w:cs="宋体"/>
          <w:color w:val="auto"/>
          <w:sz w:val="24"/>
          <w:szCs w:val="24"/>
          <w:highlight w:val="none"/>
          <w:lang w:val="en-US" w:eastAsia="zh-CN"/>
        </w:rPr>
        <w:t>。</w:t>
      </w:r>
    </w:p>
    <w:p w14:paraId="77167F7D">
      <w:pPr>
        <w:spacing w:line="480" w:lineRule="exact"/>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w:t>
      </w:r>
      <w:r>
        <w:rPr>
          <w:rFonts w:hint="eastAsia" w:ascii="宋体" w:hAnsi="宋体" w:cs="宋体"/>
          <w:color w:val="auto"/>
          <w:sz w:val="24"/>
          <w:szCs w:val="24"/>
          <w:highlight w:val="none"/>
          <w:lang w:val="en-US" w:eastAsia="zh-CN"/>
        </w:rPr>
        <w:t>不</w:t>
      </w:r>
      <w:r>
        <w:rPr>
          <w:rFonts w:hint="eastAsia" w:ascii="宋体" w:hAnsi="宋体" w:eastAsia="宋体" w:cs="宋体"/>
          <w:color w:val="auto"/>
          <w:sz w:val="24"/>
          <w:szCs w:val="24"/>
          <w:highlight w:val="none"/>
          <w:lang w:val="en-US" w:eastAsia="zh-CN"/>
        </w:rPr>
        <w:t>接受采购人委托的相关单位对实施内容、质量、进度、实施方案、价款支付与结算审核等的监督和管理。</w:t>
      </w:r>
    </w:p>
    <w:p w14:paraId="3A5372D3">
      <w:pPr>
        <w:spacing w:line="480" w:lineRule="exact"/>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8-5、供应商以“赠送”、“赠予”等任何名义提供货物和服务以规避谈判文件的约束。</w:t>
      </w:r>
    </w:p>
    <w:p w14:paraId="75F54F49">
      <w:pPr>
        <w:spacing w:line="480" w:lineRule="exact"/>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9、谈判担保</w:t>
      </w:r>
      <w:bookmarkEnd w:id="10"/>
      <w:bookmarkEnd w:id="11"/>
      <w:bookmarkEnd w:id="12"/>
      <w:bookmarkEnd w:id="13"/>
    </w:p>
    <w:p w14:paraId="37CFD08A">
      <w:pPr>
        <w:spacing w:line="480" w:lineRule="exact"/>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9-1、担保方式：见供应商须知前附表。</w:t>
      </w:r>
      <w:r>
        <w:rPr>
          <w:rFonts w:hint="eastAsia" w:ascii="宋体" w:hAnsi="宋体" w:eastAsia="宋体" w:cs="宋体"/>
          <w:color w:val="auto"/>
          <w:sz w:val="24"/>
          <w:szCs w:val="24"/>
          <w:highlight w:val="none"/>
          <w:lang w:val="en-US" w:eastAsia="zh-CN"/>
        </w:rPr>
        <w:tab/>
      </w:r>
    </w:p>
    <w:p w14:paraId="2611F8A3">
      <w:pPr>
        <w:spacing w:line="480" w:lineRule="exact"/>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9-2、谈判担保递交截止时间：同谈判会议开始时间。</w:t>
      </w:r>
    </w:p>
    <w:p w14:paraId="1B1156A0">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3、供应商谈判时，必须以谈判文件规定的方式提交谈判担保，并作为其谈判的一部分。供应商未交纳或者未足额交纳或者未按规定时限交纳谈判保证金的，将被视为自动放弃谈判的权利。供应商在响应文件中未附谈判保证金的相关证明的，其竞争性谈判响应文件将视为无效响应。</w:t>
      </w:r>
    </w:p>
    <w:p w14:paraId="0F979E46">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、在成交通知书发出后五个工作日内退还未成交供应商的保证金，在采购合同签订后五个工作日内退还成交供应商的保证金。</w:t>
      </w:r>
      <w:r>
        <w:rPr>
          <w:rFonts w:hint="eastAsia" w:ascii="宋体" w:hAnsi="宋体" w:eastAsia="宋体" w:cs="宋体"/>
          <w:color w:val="auto"/>
          <w:sz w:val="24"/>
          <w:szCs w:val="24"/>
          <w:highlight w:val="none"/>
          <w:lang w:val="en-US" w:eastAsia="zh-CN"/>
        </w:rPr>
        <w:t>以保函和信用承诺方式替代谈判保证金的，不适用上述情形。</w:t>
      </w:r>
    </w:p>
    <w:p w14:paraId="3D038FB5">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、成交供应商有下列情形之一的，不予退还其交纳的保证金，并在项目财政主管部门备案；情节严重的，由财政部门将其列入不良行为纪录名单予以通报，在一至三年内禁止参加政府采购活动：</w:t>
      </w:r>
    </w:p>
    <w:p w14:paraId="6289AC86">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-1、供应商在提交响应文件截止时间后撤回响应文件的；</w:t>
      </w:r>
    </w:p>
    <w:p w14:paraId="06792019">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-2、供应商在响应文件中提供虚假材料的；</w:t>
      </w:r>
    </w:p>
    <w:p w14:paraId="72DA7CBA">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-3、除因不可抗力或谈判文件认可的情形以外，成交供应商不与采购人签订合同的；</w:t>
      </w:r>
    </w:p>
    <w:p w14:paraId="24DAFF9A">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-4、供应商与采购人、其他供应商或者采购代理机构恶意串通的；</w:t>
      </w:r>
    </w:p>
    <w:p w14:paraId="16BF8F88">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-5、成交供应商将成交项目转让给他人，或者在响应文件中未说明，且未经采购人同意，将成交项目分包给他人的。</w:t>
      </w:r>
    </w:p>
    <w:p w14:paraId="3D076219">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、响应文件有效期</w:t>
      </w:r>
    </w:p>
    <w:p w14:paraId="1EBFC4BF">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-1、响应文件有效期为自谈判之日起九十日历天，在有效期内响应文件对供应商具有法律约束力，以保证采购人完成评审、确定成交供应商以及合同签订事项。成交供应商的响应文件有效期自动延长至合同执行完毕。</w:t>
      </w:r>
    </w:p>
    <w:p w14:paraId="2C8B72C9">
      <w:pPr>
        <w:spacing w:line="480" w:lineRule="exact"/>
        <w:ind w:firstLine="470" w:firstLineChars="196"/>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-2、特殊情况需延长有效期的，采购代理机构可于有效期届满之前，要求供应商同意延长有效期，采购代理机构的要求与供应商的答复均应为书面形式。供应商拒绝延长的，其响应文件在原有效期期届满后将不再有效，但有权收回其保证金；供应商同意延长的，应相应延长其保证金的有效期，但不允许修改或撤回响应文件。</w:t>
      </w:r>
    </w:p>
    <w:p w14:paraId="0CC4009B">
      <w:pPr>
        <w:autoSpaceDE w:val="0"/>
        <w:autoSpaceDN w:val="0"/>
        <w:adjustRightInd w:val="0"/>
        <w:snapToGrid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8"/>
          <w:szCs w:val="28"/>
          <w:highlight w:val="none"/>
          <w:lang w:val="zh-CN"/>
        </w:rPr>
        <w:t>五、响应文件的提交</w:t>
      </w:r>
    </w:p>
    <w:p w14:paraId="3CB61BA0">
      <w:pPr>
        <w:pageBreakBefore w:val="0"/>
        <w:wordWrap/>
        <w:topLinePunct w:val="0"/>
        <w:autoSpaceDE/>
        <w:autoSpaceDN/>
        <w:bidi w:val="0"/>
        <w:spacing w:line="365"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zh-CN" w:eastAsia="zh-CN" w:bidi="ar-SA"/>
        </w:rPr>
        <w:t>电子响应文件可于提交谈判响应文件截止时间前任意时段登录全国公共资源交易平台 （</w:t>
      </w:r>
      <w:r>
        <w:rPr>
          <w:rFonts w:hint="eastAsia" w:ascii="宋体" w:hAnsi="宋体" w:eastAsia="宋体" w:cs="宋体"/>
          <w:color w:val="auto"/>
          <w:kern w:val="0"/>
          <w:sz w:val="24"/>
          <w:szCs w:val="24"/>
          <w:highlight w:val="none"/>
          <w:lang w:val="en-US" w:eastAsia="zh-CN" w:bidi="ar-SA"/>
        </w:rPr>
        <w:t>陕西省·宝鸡市</w:t>
      </w:r>
      <w:r>
        <w:rPr>
          <w:rFonts w:hint="eastAsia" w:ascii="宋体" w:hAnsi="宋体" w:eastAsia="宋体" w:cs="宋体"/>
          <w:color w:val="auto"/>
          <w:kern w:val="0"/>
          <w:sz w:val="24"/>
          <w:szCs w:val="24"/>
          <w:highlight w:val="none"/>
          <w:lang w:val="zh-CN" w:eastAsia="zh-CN" w:bidi="ar-SA"/>
        </w:rPr>
        <w:t>）网站[电子交易平台-企业端]进行提交，逾期系统将拒绝接收。提交时，供应商应登录全国公共资源交易中心平台（陕西省</w:t>
      </w:r>
      <w:r>
        <w:rPr>
          <w:rFonts w:hint="eastAsia" w:ascii="宋体" w:hAnsi="宋体" w:eastAsia="宋体" w:cs="宋体"/>
          <w:color w:val="auto"/>
          <w:kern w:val="0"/>
          <w:sz w:val="24"/>
          <w:szCs w:val="24"/>
          <w:highlight w:val="none"/>
          <w:lang w:val="en-US" w:eastAsia="zh-CN" w:bidi="ar-SA"/>
        </w:rPr>
        <w:t>.宝鸡市</w:t>
      </w:r>
      <w:r>
        <w:rPr>
          <w:rFonts w:hint="eastAsia" w:ascii="宋体" w:hAnsi="宋体" w:eastAsia="宋体" w:cs="宋体"/>
          <w:color w:val="auto"/>
          <w:kern w:val="0"/>
          <w:sz w:val="24"/>
          <w:szCs w:val="24"/>
          <w:highlight w:val="none"/>
          <w:lang w:val="zh-CN" w:eastAsia="zh-CN" w:bidi="ar-SA"/>
        </w:rPr>
        <w:t>），选择[“首页&gt;电子交易平台&gt;企业端&gt;我的项目]”，点击[项目流程]，在打开的[项目管理]对话框中选择[上传响应文件]，上传加密的电子响应文件（*.SXSTF），上传成功后，电子化平台将予以记录。逾期上传的将被拒绝接收。</w:t>
      </w:r>
    </w:p>
    <w:p w14:paraId="6DCAA1E8">
      <w:pPr>
        <w:pageBreakBefore w:val="0"/>
        <w:wordWrap/>
        <w:topLinePunct w:val="0"/>
        <w:autoSpaceDE/>
        <w:autoSpaceDN/>
        <w:bidi w:val="0"/>
        <w:spacing w:line="365"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zh-CN" w:eastAsia="zh-CN" w:bidi="ar-SA"/>
        </w:rPr>
        <w:t>供应商需在规定时间参会并线上签到，在不迟于规定的截止时间将电子版响应文件上传提交至全国公共资源交易中心平台（</w:t>
      </w:r>
      <w:r>
        <w:rPr>
          <w:rFonts w:hint="eastAsia" w:ascii="宋体" w:hAnsi="宋体" w:eastAsia="宋体" w:cs="宋体"/>
          <w:color w:val="auto"/>
          <w:kern w:val="0"/>
          <w:sz w:val="24"/>
          <w:szCs w:val="24"/>
          <w:highlight w:val="none"/>
          <w:lang w:val="en-US" w:eastAsia="zh-CN" w:bidi="ar-SA"/>
        </w:rPr>
        <w:t>陕西省·宝鸡市</w:t>
      </w:r>
      <w:r>
        <w:rPr>
          <w:rFonts w:hint="eastAsia" w:ascii="宋体" w:hAnsi="宋体" w:eastAsia="宋体" w:cs="宋体"/>
          <w:color w:val="auto"/>
          <w:kern w:val="0"/>
          <w:sz w:val="24"/>
          <w:szCs w:val="24"/>
          <w:highlight w:val="none"/>
          <w:lang w:val="zh-CN" w:eastAsia="zh-CN" w:bidi="ar-SA"/>
        </w:rPr>
        <w:t>）网站电子交易平台，在谈判会议开始后解密已上传的响应文件，拒绝截止期后上传递交的任何电子版响应文件。</w:t>
      </w:r>
    </w:p>
    <w:p w14:paraId="3464A9B7">
      <w:pPr>
        <w:pageBreakBefore w:val="0"/>
        <w:wordWrap/>
        <w:topLinePunct w:val="0"/>
        <w:autoSpaceDE/>
        <w:autoSpaceDN/>
        <w:bidi w:val="0"/>
        <w:spacing w:line="365"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 xml:space="preserve">3、采购代理机构可以按本章规定，通知因修改谈判文件而适当延长截止期。在此情况下，采购人和供应商受截止期制约的所有权利和义务均应延长至新的截止期。 </w:t>
      </w:r>
    </w:p>
    <w:p w14:paraId="3DE77328">
      <w:pPr>
        <w:pageBreakBefore w:val="0"/>
        <w:wordWrap/>
        <w:topLinePunct w:val="0"/>
        <w:autoSpaceDE/>
        <w:autoSpaceDN/>
        <w:bidi w:val="0"/>
        <w:spacing w:line="365"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eastAsia="zh-CN" w:bidi="ar-SA"/>
        </w:rPr>
        <w:t>供应商在递交响应文件后，谈判截止时间前，可以修改或撤回其响应文件，并在规定的谈判截止期之前，将修改或撤回的响应文件上传到交易平台，逾期递交的响应文件将不予受理。</w:t>
      </w:r>
    </w:p>
    <w:p w14:paraId="18043EB7">
      <w:pPr>
        <w:pageBreakBefore w:val="0"/>
        <w:wordWrap/>
        <w:topLinePunct w:val="0"/>
        <w:autoSpaceDE/>
        <w:autoSpaceDN/>
        <w:bidi w:val="0"/>
        <w:spacing w:line="365" w:lineRule="auto"/>
        <w:textAlignment w:val="auto"/>
        <w:rPr>
          <w:rFonts w:hint="eastAsia" w:ascii="宋体" w:hAnsi="宋体" w:eastAsia="宋体" w:cs="宋体"/>
          <w:b/>
          <w:bCs/>
          <w:color w:val="auto"/>
          <w:kern w:val="0"/>
          <w:sz w:val="28"/>
          <w:szCs w:val="28"/>
          <w:highlight w:val="none"/>
          <w:lang w:val="zh-CN" w:eastAsia="zh-CN" w:bidi="ar-SA"/>
        </w:rPr>
      </w:pPr>
      <w:r>
        <w:rPr>
          <w:rFonts w:hint="eastAsia" w:ascii="宋体" w:hAnsi="宋体" w:eastAsia="宋体" w:cs="宋体"/>
          <w:b/>
          <w:bCs/>
          <w:color w:val="auto"/>
          <w:kern w:val="0"/>
          <w:sz w:val="28"/>
          <w:szCs w:val="28"/>
          <w:highlight w:val="none"/>
          <w:lang w:val="zh-CN" w:eastAsia="zh-CN" w:bidi="ar-SA"/>
        </w:rPr>
        <w:t>六、响应文件的开启与解密</w:t>
      </w:r>
    </w:p>
    <w:p w14:paraId="4A140D13">
      <w:pPr>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1、谈判时，</w:t>
      </w:r>
      <w:r>
        <w:rPr>
          <w:rFonts w:hint="eastAsia" w:ascii="宋体" w:hAnsi="宋体" w:eastAsia="宋体" w:cs="宋体"/>
          <w:color w:val="auto"/>
          <w:kern w:val="2"/>
          <w:sz w:val="24"/>
          <w:szCs w:val="24"/>
          <w:highlight w:val="none"/>
          <w:lang w:val="en-US" w:eastAsia="zh-CN" w:bidi="ar-SA"/>
        </w:rPr>
        <w:t>供应商须使用电子响应文件加密时所用的数字认证证书（CA 锁）在规定的时间内进行远程在线解密</w:t>
      </w:r>
      <w:r>
        <w:rPr>
          <w:rFonts w:hint="eastAsia" w:ascii="宋体" w:hAnsi="宋体" w:eastAsia="宋体" w:cs="宋体"/>
          <w:color w:val="auto"/>
          <w:kern w:val="0"/>
          <w:sz w:val="24"/>
          <w:szCs w:val="24"/>
          <w:highlight w:val="none"/>
          <w:lang w:val="en-US" w:eastAsia="zh-CN" w:bidi="ar-SA"/>
        </w:rPr>
        <w:t>电子响应文件（超过系统默认解密时间未解密成功的视为解密失败，其响应文件按无效文件处理），供应商需在解密时间规定内完成响应文件解密。所有供应商解密完成后由开标人员将响应文件导入开评标系统。</w:t>
      </w:r>
    </w:p>
    <w:p w14:paraId="75DF3D25">
      <w:pPr>
        <w:pStyle w:val="46"/>
        <w:spacing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2、出现下列情况之一的，其谈判响应文件视为无效文件：</w:t>
      </w:r>
    </w:p>
    <w:p w14:paraId="49D18E80">
      <w:pPr>
        <w:pStyle w:val="46"/>
        <w:spacing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（1）供应商拒绝对电子响应文件进行解密的；</w:t>
      </w:r>
    </w:p>
    <w:p w14:paraId="49DAF529">
      <w:pPr>
        <w:pStyle w:val="46"/>
        <w:spacing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（2）因供应商自身原因（如未带CA锁、或所带CA锁与制作电子响应文件使用的CA锁不一致），导致在规定时间内无法解密响应文件的；</w:t>
      </w:r>
    </w:p>
    <w:p w14:paraId="2BB940C3">
      <w:pPr>
        <w:pStyle w:val="46"/>
        <w:spacing w:line="360" w:lineRule="auto"/>
        <w:ind w:left="0" w:leftChars="0" w:firstLine="480" w:firstLineChars="200"/>
        <w:rPr>
          <w:rFonts w:hint="eastAsia" w:ascii="宋体" w:hAnsi="宋体" w:eastAsia="宋体" w:cs="宋体"/>
          <w:color w:val="auto"/>
          <w:highlight w:val="none"/>
          <w:lang w:val="zh-CN" w:eastAsia="zh-CN"/>
        </w:rPr>
      </w:pPr>
      <w:r>
        <w:rPr>
          <w:rFonts w:hint="eastAsia" w:ascii="宋体" w:hAnsi="宋体" w:eastAsia="宋体" w:cs="宋体"/>
          <w:color w:val="auto"/>
          <w:kern w:val="2"/>
          <w:sz w:val="24"/>
          <w:szCs w:val="24"/>
          <w:highlight w:val="none"/>
          <w:lang w:val="en-US" w:eastAsia="zh-CN" w:bidi="ar-SA"/>
        </w:rPr>
        <w:t>（3）上传的电子响应文件无法打开的；</w:t>
      </w:r>
    </w:p>
    <w:p w14:paraId="5B6414A7">
      <w:pPr>
        <w:autoSpaceDE w:val="0"/>
        <w:autoSpaceDN w:val="0"/>
        <w:adjustRightInd w:val="0"/>
        <w:spacing w:line="336"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七、谈判小组职责及义务</w:t>
      </w:r>
    </w:p>
    <w:p w14:paraId="510C8A8C">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1、谈判小组组成：</w:t>
      </w:r>
    </w:p>
    <w:p w14:paraId="776CEC29">
      <w:pPr>
        <w:pageBreakBefore w:val="0"/>
        <w:wordWrap/>
        <w:topLinePunct w:val="0"/>
        <w:autoSpaceDE/>
        <w:autoSpaceDN/>
        <w:bidi w:val="0"/>
        <w:spacing w:line="365" w:lineRule="auto"/>
        <w:ind w:firstLine="480" w:firstLineChars="200"/>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zh-CN"/>
        </w:rPr>
        <w:t>在谈判开始前，组建谈判小组。谈判小组</w:t>
      </w:r>
      <w:r>
        <w:rPr>
          <w:rFonts w:hint="eastAsia" w:ascii="宋体" w:hAnsi="宋体" w:eastAsia="宋体" w:cs="宋体"/>
          <w:color w:val="auto"/>
          <w:kern w:val="2"/>
          <w:sz w:val="24"/>
          <w:szCs w:val="24"/>
          <w:highlight w:val="none"/>
          <w:lang w:val="zh-CN" w:eastAsia="zh-CN" w:bidi="ar-SA"/>
        </w:rPr>
        <w:t>由</w:t>
      </w:r>
      <w:r>
        <w:rPr>
          <w:rFonts w:hint="eastAsia" w:ascii="宋体" w:hAnsi="宋体" w:eastAsia="宋体" w:cs="宋体"/>
          <w:color w:val="auto"/>
          <w:kern w:val="2"/>
          <w:sz w:val="24"/>
          <w:szCs w:val="24"/>
          <w:highlight w:val="none"/>
          <w:lang w:val="en-US" w:eastAsia="zh-CN" w:bidi="ar-SA"/>
        </w:rPr>
        <w:t>陕西省政府采购网随机抽取的</w:t>
      </w:r>
      <w:r>
        <w:rPr>
          <w:rFonts w:hint="eastAsia" w:ascii="宋体" w:hAnsi="宋体" w:eastAsia="宋体" w:cs="宋体"/>
          <w:color w:val="auto"/>
          <w:kern w:val="0"/>
          <w:sz w:val="24"/>
          <w:szCs w:val="24"/>
          <w:highlight w:val="none"/>
          <w:lang w:val="en-US" w:eastAsia="zh-CN" w:bidi="ar-SA"/>
        </w:rPr>
        <w:t>2名评</w:t>
      </w:r>
      <w:r>
        <w:rPr>
          <w:rFonts w:hint="eastAsia" w:ascii="宋体" w:hAnsi="宋体" w:eastAsia="宋体" w:cs="宋体"/>
          <w:color w:val="auto"/>
          <w:kern w:val="0"/>
          <w:sz w:val="24"/>
          <w:szCs w:val="24"/>
          <w:highlight w:val="none"/>
          <w:lang w:val="zh-CN" w:eastAsia="zh-CN" w:bidi="ar-SA"/>
        </w:rPr>
        <w:t>审专家</w:t>
      </w:r>
      <w:r>
        <w:rPr>
          <w:rFonts w:hint="eastAsia" w:ascii="宋体" w:hAnsi="宋体" w:eastAsia="宋体" w:cs="宋体"/>
          <w:color w:val="auto"/>
          <w:kern w:val="0"/>
          <w:sz w:val="24"/>
          <w:szCs w:val="24"/>
          <w:highlight w:val="none"/>
          <w:lang w:val="en-US" w:eastAsia="zh-CN" w:bidi="ar-SA"/>
        </w:rPr>
        <w:t>及1名采购人代表共同组成。</w:t>
      </w:r>
    </w:p>
    <w:p w14:paraId="10542324">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zh-CN"/>
        </w:rPr>
        <w:t>采购人派一名代表进入谈判小组，并向采购代理机构出具授权函。</w:t>
      </w:r>
    </w:p>
    <w:p w14:paraId="5C811D2D">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val="zh-CN"/>
        </w:rPr>
        <w:t>谈判小组应推荐一名评审专家担任评审组长，并由评审组长牵头组织该项目评审工作，采购人</w:t>
      </w:r>
      <w:r>
        <w:rPr>
          <w:rFonts w:hint="eastAsia" w:ascii="宋体" w:hAnsi="宋体" w:eastAsia="宋体" w:cs="宋体"/>
          <w:color w:val="auto"/>
          <w:sz w:val="24"/>
          <w:szCs w:val="24"/>
          <w:highlight w:val="none"/>
          <w:lang w:val="zh-CN" w:eastAsia="zh-CN"/>
        </w:rPr>
        <w:t>代表</w:t>
      </w:r>
      <w:r>
        <w:rPr>
          <w:rFonts w:hint="eastAsia" w:ascii="宋体" w:hAnsi="宋体" w:eastAsia="宋体" w:cs="宋体"/>
          <w:color w:val="auto"/>
          <w:sz w:val="24"/>
          <w:szCs w:val="24"/>
          <w:highlight w:val="none"/>
          <w:lang w:val="zh-CN"/>
        </w:rPr>
        <w:t>不得担任评审组长。</w:t>
      </w:r>
    </w:p>
    <w:p w14:paraId="59FAE950">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2、谈判小组职责</w:t>
      </w:r>
    </w:p>
    <w:p w14:paraId="05AE33CB">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2-1、确认竞争性谈判文件；</w:t>
      </w:r>
    </w:p>
    <w:p w14:paraId="72D2C69E">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2-2、确定符合要求的供应商参加谈判；</w:t>
      </w:r>
    </w:p>
    <w:p w14:paraId="307392CD">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2-3、审查供应商的响应文件并做出评价；</w:t>
      </w:r>
    </w:p>
    <w:p w14:paraId="1664EE1D">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2-4、要求供应商解释或者澄清其响应文件；</w:t>
      </w:r>
    </w:p>
    <w:p w14:paraId="5196C8D4">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2-5、编写评审报告；</w:t>
      </w:r>
    </w:p>
    <w:p w14:paraId="4A10FB6B">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2-6、告知采购人、采购代理机构在评审过程中发现的供应商的违法违规行为。</w:t>
      </w:r>
    </w:p>
    <w:p w14:paraId="1980F822">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3、谈判小组义务</w:t>
      </w:r>
    </w:p>
    <w:p w14:paraId="4262BF57">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3-1、遵纪守法、客观、公正、廉洁地履行职责；</w:t>
      </w:r>
    </w:p>
    <w:p w14:paraId="58A92901">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3-2、根据谈判文件的规定独立进行评审，对个人的评审意见承担法律责任；</w:t>
      </w:r>
    </w:p>
    <w:p w14:paraId="727DFFCB">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3-3、参与评审报告的起草；</w:t>
      </w:r>
    </w:p>
    <w:p w14:paraId="51DA1896">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3-4、配合采购人、采购代理机构答复供应商提出的质疑；</w:t>
      </w:r>
    </w:p>
    <w:p w14:paraId="6A0F97E5">
      <w:pPr>
        <w:autoSpaceDE w:val="0"/>
        <w:autoSpaceDN w:val="0"/>
        <w:adjustRightInd w:val="0"/>
        <w:spacing w:line="336"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3-5、配合财政部门的投诉处理和监督检查工作。</w:t>
      </w:r>
    </w:p>
    <w:p w14:paraId="745D706C">
      <w:pPr>
        <w:pStyle w:val="121"/>
        <w:spacing w:line="360" w:lineRule="auto"/>
        <w:ind w:firstLine="480"/>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采购人、代理机构应保证谈判活动在严格保密的情况下进行，采购人、代理机构、供应商和谈判小组成员应当严格遵守政府采购法律法规规章制度和本项目谈判文件规定，接受采购人委派的监督人员的监督，任何单位和个人不得非法干预和影响谈判过程和结果。</w:t>
      </w:r>
    </w:p>
    <w:p w14:paraId="6754339E">
      <w:pPr>
        <w:pStyle w:val="121"/>
        <w:spacing w:line="360" w:lineRule="auto"/>
        <w:ind w:firstLine="480"/>
        <w:rPr>
          <w:rFonts w:hint="eastAsia" w:ascii="宋体" w:hAnsi="宋体" w:eastAsia="宋体" w:cs="宋体"/>
          <w:highlight w:val="none"/>
          <w:lang w:val="zh-CN"/>
        </w:rPr>
      </w:pPr>
      <w:r>
        <w:rPr>
          <w:rFonts w:hint="eastAsia" w:ascii="宋体" w:hAnsi="宋体" w:eastAsia="宋体" w:cs="宋体"/>
          <w:color w:val="auto"/>
          <w:kern w:val="2"/>
          <w:sz w:val="24"/>
          <w:szCs w:val="24"/>
          <w:highlight w:val="none"/>
          <w:lang w:val="zh-CN" w:eastAsia="zh-CN" w:bidi="ar-SA"/>
        </w:rPr>
        <w:t>对各供应商的商业秘密，谈判小组成员应予以保密，不得泄露给其他供应商。</w:t>
      </w:r>
    </w:p>
    <w:p w14:paraId="51329913">
      <w:pPr>
        <w:autoSpaceDE w:val="0"/>
        <w:autoSpaceDN w:val="0"/>
        <w:adjustRightInd w:val="0"/>
        <w:snapToGrid w:val="0"/>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八</w:t>
      </w:r>
      <w:r>
        <w:rPr>
          <w:rFonts w:hint="eastAsia" w:ascii="宋体" w:hAnsi="宋体" w:eastAsia="宋体" w:cs="宋体"/>
          <w:b/>
          <w:bCs/>
          <w:color w:val="auto"/>
          <w:sz w:val="28"/>
          <w:szCs w:val="28"/>
          <w:highlight w:val="none"/>
          <w:lang w:val="zh-CN"/>
        </w:rPr>
        <w:t>、谈判及谈判程序</w:t>
      </w:r>
    </w:p>
    <w:p w14:paraId="4E8FF887">
      <w:pPr>
        <w:spacing w:line="44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1、谈判</w:t>
      </w:r>
    </w:p>
    <w:p w14:paraId="57A13980">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1-1、采购代理机构按竞争性谈判文件规定的时间、地点组织谈判。</w:t>
      </w:r>
      <w:r>
        <w:rPr>
          <w:rFonts w:hint="eastAsia" w:ascii="宋体" w:hAnsi="宋体" w:eastAsia="宋体" w:cs="宋体"/>
          <w:color w:val="auto"/>
          <w:sz w:val="24"/>
          <w:highlight w:val="none"/>
        </w:rPr>
        <w:t>所有</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应按时</w:t>
      </w:r>
      <w:r>
        <w:rPr>
          <w:rFonts w:hint="eastAsia" w:ascii="宋体" w:hAnsi="宋体" w:eastAsia="宋体" w:cs="宋体"/>
          <w:color w:val="auto"/>
          <w:sz w:val="24"/>
          <w:highlight w:val="none"/>
          <w:lang w:eastAsia="zh-CN"/>
        </w:rPr>
        <w:t>参加</w:t>
      </w:r>
      <w:r>
        <w:rPr>
          <w:rFonts w:hint="eastAsia" w:ascii="宋体" w:hAnsi="宋体" w:eastAsia="宋体" w:cs="宋体"/>
          <w:color w:val="auto"/>
          <w:sz w:val="24"/>
          <w:highlight w:val="none"/>
          <w:lang w:val="en-US" w:eastAsia="zh-CN"/>
        </w:rPr>
        <w:t>线上</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会议</w:t>
      </w:r>
      <w:r>
        <w:rPr>
          <w:rFonts w:hint="eastAsia" w:ascii="宋体" w:hAnsi="宋体" w:eastAsia="宋体" w:cs="宋体"/>
          <w:color w:val="auto"/>
          <w:sz w:val="24"/>
          <w:highlight w:val="none"/>
          <w:shd w:val="clear" w:color="auto" w:fill="auto"/>
        </w:rPr>
        <w:t>。</w:t>
      </w:r>
    </w:p>
    <w:p w14:paraId="70FDC12C">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1-2、谈判会议由采购代理机构主持。谈判会议开始，由系统宣读会场纪律，公布按时递交响应文件的供应商名单。</w:t>
      </w:r>
    </w:p>
    <w:p w14:paraId="52970A6B">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1-3、谈判程序</w:t>
      </w:r>
    </w:p>
    <w:p w14:paraId="2284D9C8">
      <w:pPr>
        <w:pStyle w:val="92"/>
        <w:shd w:val="clear"/>
        <w:spacing w:line="480" w:lineRule="exact"/>
        <w:ind w:left="0" w:leftChars="0" w:firstLine="480" w:firstLineChars="200"/>
        <w:rPr>
          <w:rFonts w:hint="eastAsia" w:ascii="宋体" w:hAnsi="宋体" w:eastAsia="宋体" w:cs="宋体"/>
          <w:color w:val="auto"/>
          <w:kern w:val="2"/>
          <w:sz w:val="10"/>
          <w:szCs w:val="10"/>
          <w:highlight w:val="none"/>
        </w:rPr>
      </w:pPr>
      <w:r>
        <w:rPr>
          <w:rFonts w:hint="eastAsia" w:ascii="宋体" w:hAnsi="宋体" w:eastAsia="宋体" w:cs="宋体"/>
          <w:color w:val="auto"/>
          <w:kern w:val="2"/>
          <w:sz w:val="24"/>
          <w:szCs w:val="24"/>
          <w:highlight w:val="none"/>
          <w:lang w:val="en-US" w:eastAsia="zh-CN"/>
        </w:rPr>
        <w:t>（1）本项目采用</w:t>
      </w:r>
      <w:r>
        <w:rPr>
          <w:rFonts w:hint="eastAsia" w:ascii="宋体" w:hAnsi="宋体" w:eastAsia="宋体" w:cs="宋体"/>
          <w:color w:val="auto"/>
          <w:kern w:val="2"/>
          <w:sz w:val="24"/>
          <w:szCs w:val="24"/>
          <w:highlight w:val="none"/>
        </w:rPr>
        <w:t>“不见面开标”</w:t>
      </w:r>
      <w:r>
        <w:rPr>
          <w:rFonts w:hint="eastAsia" w:ascii="宋体" w:hAnsi="宋体" w:eastAsia="宋体" w:cs="宋体"/>
          <w:color w:val="auto"/>
          <w:kern w:val="2"/>
          <w:sz w:val="24"/>
          <w:szCs w:val="24"/>
          <w:highlight w:val="none"/>
          <w:lang w:eastAsia="zh-CN"/>
        </w:rPr>
        <w:t>，</w:t>
      </w:r>
      <w:r>
        <w:rPr>
          <w:rFonts w:hint="eastAsia" w:ascii="宋体" w:hAnsi="宋体" w:eastAsia="宋体" w:cs="宋体"/>
          <w:b/>
          <w:bCs/>
          <w:color w:val="auto"/>
          <w:kern w:val="2"/>
          <w:sz w:val="24"/>
          <w:szCs w:val="24"/>
          <w:highlight w:val="none"/>
        </w:rPr>
        <w:t>“不见面开标”</w:t>
      </w:r>
      <w:r>
        <w:rPr>
          <w:rFonts w:hint="eastAsia" w:ascii="宋体" w:hAnsi="宋体" w:eastAsia="宋体" w:cs="宋体"/>
          <w:color w:val="auto"/>
          <w:kern w:val="2"/>
          <w:sz w:val="24"/>
          <w:szCs w:val="24"/>
          <w:highlight w:val="none"/>
        </w:rPr>
        <w:t>系统操作说明详见全国公共资源交易平台（陕西省·</w:t>
      </w:r>
      <w:r>
        <w:rPr>
          <w:rFonts w:hint="eastAsia" w:ascii="宋体" w:hAnsi="宋体" w:eastAsia="宋体" w:cs="宋体"/>
          <w:color w:val="auto"/>
          <w:kern w:val="2"/>
          <w:sz w:val="24"/>
          <w:szCs w:val="24"/>
          <w:highlight w:val="none"/>
          <w:lang w:val="en-US" w:eastAsia="zh-CN"/>
        </w:rPr>
        <w:t>宝鸡市</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宝鸡市公共资源交易中心</w:t>
      </w:r>
      <w:r>
        <w:rPr>
          <w:rFonts w:hint="eastAsia" w:ascii="宋体" w:hAnsi="宋体" w:eastAsia="宋体" w:cs="宋体"/>
          <w:color w:val="auto"/>
          <w:kern w:val="2"/>
          <w:sz w:val="24"/>
          <w:szCs w:val="24"/>
          <w:highlight w:val="none"/>
        </w:rPr>
        <w:t>〖首页·〉服务指南·〉下载专区〗中的</w:t>
      </w:r>
      <w:r>
        <w:rPr>
          <w:rFonts w:hint="eastAsia" w:ascii="宋体" w:hAnsi="宋体" w:eastAsia="宋体" w:cs="宋体"/>
          <w:b w:val="0"/>
          <w:bCs w:val="0"/>
          <w:color w:val="auto"/>
          <w:kern w:val="2"/>
          <w:sz w:val="24"/>
          <w:szCs w:val="24"/>
          <w:highlight w:val="none"/>
          <w:lang w:val="en-US" w:eastAsia="zh-CN" w:bidi="ar-SA"/>
        </w:rPr>
        <w:t>《政府采购电子交易-不见面系统操作手册</w:t>
      </w:r>
      <w:r>
        <w:rPr>
          <w:rFonts w:hint="eastAsia" w:ascii="宋体" w:hAnsi="宋体" w:eastAsia="宋体" w:cs="宋体"/>
          <w:color w:val="auto"/>
          <w:kern w:val="2"/>
          <w:sz w:val="24"/>
          <w:szCs w:val="24"/>
          <w:highlight w:val="none"/>
        </w:rPr>
        <w:t>》。链接地址：http://ggzy.baoji.gov.cn/fwzn/004003/20231123/d2048104-5dd1-4825-97f0-186cb8450ee5.html</w:t>
      </w:r>
    </w:p>
    <w:p w14:paraId="6F605A8E">
      <w:pPr>
        <w:shd w:val="clear"/>
        <w:spacing w:line="480" w:lineRule="exact"/>
        <w:ind w:firstLine="480"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en-US" w:eastAsia="zh-CN"/>
        </w:rPr>
        <w:t>（2）谈判当日，供应商可通过公共资源交易不见面开标系统参加谈判会议。</w:t>
      </w:r>
      <w:r>
        <w:rPr>
          <w:rFonts w:hint="eastAsia" w:ascii="宋体" w:hAnsi="宋体" w:eastAsia="宋体" w:cs="宋体"/>
          <w:color w:val="auto"/>
          <w:sz w:val="24"/>
          <w:szCs w:val="24"/>
          <w:highlight w:val="none"/>
          <w:lang w:val="zh-CN" w:eastAsia="zh-CN"/>
        </w:rPr>
        <w:t>不见面开标大厅登录方式为：</w:t>
      </w:r>
      <w:r>
        <w:rPr>
          <w:rFonts w:hint="eastAsia" w:ascii="宋体" w:hAnsi="宋体" w:eastAsia="宋体" w:cs="宋体"/>
          <w:b/>
          <w:bCs/>
          <w:color w:val="auto"/>
          <w:sz w:val="24"/>
          <w:szCs w:val="24"/>
          <w:highlight w:val="none"/>
          <w:lang w:val="zh-CN" w:eastAsia="zh-CN"/>
        </w:rPr>
        <w:t>全国公共资源交易平台（陕西省·宝鸡市）</w:t>
      </w:r>
      <w:r>
        <w:rPr>
          <w:rFonts w:hint="eastAsia" w:ascii="宋体" w:hAnsi="宋体" w:eastAsia="宋体" w:cs="宋体"/>
          <w:b/>
          <w:bCs/>
          <w:color w:val="auto"/>
          <w:kern w:val="2"/>
          <w:sz w:val="24"/>
          <w:szCs w:val="24"/>
          <w:highlight w:val="none"/>
          <w:lang w:eastAsia="zh-CN"/>
        </w:rPr>
        <w:t>宝鸡市公共资源交易中心</w:t>
      </w:r>
      <w:r>
        <w:rPr>
          <w:rFonts w:hint="eastAsia" w:ascii="宋体" w:hAnsi="宋体" w:eastAsia="宋体" w:cs="宋体"/>
          <w:b/>
          <w:bCs/>
          <w:color w:val="auto"/>
          <w:sz w:val="24"/>
          <w:szCs w:val="24"/>
          <w:highlight w:val="none"/>
          <w:lang w:val="zh-CN" w:eastAsia="zh-CN"/>
        </w:rPr>
        <w:t>→不见面开标。</w:t>
      </w:r>
    </w:p>
    <w:p w14:paraId="298EE7B4">
      <w:pPr>
        <w:shd w:val="clea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（3）供应商应提前1小时登录远程不见面开标大厅，调试设备至正常状态，并在远程不见面开标大厅中进行远程签到。</w:t>
      </w:r>
    </w:p>
    <w:p w14:paraId="0E7EDF5C">
      <w:pPr>
        <w:shd w:val="clea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（4）开标时，供应商须使用电子响应文件加密时所用的数字认证证书（CA 锁）在规定的时间内进行远程在线解密。</w:t>
      </w:r>
    </w:p>
    <w:p w14:paraId="613F6279">
      <w:pPr>
        <w:shd w:val="clea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highlight w:val="none"/>
          <w:lang w:val="en-US" w:eastAsia="zh-CN" w:bidi="ar-SA"/>
        </w:rPr>
        <w:t>（5）响应文件的加密和解密应当使用同一CA锁证书，解密文件时应当使用加密电子响应文件的CA锁证书进行解密；由此导致无法解密电子响应文件造成的后果，由</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kern w:val="2"/>
          <w:sz w:val="24"/>
          <w:szCs w:val="24"/>
          <w:highlight w:val="none"/>
          <w:lang w:val="en-US" w:eastAsia="zh-CN" w:bidi="ar-SA"/>
        </w:rPr>
        <w:t>自行承担。</w:t>
      </w:r>
    </w:p>
    <w:p w14:paraId="18E036CD">
      <w:pPr>
        <w:shd w:val="clea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在收到主持人“开始解密”指令后，应使用“加密该</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文件的CA锁在线完成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文件解密。除因【宝鸡市公共资源交易中心】断电、断网、系统故障及其他不可抗力等因素，导致“不见面开标”系统无法正常运行外，</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应在规定的解密时间内完成解密。</w:t>
      </w:r>
    </w:p>
    <w:p w14:paraId="28AE7FE4">
      <w:pPr>
        <w:shd w:val="clea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（7）线上</w:t>
      </w:r>
      <w:r>
        <w:rPr>
          <w:rFonts w:hint="eastAsia" w:ascii="宋体" w:hAnsi="宋体" w:eastAsia="宋体" w:cs="宋体"/>
          <w:color w:val="auto"/>
          <w:kern w:val="2"/>
          <w:sz w:val="24"/>
          <w:szCs w:val="24"/>
          <w:highlight w:val="none"/>
          <w:lang w:val="zh-CN" w:eastAsia="zh-CN" w:bidi="ar-SA"/>
        </w:rPr>
        <w:t>开标结束进入评审环节。</w:t>
      </w:r>
      <w:r>
        <w:rPr>
          <w:rFonts w:hint="eastAsia" w:ascii="宋体" w:hAnsi="宋体" w:eastAsia="宋体"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zh-CN" w:eastAsia="zh-CN" w:bidi="ar-SA"/>
        </w:rPr>
        <w:t>应保持在线因</w:t>
      </w:r>
      <w:r>
        <w:rPr>
          <w:rFonts w:hint="eastAsia" w:ascii="宋体" w:hAnsi="宋体" w:eastAsia="宋体" w:cs="宋体"/>
          <w:color w:val="auto"/>
          <w:kern w:val="2"/>
          <w:sz w:val="24"/>
          <w:szCs w:val="24"/>
          <w:highlight w:val="none"/>
          <w:lang w:val="en-US" w:eastAsia="zh-CN" w:bidi="ar-SA"/>
        </w:rPr>
        <w:t>供应</w:t>
      </w:r>
      <w:r>
        <w:rPr>
          <w:rFonts w:hint="eastAsia" w:ascii="宋体" w:hAnsi="宋体" w:eastAsia="宋体" w:cs="宋体"/>
          <w:color w:val="auto"/>
          <w:kern w:val="2"/>
          <w:sz w:val="24"/>
          <w:szCs w:val="24"/>
          <w:highlight w:val="none"/>
          <w:lang w:val="zh-CN" w:eastAsia="zh-CN" w:bidi="ar-SA"/>
        </w:rPr>
        <w:t>擅自离席造成的不利后果，由</w:t>
      </w:r>
      <w:r>
        <w:rPr>
          <w:rFonts w:hint="eastAsia" w:ascii="宋体" w:hAnsi="宋体" w:eastAsia="宋体"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zh-CN" w:eastAsia="zh-CN" w:bidi="ar-SA"/>
        </w:rPr>
        <w:t>自行承担。</w:t>
      </w:r>
    </w:p>
    <w:p w14:paraId="3A65452A">
      <w:pPr>
        <w:shd w:val="clear"/>
        <w:spacing w:line="36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（8）线上开标流程结束后各供应商需在不见面开标系统内等待谈判小组发起在线谈判，投标供应商收到谈判小组在线谈判通知后，点击进入询标室与谈判小组连麦进行谈判。</w:t>
      </w:r>
    </w:p>
    <w:p w14:paraId="33967B68">
      <w:pPr>
        <w:shd w:val="clear"/>
        <w:spacing w:line="360" w:lineRule="auto"/>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注：投标供应商在整个谈判过程中因退出不见面开标系统或未及时接受在线谈判通知或因自身原因导致无法正常进行谈判的，导致的不利后果由供应商自行承担。</w:t>
      </w:r>
    </w:p>
    <w:p w14:paraId="1472B190">
      <w:pPr>
        <w:numPr>
          <w:ilvl w:val="0"/>
          <w:numId w:val="0"/>
        </w:numPr>
        <w:shd w:val="clear"/>
        <w:spacing w:line="36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9）谈判小组完成在线谈判后发起最后报价，投标供应商可通过“不见面开标大厅”直接跳转到二次报价页面进行报价并签章后提交。最后报价一旦提交后，供应商不得以任何理由撤回，供应商未按谈判小组要求在规定时间内提交最后报价的，视为其退出谈判。</w:t>
      </w:r>
    </w:p>
    <w:p w14:paraId="1B6113A2">
      <w:pPr>
        <w:pStyle w:val="92"/>
        <w:shd w:val="clear"/>
        <w:spacing w:line="360" w:lineRule="auto"/>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1-4、</w:t>
      </w:r>
      <w:r>
        <w:rPr>
          <w:rFonts w:hint="eastAsia" w:ascii="宋体" w:hAnsi="宋体" w:eastAsia="宋体" w:cs="宋体"/>
          <w:color w:val="auto"/>
          <w:kern w:val="2"/>
          <w:sz w:val="24"/>
          <w:szCs w:val="24"/>
          <w:highlight w:val="none"/>
        </w:rPr>
        <w:t>各</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需实时在线观看音视频直播并及时互动，</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lang w:val="zh-CN"/>
        </w:rPr>
        <w:t>代表对开标过程和开标记录有疑义，以及认为采购人、采购代理机构相关工作人员有需要回避的情形的，应</w:t>
      </w:r>
      <w:r>
        <w:rPr>
          <w:rFonts w:hint="eastAsia" w:ascii="宋体" w:hAnsi="宋体" w:eastAsia="宋体" w:cs="宋体"/>
          <w:color w:val="auto"/>
          <w:kern w:val="2"/>
          <w:sz w:val="24"/>
          <w:szCs w:val="24"/>
          <w:highlight w:val="none"/>
          <w:lang w:val="en-US" w:eastAsia="zh-CN"/>
        </w:rPr>
        <w:t>在线</w:t>
      </w:r>
      <w:r>
        <w:rPr>
          <w:rFonts w:hint="eastAsia" w:ascii="宋体" w:hAnsi="宋体" w:eastAsia="宋体" w:cs="宋体"/>
          <w:color w:val="auto"/>
          <w:kern w:val="2"/>
          <w:sz w:val="24"/>
          <w:szCs w:val="24"/>
          <w:highlight w:val="none"/>
          <w:lang w:val="zh-CN"/>
        </w:rPr>
        <w:t>提出询问或者回避申请。</w:t>
      </w:r>
      <w:r>
        <w:rPr>
          <w:rFonts w:hint="eastAsia" w:ascii="宋体" w:hAnsi="宋体" w:eastAsia="宋体" w:cs="宋体"/>
          <w:color w:val="auto"/>
          <w:kern w:val="2"/>
          <w:sz w:val="24"/>
          <w:szCs w:val="24"/>
          <w:highlight w:val="none"/>
        </w:rPr>
        <w:t>未按时加入系统或未在线参与互动的，视为放弃标书解密和对开评标全过程质疑、澄清、答辩的权利，并承担由此产生的</w:t>
      </w:r>
      <w:r>
        <w:rPr>
          <w:rFonts w:hint="eastAsia" w:ascii="宋体" w:hAnsi="宋体" w:eastAsia="宋体" w:cs="宋体"/>
          <w:color w:val="auto"/>
          <w:kern w:val="2"/>
          <w:sz w:val="24"/>
          <w:szCs w:val="24"/>
          <w:highlight w:val="none"/>
          <w:lang w:val="en-US" w:eastAsia="zh-CN"/>
        </w:rPr>
        <w:t>一切</w:t>
      </w:r>
      <w:r>
        <w:rPr>
          <w:rFonts w:hint="eastAsia" w:ascii="宋体" w:hAnsi="宋体" w:eastAsia="宋体" w:cs="宋体"/>
          <w:color w:val="auto"/>
          <w:kern w:val="2"/>
          <w:sz w:val="24"/>
          <w:szCs w:val="24"/>
          <w:highlight w:val="none"/>
        </w:rPr>
        <w:t>后果。</w:t>
      </w:r>
      <w:r>
        <w:rPr>
          <w:rFonts w:hint="eastAsia" w:ascii="宋体" w:hAnsi="宋体" w:eastAsia="宋体" w:cs="宋体"/>
          <w:color w:val="auto"/>
          <w:kern w:val="2"/>
          <w:sz w:val="24"/>
          <w:szCs w:val="24"/>
          <w:highlight w:val="none"/>
          <w:lang w:val="zh-CN"/>
        </w:rPr>
        <w:t>采购代理机构对</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lang w:val="zh-CN"/>
        </w:rPr>
        <w:t>代表提出的询问或者回避申请应当及时处理。</w:t>
      </w:r>
    </w:p>
    <w:p w14:paraId="33DF810B">
      <w:pPr>
        <w:shd w:val="clear"/>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kern w:val="2"/>
          <w:sz w:val="24"/>
          <w:szCs w:val="24"/>
          <w:highlight w:val="none"/>
          <w:lang w:val="en-US" w:eastAsia="zh-CN" w:bidi="ar-SA"/>
        </w:rPr>
        <w:t>1-5、供应商代表对谈判过程有疑义的，以及认为采购人、采购代理机构相关工作人员有需要回避的情形的，应当在线提出询问或回避申请。</w:t>
      </w:r>
    </w:p>
    <w:p w14:paraId="325E5E2F">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1-6、在谈判环节出现下列情况之一的，其谈判响应文件视为无效文件：</w:t>
      </w:r>
    </w:p>
    <w:p w14:paraId="18FCE454">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（1）供应商拒绝对电子响应文件进行解密的；</w:t>
      </w:r>
    </w:p>
    <w:p w14:paraId="7B8F853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（2）因供应商自身原因（如未带CA锁、或所带CA锁与制作电子响应文件使用的CA锁不一致），导致在规定时间内无法解密响应文件的；</w:t>
      </w:r>
    </w:p>
    <w:p w14:paraId="00448438">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（3）上传的电子响应文件无法打开的；</w:t>
      </w:r>
    </w:p>
    <w:p w14:paraId="5EFE011F">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2" w:firstLineChars="200"/>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2、资格审查</w:t>
      </w:r>
    </w:p>
    <w:p w14:paraId="795DD61C">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2" w:firstLineChars="200"/>
        <w:textAlignment w:val="auto"/>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由</w:t>
      </w:r>
      <w:r>
        <w:rPr>
          <w:rFonts w:hint="eastAsia" w:ascii="宋体" w:hAnsi="宋体" w:eastAsia="宋体" w:cs="宋体"/>
          <w:b/>
          <w:bCs/>
          <w:color w:val="auto"/>
          <w:highlight w:val="none"/>
          <w:lang w:val="en-US" w:eastAsia="zh-CN"/>
        </w:rPr>
        <w:t>采购人</w:t>
      </w:r>
      <w:r>
        <w:rPr>
          <w:rFonts w:hint="eastAsia" w:ascii="宋体" w:hAnsi="宋体" w:eastAsia="宋体" w:cs="宋体"/>
          <w:b/>
          <w:bCs/>
          <w:color w:val="auto"/>
          <w:highlight w:val="none"/>
          <w:lang w:val="zh-CN" w:eastAsia="zh-CN"/>
        </w:rPr>
        <w:t>依法对供应商的资格进行审查, 审查合格的供应商方可进入下一评审阶段。缺项或一项不符合要求即不合格，不合格的供应商其响应无效。</w:t>
      </w:r>
    </w:p>
    <w:p w14:paraId="730898C2">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highlight w:val="none"/>
          <w:lang w:val="zh-CN"/>
        </w:rPr>
      </w:pPr>
      <w:r>
        <w:rPr>
          <w:rFonts w:hint="eastAsia" w:ascii="宋体" w:hAnsi="宋体" w:eastAsia="宋体" w:cs="宋体"/>
          <w:highlight w:val="none"/>
          <w:lang w:val="en-US" w:eastAsia="zh-CN"/>
        </w:rPr>
        <w:t>2.</w:t>
      </w:r>
      <w:r>
        <w:rPr>
          <w:rFonts w:hint="eastAsia" w:ascii="宋体" w:hAnsi="宋体" w:eastAsia="宋体" w:cs="宋体"/>
          <w:highlight w:val="none"/>
          <w:lang w:val="zh-CN"/>
        </w:rPr>
        <w:t>1.满足《中华人民共和国政府采购法》第二十二条规定;</w:t>
      </w:r>
    </w:p>
    <w:p w14:paraId="5424CD22">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highlight w:val="none"/>
          <w:lang w:val="zh-CN"/>
        </w:rPr>
      </w:pPr>
      <w:r>
        <w:rPr>
          <w:rFonts w:hint="eastAsia" w:ascii="宋体" w:hAnsi="宋体" w:eastAsia="宋体" w:cs="宋体"/>
          <w:highlight w:val="none"/>
          <w:lang w:val="en-US" w:eastAsia="zh-CN"/>
        </w:rPr>
        <w:t>2.</w:t>
      </w:r>
      <w:r>
        <w:rPr>
          <w:rFonts w:hint="eastAsia" w:ascii="宋体" w:hAnsi="宋体" w:eastAsia="宋体" w:cs="宋体"/>
          <w:highlight w:val="none"/>
          <w:lang w:val="zh-CN"/>
        </w:rPr>
        <w:t>2.落实政府采购政策需满足的资格如下:</w:t>
      </w:r>
    </w:p>
    <w:p w14:paraId="0A61A234">
      <w:pPr>
        <w:shd w:val="clear"/>
        <w:spacing w:line="360" w:lineRule="auto"/>
        <w:ind w:firstLine="482" w:firstLineChars="200"/>
        <w:rPr>
          <w:rFonts w:hint="eastAsia" w:ascii="宋体" w:hAnsi="宋体" w:eastAsia="宋体" w:cs="宋体"/>
          <w:b/>
          <w:bCs/>
          <w:kern w:val="0"/>
          <w:sz w:val="24"/>
          <w:szCs w:val="24"/>
          <w:highlight w:val="none"/>
          <w:lang w:val="zh-CN" w:eastAsia="zh-CN" w:bidi="ar-SA"/>
        </w:rPr>
      </w:pPr>
      <w:r>
        <w:rPr>
          <w:rFonts w:hint="eastAsia" w:ascii="宋体" w:hAnsi="宋体" w:eastAsia="宋体" w:cs="宋体"/>
          <w:b/>
          <w:bCs/>
          <w:kern w:val="0"/>
          <w:sz w:val="24"/>
          <w:szCs w:val="24"/>
          <w:highlight w:val="none"/>
          <w:lang w:val="zh-CN" w:eastAsia="zh-CN" w:bidi="ar-SA"/>
        </w:rPr>
        <w:t>本项目专门面向中小企业采购。（残疾人福利性单位、监狱企业视同小型、微型企业）；须符合《政府采购促进中小企业发展管理办法》（财库〔2020〕46号）规定的中小企业参加。</w:t>
      </w:r>
      <w:r>
        <w:rPr>
          <w:rFonts w:hint="eastAsia" w:ascii="宋体" w:hAnsi="宋体" w:eastAsia="宋体" w:cs="宋体"/>
          <w:b/>
          <w:bCs/>
          <w:kern w:val="0"/>
          <w:sz w:val="24"/>
          <w:szCs w:val="24"/>
          <w:highlight w:val="none"/>
          <w:lang w:val="en-US" w:eastAsia="zh-CN" w:bidi="ar-SA"/>
        </w:rPr>
        <w:t>（提供《中小企业声明函》，式样见谈判文件格式）。</w:t>
      </w:r>
      <w:r>
        <w:rPr>
          <w:rFonts w:hint="eastAsia" w:ascii="宋体" w:hAnsi="宋体" w:eastAsia="宋体" w:cs="宋体"/>
          <w:b/>
          <w:bCs/>
          <w:kern w:val="0"/>
          <w:sz w:val="24"/>
          <w:szCs w:val="24"/>
          <w:highlight w:val="none"/>
          <w:lang w:val="zh-CN" w:eastAsia="zh-CN" w:bidi="ar-SA"/>
        </w:rPr>
        <w:t>本项目采购标的所属行业为：工业。</w:t>
      </w:r>
    </w:p>
    <w:p w14:paraId="172FB3B7">
      <w:pPr>
        <w:shd w:val="clear"/>
        <w:spacing w:line="360" w:lineRule="auto"/>
        <w:ind w:firstLine="480" w:firstLineChars="20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en-US" w:eastAsia="zh-CN" w:bidi="ar-SA"/>
        </w:rPr>
        <w:t>2.</w:t>
      </w:r>
      <w:r>
        <w:rPr>
          <w:rFonts w:hint="eastAsia" w:ascii="宋体" w:hAnsi="宋体" w:eastAsia="宋体" w:cs="宋体"/>
          <w:kern w:val="0"/>
          <w:sz w:val="24"/>
          <w:szCs w:val="24"/>
          <w:highlight w:val="none"/>
          <w:lang w:val="zh-CN" w:eastAsia="zh-CN" w:bidi="ar-SA"/>
        </w:rPr>
        <w:t>3.本项目的特定资格要求如下:</w:t>
      </w:r>
    </w:p>
    <w:p w14:paraId="562928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主体资格证明：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05F581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（2）谈判授权代表材料：供应商应授权合法的人员参加谈判，其中法定代表人直接参加的，须出具法定代表人证明书；被授权代表参加的，须出具法定代表人授权书；</w:t>
      </w:r>
    </w:p>
    <w:p w14:paraId="6A3C14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财务状况证明：提供经审计的2025年度完整财务审计报告；若供应商成立至响应文件递交截止时间不足一年，可提供成立后任意时段财务报表，或递交截止前三个月内基本存款账户开户行出具的资信证明；其他组织、自然人可提供银行出具的资信证明或财务报表；</w:t>
      </w:r>
      <w:r>
        <w:rPr>
          <w:rFonts w:hint="eastAsia" w:ascii="宋体" w:hAnsi="宋体" w:eastAsia="宋体" w:cs="宋体"/>
          <w:b w:val="0"/>
          <w:bCs/>
          <w:color w:val="auto"/>
          <w:kern w:val="2"/>
          <w:sz w:val="24"/>
          <w:szCs w:val="24"/>
          <w:highlight w:val="none"/>
          <w:lang w:val="zh-CN" w:eastAsia="zh-CN" w:bidi="ar-SA"/>
        </w:rPr>
        <w:t>(注:依据财政部、国务院国资委、金融监管总局印发&lt;&lt;关于加强审计报告查验工作的通知&gt;&gt;(财会(2023]15号)报告须在注册会计师行业统一监管平台备案并由该平台赋予二维码)</w:t>
      </w:r>
    </w:p>
    <w:p w14:paraId="3D7068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税收缴纳证明：提供2025年07月01日至今已缴纳的至少六个月的纳税证明或完税证明（时间以税款所属日期为准、税种须包含增值税或所得税）；若供应商成立至响应截止不足六个月、依法零申报或免税，应提供税务机关出具的相关佐证材料;</w:t>
      </w:r>
    </w:p>
    <w:p w14:paraId="1CE43F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社会保障资金缴纳证明：提供2025年07月01日至今至少连续六个月社保缴费银行单据或社保经办机构出具的参保缴费证明；若供应商成立至响应截止不足六个月，可提供实际缴纳时段社保凭证；依法无需缴纳社会保障资金的单位，须提供相关主管部门出具的免缴证明材料；</w:t>
      </w:r>
    </w:p>
    <w:p w14:paraId="2F24E2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（6）信用记录要求：供应商未被列入“信用中国”网站(www.creditchina.gov.cn)失信被执行人、重大税收违法失信主体；未被列入中国政府采购网(www.ccgp.gov.cn)政府采购严重违法失信行为记录名单。</w:t>
      </w:r>
    </w:p>
    <w:p w14:paraId="5BFC5D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（7）履约能力承诺书：供应商须提供书面承诺书，承诺自身具备完成本项目供货、运输、安装、调试、售后维保、人员培训全流程服务所需设备、场地、专业技术人员及配套服务能力；</w:t>
      </w:r>
    </w:p>
    <w:p w14:paraId="4075EA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中小企业专项要求：本项目专门面向中小企业采购，供应商响应文件中必须提供财政部统一格式《中小企业声明函》；监狱企业、残疾人福利性单位视同中小企业，须同步提供对应官方认定证明文件，否则资格审查不予通过；</w:t>
      </w:r>
    </w:p>
    <w:p w14:paraId="386CE4AD">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sz w:val="24"/>
          <w:szCs w:val="24"/>
          <w:highlight w:val="none"/>
        </w:rPr>
        <w:t>（9）</w:t>
      </w:r>
      <w:r>
        <w:rPr>
          <w:rFonts w:hint="eastAsia" w:cs="宋体"/>
          <w:sz w:val="24"/>
          <w:szCs w:val="24"/>
          <w:highlight w:val="none"/>
          <w:lang w:eastAsia="zh-CN"/>
        </w:rPr>
        <w:t>控股管理关系</w:t>
      </w:r>
      <w:r>
        <w:rPr>
          <w:rFonts w:hint="eastAsia" w:ascii="宋体" w:hAnsi="宋体" w:eastAsia="宋体" w:cs="宋体"/>
          <w:sz w:val="24"/>
          <w:szCs w:val="24"/>
          <w:highlight w:val="none"/>
        </w:rPr>
        <w:t>。单位负责人为同一人或者存在直接控股、管理关系的不同供应商，不得同时参与本项目采购活动</w:t>
      </w:r>
      <w:r>
        <w:rPr>
          <w:rFonts w:hint="eastAsia" w:ascii="宋体" w:hAnsi="宋体" w:eastAsia="宋体" w:cs="宋体"/>
          <w:b w:val="0"/>
          <w:bCs/>
          <w:color w:val="auto"/>
          <w:kern w:val="2"/>
          <w:sz w:val="24"/>
          <w:szCs w:val="24"/>
          <w:highlight w:val="none"/>
          <w:lang w:val="zh-CN" w:eastAsia="zh-CN" w:bidi="ar-SA"/>
        </w:rPr>
        <w:t>；</w:t>
      </w:r>
    </w:p>
    <w:p w14:paraId="66A315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sz w:val="24"/>
          <w:szCs w:val="24"/>
          <w:highlight w:val="none"/>
        </w:rPr>
        <w:t>（10）书面</w:t>
      </w:r>
      <w:r>
        <w:rPr>
          <w:rFonts w:hint="eastAsia" w:ascii="宋体" w:hAnsi="宋体" w:eastAsia="宋体" w:cs="宋体"/>
          <w:sz w:val="24"/>
          <w:szCs w:val="24"/>
          <w:highlight w:val="none"/>
          <w:lang w:eastAsia="zh-CN"/>
        </w:rPr>
        <w:t>声明</w:t>
      </w:r>
      <w:r>
        <w:rPr>
          <w:rFonts w:hint="eastAsia" w:ascii="宋体" w:hAnsi="宋体" w:eastAsia="宋体" w:cs="宋体"/>
          <w:sz w:val="24"/>
          <w:szCs w:val="24"/>
          <w:highlight w:val="none"/>
        </w:rPr>
        <w:t>：出具参加政府采购活动前3年内在经营活动中没有重大违法记录的书面声明；</w:t>
      </w:r>
      <w:r>
        <w:rPr>
          <w:rFonts w:hint="eastAsia" w:ascii="宋体" w:hAnsi="宋体" w:eastAsia="宋体" w:cs="宋体"/>
          <w:b w:val="0"/>
          <w:bCs/>
          <w:color w:val="auto"/>
          <w:kern w:val="2"/>
          <w:sz w:val="24"/>
          <w:szCs w:val="24"/>
          <w:highlight w:val="none"/>
          <w:lang w:val="en-US" w:eastAsia="zh-CN" w:bidi="ar-SA"/>
        </w:rPr>
        <w:t xml:space="preserve">  </w:t>
      </w:r>
    </w:p>
    <w:p w14:paraId="631223E0">
      <w:pPr>
        <w:shd w:val="clear"/>
        <w:spacing w:line="24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zh-CN" w:eastAsia="zh-CN"/>
        </w:rPr>
        <w:t>、响应文件</w:t>
      </w:r>
      <w:r>
        <w:rPr>
          <w:rFonts w:hint="eastAsia" w:ascii="宋体" w:hAnsi="宋体" w:eastAsia="宋体" w:cs="宋体"/>
          <w:b/>
          <w:bCs/>
          <w:color w:val="auto"/>
          <w:sz w:val="24"/>
          <w:szCs w:val="24"/>
          <w:highlight w:val="none"/>
          <w:lang w:val="en-US" w:eastAsia="zh-CN"/>
        </w:rPr>
        <w:t>符合性</w:t>
      </w:r>
      <w:r>
        <w:rPr>
          <w:rFonts w:hint="eastAsia" w:ascii="宋体" w:hAnsi="宋体" w:eastAsia="宋体" w:cs="宋体"/>
          <w:b/>
          <w:bCs/>
          <w:color w:val="auto"/>
          <w:sz w:val="24"/>
          <w:szCs w:val="24"/>
          <w:highlight w:val="none"/>
          <w:lang w:val="zh-CN" w:eastAsia="zh-CN"/>
        </w:rPr>
        <w:t>审查</w:t>
      </w:r>
    </w:p>
    <w:p w14:paraId="3D883FF1">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-1、谈判小组对竞争性谈判响应文件进行符合性、完整性、有效性进行审查，</w:t>
      </w:r>
      <w:r>
        <w:rPr>
          <w:rFonts w:hint="eastAsia" w:ascii="宋体" w:hAnsi="宋体" w:eastAsia="宋体" w:cs="宋体"/>
          <w:color w:val="auto"/>
          <w:sz w:val="24"/>
          <w:szCs w:val="24"/>
          <w:highlight w:val="none"/>
        </w:rPr>
        <w:t>以确定是否对</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文件的实质性内容做出响应，包含但不限于以下内容，未通过审查的按无效</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处理：</w:t>
      </w:r>
    </w:p>
    <w:p w14:paraId="5BDF25BD">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-1-1、供应商名称是否与</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lang w:val="zh-CN" w:eastAsia="zh-CN"/>
        </w:rPr>
        <w:t>谈判文件的单位名称一致；</w:t>
      </w:r>
    </w:p>
    <w:p w14:paraId="15AD209F">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3-1-2、</w:t>
      </w:r>
      <w:r>
        <w:rPr>
          <w:rFonts w:hint="eastAsia" w:ascii="宋体" w:hAnsi="宋体" w:eastAsia="宋体" w:cs="宋体"/>
          <w:color w:val="auto"/>
          <w:sz w:val="24"/>
          <w:szCs w:val="24"/>
          <w:highlight w:val="none"/>
          <w:lang w:val="zh-CN" w:eastAsia="zh-CN"/>
        </w:rPr>
        <w:t>响应文件是否按照谈判文件的要求盖章签字；</w:t>
      </w:r>
    </w:p>
    <w:p w14:paraId="20CD281A">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3-1-3、谈判保证金是否按要求提供；</w:t>
      </w:r>
    </w:p>
    <w:p w14:paraId="646F2F3A">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3-1-4、</w:t>
      </w:r>
      <w:r>
        <w:rPr>
          <w:rFonts w:hint="eastAsia" w:ascii="宋体" w:hAnsi="宋体" w:eastAsia="宋体" w:cs="宋体"/>
          <w:color w:val="auto"/>
          <w:sz w:val="24"/>
          <w:szCs w:val="24"/>
          <w:highlight w:val="none"/>
          <w:lang w:val="zh-CN" w:eastAsia="zh-CN"/>
        </w:rPr>
        <w:t>谈判响应内容是否有重大缺漏项；</w:t>
      </w:r>
    </w:p>
    <w:p w14:paraId="26ADB5CD">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3-1-5、</w:t>
      </w:r>
      <w:r>
        <w:rPr>
          <w:rFonts w:hint="eastAsia" w:ascii="宋体" w:hAnsi="宋体" w:eastAsia="宋体" w:cs="宋体"/>
          <w:color w:val="auto"/>
          <w:sz w:val="24"/>
          <w:szCs w:val="24"/>
          <w:highlight w:val="none"/>
          <w:lang w:val="zh-CN" w:eastAsia="zh-CN"/>
        </w:rPr>
        <w:t>谈判报价是否超过采购预算或</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lang w:val="zh-CN" w:eastAsia="zh-CN"/>
        </w:rPr>
        <w:t xml:space="preserve">； </w:t>
      </w:r>
    </w:p>
    <w:p w14:paraId="7D2C7BA3">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3-1-6、</w:t>
      </w:r>
      <w:r>
        <w:rPr>
          <w:rFonts w:hint="eastAsia" w:ascii="宋体" w:hAnsi="宋体" w:eastAsia="宋体" w:cs="宋体"/>
          <w:color w:val="auto"/>
          <w:sz w:val="24"/>
          <w:szCs w:val="24"/>
          <w:highlight w:val="none"/>
          <w:lang w:val="zh-CN" w:eastAsia="zh-CN"/>
        </w:rPr>
        <w:t>谈判有效期是否符合谈判文件的要求；</w:t>
      </w:r>
    </w:p>
    <w:p w14:paraId="726651B9">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3-1-7、</w:t>
      </w:r>
      <w:r>
        <w:rPr>
          <w:rFonts w:hint="eastAsia" w:ascii="宋体" w:hAnsi="宋体" w:eastAsia="宋体" w:cs="宋体"/>
          <w:color w:val="auto"/>
          <w:sz w:val="24"/>
          <w:szCs w:val="24"/>
          <w:highlight w:val="none"/>
          <w:lang w:val="zh-CN" w:eastAsia="zh-CN"/>
        </w:rPr>
        <w:t>对谈判文件商务要求是否作了明确且实质性响应；</w:t>
      </w:r>
    </w:p>
    <w:p w14:paraId="3E92802C">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3-1-8、</w:t>
      </w:r>
      <w:r>
        <w:rPr>
          <w:rFonts w:hint="eastAsia" w:ascii="宋体" w:hAnsi="宋体" w:eastAsia="宋体" w:cs="宋体"/>
          <w:color w:val="auto"/>
          <w:sz w:val="24"/>
          <w:szCs w:val="24"/>
          <w:highlight w:val="none"/>
          <w:lang w:val="zh-CN" w:eastAsia="zh-CN"/>
        </w:rPr>
        <w:t>对谈判文件技术要求是否作了明确且实质性响应；</w:t>
      </w:r>
    </w:p>
    <w:p w14:paraId="348D79DD">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3-1-9、</w:t>
      </w:r>
      <w:r>
        <w:rPr>
          <w:rFonts w:hint="eastAsia" w:ascii="宋体" w:hAnsi="宋体" w:eastAsia="宋体" w:cs="宋体"/>
          <w:color w:val="auto"/>
          <w:sz w:val="24"/>
          <w:szCs w:val="24"/>
          <w:highlight w:val="none"/>
          <w:lang w:val="zh-CN" w:eastAsia="zh-CN"/>
        </w:rPr>
        <w:t>响应文件是否含有采购人不能接受的附加条件；</w:t>
      </w:r>
    </w:p>
    <w:p w14:paraId="024C0BF5">
      <w:pPr>
        <w:spacing w:line="480" w:lineRule="exact"/>
        <w:ind w:firstLine="480" w:firstLineChars="200"/>
        <w:rPr>
          <w:rFonts w:hint="eastAsia" w:ascii="宋体" w:hAnsi="宋体" w:eastAsia="宋体" w:cs="宋体"/>
          <w:color w:val="auto"/>
          <w:highlight w:val="none"/>
          <w:lang w:val="zh-CN" w:eastAsia="zh-CN"/>
        </w:rPr>
      </w:pPr>
      <w:r>
        <w:rPr>
          <w:rFonts w:hint="eastAsia" w:ascii="宋体" w:hAnsi="宋体" w:eastAsia="宋体" w:cs="宋体"/>
          <w:color w:val="auto"/>
          <w:sz w:val="24"/>
          <w:szCs w:val="24"/>
          <w:highlight w:val="none"/>
          <w:lang w:val="en-US" w:eastAsia="zh-CN"/>
        </w:rPr>
        <w:t>3-1-10、是否含有</w:t>
      </w:r>
      <w:r>
        <w:rPr>
          <w:rFonts w:hint="eastAsia" w:ascii="宋体" w:hAnsi="宋体" w:eastAsia="宋体" w:cs="宋体"/>
          <w:color w:val="auto"/>
          <w:sz w:val="24"/>
          <w:szCs w:val="24"/>
          <w:highlight w:val="none"/>
        </w:rPr>
        <w:t>法律、法规和</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文件规定的其他无效响应情形。</w:t>
      </w:r>
    </w:p>
    <w:p w14:paraId="71D651FC">
      <w:pPr>
        <w:spacing w:line="440" w:lineRule="exact"/>
        <w:ind w:firstLine="482"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zh-CN" w:eastAsia="zh-CN"/>
        </w:rPr>
        <w:t>、谈判：</w:t>
      </w:r>
      <w:r>
        <w:rPr>
          <w:rFonts w:hint="eastAsia" w:ascii="宋体" w:hAnsi="宋体" w:eastAsia="宋体" w:cs="宋体"/>
          <w:color w:val="auto"/>
          <w:sz w:val="24"/>
          <w:szCs w:val="24"/>
          <w:highlight w:val="none"/>
          <w:lang w:val="zh-CN" w:eastAsia="zh-CN"/>
        </w:rPr>
        <w:t>谈判小组所有成员集中与单一供应商分别进行谈判，</w:t>
      </w:r>
      <w:r>
        <w:rPr>
          <w:rFonts w:hint="eastAsia" w:ascii="宋体" w:hAnsi="宋体" w:eastAsia="宋体" w:cs="宋体"/>
          <w:color w:val="auto"/>
          <w:sz w:val="24"/>
          <w:szCs w:val="24"/>
          <w:highlight w:val="none"/>
          <w:lang w:val="en-US" w:eastAsia="zh-CN"/>
        </w:rPr>
        <w:t>并给所有参加谈判供应商平等的谈判机会。</w:t>
      </w:r>
    </w:p>
    <w:p w14:paraId="426342B8">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谈判小组在对响应文件的有效性、完整性和响应程度进行审核时，以书面形式要求供应商对响应文件中含义不明确、同类问题表述不一致、或者明显文字和计算错误的内容做出必要的澄清、说明或更正。供应商澄清、说明或者更正应当由法定代表人或者授权代表签字或者加盖公章。澄清、说明或者更正不得超出响应范围，或者改变响应文件的实质性内容。</w:t>
      </w:r>
    </w:p>
    <w:p w14:paraId="6E6905AF">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4-2、谈判过程中，谈判小组可以根据谈判文件和谈判</w:t>
      </w:r>
      <w:r>
        <w:rPr>
          <w:rFonts w:hint="eastAsia" w:ascii="宋体" w:hAnsi="宋体" w:eastAsia="宋体" w:cs="宋体"/>
          <w:color w:val="auto"/>
          <w:sz w:val="24"/>
          <w:szCs w:val="24"/>
          <w:highlight w:val="none"/>
        </w:rPr>
        <w:t>情况实质性变动采购需求中的技术、服务要求以及合同草案条款，但不得变动谈判文件中的其他内容。</w:t>
      </w:r>
      <w:r>
        <w:rPr>
          <w:rFonts w:hint="eastAsia" w:ascii="宋体" w:hAnsi="宋体" w:eastAsia="宋体" w:cs="宋体"/>
          <w:color w:val="auto"/>
          <w:sz w:val="24"/>
          <w:szCs w:val="24"/>
          <w:highlight w:val="none"/>
          <w:lang w:val="en-US" w:eastAsia="zh-CN"/>
        </w:rPr>
        <w:t>实质性变动的内容，须经采购人代表确认，并成为谈判文件的有效组成部分。</w:t>
      </w:r>
    </w:p>
    <w:p w14:paraId="49FB6B47">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4-3、供应商应在谈判小组约定的时间内，以书面形式进行澄清、说明或者更正，并由法定代表人或者授权代表签字或者加盖公章。</w:t>
      </w:r>
    </w:p>
    <w:p w14:paraId="56E35533">
      <w:pPr>
        <w:spacing w:line="44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5、最后报价</w:t>
      </w:r>
    </w:p>
    <w:p w14:paraId="5453301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5-1、谈判结束后，有</w:t>
      </w:r>
      <w:r>
        <w:rPr>
          <w:rFonts w:hint="eastAsia" w:ascii="宋体" w:hAnsi="宋体" w:eastAsia="宋体" w:cs="宋体"/>
          <w:color w:val="auto"/>
          <w:sz w:val="24"/>
          <w:szCs w:val="24"/>
          <w:highlight w:val="none"/>
        </w:rPr>
        <w:t>效响应供应商不少于3家。谈判小组要求供应商在规定时间内提交最后报价，最后报价是供应商响应文件的有效组成部分。</w:t>
      </w:r>
    </w:p>
    <w:p w14:paraId="52980D6C">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每轮谈判</w:t>
      </w:r>
      <w:r>
        <w:rPr>
          <w:rFonts w:hint="eastAsia" w:ascii="宋体" w:hAnsi="宋体" w:eastAsia="宋体" w:cs="宋体"/>
          <w:color w:val="auto"/>
          <w:sz w:val="24"/>
          <w:szCs w:val="24"/>
          <w:highlight w:val="none"/>
        </w:rPr>
        <w:t>结束后，</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小组要求所有实质性响应的供应商在规定时间内提交最</w:t>
      </w:r>
      <w:r>
        <w:rPr>
          <w:rFonts w:hint="eastAsia" w:ascii="宋体" w:hAnsi="宋体" w:eastAsia="宋体" w:cs="宋体"/>
          <w:color w:val="auto"/>
          <w:sz w:val="24"/>
          <w:szCs w:val="24"/>
          <w:highlight w:val="none"/>
          <w:lang w:eastAsia="zh-CN"/>
        </w:rPr>
        <w:t>终</w:t>
      </w:r>
      <w:r>
        <w:rPr>
          <w:rFonts w:hint="eastAsia" w:ascii="宋体" w:hAnsi="宋体" w:eastAsia="宋体" w:cs="宋体"/>
          <w:color w:val="auto"/>
          <w:sz w:val="24"/>
          <w:szCs w:val="24"/>
          <w:highlight w:val="none"/>
        </w:rPr>
        <w:t>报价。</w:t>
      </w:r>
      <w:r>
        <w:rPr>
          <w:rFonts w:hint="eastAsia" w:ascii="宋体" w:hAnsi="宋体" w:eastAsia="宋体" w:cs="宋体"/>
          <w:b/>
          <w:bCs/>
          <w:color w:val="auto"/>
          <w:sz w:val="24"/>
          <w:szCs w:val="24"/>
          <w:highlight w:val="none"/>
          <w:lang w:val="en-US" w:eastAsia="zh-CN"/>
        </w:rPr>
        <w:t>供应商须用数字认证证书（CA锁）登陆系统进行最终报价，</w:t>
      </w:r>
      <w:r>
        <w:rPr>
          <w:rFonts w:hint="eastAsia" w:ascii="宋体" w:hAnsi="宋体" w:eastAsia="宋体" w:cs="宋体"/>
          <w:color w:val="auto"/>
          <w:sz w:val="24"/>
          <w:szCs w:val="24"/>
          <w:highlight w:val="none"/>
          <w:lang w:val="en-US" w:eastAsia="zh-CN"/>
        </w:rPr>
        <w:t>系统按照评标规则自动评审。</w:t>
      </w:r>
    </w:p>
    <w:p w14:paraId="76833587">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5-3、政府采购政策评审标准</w:t>
      </w:r>
    </w:p>
    <w:p w14:paraId="5BC666D7">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5-3-1、小微企业的评审标准</w:t>
      </w:r>
    </w:p>
    <w:p w14:paraId="5962205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根据《政府采购促进中小企业发展管理办法》（财库〔2020〕46号）、关于进一步加大政府采购支持中小企业力度的通知财库〔2022〕19号；符合条件的中小企业，享受政府采购扶持政策。</w:t>
      </w:r>
    </w:p>
    <w:p w14:paraId="55EDA35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享受政府采购扶持政策的中小企业，应当符合以下条件：</w:t>
      </w:r>
    </w:p>
    <w:p w14:paraId="142F25B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（1）符合中小企业划分标准（中小企业划分标准是指国务院有关部门根据企业从业人员、营业收入、资产总额等指标制定的中小企业划型标准（工信部联企业〔2011〕300号））。</w:t>
      </w:r>
    </w:p>
    <w:p w14:paraId="329966E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（2）供应商须提供《中小企业声明函》。</w:t>
      </w:r>
    </w:p>
    <w:p w14:paraId="3284AC0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5-3-2、监狱企业的评审标准</w:t>
      </w:r>
    </w:p>
    <w:p w14:paraId="1E324171">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根据财库[2014]68 号《财政部司法部关于政府采购支持监狱企业发展有关问题的通知》规定，符合条件的监狱企业视同小型、微型企业。</w:t>
      </w:r>
    </w:p>
    <w:p w14:paraId="0F049EE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5-3-3、残疾人福利性单位的评审标准</w:t>
      </w:r>
    </w:p>
    <w:p w14:paraId="53CC9609">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符合条件的残疾人福利性单位视同小型、微型企业。</w:t>
      </w:r>
    </w:p>
    <w:p w14:paraId="6D223ACA">
      <w:pP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en-US" w:eastAsia="zh-CN"/>
        </w:rPr>
        <w:t>5-4</w:t>
      </w:r>
      <w:r>
        <w:rPr>
          <w:rFonts w:hint="eastAsia" w:ascii="宋体" w:hAnsi="宋体" w:eastAsia="宋体" w:cs="宋体"/>
          <w:color w:val="auto"/>
          <w:sz w:val="24"/>
          <w:szCs w:val="24"/>
          <w:highlight w:val="none"/>
          <w:lang w:val="zh-CN" w:eastAsia="zh-CN"/>
        </w:rPr>
        <w:t>.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07CF84E5">
      <w:pP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en-US" w:eastAsia="zh-CN"/>
        </w:rPr>
        <w:t>5-5</w:t>
      </w:r>
      <w:r>
        <w:rPr>
          <w:rFonts w:hint="eastAsia" w:ascii="宋体" w:hAnsi="宋体" w:eastAsia="宋体" w:cs="宋体"/>
          <w:color w:val="auto"/>
          <w:sz w:val="24"/>
          <w:szCs w:val="24"/>
          <w:highlight w:val="none"/>
          <w:lang w:val="zh-CN" w:eastAsia="zh-CN"/>
        </w:rPr>
        <w:t>.本项目采购的/产品属于节能产品政府采购品目清单中应强制采购的产品范围，供应商应当提供国家确定的认证机构出具的、处于有效期之内的节能产品认证证书，否则作无效响应处理。</w:t>
      </w:r>
    </w:p>
    <w:p w14:paraId="78776E3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en-US" w:eastAsia="zh-CN"/>
        </w:rPr>
        <w:t>5-6</w:t>
      </w:r>
      <w:r>
        <w:rPr>
          <w:rFonts w:hint="eastAsia" w:ascii="宋体" w:hAnsi="宋体" w:eastAsia="宋体" w:cs="宋体"/>
          <w:color w:val="auto"/>
          <w:sz w:val="24"/>
          <w:szCs w:val="24"/>
          <w:highlight w:val="none"/>
          <w:lang w:val="zh-CN" w:eastAsia="zh-CN"/>
        </w:rPr>
        <w:t>.本项目采购的/产品属于节能产品政府采购品目清单中应优先采购的产品范围，本项目采购的/产品属于环境标志产品政府采购品目清单中应优先采购的产品范围，响应报价相同的，按供应商提供的优先采购产品认证证书数量由多到少顺序排列。</w:t>
      </w:r>
    </w:p>
    <w:p w14:paraId="20AE9E13">
      <w:pPr>
        <w:pStyle w:val="14"/>
        <w:spacing w:line="360" w:lineRule="auto"/>
        <w:ind w:firstLine="482"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kern w:val="2"/>
          <w:sz w:val="24"/>
          <w:szCs w:val="24"/>
          <w:highlight w:val="none"/>
          <w:lang w:val="en-US" w:eastAsia="zh-CN" w:bidi="ar-SA"/>
        </w:rPr>
        <w:t>注：本项目专门面向中小企业采购，报价不再进行价格扣除优惠。</w:t>
      </w:r>
    </w:p>
    <w:p w14:paraId="56A3951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6、比较与评价</w:t>
      </w:r>
    </w:p>
    <w:p w14:paraId="51FB7139">
      <w:pP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6-1、谈判小组在评审过程中，发现响应文件出现下列情况之一者，按以下原则修正：</w:t>
      </w:r>
    </w:p>
    <w:p w14:paraId="3A61023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6-1-1、大写金额与小写金额不一致的，以大写金额为准；</w:t>
      </w:r>
    </w:p>
    <w:p w14:paraId="7719F23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6-1-2、总价金额与按单价汇总金额不一致的，以单价金额计算结果为准；</w:t>
      </w:r>
    </w:p>
    <w:p w14:paraId="5042EA4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6-1-3、单价金额小数点有明显错位的，应以总价为准，并修改单价；</w:t>
      </w:r>
    </w:p>
    <w:p w14:paraId="1FFCB604">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6-1-4、对不同文字文本响应文件的解释发生异议的，以中文文本为准；</w:t>
      </w:r>
    </w:p>
    <w:p w14:paraId="15BDB095">
      <w:pP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6-1-5、文字与图表不一致的，以文字为准；</w:t>
      </w:r>
    </w:p>
    <w:p w14:paraId="64BE96C0">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6-1-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响应文件的文字叙述与制造厂商的产品样本/检测报告不符时，以产品样本/检测报告为准。</w:t>
      </w:r>
    </w:p>
    <w:p w14:paraId="3FF3E11A">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评审标准及方法</w:t>
      </w:r>
    </w:p>
    <w:p w14:paraId="1C704B6A">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7-1、提交最后报价的合格供应商应满足：</w:t>
      </w:r>
    </w:p>
    <w:p w14:paraId="70E24AF2">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7-1-1、响应文件符合采购需求；</w:t>
      </w:r>
    </w:p>
    <w:p w14:paraId="46699344">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7-1-2、最后报价完整、明细清晰、符合要求；</w:t>
      </w:r>
    </w:p>
    <w:p w14:paraId="19410903">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7-1-3、符合采购需求的质量要求；</w:t>
      </w:r>
    </w:p>
    <w:p w14:paraId="48F4A3DD">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7-1-4、符合采购需求的售后服务承诺要求。</w:t>
      </w:r>
    </w:p>
    <w:p w14:paraId="3C2A5817">
      <w:pPr>
        <w:spacing w:line="440" w:lineRule="exact"/>
        <w:ind w:firstLine="480"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w:t>
      </w:r>
      <w:r>
        <w:rPr>
          <w:rFonts w:hint="eastAsia" w:ascii="宋体" w:hAnsi="宋体" w:eastAsia="宋体" w:cs="宋体"/>
          <w:b/>
          <w:bCs/>
          <w:color w:val="auto"/>
          <w:sz w:val="24"/>
          <w:szCs w:val="24"/>
          <w:highlight w:val="none"/>
          <w:lang w:val="en-US" w:eastAsia="zh-CN"/>
        </w:rPr>
        <w:t>谈判小组应当从质量和服务均能满足采购文件实质性响应要求的供应商中，按照最后报价由低到高的顺序提出3名以上成交候选人。</w:t>
      </w:r>
    </w:p>
    <w:p w14:paraId="088119A3">
      <w:pPr>
        <w:spacing w:line="44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8、核心产品相同品牌的评审标准为： </w:t>
      </w:r>
    </w:p>
    <w:p w14:paraId="5F317ED6">
      <w:pPr>
        <w:spacing w:line="44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8.1 提供相同品牌产品的不同供应商参加同一合同项下采购活动的，按一家投标人计算，以其中通过资格审查、符合性审查且报价最低的参加评审；报价相同的，由采购人或者采购人委托谈判小组按照随机抽取方式确定一个参加谈判的供应商，其他响应无效。</w:t>
      </w:r>
    </w:p>
    <w:p w14:paraId="26DC99B1">
      <w:pPr>
        <w:spacing w:line="440" w:lineRule="exact"/>
        <w:ind w:firstLine="482" w:firstLineChars="200"/>
        <w:rPr>
          <w:rFonts w:hint="eastAsia" w:ascii="宋体" w:hAnsi="宋体" w:eastAsia="宋体" w:cs="宋体"/>
          <w:b/>
          <w:bCs/>
          <w:highlight w:val="none"/>
          <w:lang w:val="en-US" w:eastAsia="zh-CN"/>
        </w:rPr>
      </w:pPr>
      <w:r>
        <w:rPr>
          <w:rFonts w:hint="eastAsia" w:ascii="宋体" w:hAnsi="宋体" w:eastAsia="宋体" w:cs="宋体"/>
          <w:b/>
          <w:bCs/>
          <w:color w:val="auto"/>
          <w:sz w:val="24"/>
          <w:szCs w:val="24"/>
          <w:highlight w:val="none"/>
          <w:lang w:val="en-US" w:eastAsia="zh-CN"/>
        </w:rPr>
        <w:t>8.2 在符合性审查、有效报价环节提供核心产品品牌不足3个的，视为有效响应供应商不足3家。</w:t>
      </w:r>
    </w:p>
    <w:p w14:paraId="067DB0AF">
      <w:pPr>
        <w:spacing w:line="440" w:lineRule="exact"/>
        <w:rPr>
          <w:rFonts w:hint="eastAsia" w:ascii="宋体" w:hAnsi="宋体" w:eastAsia="宋体" w:cs="宋体"/>
          <w:b/>
          <w:bCs/>
          <w:color w:val="auto"/>
          <w:sz w:val="28"/>
          <w:szCs w:val="28"/>
          <w:highlight w:val="none"/>
          <w:lang w:val="zh-CN" w:eastAsia="zh-CN"/>
        </w:rPr>
      </w:pPr>
      <w:r>
        <w:rPr>
          <w:rFonts w:hint="eastAsia" w:ascii="宋体" w:hAnsi="宋体" w:eastAsia="宋体" w:cs="宋体"/>
          <w:b/>
          <w:bCs/>
          <w:color w:val="auto"/>
          <w:sz w:val="28"/>
          <w:szCs w:val="28"/>
          <w:highlight w:val="none"/>
          <w:lang w:val="zh-CN" w:eastAsia="zh-CN"/>
        </w:rPr>
        <w:t>九、确定成交单位</w:t>
      </w:r>
    </w:p>
    <w:p w14:paraId="0B6A5514">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、采购代理机构应在评审结束后两个工作日内，将评审报告送采购人确定成交单位。</w:t>
      </w:r>
    </w:p>
    <w:p w14:paraId="2F6A5210">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2、采购人在收到评审报告后五个工作日内，根据评审报告对评审过程及结果进行严格审核后确定成交供应商，复函采购代理机构。</w:t>
      </w:r>
    </w:p>
    <w:p w14:paraId="1CD4AED6">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3、采购代理机构在接到采购人的成交复函后，在财政部门指定的政府采购信息发布媒体上公告，公告期限为一个工作日，并向成交供应商发出</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val="zh-CN" w:eastAsia="zh-CN"/>
        </w:rPr>
        <w:t>通知书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eastAsia="zh-CN"/>
        </w:rPr>
        <w:t>。</w:t>
      </w:r>
    </w:p>
    <w:p w14:paraId="65D70AED">
      <w:pPr>
        <w:autoSpaceDE w:val="0"/>
        <w:autoSpaceDN w:val="0"/>
        <w:adjustRightInd w:val="0"/>
        <w:snapToGrid w:val="0"/>
        <w:spacing w:line="360" w:lineRule="auto"/>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十、询问与质疑</w:t>
      </w:r>
    </w:p>
    <w:p w14:paraId="7FC288FD">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1.询问</w:t>
      </w:r>
    </w:p>
    <w:p w14:paraId="4ADAEE40">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投标供应商对政府采购活动事项有疑问的，可以向采购代理机构或采购人提出询问。采购代理机构或采购人将在3个工作日内对投标供应商依法提出的询问作出答复。</w:t>
      </w:r>
    </w:p>
    <w:p w14:paraId="0C76F745">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投标供应商提出的询问超出采购人对采购代理机构委托授权范围的，采购代理机构将告知投标供应商向采购人提出。</w:t>
      </w:r>
    </w:p>
    <w:p w14:paraId="76798B1D">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2.质疑和投诉</w:t>
      </w:r>
    </w:p>
    <w:p w14:paraId="5BDBB961">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认为竞争性谈判文件、谈判过程或成交结果使自身的合法权益受到损害，供应商认为谈判文件、谈判过程使自身的合法权益受到损害，可以在知道或者应当知道其自身权益收到损害之日起七个工作日，以书面形式向采购代理机构或采购人提出质疑。</w:t>
      </w:r>
    </w:p>
    <w:p w14:paraId="6345B4CB">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2.1、质疑书应当包括以下主要内容：被质疑项目名称、项目编号、标段、招标公告/成交公告发布时间、质疑事项、证据材料、法律依据（具体条款）、质疑人有效联系方式等。</w:t>
      </w:r>
    </w:p>
    <w:p w14:paraId="0224B38E">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2.2、质疑书应当由法定代表人签字并加盖公章，公章不得以合同章或其他印章代替。质疑人可以委托代理人办理质疑事项，代理人办理质疑事项时，除提交质疑书外，还应当提交质疑人的授权委托书及代理人的有效身份证明，授权委托书应当载明委托代理的具体权限和事项。</w:t>
      </w:r>
    </w:p>
    <w:p w14:paraId="2151B6F4">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3.有下列情形之一的，属于无效质疑，采购代理机构和采购人不予受理：</w:t>
      </w:r>
    </w:p>
    <w:p w14:paraId="4FC80590">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（1）质疑人不是参与本次政府采购项目的供应商/供应商或潜在供应商；</w:t>
      </w:r>
    </w:p>
    <w:p w14:paraId="3248C665">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（2）质疑人与质疑事项不存在利害关系的；</w:t>
      </w:r>
    </w:p>
    <w:p w14:paraId="4AD3EAC7">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（3）未在法定期限内提出质疑的；</w:t>
      </w:r>
    </w:p>
    <w:p w14:paraId="686EE524">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（4）质疑未以书面形式提出，或质疑书主要内容构成不完整的；</w:t>
      </w:r>
    </w:p>
    <w:p w14:paraId="21693764">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（5）质疑书没有合法有效的签字、盖章或授权的；</w:t>
      </w:r>
    </w:p>
    <w:p w14:paraId="5A812797">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（6）以非法手段取得证据、材料的；</w:t>
      </w:r>
    </w:p>
    <w:p w14:paraId="26C54EDD">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（7）质疑答复后，同一质疑人就同一事项再次提出质疑的；</w:t>
      </w:r>
    </w:p>
    <w:p w14:paraId="6C141FF3">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（8）不符合法律、法规、规章和监管机构规定的其他条件的。</w:t>
      </w:r>
    </w:p>
    <w:p w14:paraId="37DA9FF2">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4、采购代理机构或采购人将在收到书面质疑后7个工作日内做出答复，并以书面形式通知质疑人和其他有关投标供应商。</w:t>
      </w:r>
    </w:p>
    <w:p w14:paraId="498C1109">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质疑人对采购代理机构或采购人的答复不满意，以及采购代理机构或采购人未在规定时间内做出答复的，可以在答复期满后15个工作日内按照《政府采购质疑和投诉办法》（财政部94号令）相关规定向政府采购监管机构提出投诉。供应商投诉的事项不得超出已质疑事项的范围。</w:t>
      </w:r>
    </w:p>
    <w:p w14:paraId="6D46E593">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6、对捏造事实、提供虚假材料进行质疑、投诉的行为予以严肃处理：</w:t>
      </w:r>
    </w:p>
    <w:p w14:paraId="1F183D55">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4706717D">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7、对捏造事实诬告陷害他人、诽谤他人的法律适用：</w:t>
      </w:r>
    </w:p>
    <w:p w14:paraId="09CCDBE2">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《中华人民共和国刑法》第243条【诬告陷害罪】捏造事实诬告陷害他人，意图使他人受刑事追究，情节严重的，处三年以下有期徒刑、拘役或者管制；造成严重后果的，处三年以上十年以下有期徒刑。</w:t>
      </w:r>
    </w:p>
    <w:p w14:paraId="53490CA0">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《中华人民共和国刑法》第246条【侮辱罪、诽谤罪】以暴力或者其他方法公然侮辱他人或者捏造事实诽谤他人，情节严重的，处三年以下有期徒刑、拘役、管制或者剥夺政治权利。</w:t>
      </w:r>
    </w:p>
    <w:p w14:paraId="61421AB9">
      <w:pPr>
        <w:autoSpaceDE w:val="0"/>
        <w:autoSpaceDN w:val="0"/>
        <w:adjustRightInd w:val="0"/>
        <w:snapToGrid w:val="0"/>
        <w:spacing w:line="360" w:lineRule="auto"/>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十一、合同</w:t>
      </w:r>
    </w:p>
    <w:p w14:paraId="69CD2A28">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自成交通知书发出后</w:t>
      </w:r>
      <w:r>
        <w:rPr>
          <w:rFonts w:hint="eastAsia" w:ascii="宋体" w:hAnsi="宋体" w:eastAsia="宋体" w:cs="宋体"/>
          <w:color w:val="auto"/>
          <w:sz w:val="24"/>
          <w:szCs w:val="24"/>
          <w:highlight w:val="none"/>
          <w:lang w:val="en-US" w:eastAsia="zh-CN"/>
        </w:rPr>
        <w:t>二十五日</w:t>
      </w:r>
      <w:r>
        <w:rPr>
          <w:rFonts w:hint="eastAsia" w:ascii="宋体" w:hAnsi="宋体" w:eastAsia="宋体" w:cs="宋体"/>
          <w:color w:val="auto"/>
          <w:sz w:val="24"/>
          <w:szCs w:val="24"/>
          <w:highlight w:val="none"/>
          <w:lang w:val="zh-CN"/>
        </w:rPr>
        <w:t>内，按照谈判文件和成交供应商响应文件的约定</w:t>
      </w:r>
      <w:r>
        <w:rPr>
          <w:rFonts w:hint="eastAsia" w:ascii="宋体" w:hAnsi="宋体" w:eastAsia="宋体" w:cs="宋体"/>
          <w:color w:val="auto"/>
          <w:sz w:val="24"/>
          <w:szCs w:val="24"/>
          <w:highlight w:val="none"/>
        </w:rPr>
        <w:t>与采购人</w:t>
      </w:r>
      <w:r>
        <w:rPr>
          <w:rFonts w:hint="eastAsia" w:ascii="宋体" w:hAnsi="宋体" w:eastAsia="宋体" w:cs="宋体"/>
          <w:color w:val="auto"/>
          <w:sz w:val="24"/>
          <w:szCs w:val="24"/>
          <w:highlight w:val="none"/>
          <w:lang w:val="zh-CN"/>
        </w:rPr>
        <w:t>商谈合同条款，并签订合同。谈判文件及成交供应商的响应文件均作为合同的组成部分。</w:t>
      </w:r>
    </w:p>
    <w:p w14:paraId="7D325ECD">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确定成交单位后，成交供应商因自身原因未按程序签订合同，采购人将取消其成交资格，同时报请监督机构备案，没收其保证金。在此情况下，采购人可按评审结果顺序将合同授予下一成交候选人或重新采购。</w:t>
      </w:r>
    </w:p>
    <w:p w14:paraId="394CC733">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8"/>
          <w:szCs w:val="28"/>
          <w:highlight w:val="none"/>
          <w:lang w:val="zh-CN"/>
        </w:rPr>
      </w:pPr>
      <w:r>
        <w:rPr>
          <w:rFonts w:hint="eastAsia" w:ascii="宋体" w:hAnsi="宋体" w:eastAsia="宋体" w:cs="宋体"/>
          <w:color w:val="auto"/>
          <w:sz w:val="24"/>
          <w:szCs w:val="24"/>
          <w:highlight w:val="none"/>
          <w:lang w:val="zh-CN"/>
        </w:rPr>
        <w:t>3、成交供应商签订合同后，采购代理机构办理保证金退付手续。</w:t>
      </w:r>
    </w:p>
    <w:p w14:paraId="0F262610">
      <w:pPr>
        <w:autoSpaceDE w:val="0"/>
        <w:autoSpaceDN w:val="0"/>
        <w:adjustRightInd w:val="0"/>
        <w:snapToGrid w:val="0"/>
        <w:spacing w:line="360" w:lineRule="auto"/>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十二、代理服务费</w:t>
      </w:r>
    </w:p>
    <w:p w14:paraId="22BDB97C">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1、参照国家计委颁布的&lt;&lt;招标代理服务收费管理暂行办法&gt;&gt;（计价格［2002］1980号）及发改价格[2011]534号文件的规定标准收取代理报酬。</w:t>
      </w:r>
    </w:p>
    <w:p w14:paraId="7510CCE9">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2、代理服务费：中标价*1.2%</w:t>
      </w:r>
    </w:p>
    <w:p w14:paraId="28F822E8">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3、中标单位在领取中标通知书时，将代理服务费一次付清。</w:t>
      </w:r>
    </w:p>
    <w:p w14:paraId="1C113CEF">
      <w:pPr>
        <w:autoSpaceDE w:val="0"/>
        <w:autoSpaceDN w:val="0"/>
        <w:adjustRightInd w:val="0"/>
        <w:snapToGrid w:val="0"/>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代理服务费账户缴纳信息：</w:t>
      </w:r>
    </w:p>
    <w:p w14:paraId="3F7657A6">
      <w:pPr>
        <w:autoSpaceDE w:val="0"/>
        <w:autoSpaceDN w:val="0"/>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公司名称：</w:t>
      </w:r>
      <w:r>
        <w:rPr>
          <w:rFonts w:hint="eastAsia" w:ascii="宋体" w:hAnsi="宋体" w:cs="宋体"/>
          <w:b w:val="0"/>
          <w:bCs w:val="0"/>
          <w:color w:val="auto"/>
          <w:sz w:val="24"/>
          <w:szCs w:val="24"/>
          <w:highlight w:val="none"/>
          <w:lang w:val="en-US" w:eastAsia="zh-CN"/>
        </w:rPr>
        <w:t>陕西紫方乔项目管理有限公司</w:t>
      </w:r>
    </w:p>
    <w:p w14:paraId="509FB9E1">
      <w:pPr>
        <w:autoSpaceDE w:val="0"/>
        <w:autoSpaceDN w:val="0"/>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账    号：26112301040008911</w:t>
      </w:r>
    </w:p>
    <w:p w14:paraId="380E2464">
      <w:pPr>
        <w:autoSpaceDE w:val="0"/>
        <w:autoSpaceDN w:val="0"/>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开户银行：中国农业银行股份有限公司西安大兴东路支行</w:t>
      </w:r>
    </w:p>
    <w:p w14:paraId="5AA60487">
      <w:pPr>
        <w:autoSpaceDE w:val="0"/>
        <w:autoSpaceDN w:val="0"/>
        <w:adjustRightInd w:val="0"/>
        <w:snapToGrid w:val="0"/>
        <w:spacing w:line="360" w:lineRule="auto"/>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十三、其他情况说明</w:t>
      </w:r>
    </w:p>
    <w:p w14:paraId="068DFBC8">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谈判截止时间结束后，递交响应文件或者经评审的实质性响应谈判文件的供应商不足三家，采购代理机构应当终止竞争性谈判活动，发布项目终止公告并说明原因，重新开展采购活动。</w:t>
      </w:r>
    </w:p>
    <w:p w14:paraId="5616478D">
      <w:pPr>
        <w:rPr>
          <w:rFonts w:hint="eastAsia" w:ascii="宋体" w:hAnsi="宋体" w:eastAsia="宋体" w:cs="宋体"/>
          <w:b/>
          <w:color w:val="auto"/>
          <w:sz w:val="28"/>
          <w:szCs w:val="28"/>
          <w:highlight w:val="none"/>
        </w:rPr>
      </w:pPr>
      <w:bookmarkStart w:id="14" w:name="_Toc499709873"/>
      <w:r>
        <w:rPr>
          <w:rFonts w:hint="eastAsia" w:ascii="宋体" w:hAnsi="宋体" w:eastAsia="宋体" w:cs="宋体"/>
          <w:b/>
          <w:color w:val="auto"/>
          <w:sz w:val="28"/>
          <w:szCs w:val="28"/>
          <w:highlight w:val="none"/>
        </w:rPr>
        <w:br w:type="page"/>
      </w:r>
    </w:p>
    <w:bookmarkEnd w:id="14"/>
    <w:p w14:paraId="6625A293">
      <w:pPr>
        <w:numPr>
          <w:ilvl w:val="0"/>
          <w:numId w:val="0"/>
        </w:numPr>
        <w:shd w:val="clear"/>
        <w:autoSpaceDE w:val="0"/>
        <w:autoSpaceDN w:val="0"/>
        <w:adjustRightInd w:val="0"/>
        <w:snapToGrid w:val="0"/>
        <w:spacing w:line="312" w:lineRule="auto"/>
        <w:jc w:val="center"/>
        <w:outlineLvl w:val="0"/>
        <w:rPr>
          <w:rFonts w:hint="eastAsia" w:ascii="宋体" w:hAnsi="宋体" w:eastAsia="宋体" w:cs="宋体"/>
          <w:b/>
          <w:color w:val="auto"/>
          <w:sz w:val="32"/>
          <w:szCs w:val="32"/>
          <w:highlight w:val="none"/>
          <w:lang w:val="en-US" w:eastAsia="zh-CN"/>
        </w:rPr>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sectPr>
      </w:pPr>
      <w:bookmarkStart w:id="15" w:name="_Toc26602"/>
      <w:bookmarkStart w:id="16" w:name="_Toc17329"/>
      <w:bookmarkStart w:id="17" w:name="_Toc26166"/>
      <w:bookmarkStart w:id="18" w:name="_Toc17520"/>
      <w:bookmarkStart w:id="19" w:name="_Toc499709875"/>
    </w:p>
    <w:p w14:paraId="1C6C12E1">
      <w:pPr>
        <w:numPr>
          <w:ilvl w:val="0"/>
          <w:numId w:val="0"/>
        </w:numPr>
        <w:shd w:val="clear"/>
        <w:autoSpaceDE w:val="0"/>
        <w:autoSpaceDN w:val="0"/>
        <w:adjustRightInd w:val="0"/>
        <w:snapToGrid w:val="0"/>
        <w:spacing w:line="312" w:lineRule="auto"/>
        <w:jc w:val="center"/>
        <w:outlineLvl w:val="0"/>
        <w:rPr>
          <w:rFonts w:hint="eastAsia" w:ascii="宋体" w:hAnsi="宋体" w:eastAsia="宋体" w:cs="宋体"/>
          <w:color w:val="auto"/>
          <w:sz w:val="22"/>
          <w:szCs w:val="21"/>
          <w:highlight w:val="none"/>
          <w:lang w:val="en-US" w:eastAsia="zh-CN"/>
        </w:rPr>
      </w:pPr>
      <w:r>
        <w:rPr>
          <w:rFonts w:hint="eastAsia" w:ascii="宋体" w:hAnsi="宋体" w:eastAsia="宋体" w:cs="宋体"/>
          <w:b/>
          <w:color w:val="auto"/>
          <w:sz w:val="36"/>
          <w:szCs w:val="36"/>
          <w:highlight w:val="none"/>
          <w:lang w:val="en-US" w:eastAsia="zh-CN"/>
        </w:rPr>
        <w:t>第三章、</w:t>
      </w:r>
      <w:r>
        <w:rPr>
          <w:rFonts w:hint="eastAsia" w:ascii="宋体" w:hAnsi="宋体" w:eastAsia="宋体" w:cs="宋体"/>
          <w:b/>
          <w:color w:val="auto"/>
          <w:sz w:val="36"/>
          <w:szCs w:val="36"/>
          <w:highlight w:val="none"/>
          <w:lang w:val="zh-CN"/>
        </w:rPr>
        <w:t>采购内容及要求</w:t>
      </w:r>
      <w:bookmarkEnd w:id="15"/>
      <w:bookmarkEnd w:id="16"/>
      <w:bookmarkEnd w:id="17"/>
      <w:bookmarkEnd w:id="18"/>
    </w:p>
    <w:tbl>
      <w:tblPr>
        <w:tblStyle w:val="30"/>
        <w:tblW w:w="13440" w:type="dxa"/>
        <w:tblInd w:w="91" w:type="dxa"/>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7"/>
        <w:gridCol w:w="1108"/>
        <w:gridCol w:w="9548"/>
        <w:gridCol w:w="926"/>
        <w:gridCol w:w="821"/>
      </w:tblGrid>
      <w:tr w14:paraId="246C7508">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3440" w:type="dxa"/>
            <w:gridSpan w:val="5"/>
            <w:tcBorders>
              <w:bottom w:val="single" w:color="000000" w:sz="4" w:space="0"/>
              <w:tl2br w:val="nil"/>
              <w:tr2bl w:val="nil"/>
            </w:tcBorders>
            <w:shd w:val="clear" w:color="auto" w:fill="auto"/>
            <w:vAlign w:val="center"/>
          </w:tcPr>
          <w:p w14:paraId="29D490A4">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highlight w:val="none"/>
                <w:u w:val="none"/>
              </w:rPr>
            </w:pPr>
            <w:bookmarkStart w:id="20" w:name="_Toc2872"/>
            <w:bookmarkStart w:id="21" w:name="_Toc458617469"/>
            <w:bookmarkStart w:id="22" w:name="_Toc458617746"/>
            <w:r>
              <w:rPr>
                <w:rFonts w:hint="eastAsia" w:ascii="宋体" w:hAnsi="宋体" w:eastAsia="宋体" w:cs="宋体"/>
                <w:b/>
                <w:bCs/>
                <w:i w:val="0"/>
                <w:iCs w:val="0"/>
                <w:color w:val="auto"/>
                <w:kern w:val="0"/>
                <w:sz w:val="32"/>
                <w:szCs w:val="32"/>
                <w:highlight w:val="none"/>
                <w:u w:val="none"/>
                <w:lang w:val="en-US" w:eastAsia="zh-CN" w:bidi="ar"/>
              </w:rPr>
              <w:t>智慧黑板采购预算清单</w:t>
            </w:r>
          </w:p>
        </w:tc>
      </w:tr>
      <w:tr w14:paraId="0F78C883">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A2249">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序号</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FFBF0">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名称</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A6BE">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参数</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6DA3">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数量</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8A99A">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单位</w:t>
            </w:r>
          </w:p>
        </w:tc>
      </w:tr>
      <w:tr w14:paraId="2B71F3FA">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13DB7F">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D315B7">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智慧黑板</w:t>
            </w:r>
          </w:p>
        </w:tc>
        <w:tc>
          <w:tcPr>
            <w:tcW w:w="95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7E142A">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一、整体设计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1.整机采用平面一体化设计，无推拉式结构及外露连接线，外观简洁。整机尺寸宽度≥4200mm，高度≥1200mm。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2.整机中间主屏及两侧副屏可支持多种媒介（普通粉笔、液体粉笔、水溶性粉笔等）进行板书书写。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3.中央主屏幕显示采用86英寸超高清LED液晶屏，显示比例16:9，屏幕分辨率不低于3840*2160，具备防眩光效果。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w:t>
            </w:r>
            <w:r>
              <w:rPr>
                <w:rFonts w:hint="eastAsia" w:ascii="宋体" w:hAnsi="宋体" w:eastAsia="宋体" w:cs="宋体"/>
                <w:b/>
                <w:bCs/>
                <w:i w:val="0"/>
                <w:iCs w:val="0"/>
                <w:color w:val="auto"/>
                <w:kern w:val="0"/>
                <w:sz w:val="24"/>
                <w:szCs w:val="24"/>
                <w:highlight w:val="none"/>
                <w:u w:val="none"/>
                <w:lang w:val="en-US" w:eastAsia="zh-CN" w:bidi="ar"/>
              </w:rPr>
              <w:t>设备持有有效3C强制认证，</w:t>
            </w:r>
            <w:r>
              <w:rPr>
                <w:rFonts w:hint="eastAsia" w:ascii="宋体" w:hAnsi="宋体" w:eastAsia="宋体" w:cs="宋体"/>
                <w:i w:val="0"/>
                <w:iCs w:val="0"/>
                <w:color w:val="auto"/>
                <w:kern w:val="0"/>
                <w:sz w:val="24"/>
                <w:szCs w:val="24"/>
                <w:highlight w:val="none"/>
                <w:u w:val="none"/>
                <w:lang w:val="en-US" w:eastAsia="zh-CN" w:bidi="ar"/>
              </w:rPr>
              <w:t>同时满足教育行业网络安全、终端设备准入规范，</w:t>
            </w:r>
            <w:r>
              <w:rPr>
                <w:rFonts w:hint="eastAsia" w:ascii="宋体" w:hAnsi="宋体" w:eastAsia="宋体" w:cs="宋体"/>
                <w:b/>
                <w:bCs/>
                <w:i w:val="0"/>
                <w:iCs w:val="0"/>
                <w:color w:val="auto"/>
                <w:kern w:val="0"/>
                <w:sz w:val="24"/>
                <w:szCs w:val="24"/>
                <w:highlight w:val="none"/>
                <w:u w:val="none"/>
                <w:lang w:val="en-US" w:eastAsia="zh-CN" w:bidi="ar"/>
              </w:rPr>
              <w:t>出厂系统底层加密防护，</w:t>
            </w:r>
            <w:r>
              <w:rPr>
                <w:rFonts w:hint="eastAsia" w:ascii="宋体" w:hAnsi="宋体" w:eastAsia="宋体" w:cs="宋体"/>
                <w:i w:val="0"/>
                <w:iCs w:val="0"/>
                <w:color w:val="auto"/>
                <w:kern w:val="0"/>
                <w:sz w:val="24"/>
                <w:szCs w:val="24"/>
                <w:highlight w:val="none"/>
                <w:u w:val="none"/>
                <w:lang w:val="en-US" w:eastAsia="zh-CN" w:bidi="ar"/>
              </w:rPr>
              <w:t>禁止私自刷机、篡改系统固件；</w:t>
            </w:r>
            <w:r>
              <w:rPr>
                <w:rFonts w:hint="eastAsia" w:ascii="宋体" w:hAnsi="宋体" w:eastAsia="宋体" w:cs="宋体"/>
                <w:b/>
                <w:bCs/>
                <w:i w:val="0"/>
                <w:iCs w:val="0"/>
                <w:color w:val="auto"/>
                <w:kern w:val="0"/>
                <w:sz w:val="24"/>
                <w:szCs w:val="24"/>
                <w:highlight w:val="none"/>
                <w:u w:val="none"/>
                <w:lang w:val="en-US" w:eastAsia="zh-CN" w:bidi="ar"/>
              </w:rPr>
              <w:t>全面封禁高危端口</w:t>
            </w:r>
            <w:r>
              <w:rPr>
                <w:rFonts w:hint="eastAsia" w:ascii="宋体" w:hAnsi="宋体" w:eastAsia="宋体" w:cs="宋体"/>
                <w:i w:val="0"/>
                <w:iCs w:val="0"/>
                <w:color w:val="auto"/>
                <w:kern w:val="0"/>
                <w:sz w:val="24"/>
                <w:szCs w:val="24"/>
                <w:highlight w:val="none"/>
                <w:u w:val="none"/>
                <w:lang w:val="en-US" w:eastAsia="zh-CN" w:bidi="ar"/>
              </w:rPr>
              <w:t>、无用外网访问端口，限制非法协议外联；关闭多余系统服务、禁用匿名访问权限。系统操作日志、登录日志、外设接入日志、网络访问日志集中留存，</w:t>
            </w:r>
            <w:r>
              <w:rPr>
                <w:rFonts w:hint="eastAsia" w:ascii="宋体" w:hAnsi="宋体" w:eastAsia="宋体" w:cs="宋体"/>
                <w:b/>
                <w:bCs/>
                <w:i w:val="0"/>
                <w:iCs w:val="0"/>
                <w:color w:val="auto"/>
                <w:kern w:val="0"/>
                <w:sz w:val="24"/>
                <w:szCs w:val="24"/>
                <w:highlight w:val="none"/>
                <w:u w:val="none"/>
                <w:lang w:val="en-US" w:eastAsia="zh-CN" w:bidi="ar"/>
              </w:rPr>
              <w:t>存储周期不少于180天；日志不可篡改、不可手动删除，师生身份信息、人脸、学籍、课堂影音、作业台账等敏感数据本地加密存储；</w:t>
            </w:r>
            <w:r>
              <w:rPr>
                <w:rFonts w:hint="eastAsia" w:ascii="宋体" w:hAnsi="宋体" w:eastAsia="宋体" w:cs="宋体"/>
                <w:i w:val="0"/>
                <w:iCs w:val="0"/>
                <w:color w:val="auto"/>
                <w:kern w:val="0"/>
                <w:sz w:val="24"/>
                <w:szCs w:val="24"/>
                <w:highlight w:val="none"/>
                <w:u w:val="none"/>
                <w:lang w:val="en-US" w:eastAsia="zh-CN" w:bidi="ar"/>
              </w:rPr>
              <w:t>数据传输全程加密，杜绝明文传输；</w:t>
            </w:r>
            <w:r>
              <w:rPr>
                <w:rFonts w:hint="eastAsia" w:ascii="宋体" w:hAnsi="宋体" w:eastAsia="宋体" w:cs="宋体"/>
                <w:b/>
                <w:bCs/>
                <w:i w:val="0"/>
                <w:iCs w:val="0"/>
                <w:color w:val="auto"/>
                <w:kern w:val="0"/>
                <w:sz w:val="24"/>
                <w:szCs w:val="24"/>
                <w:highlight w:val="none"/>
                <w:u w:val="none"/>
                <w:lang w:val="en-US" w:eastAsia="zh-CN" w:bidi="ar"/>
              </w:rPr>
              <w:t>云端数据实行分级存储</w:t>
            </w:r>
            <w:r>
              <w:rPr>
                <w:rFonts w:hint="eastAsia" w:ascii="宋体" w:hAnsi="宋体" w:eastAsia="宋体" w:cs="宋体"/>
                <w:i w:val="0"/>
                <w:iCs w:val="0"/>
                <w:color w:val="auto"/>
                <w:kern w:val="0"/>
                <w:sz w:val="24"/>
                <w:szCs w:val="24"/>
                <w:highlight w:val="none"/>
                <w:u w:val="none"/>
                <w:lang w:val="en-US" w:eastAsia="zh-CN" w:bidi="ar"/>
              </w:rPr>
              <w:t>、访问权限隔离，设置下载权限，防范数据窃取、篡改、外泄。限制非法终端串访，建立设备异常告警、故障处置流程。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二、整机系统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1.采用红外或电容触控方式，支持≥50点触控。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2.★整机设备内置扬声器，最大功率≥80W。需提供相应的功能证明材料（包括但不限于测试报告、官网和功能截图）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3.★整机内置智能体AI图像生成功能 ，支持通过语音与大屏开展职业主题对话交互。大屏可同步生成对应职业形象，并将其转化为对话智能体实现双向对话交流。需提供相应的功能证明材料（包括但不限于测试报告、官网和功能截图）。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4.★整机内置非独立摄像头，采用一体化集成设计，可拍摄≥</w:t>
            </w:r>
            <w:r>
              <w:rPr>
                <w:rStyle w:val="122"/>
                <w:color w:val="auto"/>
                <w:sz w:val="24"/>
                <w:szCs w:val="24"/>
                <w:highlight w:val="none"/>
                <w:lang w:val="en-US" w:eastAsia="zh-CN" w:bidi="ar"/>
              </w:rPr>
              <w:t>4500</w:t>
            </w:r>
            <w:r>
              <w:rPr>
                <w:rFonts w:hint="eastAsia" w:ascii="宋体" w:hAnsi="宋体" w:eastAsia="宋体" w:cs="宋体"/>
                <w:i w:val="0"/>
                <w:iCs w:val="0"/>
                <w:color w:val="auto"/>
                <w:kern w:val="0"/>
                <w:sz w:val="24"/>
                <w:szCs w:val="24"/>
                <w:highlight w:val="none"/>
                <w:u w:val="none"/>
                <w:lang w:val="en-US" w:eastAsia="zh-CN" w:bidi="ar"/>
              </w:rPr>
              <w:t>万像素数的照片。需提供相应的功能证明材料（包括但不限于测试报告、官网和功能截图）。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三、整机功能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1.整机具有减滤蓝光功能，可通过物理功能按键一键启用护眼模式，让师生视力健康得到保障。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2.设备支持通过物理按键一键启动录屏功能， 可将屏幕中显示的课件、音频内容与老师人声同时录制。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四、内置系统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eastAsia="宋体" w:cs="宋体"/>
                <w:b/>
                <w:bCs/>
                <w:i w:val="0"/>
                <w:iCs w:val="0"/>
                <w:color w:val="auto"/>
                <w:kern w:val="0"/>
                <w:sz w:val="24"/>
                <w:szCs w:val="24"/>
                <w:highlight w:val="none"/>
                <w:u w:val="none"/>
                <w:lang w:val="en-US" w:eastAsia="zh-CN" w:bidi="ar"/>
              </w:rPr>
              <w:t>.整机嵌入式系统</w:t>
            </w:r>
            <w:r>
              <w:rPr>
                <w:rFonts w:hint="eastAsia" w:ascii="宋体" w:hAnsi="宋体" w:eastAsia="宋体" w:cs="宋体"/>
                <w:i w:val="0"/>
                <w:iCs w:val="0"/>
                <w:color w:val="auto"/>
                <w:kern w:val="0"/>
                <w:sz w:val="24"/>
                <w:szCs w:val="24"/>
                <w:highlight w:val="none"/>
                <w:u w:val="none"/>
                <w:lang w:val="en-US" w:eastAsia="zh-CN" w:bidi="ar"/>
              </w:rPr>
              <w:t>，内存≥2GB，存储空间≥32GB。提供生产厂家出具的、相应的功能证明材料（包括但不限于测试报告、官网和功能截图等）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2.整机CPU芯片，WIFI与蓝牙芯片、摄像头图像处理芯片、均采用信创安全可靠的自主芯片。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六、电脑配置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1.采用抽拉内置式模块化电脑，可实现无单独接线的插拔，按压式卡扣方式，无需工具即可快速拆卸电脑模块。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bCs/>
                <w:i w:val="0"/>
                <w:iCs w:val="0"/>
                <w:color w:val="auto"/>
                <w:kern w:val="0"/>
                <w:sz w:val="24"/>
                <w:szCs w:val="24"/>
                <w:highlight w:val="none"/>
                <w:u w:val="none"/>
                <w:lang w:val="en-US" w:eastAsia="zh-CN" w:bidi="ar"/>
              </w:rPr>
              <w:t>CPU 采用飞腾、海光、兆芯等自主可控芯片</w:t>
            </w:r>
            <w:r>
              <w:rPr>
                <w:rFonts w:hint="eastAsia" w:ascii="宋体" w:hAnsi="宋体" w:eastAsia="宋体" w:cs="宋体"/>
                <w:i w:val="0"/>
                <w:iCs w:val="0"/>
                <w:color w:val="auto"/>
                <w:kern w:val="0"/>
                <w:sz w:val="24"/>
                <w:szCs w:val="24"/>
                <w:highlight w:val="none"/>
                <w:u w:val="none"/>
                <w:lang w:val="en-US" w:eastAsia="zh-CN" w:bidi="ar"/>
              </w:rPr>
              <w:t>，</w:t>
            </w:r>
            <w:r>
              <w:rPr>
                <w:rStyle w:val="122"/>
                <w:color w:val="auto"/>
                <w:sz w:val="24"/>
                <w:szCs w:val="24"/>
                <w:highlight w:val="none"/>
                <w:lang w:val="en-US" w:eastAsia="zh-CN" w:bidi="ar"/>
              </w:rPr>
              <w:t>≥8核16线程，</w:t>
            </w:r>
            <w:r>
              <w:rPr>
                <w:rFonts w:hint="eastAsia" w:ascii="宋体" w:hAnsi="宋体" w:eastAsia="宋体" w:cs="宋体"/>
                <w:i w:val="0"/>
                <w:iCs w:val="0"/>
                <w:color w:val="auto"/>
                <w:kern w:val="0"/>
                <w:sz w:val="24"/>
                <w:szCs w:val="24"/>
                <w:highlight w:val="none"/>
                <w:u w:val="none"/>
                <w:lang w:val="en-US" w:eastAsia="zh-CN" w:bidi="ar"/>
              </w:rPr>
              <w:t>主频</w:t>
            </w:r>
            <w:r>
              <w:rPr>
                <w:rStyle w:val="122"/>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2.8GHz及以上；内存：</w:t>
            </w:r>
            <w:r>
              <w:rPr>
                <w:rStyle w:val="122"/>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8 GB DDR4笔记本内存。硬盘：</w:t>
            </w:r>
            <w:r>
              <w:rPr>
                <w:rStyle w:val="122"/>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256 GB SSD固态硬盘或以上配置。显卡：</w:t>
            </w:r>
            <w:r>
              <w:rPr>
                <w:rStyle w:val="122"/>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2GB及以上独立显卡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w:t>
            </w:r>
            <w:r>
              <w:rPr>
                <w:rFonts w:hint="eastAsia" w:ascii="宋体" w:hAnsi="宋体" w:eastAsia="宋体" w:cs="宋体"/>
                <w:b/>
                <w:bCs/>
                <w:i w:val="0"/>
                <w:iCs w:val="0"/>
                <w:color w:val="auto"/>
                <w:kern w:val="0"/>
                <w:sz w:val="24"/>
                <w:szCs w:val="24"/>
                <w:highlight w:val="none"/>
                <w:u w:val="none"/>
                <w:lang w:val="en-US" w:eastAsia="zh-CN" w:bidi="ar"/>
              </w:rPr>
              <w:t>预装统信或麒麟等正版国产操作系统。</w:t>
            </w:r>
          </w:p>
        </w:tc>
        <w:tc>
          <w:tcPr>
            <w:tcW w:w="9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92049E">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8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2F80E2">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4C32FC7F">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2B082">
            <w:pPr>
              <w:spacing w:line="360" w:lineRule="auto"/>
              <w:jc w:val="center"/>
              <w:rPr>
                <w:rFonts w:hint="eastAsia" w:ascii="宋体" w:hAnsi="宋体" w:eastAsia="宋体" w:cs="宋体"/>
                <w:i w:val="0"/>
                <w:iCs w:val="0"/>
                <w:color w:val="auto"/>
                <w:sz w:val="24"/>
                <w:szCs w:val="24"/>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CD359">
            <w:pPr>
              <w:spacing w:line="360" w:lineRule="auto"/>
              <w:jc w:val="center"/>
              <w:rPr>
                <w:rFonts w:hint="eastAsia" w:ascii="宋体" w:hAnsi="宋体" w:eastAsia="宋体" w:cs="宋体"/>
                <w:i w:val="0"/>
                <w:iCs w:val="0"/>
                <w:color w:val="auto"/>
                <w:sz w:val="24"/>
                <w:szCs w:val="24"/>
                <w:highlight w:val="none"/>
                <w:u w:val="none"/>
              </w:rPr>
            </w:pPr>
          </w:p>
        </w:tc>
        <w:tc>
          <w:tcPr>
            <w:tcW w:w="95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C48CD">
            <w:pPr>
              <w:spacing w:line="360" w:lineRule="auto"/>
              <w:jc w:val="left"/>
              <w:rPr>
                <w:rFonts w:hint="eastAsia" w:ascii="宋体" w:hAnsi="宋体" w:eastAsia="宋体" w:cs="宋体"/>
                <w:i w:val="0"/>
                <w:iCs w:val="0"/>
                <w:color w:val="auto"/>
                <w:sz w:val="24"/>
                <w:szCs w:val="24"/>
                <w:highlight w:val="none"/>
                <w:u w:val="none"/>
              </w:rPr>
            </w:pPr>
          </w:p>
        </w:tc>
        <w:tc>
          <w:tcPr>
            <w:tcW w:w="9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B5B6E">
            <w:pPr>
              <w:spacing w:line="360" w:lineRule="auto"/>
              <w:jc w:val="center"/>
              <w:rPr>
                <w:rFonts w:hint="eastAsia" w:ascii="宋体" w:hAnsi="宋体" w:eastAsia="宋体" w:cs="宋体"/>
                <w:i w:val="0"/>
                <w:iCs w:val="0"/>
                <w:color w:val="auto"/>
                <w:sz w:val="24"/>
                <w:szCs w:val="24"/>
                <w:highlight w:val="none"/>
                <w:u w:val="none"/>
              </w:rPr>
            </w:pPr>
          </w:p>
        </w:tc>
        <w:tc>
          <w:tcPr>
            <w:tcW w:w="8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EF828">
            <w:pPr>
              <w:spacing w:line="360" w:lineRule="auto"/>
              <w:jc w:val="center"/>
              <w:rPr>
                <w:rFonts w:hint="eastAsia" w:ascii="宋体" w:hAnsi="宋体" w:eastAsia="宋体" w:cs="宋体"/>
                <w:i w:val="0"/>
                <w:iCs w:val="0"/>
                <w:color w:val="auto"/>
                <w:sz w:val="24"/>
                <w:szCs w:val="24"/>
                <w:highlight w:val="none"/>
                <w:u w:val="none"/>
              </w:rPr>
            </w:pPr>
          </w:p>
        </w:tc>
      </w:tr>
      <w:tr w14:paraId="26B3C585">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9B30D">
            <w:pPr>
              <w:spacing w:line="360" w:lineRule="auto"/>
              <w:jc w:val="center"/>
              <w:rPr>
                <w:rFonts w:hint="eastAsia" w:ascii="宋体" w:hAnsi="宋体" w:eastAsia="宋体" w:cs="宋体"/>
                <w:i w:val="0"/>
                <w:iCs w:val="0"/>
                <w:color w:val="auto"/>
                <w:sz w:val="24"/>
                <w:szCs w:val="24"/>
                <w:highlight w:val="none"/>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D6FBA">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备授课软件</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A8AAD">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1、备授课一体化，具有备课模式及授课模式，且操作界面根据备课和授课使用场景不同而区别设计，符合用户使用需求。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电子白板软件提供至少三种登录方式，所有应用模块的入口均在统一界面上，包括教师云空间、课件资源库、云直播课堂、知识胶囊录制，校本资源库等功能。各级菜单功能按钮和图标的各级菜单均配备明确标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3、支持用户在软件中打开pptx格式文件，且用户可在软件中自由编辑原文件中的图片、文字、表格等元素，并支持修改原文件中的动画。老师利用软件互动功能在原有PPT基础上修改课件。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4、文本框：支持文本输入并可快速设置字体、大小、颜色、粗体、斜体、下划线、上角标、下角标、项目符号，方便指数、化学式等复杂文本的输入。可对文本的对齐、缩进、行高等进行设置。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5、多媒体导入：支持导入图片、音视频等多媒体文件供备课使用，兼容以下格式：rm\rmvb\wmv\avi\mp4\3gp\mkv\flv\mp3\wav\wma\ogg\aac\png\bmp\jpg\jpeg\gif</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8556C">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0AC28">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r w14:paraId="55BD404B">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62DD0">
            <w:pPr>
              <w:spacing w:line="360" w:lineRule="auto"/>
              <w:jc w:val="center"/>
              <w:rPr>
                <w:rFonts w:hint="eastAsia" w:ascii="宋体" w:hAnsi="宋体" w:eastAsia="宋体" w:cs="宋体"/>
                <w:i w:val="0"/>
                <w:iCs w:val="0"/>
                <w:color w:val="auto"/>
                <w:sz w:val="24"/>
                <w:szCs w:val="24"/>
                <w:highlight w:val="none"/>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ACCC0">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课程生成平台</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A2CF">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1.课件目标生成：支持输入课件主题，能够检索与创作主题相关的专业知识，并生成对应的课件目标。生成过程支持深度思考模式。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2.课件目标编辑：支持添加、删除、修改教学目标，支持手动编辑输入；支持通过人工智能把教学目标生成对应的教学大纲。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3.教学大纲生成：支持根据已明确的课件目标，以思维导图形式生成至少三个层级主题的教学大纲，教学大纲内容可根据教学设计自动匹配课堂活动、思维导图和学科工具等互动工具。</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3AEA">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C3A9">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r w14:paraId="7CBC59DC">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9216D">
            <w:pPr>
              <w:spacing w:line="360" w:lineRule="auto"/>
              <w:jc w:val="center"/>
              <w:rPr>
                <w:rFonts w:hint="eastAsia" w:ascii="宋体" w:hAnsi="宋体" w:eastAsia="宋体" w:cs="宋体"/>
                <w:i w:val="0"/>
                <w:iCs w:val="0"/>
                <w:color w:val="auto"/>
                <w:sz w:val="24"/>
                <w:szCs w:val="24"/>
                <w:highlight w:val="none"/>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46736">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育人平台</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33292">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基础功能：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1、支持通过多种方式登录教师个人账号。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2、软件内可直接切换账户类型，无需安装多个APP应用或退出账号重新登录。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学生点评：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1、支持按学生或小组的首字母、总分、表扬分数、待改进分数等维度进行排序，方便老师快速找到需要评价的学生或小组。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2、提供教学评价功能，教师可自由创建多个学生小组，支持对单个小组成员进行换组调整。同时提供快速随机分组功能，可快速将班级学生按照教师需求的组别数量进行随机分组。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家校互通：</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1、支持教师与其他教师及家长进行文字、语音、图片交流，且教师可设置免打扰时间段，非工作时间内消息不会发生提醒。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2、无需上传任何文件，按模板格式批量填写上传考试成绩，可自动生成班级成绩单，包括学生姓名、学生总分，并可查看每个学生的每科得分情况。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3、支持教师向其他教师或家长发送通知，支持设置定时发送时间，通知支持超过200字的文本、图片、语音、视频和外部网页链接等形式。</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3FAE">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46CA1">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r w14:paraId="5F931B45">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0DD9D">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FECEA">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设备集中控制系统</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6A624">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教学设备运维管理平台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1、无需本地额外部署服务器等设备，即可支持对教学信息化设备运行数据的监测。支持在信创等多种操作系统通过网页浏览器登录操作。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2、提供多种身份识别方式，支持通过账号登录、手机扫码登录等。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3、系统支持多类型设备接入，集中运维。包含交互智能平板、交互智能录播、班牌、显示屏、学生平板设备。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在设备上绑定学校专属代码及设备基础信息，即可在管理系统进行远程管理及控制。支持高级管理员单个或批量添加普通管理员，并灵活分配功能/设备权限；支持高级管理员修改普通管理员的权限，权限支持按系统功能模块、按设备分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5、支持并行管理多台终端，可实时展示不少于20台设备的使用状态以及设备运行画面。支持切换大图模式/列表模式，方便管理者根据实际管理需要选择管理模式。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受控端软件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1、采用一校一码的认证机制，为学校提供专属识别码，通过学校代码进行设备与管理平台之间的关联，保证管理的私密和安全。支持单台设备关联学校代码后，自动发现并关联同网段下所有设备。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2、支持查看设备软件版本号、设备ID、联网状态，便于排查设备问题。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3、支持查看设备基本信息，包括系统名称、CPU、内存、硬盘、MCU、TV、触摸框、显卡、屏幕、摄像头、网卡等。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4、支持创设系统还原点，实现磁盘级的系统还原保护，可根据教学需要自由选择磁盘分区设立还原点、取消还原点。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5、支持对外接移动存储设备进行病毒检查，针对病毒文件进行杀毒处理，确保教学安全。支持恢复或删除近7日查杀的病毒文件。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6、支持设备辅助管理软件自我保护，用户无法通过传统方法（系统删除或者关闭程序）来终止该软件的运行，从而保护管理员可有效管控设备。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7、支持对系统盘进行垃圾清理、大文件迁移，释放系统盘空间占用，提升设备运行速度。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8、支持手动拦截、截图拦截、超级拦截，保证教学过程中无干扰。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9、支持主动清理占用设备资源过高的应用进程，释放设备占用资源，保证设备正常运行。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10、收纳显示教师教学常用的教学资源和教学应用入口，方便教师快速授课，支持最小化模式，不影响授课界面内容展示。</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3B77">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8DAE2">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r w14:paraId="36E28478">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BD975">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C22DB">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语音智能笔</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4E6C">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1.外观：笔身造型采用圆润一体化笔型设计，表面采用手感漆工艺便于握持；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2.笔身配置不少于五个按键，具备上下翻页，智能语音，远程聚光灯/放大，书写颜色切换，兼顾触摸书写以及远程操控的握持姿态；</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1A903">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C0C87">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r w14:paraId="0EB47F29">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2209">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3EEA8">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视频展台</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4B91C">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1.采用开合式托板，展开后托板尺寸≥A4面积。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2.采用800W像素自动对焦摄像头，可拍摄A4画幅，采用USB高速接口，单根USB线实现供电、高清数据传输需求。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3.展台按键采用电容式触摸按键，可实现一键启动展台画面、画面放大、画面缩小、画面旋转、拍照截图等功能，同时也支持在一体机或电脑上进行同样的操作。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4.支持二维码扫码功能：打开扫一扫功能后，将书本上的二维码放入扫描框内即可自动扫描，并进入系统浏览器获取二维码的链接内容，帮助老师快速获取电子教学资源。</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8601">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A68F7">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r w14:paraId="3A85434F">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4B4F">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9F261">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独立式算力模块</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40296">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1.整机接口非外接拓展，不少于2路千兆以太网交换接口，一路连接外网（学校网络），一路连接多媒体教学设备（一体机/智慧黑板）；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2.整机内置网卡，有线上网功能；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6.整机内置独立网络交换机，满足外接的多媒体教学设备，实现与算力模块单元之间通信；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7.整机处理器采用信创等安全可靠的内核不低于8核，主频≥2.3GHz；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8.整机支持国产系统；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9.整机采用国产算力芯片，支持JPEG图片编解码：1080P@60fps，不低于32768*32768。</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10.整机存储器支持硬件加密功能，既不影响硬盘读写性能又保障用户数据安全，每一块存储器密钥均根据特定算法生成，和设备一一绑定；</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CBCE">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BE4C1">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5266037B">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FE1A">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1849">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教师摄像机</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AAEFC">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1.整机采用一体化设计，内置4k摄像头；整机摄像头水平视场角≥40°，对角线视场角≥49°；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2.整机摄像头传感器有效像素≥5000万 。整机摄像头支持4K超高清影像输出。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3.可提供3840×2160图像编码输出，同时向下兼容 1920×1080、1280×720分辨率；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4.整机可同时提供2路编码输出，1路支持1920x1080分辨率的课堂实录画面，帧率30fps；1路1920x1080分辨率板书画面，帧率可选1-20帧；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5.整机内置视频处理器采用四核处理器，≥512MB系统内存、≥128MB存储空间。</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E87C5">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80B5">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2EFCDD1C">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B1A5F">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B48A4">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学生摄像机</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FF11D">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1.整机采用一体化设计，内置五个摄像头和8阵列麦克风；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2.整机具备≥2路RJ45接口；≥1路Type-C接口；≥1路DC 12V电源输入接口；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3.整机RJ45接口支持POE功能，≥3级POE功能阵列麦克风级联；</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76EBD">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08E53">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0816BA25">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2E4BB">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21773">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拾音麦克风</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2E509">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1.产品采用一体化设计，内置8个传感器单元，组成线阵列麦克风。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2.产品内置阵列麦克风，360°全向拾音，麦克风清晰最大拾音距离≥10m；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3.产品音频处理采用4核国产音频处理芯片；</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ADC8">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DBC0">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r>
      <w:tr w14:paraId="60C08421">
        <w:tblPrEx>
          <w:tblBorders>
            <w:top w:val="none" w:color="auto" w:sz="0" w:space="0"/>
            <w:left w:val="none" w:color="auto" w:sz="0" w:space="0"/>
            <w:bottom w:val="single" w:color="000000"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FBE3">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C278F">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课堂智能反馈系统</w:t>
            </w:r>
          </w:p>
        </w:tc>
        <w:tc>
          <w:tcPr>
            <w:tcW w:w="9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FBA5B">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1.系统支持计算本节课教师和学生的行为变化，以折线图的形式呈现。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2.系统会根据本节课教师提问-学生回答-教师评价的整体逻辑，抽取本节课的高光时刻，形成视频片段，并且伴有AI分析，明确这个片段中教学亮点。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系统将从课堂艺术、学习体验、合作探究、整体发展、目标达成、评价反馈、思维激发、课堂调控等八个维度，计算出整体的教研指数，并根据课堂中实际获得指数值，与全国均值对比，明确本节课的优劣点。同时支持分析建议，帮助老师更好理解课程当前的情况以及接下来改进的方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4.系统自动读取学校的评课表，并且依据评课表的维度进行分析。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5.系统支持中英文页面切换，当切换成英文界面的时候，系统页面、AI助手，AI分析均以英文模式对话或者显示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6.同时支持在2D和3D课堂孪生界面中，基于学生上台次数、举手次数、问答次数计算学生活跃程度。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7.同时支持在2D和3D课堂孪生界面中，支持点击课堂活跃热力图中的学生头像，查看该学生的师生互动视频片段。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8.同时支持在2D和3D课堂孪生界面中，支持在地面上显示教师的巡堂轨迹，颜色越深代表停留时间越长；支持教师巡堂轨迹回放。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9.系统自动统计教师讲授、师生问答、学生练习、学生诵读、学生观察、学生记录、学生讨论、学生展示、学生实验、自主学习等不同维度的时间占比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系统支持将报告下载至本地，报告中包含基础数据、AI建议、教学时间分配、PTA模型、问答模型、提问类型、弗兰德斯编码图、S-T/Rt-Ch教学分析图、提问数据统计、课程总体分析、课堂活跃情况、AI课堂总览、学生互动数据、学习行为分布、学生应答时长、教师总体数据、素养课堂分析、师生互动分析、提问列表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11.系统支持数据进行对比，实现同课异构分析，支持课堂教学质量，以及基础数据两种形式进行比较。。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12.系统支持按照周期性统计，分析老师教学能力变化情况。</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68F8">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78D2E">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r>
    </w:tbl>
    <w:p w14:paraId="42720931">
      <w:pPr>
        <w:spacing w:line="480" w:lineRule="auto"/>
        <w:rPr>
          <w:rFonts w:hint="eastAsia" w:ascii="宋体" w:hAnsi="宋体" w:cs="宋体"/>
          <w:b/>
          <w:bCs/>
          <w:kern w:val="2"/>
          <w:sz w:val="28"/>
          <w:szCs w:val="28"/>
          <w:highlight w:val="none"/>
          <w:lang w:val="en-US" w:eastAsia="zh-CN" w:bidi="ar-SA"/>
        </w:rPr>
      </w:pPr>
    </w:p>
    <w:p w14:paraId="0BECB8FC">
      <w:pPr>
        <w:spacing w:line="480" w:lineRule="auto"/>
        <w:rPr>
          <w:rFonts w:hint="default" w:ascii="宋体" w:hAnsi="宋体" w:eastAsia="宋体" w:cs="宋体"/>
          <w:b/>
          <w:bCs/>
          <w:kern w:val="2"/>
          <w:sz w:val="28"/>
          <w:szCs w:val="28"/>
          <w:highlight w:val="none"/>
          <w:lang w:val="en-US" w:eastAsia="zh-CN" w:bidi="ar-SA"/>
        </w:rPr>
      </w:pPr>
      <w:r>
        <w:rPr>
          <w:rFonts w:hint="eastAsia" w:ascii="宋体" w:hAnsi="宋体" w:cs="宋体"/>
          <w:b/>
          <w:bCs/>
          <w:kern w:val="2"/>
          <w:sz w:val="28"/>
          <w:szCs w:val="28"/>
          <w:highlight w:val="none"/>
          <w:lang w:val="en-US" w:eastAsia="zh-CN" w:bidi="ar-SA"/>
        </w:rPr>
        <w:t>1、智慧黑板未核心产品。</w:t>
      </w:r>
    </w:p>
    <w:p w14:paraId="240AEDBE">
      <w:pPr>
        <w:spacing w:line="480" w:lineRule="auto"/>
        <w:rPr>
          <w:rFonts w:hint="eastAsia" w:ascii="宋体" w:hAnsi="宋体" w:eastAsia="宋体" w:cs="宋体"/>
          <w:kern w:val="2"/>
          <w:sz w:val="21"/>
          <w:highlight w:val="none"/>
          <w:lang w:val="en-US" w:eastAsia="zh-CN" w:bidi="ar-SA"/>
        </w:rPr>
        <w:sectPr>
          <w:pgSz w:w="16838" w:h="11905" w:orient="landscape"/>
          <w:pgMar w:top="1083" w:right="1440" w:bottom="1083" w:left="1440" w:header="850"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cs="宋体"/>
          <w:b/>
          <w:bCs/>
          <w:sz w:val="28"/>
          <w:szCs w:val="28"/>
          <w:highlight w:val="none"/>
          <w:lang w:val="en-US" w:eastAsia="zh-CN"/>
        </w:rPr>
        <w:t>2、</w:t>
      </w:r>
      <w:r>
        <w:rPr>
          <w:rFonts w:hint="eastAsia" w:ascii="宋体" w:hAnsi="宋体" w:eastAsia="宋体" w:cs="宋体"/>
          <w:b/>
          <w:bCs/>
          <w:sz w:val="28"/>
          <w:szCs w:val="28"/>
          <w:highlight w:val="none"/>
        </w:rPr>
        <w:t>其中带“★”指标为重要参数</w:t>
      </w:r>
      <w:r>
        <w:rPr>
          <w:rFonts w:hint="eastAsia" w:ascii="宋体" w:hAnsi="宋体" w:cs="宋体"/>
          <w:b/>
          <w:bCs/>
          <w:sz w:val="28"/>
          <w:szCs w:val="28"/>
          <w:highlight w:val="none"/>
          <w:lang w:eastAsia="zh-CN"/>
        </w:rPr>
        <w:t>，不允许出现负偏离。</w:t>
      </w:r>
    </w:p>
    <w:p w14:paraId="3A012469">
      <w:pPr>
        <w:numPr>
          <w:ilvl w:val="0"/>
          <w:numId w:val="0"/>
        </w:numPr>
        <w:shd w:val="clear"/>
        <w:autoSpaceDE w:val="0"/>
        <w:autoSpaceDN w:val="0"/>
        <w:adjustRightInd w:val="0"/>
        <w:snapToGrid w:val="0"/>
        <w:spacing w:line="312" w:lineRule="auto"/>
        <w:jc w:val="center"/>
        <w:outlineLvl w:val="0"/>
        <w:rPr>
          <w:rFonts w:hint="eastAsia" w:ascii="宋体" w:hAnsi="宋体" w:eastAsia="宋体" w:cs="宋体"/>
          <w:b/>
          <w:sz w:val="32"/>
          <w:szCs w:val="32"/>
          <w:highlight w:val="none"/>
          <w:lang w:val="en-US" w:eastAsia="zh-CN"/>
        </w:rPr>
      </w:pPr>
      <w:bookmarkStart w:id="23" w:name="_Toc14430"/>
      <w:bookmarkStart w:id="24" w:name="_Toc31837"/>
      <w:r>
        <w:rPr>
          <w:rFonts w:hint="eastAsia" w:ascii="宋体" w:hAnsi="宋体" w:eastAsia="宋体" w:cs="宋体"/>
          <w:b/>
          <w:sz w:val="32"/>
          <w:szCs w:val="32"/>
          <w:highlight w:val="none"/>
          <w:lang w:val="en-US" w:eastAsia="zh-CN"/>
        </w:rPr>
        <w:t>第四章、商务要求</w:t>
      </w:r>
      <w:bookmarkEnd w:id="20"/>
      <w:bookmarkEnd w:id="23"/>
      <w:bookmarkEnd w:id="24"/>
    </w:p>
    <w:p w14:paraId="0EB8087D">
      <w:pPr>
        <w:keepNext w:val="0"/>
        <w:keepLines w:val="0"/>
        <w:widowControl/>
        <w:suppressLineNumbers w:val="0"/>
        <w:spacing w:line="360" w:lineRule="auto"/>
        <w:ind w:firstLine="0" w:firstLineChars="0"/>
        <w:jc w:val="left"/>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 xml:space="preserve">一、供货期、地点 </w:t>
      </w:r>
    </w:p>
    <w:p w14:paraId="1C2FE036">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1、供货期：</w:t>
      </w:r>
      <w:r>
        <w:rPr>
          <w:rFonts w:hint="eastAsia" w:ascii="宋体" w:hAnsi="宋体" w:cs="宋体"/>
          <w:color w:val="000000"/>
          <w:kern w:val="0"/>
          <w:sz w:val="24"/>
          <w:szCs w:val="24"/>
          <w:highlight w:val="none"/>
          <w:lang w:val="en-US" w:eastAsia="zh-CN" w:bidi="ar"/>
        </w:rPr>
        <w:t>自合同签订之日起30个日历天内交货、安装、调试</w:t>
      </w:r>
      <w:r>
        <w:rPr>
          <w:rFonts w:hint="eastAsia" w:ascii="宋体" w:hAnsi="宋体" w:eastAsia="宋体" w:cs="宋体"/>
          <w:color w:val="000000"/>
          <w:kern w:val="0"/>
          <w:sz w:val="24"/>
          <w:szCs w:val="24"/>
          <w:highlight w:val="none"/>
          <w:lang w:val="en-US" w:eastAsia="zh-CN" w:bidi="ar"/>
        </w:rPr>
        <w:t>。</w:t>
      </w:r>
    </w:p>
    <w:p w14:paraId="3772443B">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2、供货地点：采购人指定地点。  </w:t>
      </w:r>
    </w:p>
    <w:p w14:paraId="063628EC">
      <w:pPr>
        <w:keepNext w:val="0"/>
        <w:keepLines w:val="0"/>
        <w:widowControl/>
        <w:suppressLineNumbers w:val="0"/>
        <w:shd w:val="clear"/>
        <w:spacing w:line="360" w:lineRule="auto"/>
        <w:jc w:val="left"/>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 xml:space="preserve">二、付款方式 </w:t>
      </w:r>
    </w:p>
    <w:p w14:paraId="67B5A7EC">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验收合格后支付</w:t>
      </w:r>
      <w:r>
        <w:rPr>
          <w:rFonts w:hint="eastAsia" w:ascii="宋体" w:hAnsi="宋体" w:cs="宋体"/>
          <w:color w:val="auto"/>
          <w:sz w:val="24"/>
          <w:szCs w:val="24"/>
          <w:highlight w:val="none"/>
          <w:lang w:val="en-US" w:eastAsia="zh-CN"/>
        </w:rPr>
        <w:t>到合同金额80%</w:t>
      </w:r>
      <w:r>
        <w:rPr>
          <w:rFonts w:hint="eastAsia" w:ascii="宋体" w:hAnsi="宋体" w:eastAsia="宋体" w:cs="宋体"/>
          <w:color w:val="auto"/>
          <w:sz w:val="24"/>
          <w:szCs w:val="24"/>
          <w:highlight w:val="none"/>
          <w:lang w:val="en-US" w:eastAsia="zh-CN"/>
        </w:rPr>
        <w:t>，决算审计后支付</w:t>
      </w:r>
      <w:r>
        <w:rPr>
          <w:rFonts w:hint="eastAsia" w:ascii="宋体" w:hAnsi="宋体" w:cs="宋体"/>
          <w:color w:val="auto"/>
          <w:sz w:val="24"/>
          <w:szCs w:val="24"/>
          <w:highlight w:val="none"/>
          <w:lang w:val="en-US" w:eastAsia="zh-CN"/>
        </w:rPr>
        <w:t>到合同金额97%</w:t>
      </w:r>
      <w:r>
        <w:rPr>
          <w:rFonts w:hint="eastAsia" w:ascii="宋体" w:hAnsi="宋体" w:eastAsia="宋体" w:cs="宋体"/>
          <w:color w:val="auto"/>
          <w:sz w:val="24"/>
          <w:szCs w:val="24"/>
          <w:highlight w:val="none"/>
          <w:lang w:val="en-US" w:eastAsia="zh-CN"/>
        </w:rPr>
        <w:t>，剩余</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质保期满后一次性支付。</w:t>
      </w:r>
    </w:p>
    <w:p w14:paraId="153DACEA">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b/>
          <w:bCs/>
          <w:color w:val="000000"/>
          <w:kern w:val="0"/>
          <w:sz w:val="24"/>
          <w:szCs w:val="24"/>
          <w:highlight w:val="none"/>
          <w:lang w:val="en-US" w:eastAsia="zh-CN" w:bidi="ar"/>
        </w:rPr>
        <w:t xml:space="preserve">三、包装、运输要求： </w:t>
      </w:r>
    </w:p>
    <w:p w14:paraId="78AB05F5">
      <w:pPr>
        <w:spacing w:line="360" w:lineRule="auto"/>
        <w:ind w:firstLine="480" w:firstLineChars="200"/>
        <w:rPr>
          <w:rFonts w:hint="eastAsia" w:ascii="宋体" w:hAnsi="宋体" w:eastAsia="宋体" w:cs="宋体"/>
          <w:highlight w:val="none"/>
          <w:lang w:val="en-US" w:eastAsia="zh-CN"/>
        </w:rPr>
      </w:pPr>
      <w:bookmarkStart w:id="25" w:name="_Toc167715236"/>
      <w:bookmarkStart w:id="26" w:name="_Toc167714039"/>
      <w:bookmarkStart w:id="27" w:name="_Toc167712841"/>
      <w:r>
        <w:rPr>
          <w:rFonts w:hint="eastAsia" w:ascii="宋体" w:hAnsi="宋体" w:eastAsia="宋体" w:cs="宋体"/>
          <w:sz w:val="24"/>
          <w:szCs w:val="24"/>
          <w:highlight w:val="none"/>
          <w:lang w:eastAsia="zh-CN"/>
        </w:rPr>
        <w:t>成交供应商</w:t>
      </w:r>
      <w:r>
        <w:rPr>
          <w:rFonts w:hint="eastAsia" w:ascii="宋体" w:hAnsi="宋体" w:eastAsia="宋体" w:cs="宋体"/>
          <w:sz w:val="24"/>
          <w:szCs w:val="24"/>
          <w:highlight w:val="none"/>
        </w:rPr>
        <w:t>负责运输、安装、施工及其他伴随服务</w:t>
      </w:r>
      <w:bookmarkEnd w:id="25"/>
      <w:bookmarkEnd w:id="26"/>
      <w:bookmarkEnd w:id="27"/>
      <w:r>
        <w:rPr>
          <w:rFonts w:hint="eastAsia" w:ascii="宋体" w:hAnsi="宋体" w:eastAsia="宋体" w:cs="宋体"/>
          <w:color w:val="000000"/>
          <w:kern w:val="0"/>
          <w:sz w:val="24"/>
          <w:szCs w:val="24"/>
          <w:highlight w:val="none"/>
          <w:lang w:val="en-US" w:eastAsia="zh-CN" w:bidi="ar"/>
        </w:rPr>
        <w:t>。</w:t>
      </w:r>
    </w:p>
    <w:p w14:paraId="62D56F45">
      <w:pPr>
        <w:keepNext w:val="0"/>
        <w:keepLines w:val="0"/>
        <w:widowControl/>
        <w:suppressLineNumbers w:val="0"/>
        <w:spacing w:line="360" w:lineRule="auto"/>
        <w:jc w:val="left"/>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 xml:space="preserve">四、合同实施： </w:t>
      </w:r>
    </w:p>
    <w:p w14:paraId="6E469400">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1、成交单位应在合同签订后2个日历日内安排人员与采购单位对接采购货物实施情况。 </w:t>
      </w:r>
    </w:p>
    <w:p w14:paraId="4BA3988F">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2、若因成交单位原因未能在竞争性谈判文件要求的时间完成合同规定的义务，由此对采购人造成的延误和一切损失，由成交单位人承担和赔偿。  </w:t>
      </w:r>
    </w:p>
    <w:p w14:paraId="0AF1FAED">
      <w:pPr>
        <w:keepNext w:val="0"/>
        <w:keepLines w:val="0"/>
        <w:widowControl/>
        <w:suppressLineNumbers w:val="0"/>
        <w:jc w:val="left"/>
        <w:rPr>
          <w:rFonts w:hint="eastAsia" w:ascii="宋体" w:hAnsi="宋体" w:eastAsia="宋体" w:cs="宋体"/>
          <w:b/>
          <w:bCs/>
          <w:highlight w:val="none"/>
        </w:rPr>
      </w:pPr>
      <w:r>
        <w:rPr>
          <w:rFonts w:hint="eastAsia" w:ascii="宋体" w:hAnsi="宋体" w:eastAsia="宋体" w:cs="宋体"/>
          <w:b/>
          <w:bCs/>
          <w:color w:val="000000"/>
          <w:kern w:val="0"/>
          <w:sz w:val="24"/>
          <w:szCs w:val="24"/>
          <w:highlight w:val="none"/>
          <w:lang w:val="en-US" w:eastAsia="zh-CN" w:bidi="ar"/>
        </w:rPr>
        <w:t xml:space="preserve">五、质量保证 </w:t>
      </w:r>
    </w:p>
    <w:p w14:paraId="6A7F9488">
      <w:pPr>
        <w:keepNext w:val="0"/>
        <w:keepLines w:val="0"/>
        <w:widowControl/>
        <w:suppressLineNumbers w:val="0"/>
        <w:spacing w:line="360" w:lineRule="auto"/>
        <w:ind w:firstLine="482"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1.质保期：1年</w:t>
      </w:r>
      <w:r>
        <w:rPr>
          <w:rFonts w:hint="eastAsia" w:ascii="宋体" w:hAnsi="宋体" w:eastAsia="宋体" w:cs="宋体"/>
          <w:color w:val="000000"/>
          <w:kern w:val="0"/>
          <w:sz w:val="24"/>
          <w:szCs w:val="24"/>
          <w:highlight w:val="none"/>
          <w:lang w:val="en-US" w:eastAsia="zh-CN" w:bidi="ar"/>
        </w:rPr>
        <w:t xml:space="preserve">。成交人承诺的质保期起始时间为验收合格之日。 </w:t>
      </w:r>
    </w:p>
    <w:p w14:paraId="3F19CD6F">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2.所有产品质量必须符合国家有关规范和相关政策。所有货物必须是未使用过的新产品 ，质量优良、渠道正当。 </w:t>
      </w:r>
    </w:p>
    <w:p w14:paraId="79DAE1AA">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3.质保期出现的质量问题由成交人负责解决并承担所有费用。</w:t>
      </w:r>
    </w:p>
    <w:p w14:paraId="6611560A">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4.知识产权： </w:t>
      </w:r>
    </w:p>
    <w:p w14:paraId="1A3AE48E">
      <w:pPr>
        <w:keepNext w:val="0"/>
        <w:keepLines w:val="0"/>
        <w:widowControl/>
        <w:suppressLineNumbers w:val="0"/>
        <w:spacing w:line="360" w:lineRule="auto"/>
        <w:ind w:firstLine="480" w:firstLineChars="200"/>
        <w:jc w:val="left"/>
        <w:rPr>
          <w:rFonts w:hint="eastAsia" w:ascii="宋体" w:hAnsi="宋体" w:eastAsia="宋体" w:cs="宋体"/>
          <w:highlight w:val="none"/>
          <w:lang w:val="en-US" w:eastAsia="zh-CN"/>
        </w:rPr>
      </w:pPr>
      <w:r>
        <w:rPr>
          <w:rFonts w:hint="eastAsia" w:ascii="宋体" w:hAnsi="宋体" w:eastAsia="宋体" w:cs="宋体"/>
          <w:color w:val="000000"/>
          <w:kern w:val="0"/>
          <w:sz w:val="24"/>
          <w:szCs w:val="24"/>
          <w:highlight w:val="none"/>
          <w:lang w:val="en-US" w:eastAsia="zh-CN" w:bidi="ar"/>
        </w:rPr>
        <w:t>所有涉及知识产权的产品及设计，投标供应商必须确保委托人、采购人拥有其合法的、不受限制的无偿使用权，并免受任何侵权诉讼或索偿；否则，由此产生的一切经济损失和法律责任由投标供应商承担。</w:t>
      </w:r>
    </w:p>
    <w:p w14:paraId="7D0042CF">
      <w:pPr>
        <w:keepNext w:val="0"/>
        <w:keepLines w:val="0"/>
        <w:widowControl/>
        <w:suppressLineNumbers w:val="0"/>
        <w:spacing w:line="360" w:lineRule="auto"/>
        <w:jc w:val="left"/>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六、验收</w:t>
      </w:r>
    </w:p>
    <w:p w14:paraId="15EABD1E">
      <w:pPr>
        <w:keepNext w:val="0"/>
        <w:keepLines w:val="0"/>
        <w:widowControl/>
        <w:suppressLineNumbers w:val="0"/>
        <w:shd w:val="clear"/>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货物到达交货地点后，由采购单位根据合同对货物的名称、品牌、规格、数量等进行检查，签发验收合格单。 </w:t>
      </w:r>
    </w:p>
    <w:p w14:paraId="78D21025">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验收不合格的成交单位，必须在接到通知后5个日历日内确保货物、产品通过验收。若接到通知后5个日历日内验收仍不合格，采购人可提出索赔或取消其供货合同。 </w:t>
      </w:r>
    </w:p>
    <w:p w14:paraId="1FEE575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验收依据 </w:t>
      </w:r>
    </w:p>
    <w:p w14:paraId="00B7E75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（1）合同文本及合同补充文件（条款）。 </w:t>
      </w:r>
    </w:p>
    <w:p w14:paraId="13C2139F">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（2）产品来源的相关证明材料、检测报告。 </w:t>
      </w:r>
    </w:p>
    <w:p w14:paraId="262B863C">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（3）竞争性谈判文件。 </w:t>
      </w:r>
    </w:p>
    <w:p w14:paraId="4A41EE0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（4）成交人的谈判响应文件。 </w:t>
      </w:r>
    </w:p>
    <w:p w14:paraId="6081F85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（5）合同货物清单。</w:t>
      </w:r>
    </w:p>
    <w:p w14:paraId="5D8E296B">
      <w:pPr>
        <w:keepNext w:val="0"/>
        <w:keepLines w:val="0"/>
        <w:widowControl/>
        <w:suppressLineNumbers w:val="0"/>
        <w:spacing w:line="360" w:lineRule="auto"/>
        <w:jc w:val="left"/>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 xml:space="preserve">七、违约责任： </w:t>
      </w:r>
    </w:p>
    <w:p w14:paraId="48A63D2F">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1、对合同履行中的违约责任，依据《中华人民共和国民法典》中的相关条款执行。 </w:t>
      </w:r>
    </w:p>
    <w:p w14:paraId="65F8491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2、未按合同要求提供货物质量不能满足技术要求，采购人有权终止合同，并对供方违约行为进行追究，同时按《中华人民共和国政府采购法》、《中华人民共和国民法典》等有关规定进行处罚。 </w:t>
      </w:r>
    </w:p>
    <w:p w14:paraId="1B64A456">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3、成交供应商不得将项目任意事项转包或分包，否则采购方有权依据《中华人民共和国民法典》有关条款及合同约定终止合同，并要求供货方承担违约责任。 </w:t>
      </w:r>
    </w:p>
    <w:p w14:paraId="2F6BC698">
      <w:pPr>
        <w:adjustRightInd w:val="0"/>
        <w:spacing w:line="480" w:lineRule="exact"/>
        <w:rPr>
          <w:rFonts w:hint="eastAsia" w:ascii="宋体" w:hAnsi="宋体" w:eastAsia="宋体" w:cs="宋体"/>
          <w:color w:val="auto"/>
          <w:sz w:val="22"/>
          <w:szCs w:val="28"/>
          <w:highlight w:val="none"/>
        </w:rPr>
      </w:pPr>
    </w:p>
    <w:p w14:paraId="4153C837">
      <w:pPr>
        <w:ind w:firstLine="1687" w:firstLineChars="600"/>
        <w:rPr>
          <w:rFonts w:hint="eastAsia" w:ascii="宋体" w:hAnsi="宋体" w:eastAsia="宋体" w:cs="宋体"/>
          <w:sz w:val="32"/>
          <w:szCs w:val="32"/>
          <w:highlight w:val="none"/>
        </w:rPr>
      </w:pPr>
      <w:r>
        <w:rPr>
          <w:rFonts w:hint="eastAsia" w:ascii="宋体" w:hAnsi="宋体" w:eastAsia="宋体" w:cs="宋体"/>
          <w:b/>
          <w:sz w:val="28"/>
          <w:szCs w:val="21"/>
          <w:highlight w:val="none"/>
        </w:rPr>
        <w:t>注：商务要求为实质性要求，不得负偏离。</w:t>
      </w:r>
    </w:p>
    <w:p w14:paraId="47E74A89">
      <w:pPr>
        <w:rPr>
          <w:rFonts w:hint="eastAsia" w:ascii="宋体" w:hAnsi="宋体" w:eastAsia="宋体" w:cs="宋体"/>
          <w:b/>
          <w:szCs w:val="28"/>
          <w:highlight w:val="none"/>
          <w:lang w:val="en-US" w:eastAsia="zh-CN"/>
        </w:rPr>
      </w:pPr>
      <w:r>
        <w:rPr>
          <w:rFonts w:hint="eastAsia" w:ascii="宋体" w:hAnsi="宋体" w:eastAsia="宋体" w:cs="宋体"/>
          <w:b/>
          <w:szCs w:val="28"/>
          <w:highlight w:val="none"/>
          <w:lang w:val="en-US" w:eastAsia="zh-CN"/>
        </w:rPr>
        <w:br w:type="page"/>
      </w:r>
    </w:p>
    <w:bookmarkEnd w:id="21"/>
    <w:bookmarkEnd w:id="22"/>
    <w:p w14:paraId="60A3DDE7">
      <w:pPr>
        <w:pStyle w:val="2"/>
        <w:numPr>
          <w:ilvl w:val="0"/>
          <w:numId w:val="0"/>
        </w:numPr>
        <w:jc w:val="center"/>
        <w:rPr>
          <w:rFonts w:hint="eastAsia" w:ascii="宋体" w:hAnsi="宋体" w:eastAsia="宋体" w:cs="宋体"/>
          <w:b/>
          <w:color w:val="auto"/>
          <w:szCs w:val="28"/>
          <w:highlight w:val="none"/>
        </w:rPr>
      </w:pPr>
      <w:bookmarkStart w:id="28" w:name="_Toc499709874"/>
      <w:bookmarkStart w:id="29" w:name="_Toc20017"/>
      <w:bookmarkStart w:id="30" w:name="_Toc18651"/>
      <w:bookmarkStart w:id="31" w:name="_Toc10425"/>
      <w:bookmarkStart w:id="32" w:name="_Toc5087"/>
      <w:r>
        <w:rPr>
          <w:rFonts w:hint="eastAsia" w:ascii="宋体" w:hAnsi="宋体" w:eastAsia="宋体" w:cs="宋体"/>
          <w:b/>
          <w:color w:val="auto"/>
          <w:szCs w:val="28"/>
          <w:highlight w:val="none"/>
          <w:lang w:val="en-US" w:eastAsia="zh-CN"/>
        </w:rPr>
        <w:t>第五章、</w:t>
      </w:r>
      <w:r>
        <w:rPr>
          <w:rFonts w:hint="eastAsia" w:ascii="宋体" w:hAnsi="宋体" w:eastAsia="宋体" w:cs="宋体"/>
          <w:b/>
          <w:color w:val="auto"/>
          <w:szCs w:val="28"/>
          <w:highlight w:val="none"/>
        </w:rPr>
        <w:t>拟签订的</w:t>
      </w:r>
      <w:r>
        <w:rPr>
          <w:rFonts w:hint="eastAsia" w:ascii="宋体" w:hAnsi="宋体" w:eastAsia="宋体" w:cs="宋体"/>
          <w:b/>
          <w:color w:val="auto"/>
          <w:szCs w:val="28"/>
          <w:highlight w:val="none"/>
          <w:lang w:val="zh-CN"/>
        </w:rPr>
        <w:t>合同</w:t>
      </w:r>
      <w:bookmarkEnd w:id="28"/>
      <w:r>
        <w:rPr>
          <w:rFonts w:hint="eastAsia" w:ascii="宋体" w:hAnsi="宋体" w:eastAsia="宋体" w:cs="宋体"/>
          <w:b/>
          <w:color w:val="auto"/>
          <w:szCs w:val="28"/>
          <w:highlight w:val="none"/>
        </w:rPr>
        <w:t>文本</w:t>
      </w:r>
      <w:bookmarkEnd w:id="29"/>
      <w:bookmarkEnd w:id="30"/>
      <w:bookmarkEnd w:id="31"/>
      <w:bookmarkEnd w:id="32"/>
    </w:p>
    <w:p w14:paraId="21ACC233">
      <w:pPr>
        <w:numPr>
          <w:ilvl w:val="0"/>
          <w:numId w:val="0"/>
        </w:numPr>
        <w:ind w:leftChars="1200"/>
        <w:rPr>
          <w:rFonts w:hint="eastAsia" w:ascii="宋体" w:hAnsi="宋体" w:eastAsia="宋体" w:cs="宋体"/>
          <w:color w:val="auto"/>
          <w:highlight w:val="none"/>
        </w:rPr>
      </w:pPr>
    </w:p>
    <w:p w14:paraId="6B573964">
      <w:pPr>
        <w:spacing w:line="360" w:lineRule="auto"/>
        <w:jc w:val="center"/>
        <w:rPr>
          <w:rFonts w:hint="eastAsia" w:ascii="宋体" w:hAnsi="宋体" w:eastAsia="宋体" w:cs="宋体"/>
          <w:b/>
          <w:bCs/>
          <w:color w:val="auto"/>
          <w:sz w:val="24"/>
          <w:szCs w:val="24"/>
          <w:highlight w:val="none"/>
        </w:rPr>
      </w:pPr>
      <w:bookmarkStart w:id="33" w:name="_Toc11035"/>
      <w:bookmarkStart w:id="34" w:name="_Toc191876958"/>
      <w:bookmarkStart w:id="35" w:name="_Toc19188"/>
      <w:bookmarkStart w:id="36" w:name="_Toc10267"/>
      <w:r>
        <w:rPr>
          <w:rFonts w:hint="eastAsia" w:ascii="宋体" w:hAnsi="宋体" w:eastAsia="宋体" w:cs="宋体"/>
          <w:b/>
          <w:bCs/>
          <w:color w:val="auto"/>
          <w:sz w:val="24"/>
          <w:szCs w:val="24"/>
          <w:highlight w:val="none"/>
        </w:rPr>
        <w:t>（本合同为样稿，部分内容可由双方协商后确定）</w:t>
      </w:r>
    </w:p>
    <w:bookmarkEnd w:id="33"/>
    <w:bookmarkEnd w:id="34"/>
    <w:bookmarkEnd w:id="35"/>
    <w:p w14:paraId="46059654">
      <w:pPr>
        <w:spacing w:before="101" w:line="225" w:lineRule="auto"/>
        <w:ind w:left="3850"/>
        <w:rPr>
          <w:rFonts w:hint="eastAsia" w:ascii="宋体" w:hAnsi="宋体" w:eastAsia="宋体" w:cs="宋体"/>
          <w:color w:val="auto"/>
          <w:sz w:val="31"/>
          <w:szCs w:val="31"/>
          <w:highlight w:val="none"/>
        </w:rPr>
      </w:pPr>
      <w:r>
        <w:rPr>
          <w:rFonts w:hint="eastAsia" w:ascii="宋体" w:hAnsi="宋体" w:eastAsia="宋体" w:cs="宋体"/>
          <w:b/>
          <w:bCs/>
          <w:color w:val="auto"/>
          <w:spacing w:val="9"/>
          <w:sz w:val="31"/>
          <w:szCs w:val="31"/>
          <w:highlight w:val="none"/>
        </w:rPr>
        <w:t>合</w:t>
      </w:r>
      <w:r>
        <w:rPr>
          <w:rFonts w:hint="eastAsia" w:ascii="宋体" w:hAnsi="宋体" w:eastAsia="宋体" w:cs="宋体"/>
          <w:b/>
          <w:bCs/>
          <w:color w:val="auto"/>
          <w:spacing w:val="7"/>
          <w:sz w:val="31"/>
          <w:szCs w:val="31"/>
          <w:highlight w:val="none"/>
        </w:rPr>
        <w:t>同条款</w:t>
      </w:r>
    </w:p>
    <w:p w14:paraId="6441A9C9">
      <w:pPr>
        <w:spacing w:before="1" w:line="226" w:lineRule="auto"/>
        <w:ind w:left="12"/>
        <w:rPr>
          <w:rFonts w:hint="eastAsia" w:ascii="宋体" w:hAnsi="宋体" w:eastAsia="宋体" w:cs="宋体"/>
          <w:b/>
          <w:bCs/>
          <w:color w:val="auto"/>
          <w:kern w:val="0"/>
          <w:sz w:val="24"/>
          <w:szCs w:val="24"/>
          <w:highlight w:val="none"/>
          <w:lang w:val="en-US" w:eastAsia="zh-CN" w:bidi="ar"/>
        </w:rPr>
      </w:pPr>
    </w:p>
    <w:p w14:paraId="0699EE43">
      <w:pPr>
        <w:kinsoku w:val="0"/>
        <w:spacing w:line="360" w:lineRule="auto"/>
        <w:rPr>
          <w:rFonts w:hint="eastAsia" w:ascii="宋体" w:hAnsi="宋体" w:eastAsia="宋体" w:cs="宋体"/>
          <w:b/>
          <w:bCs/>
          <w:sz w:val="24"/>
          <w:szCs w:val="24"/>
          <w:highlight w:val="none"/>
          <w:lang w:val="en-US" w:eastAsia="zh-CN"/>
        </w:rPr>
      </w:pPr>
      <w:bookmarkStart w:id="37" w:name="_Toc3808"/>
      <w:r>
        <w:rPr>
          <w:rFonts w:hint="eastAsia" w:ascii="宋体" w:hAnsi="宋体" w:eastAsia="宋体" w:cs="宋体"/>
          <w:b/>
          <w:bCs/>
          <w:sz w:val="24"/>
          <w:szCs w:val="24"/>
          <w:highlight w:val="none"/>
        </w:rPr>
        <w:t>甲方</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采购人</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w:t>
      </w:r>
      <w:r>
        <w:rPr>
          <w:rFonts w:hint="eastAsia" w:ascii="宋体" w:hAnsi="宋体" w:cs="宋体"/>
          <w:b/>
          <w:bCs/>
          <w:sz w:val="24"/>
          <w:szCs w:val="24"/>
          <w:highlight w:val="none"/>
          <w:u w:val="single"/>
          <w:lang w:val="en-US" w:eastAsia="zh-CN"/>
        </w:rPr>
        <w:t>宝鸡市凤翔区竞存第一中学</w:t>
      </w:r>
    </w:p>
    <w:p w14:paraId="5992CF14">
      <w:pPr>
        <w:kinsoku w:val="0"/>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乙方</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供应商</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p>
    <w:p w14:paraId="51CF4C9B">
      <w:pPr>
        <w:kinsoku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根据《中华人民共和国政府采购法》、《中华人民共和国民法典》等法律法规，甲方通过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eastAsia="zh-CN"/>
        </w:rPr>
        <w:t>竞争性谈判</w:t>
      </w:r>
      <w:r>
        <w:rPr>
          <w:rFonts w:hint="eastAsia" w:ascii="宋体" w:hAnsi="宋体" w:eastAsia="宋体" w:cs="宋体"/>
          <w:sz w:val="24"/>
          <w:szCs w:val="24"/>
          <w:highlight w:val="none"/>
        </w:rPr>
        <w:t>选定乙方为</w:t>
      </w:r>
      <w:r>
        <w:rPr>
          <w:rFonts w:hint="eastAsia" w:ascii="宋体" w:hAnsi="宋体" w:eastAsia="宋体" w:cs="宋体"/>
          <w:sz w:val="24"/>
          <w:szCs w:val="24"/>
          <w:highlight w:val="none"/>
          <w:lang w:eastAsia="zh-CN"/>
        </w:rPr>
        <w:t>成交</w:t>
      </w:r>
      <w:r>
        <w:rPr>
          <w:rFonts w:hint="eastAsia" w:ascii="宋体" w:hAnsi="宋体" w:eastAsia="宋体" w:cs="宋体"/>
          <w:sz w:val="24"/>
          <w:szCs w:val="24"/>
          <w:highlight w:val="none"/>
        </w:rPr>
        <w:t>单位。甲、乙双方在平等基础上协商一致，达成如下合同条款：</w:t>
      </w:r>
    </w:p>
    <w:p w14:paraId="7D755734">
      <w:pPr>
        <w:kinsoku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b/>
          <w:sz w:val="24"/>
          <w:szCs w:val="24"/>
          <w:highlight w:val="none"/>
        </w:rPr>
        <w:t>合同内容</w:t>
      </w:r>
    </w:p>
    <w:tbl>
      <w:tblPr>
        <w:tblStyle w:val="3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20"/>
        <w:gridCol w:w="941"/>
        <w:gridCol w:w="1880"/>
        <w:gridCol w:w="1358"/>
        <w:gridCol w:w="1444"/>
        <w:gridCol w:w="1411"/>
        <w:gridCol w:w="1899"/>
      </w:tblGrid>
      <w:tr w14:paraId="524E8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exact"/>
          <w:jc w:val="center"/>
        </w:trPr>
        <w:tc>
          <w:tcPr>
            <w:tcW w:w="420" w:type="pct"/>
            <w:tcBorders>
              <w:left w:val="single" w:color="000000" w:sz="8" w:space="0"/>
              <w:right w:val="single" w:color="000000" w:sz="8" w:space="0"/>
            </w:tcBorders>
            <w:noWrap w:val="0"/>
            <w:vAlign w:val="center"/>
          </w:tcPr>
          <w:p w14:paraId="2B5B8018">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482" w:type="pct"/>
            <w:tcBorders>
              <w:left w:val="single" w:color="000000" w:sz="8" w:space="0"/>
            </w:tcBorders>
            <w:noWrap w:val="0"/>
            <w:vAlign w:val="center"/>
          </w:tcPr>
          <w:p w14:paraId="37F61179">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名称</w:t>
            </w:r>
          </w:p>
        </w:tc>
        <w:tc>
          <w:tcPr>
            <w:tcW w:w="963" w:type="pct"/>
            <w:noWrap w:val="0"/>
            <w:vAlign w:val="center"/>
          </w:tcPr>
          <w:p w14:paraId="65BE72D0">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规格/参数</w:t>
            </w:r>
          </w:p>
        </w:tc>
        <w:tc>
          <w:tcPr>
            <w:tcW w:w="696" w:type="pct"/>
            <w:noWrap w:val="0"/>
            <w:vAlign w:val="center"/>
          </w:tcPr>
          <w:p w14:paraId="1C71608E">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品牌</w:t>
            </w:r>
          </w:p>
        </w:tc>
        <w:tc>
          <w:tcPr>
            <w:tcW w:w="740" w:type="pct"/>
            <w:noWrap w:val="0"/>
            <w:vAlign w:val="center"/>
          </w:tcPr>
          <w:p w14:paraId="7E7874A2">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723" w:type="pct"/>
            <w:tcBorders>
              <w:right w:val="single" w:color="000000" w:sz="8" w:space="0"/>
            </w:tcBorders>
            <w:noWrap w:val="0"/>
            <w:vAlign w:val="center"/>
          </w:tcPr>
          <w:p w14:paraId="5B8AF160">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单价(元)</w:t>
            </w:r>
          </w:p>
        </w:tc>
        <w:tc>
          <w:tcPr>
            <w:tcW w:w="973" w:type="pct"/>
            <w:tcBorders>
              <w:left w:val="single" w:color="000000" w:sz="8" w:space="0"/>
              <w:right w:val="single" w:color="000000" w:sz="8" w:space="0"/>
            </w:tcBorders>
            <w:noWrap w:val="0"/>
            <w:vAlign w:val="center"/>
          </w:tcPr>
          <w:p w14:paraId="28FC4FA2">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w:t>
            </w:r>
            <w:r>
              <w:rPr>
                <w:rFonts w:hint="eastAsia" w:ascii="宋体" w:hAnsi="宋体" w:eastAsia="宋体" w:cs="宋体"/>
                <w:sz w:val="24"/>
                <w:szCs w:val="24"/>
                <w:highlight w:val="none"/>
                <w:lang w:val="en-US" w:eastAsia="zh-CN"/>
              </w:rPr>
              <w:t>价</w:t>
            </w:r>
            <w:r>
              <w:rPr>
                <w:rFonts w:hint="eastAsia" w:ascii="宋体" w:hAnsi="宋体" w:eastAsia="宋体" w:cs="宋体"/>
                <w:sz w:val="24"/>
                <w:szCs w:val="24"/>
                <w:highlight w:val="none"/>
              </w:rPr>
              <w:t>(元)</w:t>
            </w:r>
          </w:p>
        </w:tc>
      </w:tr>
      <w:tr w14:paraId="78A06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exact"/>
          <w:jc w:val="center"/>
        </w:trPr>
        <w:tc>
          <w:tcPr>
            <w:tcW w:w="420" w:type="pct"/>
            <w:tcBorders>
              <w:left w:val="single" w:color="000000" w:sz="8" w:space="0"/>
            </w:tcBorders>
            <w:noWrap w:val="0"/>
            <w:vAlign w:val="center"/>
          </w:tcPr>
          <w:p w14:paraId="7C41FF24">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82" w:type="pct"/>
            <w:noWrap w:val="0"/>
            <w:vAlign w:val="center"/>
          </w:tcPr>
          <w:p w14:paraId="6CCA2D4B">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963" w:type="pct"/>
            <w:noWrap w:val="0"/>
            <w:vAlign w:val="center"/>
          </w:tcPr>
          <w:p w14:paraId="5C3BE687">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696" w:type="pct"/>
            <w:noWrap w:val="0"/>
            <w:vAlign w:val="center"/>
          </w:tcPr>
          <w:p w14:paraId="61C85A82">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740" w:type="pct"/>
            <w:noWrap w:val="0"/>
            <w:vAlign w:val="center"/>
          </w:tcPr>
          <w:p w14:paraId="5060C88A">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723" w:type="pct"/>
            <w:noWrap w:val="0"/>
            <w:vAlign w:val="center"/>
          </w:tcPr>
          <w:p w14:paraId="728FEA9C">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973" w:type="pct"/>
            <w:noWrap w:val="0"/>
            <w:vAlign w:val="center"/>
          </w:tcPr>
          <w:p w14:paraId="4740201E">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r>
      <w:tr w14:paraId="5EC3C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exact"/>
          <w:jc w:val="center"/>
        </w:trPr>
        <w:tc>
          <w:tcPr>
            <w:tcW w:w="420" w:type="pct"/>
            <w:tcBorders>
              <w:left w:val="single" w:color="000000" w:sz="8" w:space="0"/>
            </w:tcBorders>
            <w:noWrap w:val="0"/>
            <w:vAlign w:val="center"/>
          </w:tcPr>
          <w:p w14:paraId="5E55F1EE">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82" w:type="pct"/>
            <w:noWrap w:val="0"/>
            <w:vAlign w:val="center"/>
          </w:tcPr>
          <w:p w14:paraId="7E880B53">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963" w:type="pct"/>
            <w:noWrap w:val="0"/>
            <w:vAlign w:val="center"/>
          </w:tcPr>
          <w:p w14:paraId="2C23BE70">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696" w:type="pct"/>
            <w:noWrap w:val="0"/>
            <w:vAlign w:val="center"/>
          </w:tcPr>
          <w:p w14:paraId="2E57A4BD">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740" w:type="pct"/>
            <w:noWrap w:val="0"/>
            <w:vAlign w:val="center"/>
          </w:tcPr>
          <w:p w14:paraId="010BEF24">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723" w:type="pct"/>
            <w:noWrap w:val="0"/>
            <w:vAlign w:val="center"/>
          </w:tcPr>
          <w:p w14:paraId="3ED2E7D3">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973" w:type="pct"/>
            <w:noWrap w:val="0"/>
            <w:vAlign w:val="center"/>
          </w:tcPr>
          <w:p w14:paraId="70C750B2">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r>
      <w:tr w14:paraId="69CA7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exact"/>
          <w:jc w:val="center"/>
        </w:trPr>
        <w:tc>
          <w:tcPr>
            <w:tcW w:w="420" w:type="pct"/>
            <w:tcBorders>
              <w:left w:val="single" w:color="000000" w:sz="8" w:space="0"/>
            </w:tcBorders>
            <w:noWrap w:val="0"/>
            <w:vAlign w:val="center"/>
          </w:tcPr>
          <w:p w14:paraId="1B49CB3E">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82" w:type="pct"/>
            <w:noWrap w:val="0"/>
            <w:vAlign w:val="center"/>
          </w:tcPr>
          <w:p w14:paraId="7CC7B247">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963" w:type="pct"/>
            <w:noWrap w:val="0"/>
            <w:vAlign w:val="center"/>
          </w:tcPr>
          <w:p w14:paraId="73BA97ED">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696" w:type="pct"/>
            <w:noWrap w:val="0"/>
            <w:vAlign w:val="center"/>
          </w:tcPr>
          <w:p w14:paraId="23976E71">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740" w:type="pct"/>
            <w:noWrap w:val="0"/>
            <w:vAlign w:val="center"/>
          </w:tcPr>
          <w:p w14:paraId="5010FBA8">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723" w:type="pct"/>
            <w:noWrap w:val="0"/>
            <w:vAlign w:val="center"/>
          </w:tcPr>
          <w:p w14:paraId="232F8252">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973" w:type="pct"/>
            <w:noWrap w:val="0"/>
            <w:vAlign w:val="center"/>
          </w:tcPr>
          <w:p w14:paraId="0EB040D2">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r>
      <w:tr w14:paraId="298DE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exact"/>
          <w:jc w:val="center"/>
        </w:trPr>
        <w:tc>
          <w:tcPr>
            <w:tcW w:w="420" w:type="pct"/>
            <w:tcBorders>
              <w:left w:val="single" w:color="000000" w:sz="8" w:space="0"/>
            </w:tcBorders>
            <w:noWrap w:val="0"/>
            <w:vAlign w:val="center"/>
          </w:tcPr>
          <w:p w14:paraId="0C76CCA4">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82" w:type="pct"/>
            <w:noWrap w:val="0"/>
            <w:vAlign w:val="center"/>
          </w:tcPr>
          <w:p w14:paraId="3CF41ADF">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963" w:type="pct"/>
            <w:noWrap w:val="0"/>
            <w:vAlign w:val="center"/>
          </w:tcPr>
          <w:p w14:paraId="758EEBB0">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696" w:type="pct"/>
            <w:noWrap w:val="0"/>
            <w:vAlign w:val="center"/>
          </w:tcPr>
          <w:p w14:paraId="6F2E9A19">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740" w:type="pct"/>
            <w:noWrap w:val="0"/>
            <w:vAlign w:val="center"/>
          </w:tcPr>
          <w:p w14:paraId="5B265937">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723" w:type="pct"/>
            <w:noWrap w:val="0"/>
            <w:vAlign w:val="center"/>
          </w:tcPr>
          <w:p w14:paraId="6108F92F">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c>
          <w:tcPr>
            <w:tcW w:w="973" w:type="pct"/>
            <w:noWrap w:val="0"/>
            <w:vAlign w:val="center"/>
          </w:tcPr>
          <w:p w14:paraId="0AE8127D">
            <w:pPr>
              <w:pStyle w:val="119"/>
              <w:keepNext w:val="0"/>
              <w:keepLines w:val="0"/>
              <w:pageBreakBefore w:val="0"/>
              <w:suppressLineNumbers w:val="0"/>
              <w:kinsoku/>
              <w:wordWrap/>
              <w:overflowPunct/>
              <w:topLinePunct w:val="0"/>
              <w:bidi w:val="0"/>
              <w:snapToGrid/>
              <w:spacing w:before="0" w:beforeAutospacing="0" w:after="0" w:afterAutospacing="0" w:line="408" w:lineRule="auto"/>
              <w:ind w:left="0" w:right="0"/>
              <w:jc w:val="center"/>
              <w:textAlignment w:val="auto"/>
              <w:rPr>
                <w:rFonts w:hint="eastAsia" w:ascii="宋体" w:hAnsi="宋体" w:eastAsia="宋体" w:cs="宋体"/>
                <w:sz w:val="24"/>
                <w:szCs w:val="24"/>
                <w:highlight w:val="none"/>
              </w:rPr>
            </w:pPr>
          </w:p>
        </w:tc>
      </w:tr>
    </w:tbl>
    <w:p w14:paraId="619477D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乙方负责按以上确定的</w:t>
      </w:r>
      <w:r>
        <w:rPr>
          <w:rFonts w:hint="eastAsia" w:ascii="宋体" w:hAnsi="宋体" w:eastAsia="宋体" w:cs="宋体"/>
          <w:sz w:val="24"/>
          <w:szCs w:val="24"/>
          <w:highlight w:val="none"/>
          <w:lang w:eastAsia="zh-CN"/>
        </w:rPr>
        <w:t>清单</w:t>
      </w:r>
      <w:r>
        <w:rPr>
          <w:rFonts w:hint="eastAsia" w:ascii="宋体" w:hAnsi="宋体" w:eastAsia="宋体" w:cs="宋体"/>
          <w:sz w:val="24"/>
          <w:szCs w:val="24"/>
          <w:highlight w:val="none"/>
        </w:rPr>
        <w:t>内容进行供货，</w:t>
      </w:r>
      <w:r>
        <w:rPr>
          <w:rFonts w:hint="eastAsia" w:ascii="宋体" w:hAnsi="宋体" w:eastAsia="宋体" w:cs="宋体"/>
          <w:b w:val="0"/>
          <w:bCs/>
          <w:sz w:val="24"/>
          <w:szCs w:val="24"/>
          <w:highlight w:val="none"/>
          <w:vertAlign w:val="baseline"/>
          <w:lang w:val="en-US" w:eastAsia="zh-CN"/>
        </w:rPr>
        <w:t>并按采购人要求发放到各乡镇指定地点，该项费用包含在谈判报价中，采购人不再单独支付。</w:t>
      </w:r>
    </w:p>
    <w:p w14:paraId="27B87445">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二、合同价格</w:t>
      </w:r>
    </w:p>
    <w:p w14:paraId="5AA4BDF2">
      <w:pPr>
        <w:kinsoku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合同总价：人民币大写：</w:t>
      </w:r>
      <w:r>
        <w:rPr>
          <w:rFonts w:hint="eastAsia" w:ascii="宋体" w:hAnsi="宋体" w:eastAsia="宋体" w:cs="宋体"/>
          <w:b/>
          <w:sz w:val="24"/>
          <w:szCs w:val="24"/>
          <w:highlight w:val="none"/>
          <w:u w:val="single"/>
        </w:rPr>
        <w:t xml:space="preserve">           </w:t>
      </w:r>
      <w:r>
        <w:rPr>
          <w:rFonts w:hint="eastAsia" w:ascii="宋体" w:hAnsi="宋体" w:eastAsia="宋体" w:cs="宋体"/>
          <w:bCs/>
          <w:sz w:val="24"/>
          <w:szCs w:val="24"/>
          <w:highlight w:val="none"/>
        </w:rPr>
        <w:t>元整；</w:t>
      </w:r>
      <w:r>
        <w:rPr>
          <w:rFonts w:hint="eastAsia" w:ascii="宋体" w:hAnsi="宋体" w:eastAsia="宋体" w:cs="宋体"/>
          <w:sz w:val="24"/>
          <w:szCs w:val="24"/>
          <w:highlight w:val="none"/>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元。</w:t>
      </w:r>
    </w:p>
    <w:p w14:paraId="3C8BC47B">
      <w:pPr>
        <w:kinsoku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合同总价</w:t>
      </w:r>
      <w:r>
        <w:rPr>
          <w:rFonts w:hint="eastAsia" w:ascii="宋体" w:hAnsi="宋体" w:eastAsia="宋体" w:cs="宋体"/>
          <w:color w:val="000000"/>
          <w:sz w:val="24"/>
          <w:szCs w:val="24"/>
          <w:highlight w:val="none"/>
          <w:lang w:eastAsia="zh-CN"/>
        </w:rPr>
        <w:t>包含</w:t>
      </w:r>
      <w:r>
        <w:rPr>
          <w:rFonts w:hint="eastAsia" w:ascii="宋体" w:hAnsi="宋体" w:eastAsia="宋体" w:cs="宋体"/>
          <w:sz w:val="24"/>
          <w:szCs w:val="24"/>
          <w:highlight w:val="none"/>
          <w:lang w:eastAsia="zh-CN"/>
        </w:rPr>
        <w:t>生产厂商到采购人指定送达现场所需的成本、装卸、运输（含保险费）、现场保管费、</w:t>
      </w:r>
      <w:r>
        <w:rPr>
          <w:rFonts w:hint="eastAsia" w:ascii="宋体" w:hAnsi="宋体" w:cs="宋体"/>
          <w:sz w:val="24"/>
          <w:szCs w:val="24"/>
          <w:highlight w:val="none"/>
          <w:lang w:eastAsia="zh-CN"/>
        </w:rPr>
        <w:t>耗材</w:t>
      </w:r>
      <w:r>
        <w:rPr>
          <w:rFonts w:hint="eastAsia" w:ascii="宋体" w:hAnsi="宋体" w:eastAsia="宋体" w:cs="宋体"/>
          <w:sz w:val="24"/>
          <w:szCs w:val="24"/>
          <w:highlight w:val="none"/>
          <w:lang w:eastAsia="zh-CN"/>
        </w:rPr>
        <w:t>、人工费、税金、利润等一切费用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合同总价不可变更，不受市场价格或汇率变化的影响。</w:t>
      </w:r>
    </w:p>
    <w:p w14:paraId="7F0E71FB">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三、款项支付</w:t>
      </w:r>
    </w:p>
    <w:p w14:paraId="1495EDD3">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lang w:val="en-US" w:eastAsia="zh-CN"/>
        </w:rPr>
        <w:t>付款方式：验收合格后支付</w:t>
      </w:r>
      <w:r>
        <w:rPr>
          <w:rFonts w:hint="eastAsia" w:ascii="宋体" w:hAnsi="宋体" w:cs="宋体"/>
          <w:color w:val="auto"/>
          <w:sz w:val="24"/>
          <w:szCs w:val="24"/>
          <w:highlight w:val="none"/>
          <w:lang w:val="en-US" w:eastAsia="zh-CN"/>
        </w:rPr>
        <w:t>到合同金额80%</w:t>
      </w:r>
      <w:r>
        <w:rPr>
          <w:rFonts w:hint="eastAsia" w:ascii="宋体" w:hAnsi="宋体" w:eastAsia="宋体" w:cs="宋体"/>
          <w:color w:val="auto"/>
          <w:sz w:val="24"/>
          <w:szCs w:val="24"/>
          <w:highlight w:val="none"/>
          <w:lang w:val="en-US" w:eastAsia="zh-CN"/>
        </w:rPr>
        <w:t>，决算审计后支付</w:t>
      </w:r>
      <w:r>
        <w:rPr>
          <w:rFonts w:hint="eastAsia" w:ascii="宋体" w:hAnsi="宋体" w:cs="宋体"/>
          <w:color w:val="auto"/>
          <w:sz w:val="24"/>
          <w:szCs w:val="24"/>
          <w:highlight w:val="none"/>
          <w:lang w:val="en-US" w:eastAsia="zh-CN"/>
        </w:rPr>
        <w:t>到合同金额97%</w:t>
      </w:r>
      <w:r>
        <w:rPr>
          <w:rFonts w:hint="eastAsia" w:ascii="宋体" w:hAnsi="宋体" w:eastAsia="宋体" w:cs="宋体"/>
          <w:color w:val="auto"/>
          <w:sz w:val="24"/>
          <w:szCs w:val="24"/>
          <w:highlight w:val="none"/>
          <w:lang w:val="en-US" w:eastAsia="zh-CN"/>
        </w:rPr>
        <w:t>，剩余</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质保期满后一次性支付。</w:t>
      </w:r>
    </w:p>
    <w:p w14:paraId="1B331DB6">
      <w:pPr>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(2)支付方式：银行转账。</w:t>
      </w:r>
    </w:p>
    <w:p w14:paraId="7052D40A">
      <w:pPr>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)结算方式：乙方在接受付款前开具全额发票给甲方。</w:t>
      </w:r>
    </w:p>
    <w:p w14:paraId="6A604E49">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四、交货条件</w:t>
      </w:r>
    </w:p>
    <w:p w14:paraId="689379EF">
      <w:pPr>
        <w:kinsoku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供货</w:t>
      </w:r>
      <w:r>
        <w:rPr>
          <w:rFonts w:hint="eastAsia" w:ascii="宋体" w:hAnsi="宋体" w:eastAsia="宋体" w:cs="宋体"/>
          <w:sz w:val="24"/>
          <w:szCs w:val="24"/>
          <w:highlight w:val="none"/>
        </w:rPr>
        <w:t>地点：</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指定地点。</w:t>
      </w:r>
    </w:p>
    <w:p w14:paraId="32C8D13C">
      <w:pPr>
        <w:keepNext w:val="0"/>
        <w:keepLines w:val="0"/>
        <w:widowControl/>
        <w:suppressLineNumbers w:val="0"/>
        <w:spacing w:line="360" w:lineRule="auto"/>
        <w:ind w:firstLine="480" w:firstLineChars="200"/>
        <w:jc w:val="left"/>
        <w:rPr>
          <w:rFonts w:hint="eastAsia" w:ascii="宋体" w:hAnsi="宋体" w:eastAsia="宋体" w:cs="宋体"/>
          <w:b/>
          <w:bCs/>
          <w:color w:val="auto"/>
          <w:sz w:val="24"/>
          <w:szCs w:val="24"/>
          <w:highlight w:val="none"/>
          <w:shd w:val="clear" w:fill="FFC000"/>
        </w:rPr>
      </w:pPr>
      <w:r>
        <w:rPr>
          <w:rFonts w:hint="eastAsia" w:ascii="宋体" w:hAnsi="宋体" w:eastAsia="宋体" w:cs="宋体"/>
          <w:sz w:val="24"/>
          <w:szCs w:val="24"/>
          <w:highlight w:val="none"/>
          <w:lang w:val="en-US" w:eastAsia="zh-CN"/>
        </w:rPr>
        <w:t>2、供货期：</w:t>
      </w:r>
      <w:r>
        <w:rPr>
          <w:rFonts w:hint="eastAsia" w:ascii="宋体" w:hAnsi="宋体" w:cs="宋体"/>
          <w:color w:val="000000"/>
          <w:kern w:val="0"/>
          <w:sz w:val="24"/>
          <w:szCs w:val="24"/>
          <w:highlight w:val="none"/>
          <w:lang w:val="en-US" w:eastAsia="zh-CN" w:bidi="ar"/>
        </w:rPr>
        <w:t>自合同签订之日起30个日历天内交货、安装、调试</w:t>
      </w:r>
      <w:r>
        <w:rPr>
          <w:rFonts w:hint="eastAsia" w:ascii="宋体" w:hAnsi="宋体" w:eastAsia="宋体" w:cs="宋体"/>
          <w:color w:val="000000"/>
          <w:kern w:val="0"/>
          <w:sz w:val="24"/>
          <w:szCs w:val="24"/>
          <w:highlight w:val="none"/>
          <w:lang w:val="en-US" w:eastAsia="zh-CN" w:bidi="ar"/>
        </w:rPr>
        <w:t>。</w:t>
      </w:r>
    </w:p>
    <w:p w14:paraId="4DAD57A5">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五、运输方式：</w:t>
      </w:r>
      <w:r>
        <w:rPr>
          <w:rFonts w:hint="eastAsia" w:ascii="宋体" w:hAnsi="宋体" w:eastAsia="宋体" w:cs="宋体"/>
          <w:sz w:val="24"/>
          <w:szCs w:val="24"/>
          <w:highlight w:val="none"/>
        </w:rPr>
        <w:t>根据产品特性，由乙方在保证产品质量的前提下，自行选择运输及包装方式，发生的一切费用全部由乙方承担。</w:t>
      </w:r>
    </w:p>
    <w:p w14:paraId="07ED7F47">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六、质量保证</w:t>
      </w:r>
    </w:p>
    <w:p w14:paraId="200DD0F5">
      <w:pPr>
        <w:adjustRightInd w:val="0"/>
        <w:snapToGrid w:val="0"/>
        <w:spacing w:line="24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eastAsia="zh-CN"/>
        </w:rPr>
        <w:t>成交人</w:t>
      </w:r>
      <w:r>
        <w:rPr>
          <w:rFonts w:hint="eastAsia" w:ascii="宋体" w:hAnsi="宋体" w:eastAsia="宋体" w:cs="宋体"/>
          <w:kern w:val="0"/>
          <w:sz w:val="24"/>
          <w:szCs w:val="24"/>
          <w:highlight w:val="none"/>
        </w:rPr>
        <w:t>向采购人承诺，按照本合同约定</w:t>
      </w:r>
      <w:r>
        <w:rPr>
          <w:rFonts w:hint="eastAsia" w:ascii="宋体" w:hAnsi="宋体" w:eastAsia="宋体" w:cs="宋体"/>
          <w:kern w:val="0"/>
          <w:sz w:val="24"/>
          <w:szCs w:val="24"/>
          <w:highlight w:val="none"/>
          <w:lang w:eastAsia="zh-CN"/>
        </w:rPr>
        <w:t>按时供货并保证质量</w:t>
      </w:r>
      <w:r>
        <w:rPr>
          <w:rFonts w:hint="eastAsia" w:ascii="宋体" w:hAnsi="宋体" w:eastAsia="宋体" w:cs="宋体"/>
          <w:kern w:val="0"/>
          <w:sz w:val="24"/>
          <w:szCs w:val="24"/>
          <w:highlight w:val="none"/>
        </w:rPr>
        <w:t>。</w:t>
      </w:r>
    </w:p>
    <w:p w14:paraId="40572623">
      <w:pPr>
        <w:adjustRightInd w:val="0"/>
        <w:snapToGrid w:val="0"/>
        <w:spacing w:line="480" w:lineRule="exact"/>
        <w:ind w:firstLine="470" w:firstLineChars="196"/>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2.采购人向</w:t>
      </w:r>
      <w:r>
        <w:rPr>
          <w:rFonts w:hint="eastAsia" w:ascii="宋体" w:hAnsi="宋体" w:eastAsia="宋体" w:cs="宋体"/>
          <w:kern w:val="0"/>
          <w:sz w:val="24"/>
          <w:szCs w:val="24"/>
          <w:highlight w:val="none"/>
          <w:lang w:eastAsia="zh-CN"/>
        </w:rPr>
        <w:t>成交人</w:t>
      </w:r>
      <w:r>
        <w:rPr>
          <w:rFonts w:hint="eastAsia" w:ascii="宋体" w:hAnsi="宋体" w:eastAsia="宋体" w:cs="宋体"/>
          <w:kern w:val="0"/>
          <w:sz w:val="24"/>
          <w:szCs w:val="24"/>
          <w:highlight w:val="none"/>
        </w:rPr>
        <w:t>承诺，按照本合同约定支付</w:t>
      </w:r>
      <w:r>
        <w:rPr>
          <w:rFonts w:hint="eastAsia" w:ascii="宋体" w:hAnsi="宋体" w:eastAsia="宋体" w:cs="宋体"/>
          <w:kern w:val="0"/>
          <w:sz w:val="24"/>
          <w:szCs w:val="24"/>
          <w:highlight w:val="none"/>
          <w:lang w:eastAsia="zh-CN"/>
        </w:rPr>
        <w:t>合同</w:t>
      </w:r>
      <w:r>
        <w:rPr>
          <w:rFonts w:hint="eastAsia" w:ascii="宋体" w:hAnsi="宋体" w:eastAsia="宋体" w:cs="宋体"/>
          <w:kern w:val="0"/>
          <w:sz w:val="24"/>
          <w:szCs w:val="24"/>
          <w:highlight w:val="none"/>
        </w:rPr>
        <w:t>款项。</w:t>
      </w:r>
    </w:p>
    <w:p w14:paraId="662C1491">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七、质保期</w:t>
      </w:r>
    </w:p>
    <w:p w14:paraId="34B80C84">
      <w:pPr>
        <w:keepNext w:val="0"/>
        <w:keepLines w:val="0"/>
        <w:widowControl/>
        <w:suppressLineNumbers w:val="0"/>
        <w:spacing w:line="360" w:lineRule="auto"/>
        <w:ind w:firstLine="482"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1.质保期：1年</w:t>
      </w:r>
      <w:r>
        <w:rPr>
          <w:rFonts w:hint="eastAsia" w:ascii="宋体" w:hAnsi="宋体" w:eastAsia="宋体" w:cs="宋体"/>
          <w:color w:val="000000"/>
          <w:kern w:val="0"/>
          <w:sz w:val="24"/>
          <w:szCs w:val="24"/>
          <w:highlight w:val="none"/>
          <w:lang w:val="en-US" w:eastAsia="zh-CN" w:bidi="ar"/>
        </w:rPr>
        <w:t xml:space="preserve">。成交人承诺的质保期起始时间为验收合格之日。 </w:t>
      </w:r>
    </w:p>
    <w:p w14:paraId="4F34C9AF">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2.所有产品质量必须符合国家有关规范和相关政策。所有货物必须是未使用过的新产品 ，质量优良、渠道正当。 </w:t>
      </w:r>
    </w:p>
    <w:p w14:paraId="01567191">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3.质保期出现的质量问题由成交人负责解决并承担所有费用。</w:t>
      </w:r>
    </w:p>
    <w:p w14:paraId="3D8EB70B">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4.知识产权： </w:t>
      </w:r>
    </w:p>
    <w:p w14:paraId="63FC899F">
      <w:pPr>
        <w:keepNext w:val="0"/>
        <w:keepLines w:val="0"/>
        <w:widowControl/>
        <w:suppressLineNumbers w:val="0"/>
        <w:spacing w:line="360" w:lineRule="auto"/>
        <w:ind w:firstLine="480" w:firstLineChars="200"/>
        <w:jc w:val="left"/>
        <w:rPr>
          <w:rFonts w:hint="eastAsia" w:ascii="宋体" w:hAnsi="宋体" w:eastAsia="宋体" w:cs="宋体"/>
          <w:highlight w:val="none"/>
          <w:lang w:val="en-US" w:eastAsia="zh-CN"/>
        </w:rPr>
      </w:pPr>
      <w:r>
        <w:rPr>
          <w:rFonts w:hint="eastAsia" w:ascii="宋体" w:hAnsi="宋体" w:eastAsia="宋体" w:cs="宋体"/>
          <w:color w:val="000000"/>
          <w:kern w:val="0"/>
          <w:sz w:val="24"/>
          <w:szCs w:val="24"/>
          <w:highlight w:val="none"/>
          <w:lang w:val="en-US" w:eastAsia="zh-CN" w:bidi="ar"/>
        </w:rPr>
        <w:t>所有涉及知识产权的产品及设计，投标供应商必须确保委托人、采购人拥有其合法的、不受限制的无偿使用权，并免受任何侵权诉讼或索偿；否则，由此产生的一切经济损失和法律责任由投标供应商承担。</w:t>
      </w:r>
    </w:p>
    <w:p w14:paraId="2B126C3A">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八</w:t>
      </w:r>
      <w:r>
        <w:rPr>
          <w:rFonts w:hint="eastAsia" w:ascii="宋体" w:hAnsi="宋体" w:eastAsia="宋体" w:cs="宋体"/>
          <w:b/>
          <w:color w:val="auto"/>
          <w:sz w:val="24"/>
          <w:szCs w:val="24"/>
          <w:highlight w:val="none"/>
        </w:rPr>
        <w:t>、验收</w:t>
      </w:r>
    </w:p>
    <w:p w14:paraId="67B0507D">
      <w:pPr>
        <w:keepNext w:val="0"/>
        <w:keepLines w:val="0"/>
        <w:widowControl/>
        <w:suppressLineNumbers w:val="0"/>
        <w:shd w:val="clear"/>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货物到达交货地点后，由采购单位根据合同对货物的名称、品牌、规格、数量等进行检查，签发验收合格单。 </w:t>
      </w:r>
    </w:p>
    <w:p w14:paraId="15719594">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验收不合格的成交单位，必须在接到通知后5个日历日内确保货物、产品通过验收。若接到通知后5个日历日内验收仍不合格，采购人可提出索赔或取消其供货合同。 </w:t>
      </w:r>
    </w:p>
    <w:p w14:paraId="7B14E40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验收依据 </w:t>
      </w:r>
    </w:p>
    <w:p w14:paraId="040D8D99">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（1）合同文本及合同补充文件（条款）。 </w:t>
      </w:r>
    </w:p>
    <w:p w14:paraId="2A8039D9">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（2）产品来源的相关证明材料、检测报告。 </w:t>
      </w:r>
    </w:p>
    <w:p w14:paraId="22B7D33B">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（3）竞争性谈判文件。 </w:t>
      </w:r>
    </w:p>
    <w:p w14:paraId="2C71B787">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（4）成交人的谈判响应文件。 </w:t>
      </w:r>
    </w:p>
    <w:p w14:paraId="78BAB563">
      <w:pPr>
        <w:tabs>
          <w:tab w:val="left" w:pos="5355"/>
        </w:tabs>
        <w:spacing w:line="360" w:lineRule="auto"/>
        <w:ind w:firstLine="480" w:firstLineChars="200"/>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（5）合同货物清单。</w:t>
      </w:r>
    </w:p>
    <w:p w14:paraId="0DD2C2E8">
      <w:pPr>
        <w:tabs>
          <w:tab w:val="left" w:pos="5355"/>
        </w:tabs>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九</w:t>
      </w:r>
      <w:r>
        <w:rPr>
          <w:rFonts w:hint="eastAsia" w:ascii="宋体" w:hAnsi="宋体" w:eastAsia="宋体" w:cs="宋体"/>
          <w:b/>
          <w:sz w:val="24"/>
          <w:szCs w:val="24"/>
          <w:highlight w:val="none"/>
        </w:rPr>
        <w:t>、违约责任</w:t>
      </w:r>
    </w:p>
    <w:p w14:paraId="03595A27">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1、对合同履行中的违约责任，依据《中华人民共和国民法典》中的相关条款执行。 </w:t>
      </w:r>
    </w:p>
    <w:p w14:paraId="4E03C8CF">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2、未按合同要求提供货物质量不能满足技术要求，采购人有权终止合同，并对供方违约行为进行追究，同时按《中华人民共和国政府采购法》、《中华人民共和国民法典》等有关规定进行处罚。 </w:t>
      </w:r>
    </w:p>
    <w:p w14:paraId="03EE6AEC">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3、成交供应商不得将项目任意事项转包或分包，否则采购方有权依据《中华人民共和国民法典》有关条款及合同约定终止合同，并要求供货方承担违约责任。 </w:t>
      </w:r>
    </w:p>
    <w:p w14:paraId="45F789C8">
      <w:pPr>
        <w:tabs>
          <w:tab w:val="left" w:pos="5355"/>
        </w:tabs>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十、其它事项</w:t>
      </w:r>
    </w:p>
    <w:p w14:paraId="427D7B7E">
      <w:pPr>
        <w:adjustRightInd w:val="0"/>
        <w:snapToGrid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1、甲、乙双方作为合同执行的主体，有义务及时完全履行合同。</w:t>
      </w:r>
    </w:p>
    <w:p w14:paraId="01ACCCBE">
      <w:pPr>
        <w:adjustRightInd w:val="0"/>
        <w:snapToGrid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2、甲方代表随时监督合同履行情况。</w:t>
      </w:r>
    </w:p>
    <w:p w14:paraId="19FE92BF">
      <w:pPr>
        <w:adjustRightInd w:val="0"/>
        <w:snapToGrid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3、合同未尽事宜，由甲、乙双方协商，协商方案作为本合同不可分割的组成部分，与本合同具有同等法律效力。</w:t>
      </w:r>
    </w:p>
    <w:p w14:paraId="7DEF89E2">
      <w:pPr>
        <w:adjustRightInd w:val="0"/>
        <w:snapToGrid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谈判文件</w:t>
      </w:r>
      <w:r>
        <w:rPr>
          <w:rFonts w:hint="eastAsia" w:ascii="宋体" w:hAnsi="宋体" w:eastAsia="宋体" w:cs="宋体"/>
          <w:sz w:val="24"/>
          <w:szCs w:val="24"/>
          <w:highlight w:val="none"/>
        </w:rPr>
        <w:t>和乙方的</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文件以及合同附件均为合同不可分割的部分。</w:t>
      </w:r>
    </w:p>
    <w:p w14:paraId="5D396BDE">
      <w:pPr>
        <w:adjustRightInd w:val="0"/>
        <w:snapToGrid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5、合同一式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份，甲方持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份、乙方执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份。双方签字盖章后生效，合同执行完毕自动失效。</w:t>
      </w:r>
    </w:p>
    <w:tbl>
      <w:tblPr>
        <w:tblStyle w:val="30"/>
        <w:tblW w:w="9019" w:type="dxa"/>
        <w:jc w:val="center"/>
        <w:tblLayout w:type="fixed"/>
        <w:tblCellMar>
          <w:top w:w="0" w:type="dxa"/>
          <w:left w:w="108" w:type="dxa"/>
          <w:bottom w:w="0" w:type="dxa"/>
          <w:right w:w="108" w:type="dxa"/>
        </w:tblCellMar>
      </w:tblPr>
      <w:tblGrid>
        <w:gridCol w:w="4652"/>
        <w:gridCol w:w="4367"/>
      </w:tblGrid>
      <w:tr w14:paraId="6AE14C62">
        <w:tblPrEx>
          <w:tblCellMar>
            <w:top w:w="0" w:type="dxa"/>
            <w:left w:w="108" w:type="dxa"/>
            <w:bottom w:w="0" w:type="dxa"/>
            <w:right w:w="108" w:type="dxa"/>
          </w:tblCellMar>
        </w:tblPrEx>
        <w:trPr>
          <w:trHeight w:val="90" w:hRule="atLeast"/>
          <w:jc w:val="center"/>
        </w:trPr>
        <w:tc>
          <w:tcPr>
            <w:tcW w:w="4652" w:type="dxa"/>
            <w:tcBorders>
              <w:top w:val="single" w:color="auto" w:sz="8" w:space="0"/>
              <w:left w:val="single" w:color="auto" w:sz="8" w:space="0"/>
              <w:bottom w:val="single" w:color="auto" w:sz="8" w:space="0"/>
              <w:right w:val="single" w:color="auto" w:sz="8" w:space="0"/>
            </w:tcBorders>
            <w:noWrap w:val="0"/>
            <w:vAlign w:val="center"/>
          </w:tcPr>
          <w:p w14:paraId="63FB7478">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甲  方</w:t>
            </w:r>
          </w:p>
        </w:tc>
        <w:tc>
          <w:tcPr>
            <w:tcW w:w="4367" w:type="dxa"/>
            <w:tcBorders>
              <w:top w:val="single" w:color="auto" w:sz="8" w:space="0"/>
              <w:left w:val="nil"/>
              <w:bottom w:val="single" w:color="auto" w:sz="8" w:space="0"/>
              <w:right w:val="single" w:color="auto" w:sz="8" w:space="0"/>
            </w:tcBorders>
            <w:noWrap w:val="0"/>
            <w:vAlign w:val="center"/>
          </w:tcPr>
          <w:p w14:paraId="124AB605">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乙  方</w:t>
            </w:r>
          </w:p>
        </w:tc>
      </w:tr>
      <w:tr w14:paraId="7D427C9E">
        <w:tblPrEx>
          <w:tblCellMar>
            <w:top w:w="0" w:type="dxa"/>
            <w:left w:w="108" w:type="dxa"/>
            <w:bottom w:w="0" w:type="dxa"/>
            <w:right w:w="108" w:type="dxa"/>
          </w:tblCellMar>
        </w:tblPrEx>
        <w:trPr>
          <w:trHeight w:val="90" w:hRule="atLeast"/>
          <w:jc w:val="center"/>
        </w:trPr>
        <w:tc>
          <w:tcPr>
            <w:tcW w:w="4652" w:type="dxa"/>
            <w:vMerge w:val="restart"/>
            <w:tcBorders>
              <w:top w:val="nil"/>
              <w:left w:val="single" w:color="auto" w:sz="8" w:space="0"/>
              <w:bottom w:val="single" w:color="000000" w:sz="8" w:space="0"/>
              <w:right w:val="single" w:color="auto" w:sz="8" w:space="0"/>
            </w:tcBorders>
            <w:noWrap w:val="0"/>
            <w:vAlign w:val="center"/>
          </w:tcPr>
          <w:p w14:paraId="0FA8C982">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（盖章）</w:t>
            </w:r>
          </w:p>
        </w:tc>
        <w:tc>
          <w:tcPr>
            <w:tcW w:w="4367" w:type="dxa"/>
            <w:tcBorders>
              <w:top w:val="nil"/>
              <w:left w:val="nil"/>
              <w:bottom w:val="nil"/>
              <w:right w:val="single" w:color="auto" w:sz="8" w:space="0"/>
            </w:tcBorders>
            <w:noWrap w:val="0"/>
            <w:vAlign w:val="center"/>
          </w:tcPr>
          <w:p w14:paraId="5EB39B65">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成交供应商全称</w:t>
            </w:r>
          </w:p>
        </w:tc>
      </w:tr>
      <w:tr w14:paraId="69AB5E2D">
        <w:tblPrEx>
          <w:tblCellMar>
            <w:top w:w="0" w:type="dxa"/>
            <w:left w:w="108" w:type="dxa"/>
            <w:bottom w:w="0" w:type="dxa"/>
            <w:right w:w="108" w:type="dxa"/>
          </w:tblCellMar>
        </w:tblPrEx>
        <w:trPr>
          <w:trHeight w:val="121" w:hRule="atLeast"/>
          <w:jc w:val="center"/>
        </w:trPr>
        <w:tc>
          <w:tcPr>
            <w:tcW w:w="4652" w:type="dxa"/>
            <w:vMerge w:val="continue"/>
            <w:tcBorders>
              <w:top w:val="nil"/>
              <w:left w:val="single" w:color="auto" w:sz="8" w:space="0"/>
              <w:bottom w:val="single" w:color="000000" w:sz="8" w:space="0"/>
              <w:right w:val="single" w:color="auto" w:sz="8" w:space="0"/>
            </w:tcBorders>
            <w:noWrap w:val="0"/>
            <w:vAlign w:val="center"/>
          </w:tcPr>
          <w:p w14:paraId="4FC9E981">
            <w:pPr>
              <w:spacing w:line="360" w:lineRule="auto"/>
              <w:ind w:firstLine="480" w:firstLineChars="200"/>
              <w:rPr>
                <w:rFonts w:hint="eastAsia" w:ascii="宋体" w:hAnsi="宋体" w:eastAsia="宋体" w:cs="宋体"/>
                <w:kern w:val="2"/>
                <w:sz w:val="24"/>
                <w:szCs w:val="24"/>
                <w:highlight w:val="none"/>
              </w:rPr>
            </w:pPr>
          </w:p>
        </w:tc>
        <w:tc>
          <w:tcPr>
            <w:tcW w:w="4367" w:type="dxa"/>
            <w:tcBorders>
              <w:top w:val="nil"/>
              <w:left w:val="nil"/>
              <w:bottom w:val="single" w:color="auto" w:sz="8" w:space="0"/>
              <w:right w:val="single" w:color="auto" w:sz="8" w:space="0"/>
            </w:tcBorders>
            <w:noWrap w:val="0"/>
            <w:vAlign w:val="center"/>
          </w:tcPr>
          <w:p w14:paraId="72F25495">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（盖章）</w:t>
            </w:r>
          </w:p>
        </w:tc>
      </w:tr>
      <w:tr w14:paraId="69EA3734">
        <w:tblPrEx>
          <w:tblCellMar>
            <w:top w:w="0" w:type="dxa"/>
            <w:left w:w="108" w:type="dxa"/>
            <w:bottom w:w="0" w:type="dxa"/>
            <w:right w:w="108" w:type="dxa"/>
          </w:tblCellMar>
        </w:tblPrEx>
        <w:trPr>
          <w:trHeight w:val="90" w:hRule="atLeast"/>
          <w:jc w:val="center"/>
        </w:trPr>
        <w:tc>
          <w:tcPr>
            <w:tcW w:w="4652" w:type="dxa"/>
            <w:tcBorders>
              <w:top w:val="nil"/>
              <w:left w:val="single" w:color="auto" w:sz="8" w:space="0"/>
              <w:bottom w:val="single" w:color="auto" w:sz="8" w:space="0"/>
              <w:right w:val="single" w:color="auto" w:sz="8" w:space="0"/>
            </w:tcBorders>
            <w:noWrap w:val="0"/>
            <w:vAlign w:val="center"/>
          </w:tcPr>
          <w:p w14:paraId="34170CC4">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地址：</w:t>
            </w:r>
          </w:p>
        </w:tc>
        <w:tc>
          <w:tcPr>
            <w:tcW w:w="4367" w:type="dxa"/>
            <w:tcBorders>
              <w:top w:val="nil"/>
              <w:left w:val="nil"/>
              <w:bottom w:val="single" w:color="auto" w:sz="8" w:space="0"/>
              <w:right w:val="single" w:color="auto" w:sz="8" w:space="0"/>
            </w:tcBorders>
            <w:noWrap w:val="0"/>
            <w:vAlign w:val="center"/>
          </w:tcPr>
          <w:p w14:paraId="67D0A155">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地址：</w:t>
            </w:r>
          </w:p>
        </w:tc>
      </w:tr>
      <w:tr w14:paraId="60AC52FA">
        <w:tblPrEx>
          <w:tblCellMar>
            <w:top w:w="0" w:type="dxa"/>
            <w:left w:w="108" w:type="dxa"/>
            <w:bottom w:w="0" w:type="dxa"/>
            <w:right w:w="108" w:type="dxa"/>
          </w:tblCellMar>
        </w:tblPrEx>
        <w:trPr>
          <w:trHeight w:val="90" w:hRule="atLeast"/>
          <w:jc w:val="center"/>
        </w:trPr>
        <w:tc>
          <w:tcPr>
            <w:tcW w:w="4652" w:type="dxa"/>
            <w:tcBorders>
              <w:top w:val="nil"/>
              <w:left w:val="single" w:color="auto" w:sz="8" w:space="0"/>
              <w:bottom w:val="single" w:color="auto" w:sz="8" w:space="0"/>
              <w:right w:val="single" w:color="auto" w:sz="8" w:space="0"/>
            </w:tcBorders>
            <w:noWrap w:val="0"/>
            <w:vAlign w:val="center"/>
          </w:tcPr>
          <w:p w14:paraId="460329A0">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邮编：</w:t>
            </w:r>
          </w:p>
        </w:tc>
        <w:tc>
          <w:tcPr>
            <w:tcW w:w="4367" w:type="dxa"/>
            <w:tcBorders>
              <w:top w:val="nil"/>
              <w:left w:val="nil"/>
              <w:bottom w:val="single" w:color="auto" w:sz="8" w:space="0"/>
              <w:right w:val="single" w:color="auto" w:sz="8" w:space="0"/>
            </w:tcBorders>
            <w:noWrap w:val="0"/>
            <w:vAlign w:val="center"/>
          </w:tcPr>
          <w:p w14:paraId="7A2C36D0">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邮编：</w:t>
            </w:r>
          </w:p>
        </w:tc>
      </w:tr>
      <w:tr w14:paraId="5C1498DA">
        <w:tblPrEx>
          <w:tblCellMar>
            <w:top w:w="0" w:type="dxa"/>
            <w:left w:w="108" w:type="dxa"/>
            <w:bottom w:w="0" w:type="dxa"/>
            <w:right w:w="108" w:type="dxa"/>
          </w:tblCellMar>
        </w:tblPrEx>
        <w:trPr>
          <w:trHeight w:val="90" w:hRule="atLeast"/>
          <w:jc w:val="center"/>
        </w:trPr>
        <w:tc>
          <w:tcPr>
            <w:tcW w:w="4652" w:type="dxa"/>
            <w:vMerge w:val="restart"/>
            <w:tcBorders>
              <w:top w:val="nil"/>
              <w:left w:val="single" w:color="auto" w:sz="8" w:space="0"/>
              <w:bottom w:val="single" w:color="000000" w:sz="8" w:space="0"/>
              <w:right w:val="single" w:color="auto" w:sz="8" w:space="0"/>
            </w:tcBorders>
            <w:noWrap w:val="0"/>
            <w:vAlign w:val="center"/>
          </w:tcPr>
          <w:p w14:paraId="5F28CCB8">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全权代表：（签字）</w:t>
            </w:r>
          </w:p>
        </w:tc>
        <w:tc>
          <w:tcPr>
            <w:tcW w:w="4367" w:type="dxa"/>
            <w:tcBorders>
              <w:top w:val="nil"/>
              <w:left w:val="nil"/>
              <w:bottom w:val="single" w:color="auto" w:sz="8" w:space="0"/>
              <w:right w:val="single" w:color="auto" w:sz="8" w:space="0"/>
            </w:tcBorders>
            <w:noWrap w:val="0"/>
            <w:vAlign w:val="center"/>
          </w:tcPr>
          <w:p w14:paraId="11DBD330">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法定代表人：</w:t>
            </w:r>
          </w:p>
        </w:tc>
      </w:tr>
      <w:tr w14:paraId="64A483C7">
        <w:tblPrEx>
          <w:tblCellMar>
            <w:top w:w="0" w:type="dxa"/>
            <w:left w:w="108" w:type="dxa"/>
            <w:bottom w:w="0" w:type="dxa"/>
            <w:right w:w="108" w:type="dxa"/>
          </w:tblCellMar>
        </w:tblPrEx>
        <w:trPr>
          <w:trHeight w:val="271" w:hRule="atLeast"/>
          <w:jc w:val="center"/>
        </w:trPr>
        <w:tc>
          <w:tcPr>
            <w:tcW w:w="4652" w:type="dxa"/>
            <w:vMerge w:val="continue"/>
            <w:tcBorders>
              <w:top w:val="nil"/>
              <w:left w:val="single" w:color="auto" w:sz="8" w:space="0"/>
              <w:bottom w:val="single" w:color="000000" w:sz="8" w:space="0"/>
              <w:right w:val="single" w:color="auto" w:sz="8" w:space="0"/>
            </w:tcBorders>
            <w:noWrap w:val="0"/>
            <w:vAlign w:val="center"/>
          </w:tcPr>
          <w:p w14:paraId="02B50B9C">
            <w:pPr>
              <w:spacing w:line="360" w:lineRule="auto"/>
              <w:ind w:firstLine="480" w:firstLineChars="200"/>
              <w:rPr>
                <w:rFonts w:hint="eastAsia" w:ascii="宋体" w:hAnsi="宋体" w:eastAsia="宋体" w:cs="宋体"/>
                <w:kern w:val="2"/>
                <w:sz w:val="24"/>
                <w:szCs w:val="24"/>
                <w:highlight w:val="none"/>
              </w:rPr>
            </w:pPr>
          </w:p>
        </w:tc>
        <w:tc>
          <w:tcPr>
            <w:tcW w:w="4367" w:type="dxa"/>
            <w:tcBorders>
              <w:top w:val="nil"/>
              <w:left w:val="nil"/>
              <w:bottom w:val="single" w:color="auto" w:sz="8" w:space="0"/>
              <w:right w:val="single" w:color="auto" w:sz="8" w:space="0"/>
            </w:tcBorders>
            <w:noWrap w:val="0"/>
            <w:vAlign w:val="center"/>
          </w:tcPr>
          <w:p w14:paraId="56DCA301">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被授权代表：（签字）</w:t>
            </w:r>
          </w:p>
        </w:tc>
      </w:tr>
      <w:tr w14:paraId="46C0A281">
        <w:tblPrEx>
          <w:tblCellMar>
            <w:top w:w="0" w:type="dxa"/>
            <w:left w:w="108" w:type="dxa"/>
            <w:bottom w:w="0" w:type="dxa"/>
            <w:right w:w="108" w:type="dxa"/>
          </w:tblCellMar>
        </w:tblPrEx>
        <w:trPr>
          <w:trHeight w:val="90" w:hRule="atLeast"/>
          <w:jc w:val="center"/>
        </w:trPr>
        <w:tc>
          <w:tcPr>
            <w:tcW w:w="4652" w:type="dxa"/>
            <w:tcBorders>
              <w:top w:val="nil"/>
              <w:left w:val="single" w:color="auto" w:sz="8" w:space="0"/>
              <w:bottom w:val="single" w:color="auto" w:sz="8" w:space="0"/>
              <w:right w:val="single" w:color="auto" w:sz="8" w:space="0"/>
            </w:tcBorders>
            <w:noWrap w:val="0"/>
            <w:vAlign w:val="center"/>
          </w:tcPr>
          <w:p w14:paraId="041DC99F">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电话：</w:t>
            </w:r>
          </w:p>
        </w:tc>
        <w:tc>
          <w:tcPr>
            <w:tcW w:w="4367" w:type="dxa"/>
            <w:tcBorders>
              <w:top w:val="nil"/>
              <w:left w:val="nil"/>
              <w:bottom w:val="single" w:color="auto" w:sz="8" w:space="0"/>
              <w:right w:val="single" w:color="auto" w:sz="8" w:space="0"/>
            </w:tcBorders>
            <w:noWrap w:val="0"/>
            <w:vAlign w:val="center"/>
          </w:tcPr>
          <w:p w14:paraId="42C201C8">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电话：</w:t>
            </w:r>
          </w:p>
        </w:tc>
      </w:tr>
      <w:tr w14:paraId="58C63F7F">
        <w:tblPrEx>
          <w:tblCellMar>
            <w:top w:w="0" w:type="dxa"/>
            <w:left w:w="108" w:type="dxa"/>
            <w:bottom w:w="0" w:type="dxa"/>
            <w:right w:w="108" w:type="dxa"/>
          </w:tblCellMar>
        </w:tblPrEx>
        <w:trPr>
          <w:trHeight w:val="90" w:hRule="atLeast"/>
          <w:jc w:val="center"/>
        </w:trPr>
        <w:tc>
          <w:tcPr>
            <w:tcW w:w="4652" w:type="dxa"/>
            <w:vMerge w:val="restart"/>
            <w:tcBorders>
              <w:top w:val="nil"/>
              <w:left w:val="single" w:color="auto" w:sz="8" w:space="0"/>
              <w:bottom w:val="single" w:color="000000" w:sz="8" w:space="0"/>
              <w:right w:val="single" w:color="auto" w:sz="8" w:space="0"/>
            </w:tcBorders>
            <w:noWrap w:val="0"/>
            <w:vAlign w:val="center"/>
          </w:tcPr>
          <w:p w14:paraId="7EE973DE">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传真：</w:t>
            </w:r>
          </w:p>
        </w:tc>
        <w:tc>
          <w:tcPr>
            <w:tcW w:w="4367" w:type="dxa"/>
            <w:tcBorders>
              <w:top w:val="nil"/>
              <w:left w:val="nil"/>
              <w:bottom w:val="single" w:color="auto" w:sz="8" w:space="0"/>
              <w:right w:val="single" w:color="auto" w:sz="8" w:space="0"/>
            </w:tcBorders>
            <w:noWrap w:val="0"/>
            <w:vAlign w:val="center"/>
          </w:tcPr>
          <w:p w14:paraId="39A09F03">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传真：</w:t>
            </w:r>
          </w:p>
        </w:tc>
      </w:tr>
      <w:tr w14:paraId="7F6F4ED6">
        <w:tblPrEx>
          <w:tblCellMar>
            <w:top w:w="0" w:type="dxa"/>
            <w:left w:w="108" w:type="dxa"/>
            <w:bottom w:w="0" w:type="dxa"/>
            <w:right w:w="108" w:type="dxa"/>
          </w:tblCellMar>
        </w:tblPrEx>
        <w:trPr>
          <w:trHeight w:val="90" w:hRule="atLeast"/>
          <w:jc w:val="center"/>
        </w:trPr>
        <w:tc>
          <w:tcPr>
            <w:tcW w:w="4652" w:type="dxa"/>
            <w:vMerge w:val="continue"/>
            <w:tcBorders>
              <w:top w:val="nil"/>
              <w:left w:val="single" w:color="auto" w:sz="8" w:space="0"/>
              <w:bottom w:val="single" w:color="000000" w:sz="8" w:space="0"/>
              <w:right w:val="single" w:color="auto" w:sz="8" w:space="0"/>
            </w:tcBorders>
            <w:noWrap w:val="0"/>
            <w:vAlign w:val="center"/>
          </w:tcPr>
          <w:p w14:paraId="16DE67BD">
            <w:pPr>
              <w:spacing w:line="360" w:lineRule="auto"/>
              <w:ind w:firstLine="480" w:firstLineChars="200"/>
              <w:rPr>
                <w:rFonts w:hint="eastAsia" w:ascii="宋体" w:hAnsi="宋体" w:eastAsia="宋体" w:cs="宋体"/>
                <w:kern w:val="2"/>
                <w:sz w:val="24"/>
                <w:szCs w:val="24"/>
                <w:highlight w:val="none"/>
              </w:rPr>
            </w:pPr>
          </w:p>
        </w:tc>
        <w:tc>
          <w:tcPr>
            <w:tcW w:w="4367" w:type="dxa"/>
            <w:tcBorders>
              <w:top w:val="nil"/>
              <w:left w:val="nil"/>
              <w:bottom w:val="single" w:color="auto" w:sz="8" w:space="0"/>
              <w:right w:val="single" w:color="auto" w:sz="8" w:space="0"/>
            </w:tcBorders>
            <w:noWrap w:val="0"/>
            <w:vAlign w:val="center"/>
          </w:tcPr>
          <w:p w14:paraId="3E64A058">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开户银行：</w:t>
            </w:r>
          </w:p>
        </w:tc>
      </w:tr>
      <w:tr w14:paraId="045069E2">
        <w:tblPrEx>
          <w:tblCellMar>
            <w:top w:w="0" w:type="dxa"/>
            <w:left w:w="108" w:type="dxa"/>
            <w:bottom w:w="0" w:type="dxa"/>
            <w:right w:w="108" w:type="dxa"/>
          </w:tblCellMar>
        </w:tblPrEx>
        <w:trPr>
          <w:trHeight w:val="1090" w:hRule="atLeast"/>
          <w:jc w:val="center"/>
        </w:trPr>
        <w:tc>
          <w:tcPr>
            <w:tcW w:w="4652" w:type="dxa"/>
            <w:vMerge w:val="continue"/>
            <w:tcBorders>
              <w:top w:val="nil"/>
              <w:left w:val="single" w:color="auto" w:sz="8" w:space="0"/>
              <w:bottom w:val="single" w:color="000000" w:sz="8" w:space="0"/>
              <w:right w:val="single" w:color="auto" w:sz="8" w:space="0"/>
            </w:tcBorders>
            <w:noWrap w:val="0"/>
            <w:vAlign w:val="center"/>
          </w:tcPr>
          <w:p w14:paraId="6F47055B">
            <w:pPr>
              <w:spacing w:line="360" w:lineRule="auto"/>
              <w:ind w:firstLine="480" w:firstLineChars="200"/>
              <w:rPr>
                <w:rFonts w:hint="eastAsia" w:ascii="宋体" w:hAnsi="宋体" w:eastAsia="宋体" w:cs="宋体"/>
                <w:kern w:val="2"/>
                <w:sz w:val="24"/>
                <w:szCs w:val="24"/>
                <w:highlight w:val="none"/>
              </w:rPr>
            </w:pPr>
          </w:p>
        </w:tc>
        <w:tc>
          <w:tcPr>
            <w:tcW w:w="4367" w:type="dxa"/>
            <w:tcBorders>
              <w:top w:val="nil"/>
              <w:left w:val="nil"/>
              <w:bottom w:val="single" w:color="auto" w:sz="8" w:space="0"/>
              <w:right w:val="single" w:color="auto" w:sz="8" w:space="0"/>
            </w:tcBorders>
            <w:noWrap w:val="0"/>
            <w:vAlign w:val="center"/>
          </w:tcPr>
          <w:p w14:paraId="20FD75BB">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账号:</w:t>
            </w:r>
          </w:p>
        </w:tc>
      </w:tr>
      <w:tr w14:paraId="7FF00C97">
        <w:tblPrEx>
          <w:tblCellMar>
            <w:top w:w="0" w:type="dxa"/>
            <w:left w:w="108" w:type="dxa"/>
            <w:bottom w:w="0" w:type="dxa"/>
            <w:right w:w="108" w:type="dxa"/>
          </w:tblCellMar>
        </w:tblPrEx>
        <w:trPr>
          <w:trHeight w:val="90" w:hRule="atLeast"/>
          <w:jc w:val="center"/>
        </w:trPr>
        <w:tc>
          <w:tcPr>
            <w:tcW w:w="4652" w:type="dxa"/>
            <w:tcBorders>
              <w:top w:val="nil"/>
              <w:left w:val="single" w:color="auto" w:sz="8" w:space="0"/>
              <w:bottom w:val="single" w:color="auto" w:sz="8" w:space="0"/>
              <w:right w:val="single" w:color="auto" w:sz="8" w:space="0"/>
            </w:tcBorders>
            <w:noWrap w:val="0"/>
            <w:vAlign w:val="center"/>
          </w:tcPr>
          <w:p w14:paraId="2D0999BB">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日期：     年   月   日</w:t>
            </w:r>
          </w:p>
        </w:tc>
        <w:tc>
          <w:tcPr>
            <w:tcW w:w="4367" w:type="dxa"/>
            <w:tcBorders>
              <w:top w:val="nil"/>
              <w:left w:val="nil"/>
              <w:bottom w:val="single" w:color="auto" w:sz="8" w:space="0"/>
              <w:right w:val="single" w:color="auto" w:sz="8" w:space="0"/>
            </w:tcBorders>
            <w:noWrap w:val="0"/>
            <w:vAlign w:val="center"/>
          </w:tcPr>
          <w:p w14:paraId="43C05016">
            <w:pPr>
              <w:spacing w:line="36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日期：     年   月   日</w:t>
            </w:r>
          </w:p>
        </w:tc>
      </w:tr>
    </w:tbl>
    <w:p w14:paraId="0EF03F06">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47F68618">
      <w:pPr>
        <w:pStyle w:val="2"/>
        <w:rPr>
          <w:rFonts w:hint="eastAsia" w:ascii="宋体" w:hAnsi="宋体" w:eastAsia="宋体" w:cs="宋体"/>
          <w:b/>
          <w:color w:val="auto"/>
          <w:sz w:val="32"/>
          <w:szCs w:val="32"/>
          <w:highlight w:val="none"/>
          <w:lang w:val="zh-CN"/>
        </w:rPr>
      </w:pPr>
      <w:bookmarkStart w:id="38" w:name="_Toc25139"/>
      <w:bookmarkStart w:id="39" w:name="_Toc16654"/>
      <w:r>
        <w:rPr>
          <w:rFonts w:hint="eastAsia" w:ascii="宋体" w:hAnsi="宋体" w:eastAsia="宋体" w:cs="宋体"/>
          <w:b/>
          <w:color w:val="auto"/>
          <w:sz w:val="32"/>
          <w:szCs w:val="32"/>
          <w:highlight w:val="none"/>
        </w:rPr>
        <w:t>第六章、</w:t>
      </w:r>
      <w:r>
        <w:rPr>
          <w:rFonts w:hint="eastAsia" w:ascii="宋体" w:hAnsi="宋体" w:eastAsia="宋体" w:cs="宋体"/>
          <w:b/>
          <w:color w:val="auto"/>
          <w:sz w:val="32"/>
          <w:szCs w:val="32"/>
          <w:highlight w:val="none"/>
          <w:lang w:val="zh-CN"/>
        </w:rPr>
        <w:t>谈判响应文件</w:t>
      </w:r>
      <w:bookmarkEnd w:id="19"/>
      <w:bookmarkEnd w:id="36"/>
      <w:r>
        <w:rPr>
          <w:rFonts w:hint="eastAsia" w:ascii="宋体" w:hAnsi="宋体" w:eastAsia="宋体" w:cs="宋体"/>
          <w:b/>
          <w:color w:val="auto"/>
          <w:sz w:val="32"/>
          <w:szCs w:val="32"/>
          <w:highlight w:val="none"/>
          <w:lang w:val="zh-CN"/>
        </w:rPr>
        <w:t>组成</w:t>
      </w:r>
      <w:bookmarkEnd w:id="37"/>
      <w:bookmarkEnd w:id="38"/>
      <w:bookmarkEnd w:id="39"/>
    </w:p>
    <w:p w14:paraId="14D018DF">
      <w:pPr>
        <w:autoSpaceDE w:val="0"/>
        <w:autoSpaceDN w:val="0"/>
        <w:adjustRightInd w:val="0"/>
        <w:snapToGrid w:val="0"/>
        <w:spacing w:line="360" w:lineRule="auto"/>
        <w:jc w:val="right"/>
        <w:outlineLvl w:val="9"/>
        <w:rPr>
          <w:rFonts w:hint="eastAsia" w:ascii="宋体" w:hAnsi="宋体" w:eastAsia="宋体" w:cs="宋体"/>
          <w:b/>
          <w:bCs/>
          <w:color w:val="auto"/>
          <w:sz w:val="32"/>
          <w:szCs w:val="32"/>
          <w:highlight w:val="none"/>
          <w:lang w:val="zh-CN"/>
        </w:rPr>
      </w:pPr>
      <w:bookmarkStart w:id="40" w:name="_Toc3241"/>
      <w:bookmarkStart w:id="41" w:name="_Toc6248"/>
      <w:bookmarkStart w:id="42" w:name="_Toc31368"/>
    </w:p>
    <w:bookmarkEnd w:id="40"/>
    <w:bookmarkEnd w:id="41"/>
    <w:bookmarkEnd w:id="42"/>
    <w:p w14:paraId="6CB9D5AA">
      <w:pPr>
        <w:spacing w:line="480" w:lineRule="auto"/>
        <w:jc w:val="both"/>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一、响应文件格式</w:t>
      </w:r>
    </w:p>
    <w:p w14:paraId="7A768220">
      <w:pPr>
        <w:spacing w:line="480" w:lineRule="auto"/>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二、资格证明文件</w:t>
      </w:r>
    </w:p>
    <w:p w14:paraId="51A41883">
      <w:pPr>
        <w:spacing w:line="480" w:lineRule="auto"/>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三、符合性证明文件</w:t>
      </w:r>
    </w:p>
    <w:p w14:paraId="3DA9C23B">
      <w:pPr>
        <w:pStyle w:val="46"/>
        <w:ind w:left="0" w:leftChars="0" w:firstLine="0" w:firstLineChars="0"/>
        <w:rPr>
          <w:rFonts w:hint="eastAsia" w:ascii="宋体" w:hAnsi="宋体" w:eastAsia="宋体" w:cs="宋体"/>
          <w:highlight w:val="none"/>
          <w:lang w:val="en-US" w:eastAsia="zh-CN"/>
        </w:rPr>
      </w:pPr>
      <w:r>
        <w:rPr>
          <w:rFonts w:hint="eastAsia" w:ascii="宋体" w:hAnsi="宋体" w:eastAsia="宋体" w:cs="宋体"/>
          <w:b/>
          <w:bCs/>
          <w:color w:val="auto"/>
          <w:sz w:val="24"/>
          <w:szCs w:val="24"/>
          <w:highlight w:val="none"/>
          <w:lang w:val="en-US" w:eastAsia="zh-CN"/>
        </w:rPr>
        <w:t>四、响应方案</w:t>
      </w:r>
    </w:p>
    <w:p w14:paraId="11B54733">
      <w:pPr>
        <w:autoSpaceDE w:val="0"/>
        <w:autoSpaceDN w:val="0"/>
        <w:adjustRightInd w:val="0"/>
        <w:snapToGrid w:val="0"/>
        <w:spacing w:line="360" w:lineRule="auto"/>
        <w:jc w:val="right"/>
        <w:outlineLvl w:val="9"/>
        <w:rPr>
          <w:rFonts w:hint="eastAsia" w:ascii="宋体" w:hAnsi="宋体" w:eastAsia="宋体" w:cs="宋体"/>
          <w:b/>
          <w:bCs/>
          <w:color w:val="auto"/>
          <w:sz w:val="32"/>
          <w:szCs w:val="32"/>
          <w:highlight w:val="none"/>
          <w:lang w:val="zh-CN"/>
        </w:rPr>
      </w:pPr>
    </w:p>
    <w:p w14:paraId="4F7E793E">
      <w:pPr>
        <w:outlineLvl w:val="9"/>
        <w:rPr>
          <w:rFonts w:hint="eastAsia" w:ascii="宋体" w:hAnsi="宋体" w:eastAsia="宋体" w:cs="宋体"/>
          <w:b/>
          <w:bCs/>
          <w:color w:val="auto"/>
          <w:sz w:val="32"/>
          <w:szCs w:val="32"/>
          <w:highlight w:val="none"/>
          <w:lang w:val="zh-CN"/>
        </w:rPr>
      </w:pPr>
      <w:bookmarkStart w:id="43" w:name="_Toc16212"/>
      <w:bookmarkStart w:id="44" w:name="_Toc28089"/>
      <w:bookmarkStart w:id="45" w:name="_Toc27627"/>
    </w:p>
    <w:p w14:paraId="4B7D59AE">
      <w:pPr>
        <w:outlineLvl w:val="9"/>
        <w:rPr>
          <w:rFonts w:hint="eastAsia" w:ascii="宋体" w:hAnsi="宋体" w:eastAsia="宋体" w:cs="宋体"/>
          <w:b/>
          <w:bCs/>
          <w:color w:val="auto"/>
          <w:sz w:val="32"/>
          <w:szCs w:val="32"/>
          <w:highlight w:val="none"/>
          <w:lang w:val="zh-CN"/>
        </w:rPr>
      </w:pPr>
    </w:p>
    <w:p w14:paraId="5DA71597">
      <w:pPr>
        <w:outlineLvl w:val="9"/>
        <w:rPr>
          <w:rFonts w:hint="eastAsia" w:ascii="宋体" w:hAnsi="宋体" w:eastAsia="宋体" w:cs="宋体"/>
          <w:b/>
          <w:bCs/>
          <w:color w:val="auto"/>
          <w:sz w:val="32"/>
          <w:szCs w:val="32"/>
          <w:highlight w:val="none"/>
          <w:lang w:val="zh-CN"/>
        </w:rPr>
      </w:pPr>
    </w:p>
    <w:p w14:paraId="3721D543">
      <w:pPr>
        <w:outlineLvl w:val="9"/>
        <w:rPr>
          <w:rFonts w:hint="eastAsia" w:ascii="宋体" w:hAnsi="宋体" w:eastAsia="宋体" w:cs="宋体"/>
          <w:b/>
          <w:bCs/>
          <w:color w:val="auto"/>
          <w:sz w:val="32"/>
          <w:szCs w:val="32"/>
          <w:highlight w:val="none"/>
          <w:lang w:val="zh-CN"/>
        </w:rPr>
      </w:pPr>
    </w:p>
    <w:p w14:paraId="0371EB1B">
      <w:pPr>
        <w:outlineLvl w:val="9"/>
        <w:rPr>
          <w:rFonts w:hint="eastAsia" w:ascii="宋体" w:hAnsi="宋体" w:eastAsia="宋体" w:cs="宋体"/>
          <w:b/>
          <w:bCs/>
          <w:color w:val="auto"/>
          <w:sz w:val="32"/>
          <w:szCs w:val="32"/>
          <w:highlight w:val="none"/>
          <w:lang w:val="zh-CN"/>
        </w:rPr>
      </w:pPr>
    </w:p>
    <w:p w14:paraId="2A99816B">
      <w:pPr>
        <w:outlineLvl w:val="9"/>
        <w:rPr>
          <w:rFonts w:hint="eastAsia" w:ascii="宋体" w:hAnsi="宋体" w:eastAsia="宋体" w:cs="宋体"/>
          <w:b/>
          <w:bCs/>
          <w:color w:val="auto"/>
          <w:sz w:val="32"/>
          <w:szCs w:val="32"/>
          <w:highlight w:val="none"/>
          <w:lang w:val="zh-CN"/>
        </w:rPr>
      </w:pPr>
    </w:p>
    <w:p w14:paraId="02500653">
      <w:pPr>
        <w:outlineLvl w:val="9"/>
        <w:rPr>
          <w:rFonts w:hint="eastAsia" w:ascii="宋体" w:hAnsi="宋体" w:eastAsia="宋体" w:cs="宋体"/>
          <w:b/>
          <w:bCs/>
          <w:color w:val="auto"/>
          <w:sz w:val="32"/>
          <w:szCs w:val="32"/>
          <w:highlight w:val="none"/>
          <w:lang w:val="zh-CN"/>
        </w:rPr>
      </w:pPr>
    </w:p>
    <w:p w14:paraId="52E1EA87">
      <w:pPr>
        <w:outlineLvl w:val="9"/>
        <w:rPr>
          <w:rFonts w:hint="eastAsia" w:ascii="宋体" w:hAnsi="宋体" w:eastAsia="宋体" w:cs="宋体"/>
          <w:b/>
          <w:bCs/>
          <w:color w:val="auto"/>
          <w:sz w:val="32"/>
          <w:szCs w:val="32"/>
          <w:highlight w:val="none"/>
          <w:lang w:val="zh-CN"/>
        </w:rPr>
      </w:pPr>
    </w:p>
    <w:p w14:paraId="5E20DA9F">
      <w:pPr>
        <w:outlineLvl w:val="9"/>
        <w:rPr>
          <w:rFonts w:hint="eastAsia" w:ascii="宋体" w:hAnsi="宋体" w:eastAsia="宋体" w:cs="宋体"/>
          <w:b/>
          <w:bCs/>
          <w:color w:val="auto"/>
          <w:sz w:val="32"/>
          <w:szCs w:val="32"/>
          <w:highlight w:val="none"/>
          <w:lang w:val="zh-CN"/>
        </w:rPr>
      </w:pPr>
    </w:p>
    <w:p w14:paraId="463B88B9">
      <w:pPr>
        <w:spacing w:line="360" w:lineRule="auto"/>
        <w:jc w:val="both"/>
        <w:outlineLvl w:val="9"/>
        <w:rPr>
          <w:rFonts w:hint="eastAsia" w:ascii="宋体" w:hAnsi="宋体" w:eastAsia="宋体" w:cs="宋体"/>
          <w:b/>
          <w:bCs/>
          <w:color w:val="auto"/>
          <w:szCs w:val="24"/>
          <w:highlight w:val="none"/>
        </w:rPr>
      </w:pPr>
      <w:r>
        <w:rPr>
          <w:rFonts w:hint="eastAsia" w:ascii="宋体" w:hAnsi="宋体" w:eastAsia="宋体" w:cs="宋体"/>
          <w:b/>
          <w:bCs/>
          <w:color w:val="auto"/>
          <w:highlight w:val="none"/>
          <w:lang w:val="en-US" w:eastAsia="zh-CN"/>
        </w:rPr>
        <w:t>注：</w:t>
      </w:r>
      <w:r>
        <w:rPr>
          <w:rFonts w:hint="eastAsia" w:ascii="宋体" w:hAnsi="宋体" w:eastAsia="宋体" w:cs="宋体"/>
          <w:b/>
          <w:bCs/>
          <w:color w:val="auto"/>
          <w:szCs w:val="24"/>
          <w:highlight w:val="none"/>
          <w:lang w:eastAsia="zh-CN"/>
        </w:rPr>
        <w:t>响应</w:t>
      </w:r>
      <w:r>
        <w:rPr>
          <w:rFonts w:hint="eastAsia" w:ascii="宋体" w:hAnsi="宋体" w:eastAsia="宋体" w:cs="宋体"/>
          <w:b/>
          <w:bCs/>
          <w:color w:val="auto"/>
          <w:szCs w:val="24"/>
          <w:highlight w:val="none"/>
        </w:rPr>
        <w:t>文件编制说明</w:t>
      </w:r>
    </w:p>
    <w:p w14:paraId="2292112C">
      <w:pPr>
        <w:spacing w:line="360" w:lineRule="auto"/>
        <w:ind w:left="210" w:leftChars="100" w:firstLine="316" w:firstLineChars="150"/>
        <w:outlineLvl w:val="9"/>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1</w:t>
      </w:r>
      <w:r>
        <w:rPr>
          <w:rFonts w:hint="eastAsia" w:ascii="宋体" w:hAnsi="宋体" w:eastAsia="宋体" w:cs="宋体"/>
          <w:b/>
          <w:bCs/>
          <w:color w:val="auto"/>
          <w:szCs w:val="24"/>
          <w:highlight w:val="none"/>
        </w:rPr>
        <w:t>、</w:t>
      </w:r>
      <w:r>
        <w:rPr>
          <w:rFonts w:hint="eastAsia" w:ascii="宋体" w:hAnsi="宋体" w:eastAsia="宋体" w:cs="宋体"/>
          <w:b/>
          <w:bCs/>
          <w:color w:val="auto"/>
          <w:szCs w:val="24"/>
          <w:highlight w:val="none"/>
          <w:lang w:eastAsia="zh-CN"/>
        </w:rPr>
        <w:t>响应文件</w:t>
      </w:r>
      <w:r>
        <w:rPr>
          <w:rFonts w:hint="eastAsia" w:ascii="宋体" w:hAnsi="宋体" w:eastAsia="宋体" w:cs="宋体"/>
          <w:b/>
          <w:bCs/>
          <w:color w:val="auto"/>
          <w:szCs w:val="24"/>
          <w:highlight w:val="none"/>
        </w:rPr>
        <w:t>的编制应按照样本格式提供的内容，做出逐一明确的答复；</w:t>
      </w:r>
      <w:r>
        <w:rPr>
          <w:rFonts w:hint="eastAsia" w:ascii="宋体" w:hAnsi="宋体" w:eastAsia="宋体" w:cs="宋体"/>
          <w:b/>
          <w:bCs/>
          <w:color w:val="auto"/>
          <w:szCs w:val="24"/>
          <w:highlight w:val="none"/>
          <w:lang w:eastAsia="zh-CN"/>
        </w:rPr>
        <w:t>供应商</w:t>
      </w:r>
      <w:r>
        <w:rPr>
          <w:rFonts w:hint="eastAsia" w:ascii="宋体" w:hAnsi="宋体" w:eastAsia="宋体" w:cs="宋体"/>
          <w:b/>
          <w:bCs/>
          <w:color w:val="auto"/>
          <w:szCs w:val="24"/>
          <w:highlight w:val="none"/>
        </w:rPr>
        <w:t>认为有必要，还可以做其它补充说明。</w:t>
      </w:r>
      <w:r>
        <w:rPr>
          <w:rFonts w:hint="eastAsia" w:ascii="宋体" w:hAnsi="宋体" w:eastAsia="宋体" w:cs="宋体"/>
          <w:b/>
          <w:bCs/>
          <w:color w:val="auto"/>
          <w:szCs w:val="24"/>
          <w:highlight w:val="none"/>
        </w:rPr>
        <w:cr/>
      </w:r>
      <w:r>
        <w:rPr>
          <w:rFonts w:hint="eastAsia" w:ascii="宋体" w:hAnsi="宋体" w:eastAsia="宋体" w:cs="宋体"/>
          <w:b/>
          <w:bCs/>
          <w:color w:val="auto"/>
          <w:szCs w:val="24"/>
          <w:highlight w:val="none"/>
        </w:rPr>
        <w:t xml:space="preserve">   </w:t>
      </w:r>
      <w:r>
        <w:rPr>
          <w:rFonts w:hint="eastAsia" w:ascii="宋体" w:hAnsi="宋体" w:eastAsia="宋体" w:cs="宋体"/>
          <w:b/>
          <w:bCs/>
          <w:color w:val="auto"/>
          <w:szCs w:val="24"/>
          <w:highlight w:val="none"/>
          <w:lang w:val="en-US" w:eastAsia="zh-CN"/>
        </w:rPr>
        <w:t>2</w:t>
      </w:r>
      <w:r>
        <w:rPr>
          <w:rFonts w:hint="eastAsia" w:ascii="宋体" w:hAnsi="宋体" w:eastAsia="宋体" w:cs="宋体"/>
          <w:b/>
          <w:bCs/>
          <w:color w:val="auto"/>
          <w:szCs w:val="24"/>
          <w:highlight w:val="none"/>
        </w:rPr>
        <w:t>、</w:t>
      </w:r>
      <w:r>
        <w:rPr>
          <w:rFonts w:hint="eastAsia" w:ascii="宋体" w:hAnsi="宋体" w:eastAsia="宋体" w:cs="宋体"/>
          <w:b/>
          <w:bCs/>
          <w:color w:val="auto"/>
          <w:szCs w:val="24"/>
          <w:highlight w:val="none"/>
          <w:lang w:eastAsia="zh-CN"/>
        </w:rPr>
        <w:t>供应商</w:t>
      </w:r>
      <w:r>
        <w:rPr>
          <w:rFonts w:hint="eastAsia" w:ascii="宋体" w:hAnsi="宋体" w:eastAsia="宋体" w:cs="宋体"/>
          <w:b/>
          <w:bCs/>
          <w:color w:val="auto"/>
          <w:szCs w:val="24"/>
          <w:highlight w:val="none"/>
        </w:rPr>
        <w:t>必须按照</w:t>
      </w:r>
      <w:r>
        <w:rPr>
          <w:rFonts w:hint="eastAsia" w:ascii="宋体" w:hAnsi="宋体" w:eastAsia="宋体" w:cs="宋体"/>
          <w:b/>
          <w:bCs/>
          <w:color w:val="auto"/>
          <w:szCs w:val="24"/>
          <w:highlight w:val="none"/>
          <w:lang w:eastAsia="zh-CN"/>
        </w:rPr>
        <w:t>谈判</w:t>
      </w:r>
      <w:r>
        <w:rPr>
          <w:rFonts w:hint="eastAsia" w:ascii="宋体" w:hAnsi="宋体" w:eastAsia="宋体" w:cs="宋体"/>
          <w:b/>
          <w:bCs/>
          <w:color w:val="auto"/>
          <w:szCs w:val="24"/>
          <w:highlight w:val="none"/>
        </w:rPr>
        <w:t>文件的规定和要求由法定代表人或被授权人签字（或盖章），并</w:t>
      </w:r>
      <w:r>
        <w:rPr>
          <w:rFonts w:hint="eastAsia" w:ascii="宋体" w:hAnsi="宋体" w:eastAsia="宋体" w:cs="宋体"/>
          <w:b/>
          <w:bCs/>
          <w:color w:val="auto"/>
          <w:szCs w:val="24"/>
          <w:highlight w:val="none"/>
          <w:lang w:eastAsia="zh-CN"/>
        </w:rPr>
        <w:t>逐页</w:t>
      </w:r>
      <w:r>
        <w:rPr>
          <w:rFonts w:hint="eastAsia" w:ascii="宋体" w:hAnsi="宋体" w:eastAsia="宋体" w:cs="宋体"/>
          <w:b/>
          <w:bCs/>
          <w:color w:val="auto"/>
          <w:szCs w:val="24"/>
          <w:highlight w:val="none"/>
        </w:rPr>
        <w:t>加盖</w:t>
      </w:r>
      <w:r>
        <w:rPr>
          <w:rFonts w:hint="eastAsia" w:ascii="宋体" w:hAnsi="宋体" w:eastAsia="宋体" w:cs="宋体"/>
          <w:b/>
          <w:bCs/>
          <w:color w:val="auto"/>
          <w:szCs w:val="24"/>
          <w:highlight w:val="none"/>
          <w:lang w:eastAsia="zh-CN"/>
        </w:rPr>
        <w:t>供应商</w:t>
      </w:r>
      <w:r>
        <w:rPr>
          <w:rFonts w:hint="eastAsia" w:ascii="宋体" w:hAnsi="宋体" w:eastAsia="宋体" w:cs="宋体"/>
          <w:b/>
          <w:bCs/>
          <w:color w:val="auto"/>
          <w:szCs w:val="24"/>
          <w:highlight w:val="none"/>
        </w:rPr>
        <w:t>公章。</w:t>
      </w:r>
    </w:p>
    <w:p w14:paraId="02F3CED1">
      <w:pPr>
        <w:outlineLvl w:val="9"/>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br w:type="page"/>
      </w:r>
    </w:p>
    <w:p w14:paraId="7C5BEE12">
      <w:pPr>
        <w:spacing w:line="480" w:lineRule="auto"/>
        <w:jc w:val="both"/>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一、响应文件格式</w:t>
      </w:r>
    </w:p>
    <w:p w14:paraId="39367007">
      <w:pPr>
        <w:autoSpaceDE w:val="0"/>
        <w:autoSpaceDN w:val="0"/>
        <w:adjustRightInd w:val="0"/>
        <w:snapToGrid w:val="0"/>
        <w:spacing w:line="360" w:lineRule="auto"/>
        <w:jc w:val="left"/>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1、封面</w:t>
      </w:r>
    </w:p>
    <w:p w14:paraId="411B4882">
      <w:pPr>
        <w:autoSpaceDE w:val="0"/>
        <w:autoSpaceDN w:val="0"/>
        <w:adjustRightInd w:val="0"/>
        <w:snapToGrid w:val="0"/>
        <w:spacing w:line="360" w:lineRule="auto"/>
        <w:jc w:val="left"/>
        <w:outlineLvl w:val="9"/>
        <w:rPr>
          <w:rFonts w:hint="eastAsia" w:ascii="宋体" w:hAnsi="宋体" w:eastAsia="宋体" w:cs="宋体"/>
          <w:b/>
          <w:bCs/>
          <w:color w:val="FF0000"/>
          <w:sz w:val="32"/>
          <w:szCs w:val="32"/>
          <w:highlight w:val="none"/>
          <w:lang w:val="zh-CN"/>
        </w:rPr>
      </w:pPr>
    </w:p>
    <w:bookmarkEnd w:id="43"/>
    <w:bookmarkEnd w:id="44"/>
    <w:bookmarkEnd w:id="45"/>
    <w:p w14:paraId="44A8A82D">
      <w:pPr>
        <w:autoSpaceDE w:val="0"/>
        <w:autoSpaceDN w:val="0"/>
        <w:adjustRightInd w:val="0"/>
        <w:snapToGrid w:val="0"/>
        <w:spacing w:line="360" w:lineRule="auto"/>
        <w:jc w:val="left"/>
        <w:outlineLvl w:val="9"/>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项目编号：</w:t>
      </w:r>
      <w:r>
        <w:rPr>
          <w:rFonts w:hint="eastAsia" w:ascii="宋体" w:hAnsi="宋体" w:cs="宋体"/>
          <w:b/>
          <w:bCs/>
          <w:color w:val="auto"/>
          <w:sz w:val="32"/>
          <w:szCs w:val="32"/>
          <w:highlight w:val="none"/>
          <w:lang w:val="zh-CN"/>
        </w:rPr>
        <w:t>DX-BJ-2026-039(CG)</w:t>
      </w:r>
    </w:p>
    <w:p w14:paraId="542FDEB6">
      <w:pPr>
        <w:autoSpaceDE w:val="0"/>
        <w:autoSpaceDN w:val="0"/>
        <w:adjustRightInd w:val="0"/>
        <w:snapToGrid w:val="0"/>
        <w:spacing w:line="360" w:lineRule="auto"/>
        <w:rPr>
          <w:rFonts w:hint="eastAsia" w:ascii="宋体" w:hAnsi="宋体" w:eastAsia="宋体" w:cs="宋体"/>
          <w:b/>
          <w:bCs/>
          <w:sz w:val="52"/>
          <w:szCs w:val="52"/>
          <w:highlight w:val="none"/>
        </w:rPr>
      </w:pPr>
    </w:p>
    <w:p w14:paraId="5F293E40">
      <w:pPr>
        <w:tabs>
          <w:tab w:val="left" w:pos="5670"/>
        </w:tabs>
        <w:autoSpaceDE w:val="0"/>
        <w:autoSpaceDN w:val="0"/>
        <w:adjustRightInd w:val="0"/>
        <w:snapToGrid w:val="0"/>
        <w:spacing w:line="360" w:lineRule="auto"/>
        <w:jc w:val="center"/>
        <w:rPr>
          <w:rFonts w:hint="eastAsia" w:ascii="宋体" w:hAnsi="宋体" w:eastAsia="宋体" w:cs="宋体"/>
          <w:b/>
          <w:bCs/>
          <w:i w:val="0"/>
          <w:iCs w:val="0"/>
          <w:caps w:val="0"/>
          <w:color w:val="333333"/>
          <w:spacing w:val="0"/>
          <w:sz w:val="56"/>
          <w:szCs w:val="56"/>
          <w:highlight w:val="none"/>
          <w:shd w:val="clear" w:fill="FFFFFF"/>
          <w:lang w:val="zh-CN" w:eastAsia="zh-CN"/>
        </w:rPr>
      </w:pPr>
      <w:r>
        <w:rPr>
          <w:rFonts w:hint="eastAsia" w:ascii="宋体" w:hAnsi="宋体" w:cs="宋体"/>
          <w:b/>
          <w:bCs/>
          <w:i w:val="0"/>
          <w:iCs w:val="0"/>
          <w:caps w:val="0"/>
          <w:color w:val="333333"/>
          <w:spacing w:val="0"/>
          <w:sz w:val="56"/>
          <w:szCs w:val="56"/>
          <w:highlight w:val="none"/>
          <w:shd w:val="clear" w:fill="FFFFFF"/>
          <w:lang w:eastAsia="zh-CN"/>
        </w:rPr>
        <w:t>宝鸡市凤翔区竞存第一中学智慧黑板采购项目</w:t>
      </w:r>
    </w:p>
    <w:p w14:paraId="243AF652">
      <w:pPr>
        <w:pStyle w:val="46"/>
        <w:rPr>
          <w:rFonts w:hint="eastAsia" w:ascii="宋体" w:hAnsi="宋体" w:eastAsia="宋体" w:cs="宋体"/>
          <w:highlight w:val="none"/>
          <w:lang w:val="zh-CN" w:eastAsia="zh-CN"/>
        </w:rPr>
      </w:pPr>
    </w:p>
    <w:p w14:paraId="65234334">
      <w:pPr>
        <w:tabs>
          <w:tab w:val="left" w:pos="5670"/>
        </w:tabs>
        <w:autoSpaceDE w:val="0"/>
        <w:autoSpaceDN w:val="0"/>
        <w:adjustRightInd w:val="0"/>
        <w:snapToGrid w:val="0"/>
        <w:spacing w:line="360" w:lineRule="auto"/>
        <w:jc w:val="center"/>
        <w:rPr>
          <w:rFonts w:hint="eastAsia" w:ascii="宋体" w:hAnsi="宋体" w:eastAsia="宋体" w:cs="宋体"/>
          <w:b/>
          <w:bCs/>
          <w:color w:val="auto"/>
          <w:sz w:val="56"/>
          <w:szCs w:val="56"/>
          <w:highlight w:val="none"/>
          <w:lang w:val="en-US" w:eastAsia="zh-CN"/>
        </w:rPr>
      </w:pPr>
      <w:r>
        <w:rPr>
          <w:rFonts w:hint="eastAsia" w:ascii="宋体" w:hAnsi="宋体" w:eastAsia="宋体" w:cs="宋体"/>
          <w:b/>
          <w:bCs/>
          <w:color w:val="auto"/>
          <w:sz w:val="72"/>
          <w:szCs w:val="72"/>
          <w:highlight w:val="none"/>
          <w:lang w:val="zh-CN"/>
        </w:rPr>
        <w:t>谈判响应文件</w:t>
      </w:r>
    </w:p>
    <w:p w14:paraId="53A40E1A">
      <w:pPr>
        <w:autoSpaceDE w:val="0"/>
        <w:autoSpaceDN w:val="0"/>
        <w:adjustRightInd w:val="0"/>
        <w:snapToGrid w:val="0"/>
        <w:spacing w:line="360" w:lineRule="auto"/>
        <w:jc w:val="center"/>
        <w:rPr>
          <w:rFonts w:hint="eastAsia" w:ascii="宋体" w:hAnsi="宋体" w:eastAsia="宋体" w:cs="宋体"/>
          <w:b/>
          <w:bCs/>
          <w:color w:val="auto"/>
          <w:sz w:val="32"/>
          <w:szCs w:val="32"/>
          <w:highlight w:val="none"/>
        </w:rPr>
      </w:pPr>
    </w:p>
    <w:p w14:paraId="04F1816E">
      <w:pPr>
        <w:autoSpaceDE w:val="0"/>
        <w:autoSpaceDN w:val="0"/>
        <w:adjustRightInd w:val="0"/>
        <w:snapToGrid w:val="0"/>
        <w:spacing w:line="360" w:lineRule="auto"/>
        <w:rPr>
          <w:rFonts w:hint="eastAsia" w:ascii="宋体" w:hAnsi="宋体" w:eastAsia="宋体" w:cs="宋体"/>
          <w:color w:val="auto"/>
          <w:sz w:val="30"/>
          <w:szCs w:val="30"/>
          <w:highlight w:val="none"/>
          <w:u w:val="single"/>
        </w:rPr>
      </w:pPr>
    </w:p>
    <w:p w14:paraId="236382C2">
      <w:pPr>
        <w:pStyle w:val="14"/>
        <w:rPr>
          <w:rFonts w:hint="eastAsia" w:ascii="宋体" w:hAnsi="宋体" w:eastAsia="宋体" w:cs="宋体"/>
          <w:color w:val="auto"/>
          <w:highlight w:val="none"/>
        </w:rPr>
      </w:pPr>
    </w:p>
    <w:p w14:paraId="17EF1E3F">
      <w:pPr>
        <w:autoSpaceDE w:val="0"/>
        <w:autoSpaceDN w:val="0"/>
        <w:adjustRightInd w:val="0"/>
        <w:snapToGrid w:val="0"/>
        <w:spacing w:line="360" w:lineRule="auto"/>
        <w:jc w:val="both"/>
        <w:rPr>
          <w:rFonts w:hint="eastAsia" w:ascii="宋体" w:hAnsi="宋体" w:eastAsia="宋体" w:cs="宋体"/>
          <w:b/>
          <w:bCs/>
          <w:color w:val="auto"/>
          <w:sz w:val="32"/>
          <w:szCs w:val="32"/>
          <w:highlight w:val="none"/>
          <w:lang w:val="zh-CN"/>
        </w:rPr>
      </w:pPr>
    </w:p>
    <w:p w14:paraId="1C084FC6">
      <w:pPr>
        <w:autoSpaceDE w:val="0"/>
        <w:autoSpaceDN w:val="0"/>
        <w:adjustRightInd w:val="0"/>
        <w:snapToGrid w:val="0"/>
        <w:spacing w:line="360" w:lineRule="auto"/>
        <w:jc w:val="center"/>
        <w:rPr>
          <w:rFonts w:hint="eastAsia" w:ascii="宋体" w:hAnsi="宋体" w:eastAsia="宋体" w:cs="宋体"/>
          <w:b/>
          <w:bCs/>
          <w:color w:val="auto"/>
          <w:sz w:val="32"/>
          <w:szCs w:val="32"/>
          <w:highlight w:val="none"/>
          <w:lang w:val="zh-CN"/>
        </w:rPr>
      </w:pPr>
    </w:p>
    <w:p w14:paraId="1C604887">
      <w:pPr>
        <w:autoSpaceDE w:val="0"/>
        <w:autoSpaceDN w:val="0"/>
        <w:adjustRightInd w:val="0"/>
        <w:snapToGrid w:val="0"/>
        <w:spacing w:line="360" w:lineRule="auto"/>
        <w:jc w:val="center"/>
        <w:rPr>
          <w:rFonts w:hint="eastAsia" w:ascii="宋体" w:hAnsi="宋体" w:eastAsia="宋体" w:cs="宋体"/>
          <w:b/>
          <w:bCs/>
          <w:color w:val="auto"/>
          <w:sz w:val="32"/>
          <w:szCs w:val="32"/>
          <w:highlight w:val="none"/>
          <w:lang w:val="zh-CN"/>
        </w:rPr>
      </w:pPr>
    </w:p>
    <w:p w14:paraId="41FC1002">
      <w:pPr>
        <w:autoSpaceDE w:val="0"/>
        <w:autoSpaceDN w:val="0"/>
        <w:adjustRightInd w:val="0"/>
        <w:snapToGrid w:val="0"/>
        <w:spacing w:line="360" w:lineRule="auto"/>
        <w:jc w:val="center"/>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供</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应</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商：</w:t>
      </w: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（公章）</w:t>
      </w:r>
    </w:p>
    <w:p w14:paraId="2FFB48A6">
      <w:pPr>
        <w:autoSpaceDE w:val="0"/>
        <w:autoSpaceDN w:val="0"/>
        <w:adjustRightInd w:val="0"/>
        <w:snapToGrid w:val="0"/>
        <w:spacing w:line="360" w:lineRule="auto"/>
        <w:jc w:val="center"/>
        <w:rPr>
          <w:rFonts w:hint="eastAsia" w:ascii="宋体" w:hAnsi="宋体" w:eastAsia="宋体" w:cs="宋体"/>
          <w:b/>
          <w:bCs/>
          <w:color w:val="auto"/>
          <w:sz w:val="32"/>
          <w:szCs w:val="32"/>
          <w:highlight w:val="none"/>
        </w:rPr>
      </w:pPr>
    </w:p>
    <w:p w14:paraId="25D6BB4F">
      <w:pPr>
        <w:tabs>
          <w:tab w:val="left" w:pos="3656"/>
        </w:tabs>
        <w:autoSpaceDE w:val="0"/>
        <w:autoSpaceDN w:val="0"/>
        <w:adjustRightInd w:val="0"/>
        <w:snapToGrid w:val="0"/>
        <w:spacing w:line="360" w:lineRule="auto"/>
        <w:ind w:firstLine="1606" w:firstLineChars="500"/>
        <w:outlineLvl w:val="9"/>
        <w:rPr>
          <w:rFonts w:hint="eastAsia" w:ascii="宋体" w:hAnsi="宋体" w:eastAsia="宋体" w:cs="宋体"/>
          <w:b/>
          <w:bCs/>
          <w:color w:val="auto"/>
          <w:sz w:val="42"/>
          <w:szCs w:val="42"/>
          <w:highlight w:val="none"/>
          <w:u w:val="single"/>
          <w:lang w:val="en-US" w:eastAsia="zh-CN"/>
        </w:rPr>
      </w:pPr>
      <w:bookmarkStart w:id="46" w:name="_Toc4556"/>
      <w:bookmarkStart w:id="47" w:name="_Toc30521"/>
      <w:bookmarkStart w:id="48" w:name="_Toc32103"/>
      <w:r>
        <w:rPr>
          <w:rFonts w:hint="eastAsia" w:ascii="宋体" w:hAnsi="宋体" w:eastAsia="宋体" w:cs="宋体"/>
          <w:b/>
          <w:bCs/>
          <w:color w:val="auto"/>
          <w:sz w:val="32"/>
          <w:szCs w:val="32"/>
          <w:highlight w:val="none"/>
          <w:lang w:val="zh-CN"/>
        </w:rPr>
        <w:t>时</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间：</w:t>
      </w:r>
      <w:bookmarkEnd w:id="46"/>
      <w:bookmarkEnd w:id="47"/>
      <w:bookmarkEnd w:id="48"/>
      <w:r>
        <w:rPr>
          <w:rFonts w:hint="eastAsia" w:ascii="宋体" w:hAnsi="宋体" w:eastAsia="宋体" w:cs="宋体"/>
          <w:b/>
          <w:bCs/>
          <w:color w:val="auto"/>
          <w:sz w:val="32"/>
          <w:szCs w:val="32"/>
          <w:highlight w:val="none"/>
          <w:u w:val="single"/>
          <w:lang w:val="zh-CN"/>
        </w:rPr>
        <w:tab/>
      </w:r>
      <w:r>
        <w:rPr>
          <w:rFonts w:hint="eastAsia" w:ascii="宋体" w:hAnsi="宋体" w:eastAsia="宋体" w:cs="宋体"/>
          <w:b/>
          <w:bCs/>
          <w:color w:val="auto"/>
          <w:sz w:val="32"/>
          <w:szCs w:val="32"/>
          <w:highlight w:val="none"/>
          <w:u w:val="single"/>
          <w:lang w:val="en-US" w:eastAsia="zh-CN"/>
        </w:rPr>
        <w:t xml:space="preserve">                 </w:t>
      </w:r>
    </w:p>
    <w:p w14:paraId="73516C54">
      <w:pPr>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lang w:val="zh-CN"/>
        </w:rPr>
        <w:br w:type="page"/>
      </w:r>
    </w:p>
    <w:p w14:paraId="70835C20">
      <w:pPr>
        <w:spacing w:line="480" w:lineRule="auto"/>
        <w:jc w:val="both"/>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二、资格证明文件</w:t>
      </w:r>
    </w:p>
    <w:p w14:paraId="2FE0D80B">
      <w:pPr>
        <w:shd w:val="clear"/>
        <w:spacing w:line="360" w:lineRule="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1.营业执照等</w:t>
      </w:r>
      <w:r>
        <w:rPr>
          <w:rFonts w:hint="eastAsia" w:ascii="宋体" w:hAnsi="宋体" w:eastAsia="宋体" w:cs="宋体"/>
          <w:sz w:val="24"/>
          <w:szCs w:val="24"/>
          <w:highlight w:val="none"/>
        </w:rPr>
        <w:t>主体资格证明</w:t>
      </w:r>
      <w:r>
        <w:rPr>
          <w:rFonts w:hint="eastAsia" w:ascii="宋体" w:hAnsi="宋体" w:eastAsia="宋体" w:cs="宋体"/>
          <w:b w:val="0"/>
          <w:bCs w:val="0"/>
          <w:color w:val="auto"/>
          <w:sz w:val="24"/>
          <w:szCs w:val="24"/>
          <w:highlight w:val="none"/>
          <w:lang w:val="en-US" w:eastAsia="zh-CN"/>
        </w:rPr>
        <w:t>文件</w:t>
      </w:r>
    </w:p>
    <w:p w14:paraId="10218453">
      <w:pPr>
        <w:shd w:val="clear"/>
        <w:spacing w:line="360" w:lineRule="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sz w:val="24"/>
          <w:szCs w:val="24"/>
          <w:highlight w:val="none"/>
        </w:rPr>
        <w:t>谈判授权代表材料</w:t>
      </w:r>
    </w:p>
    <w:p w14:paraId="53B84B95">
      <w:pPr>
        <w:shd w:val="clear"/>
        <w:spacing w:line="360" w:lineRule="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sz w:val="24"/>
          <w:szCs w:val="24"/>
          <w:highlight w:val="none"/>
        </w:rPr>
        <w:t>财务状况证明</w:t>
      </w:r>
    </w:p>
    <w:p w14:paraId="2506EC17">
      <w:pPr>
        <w:shd w:val="clear"/>
        <w:spacing w:line="360" w:lineRule="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sz w:val="24"/>
          <w:szCs w:val="24"/>
          <w:highlight w:val="none"/>
        </w:rPr>
        <w:t>税收缴纳证明</w:t>
      </w:r>
    </w:p>
    <w:p w14:paraId="6969ED44">
      <w:pPr>
        <w:shd w:val="clear"/>
        <w:spacing w:line="360" w:lineRule="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sz w:val="24"/>
          <w:szCs w:val="24"/>
          <w:highlight w:val="none"/>
        </w:rPr>
        <w:t>社会保障资金缴纳证明</w:t>
      </w:r>
    </w:p>
    <w:p w14:paraId="7C1878C0">
      <w:pPr>
        <w:shd w:val="clear"/>
        <w:spacing w:line="360" w:lineRule="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sz w:val="24"/>
          <w:szCs w:val="24"/>
          <w:highlight w:val="none"/>
        </w:rPr>
        <w:t>信用记录要求</w:t>
      </w:r>
    </w:p>
    <w:p w14:paraId="2FA694AE">
      <w:pPr>
        <w:shd w:val="clear"/>
        <w:spacing w:line="360" w:lineRule="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sz w:val="24"/>
          <w:szCs w:val="24"/>
          <w:highlight w:val="none"/>
        </w:rPr>
        <w:t>履约能力承诺书</w:t>
      </w:r>
    </w:p>
    <w:p w14:paraId="43A03761">
      <w:pPr>
        <w:shd w:val="clear"/>
        <w:spacing w:line="360" w:lineRule="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sz w:val="24"/>
          <w:szCs w:val="24"/>
          <w:highlight w:val="none"/>
        </w:rPr>
        <w:t>中小企业专项要求</w:t>
      </w:r>
    </w:p>
    <w:p w14:paraId="0D8B47AB">
      <w:pPr>
        <w:shd w:val="clear"/>
        <w:spacing w:line="360" w:lineRule="auto"/>
        <w:outlineLvl w:val="9"/>
        <w:rPr>
          <w:rFonts w:hint="eastAsia" w:ascii="宋体" w:hAnsi="宋体" w:eastAsia="宋体" w:cs="宋体"/>
          <w:sz w:val="24"/>
          <w:szCs w:val="24"/>
          <w:highlight w:val="none"/>
          <w:lang w:eastAsia="zh-CN"/>
        </w:rPr>
      </w:pPr>
      <w:r>
        <w:rPr>
          <w:rFonts w:hint="eastAsia" w:ascii="宋体" w:hAnsi="宋体" w:eastAsia="宋体" w:cs="宋体"/>
          <w:b w:val="0"/>
          <w:bCs w:val="0"/>
          <w:color w:val="auto"/>
          <w:sz w:val="24"/>
          <w:szCs w:val="24"/>
          <w:highlight w:val="none"/>
          <w:lang w:val="en-US" w:eastAsia="zh-CN"/>
        </w:rPr>
        <w:t>9.</w:t>
      </w:r>
      <w:r>
        <w:rPr>
          <w:rFonts w:hint="eastAsia" w:ascii="宋体" w:hAnsi="宋体" w:cs="宋体"/>
          <w:sz w:val="24"/>
          <w:szCs w:val="24"/>
          <w:highlight w:val="none"/>
          <w:lang w:eastAsia="zh-CN"/>
        </w:rPr>
        <w:t>控股管理关系</w:t>
      </w:r>
    </w:p>
    <w:p w14:paraId="30CD64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书面</w:t>
      </w:r>
      <w:r>
        <w:rPr>
          <w:rFonts w:hint="eastAsia" w:ascii="宋体" w:hAnsi="宋体" w:eastAsia="宋体" w:cs="宋体"/>
          <w:sz w:val="24"/>
          <w:szCs w:val="24"/>
          <w:highlight w:val="none"/>
          <w:lang w:eastAsia="zh-CN"/>
        </w:rPr>
        <w:t>声明</w:t>
      </w:r>
    </w:p>
    <w:p w14:paraId="69B3601E">
      <w:pPr>
        <w:pStyle w:val="29"/>
        <w:rPr>
          <w:rFonts w:hint="default" w:eastAsia="宋体"/>
          <w:highlight w:val="none"/>
          <w:lang w:val="en-US" w:eastAsia="zh-CN"/>
        </w:rPr>
      </w:pPr>
    </w:p>
    <w:p w14:paraId="2C8BB5CC">
      <w:pPr>
        <w:pStyle w:val="29"/>
        <w:rPr>
          <w:rFonts w:hint="eastAsia"/>
          <w:highlight w:val="none"/>
          <w:lang w:val="en-US" w:eastAsia="zh-CN"/>
        </w:rPr>
      </w:pPr>
    </w:p>
    <w:p w14:paraId="65815B2E">
      <w:pPr>
        <w:shd w:val="clear"/>
        <w:spacing w:line="360" w:lineRule="auto"/>
        <w:outlineLvl w:val="9"/>
        <w:rPr>
          <w:rFonts w:hint="eastAsia" w:ascii="宋体" w:hAnsi="宋体" w:eastAsia="宋体" w:cs="宋体"/>
          <w:b w:val="0"/>
          <w:bCs w:val="0"/>
          <w:color w:val="auto"/>
          <w:sz w:val="24"/>
          <w:szCs w:val="24"/>
          <w:highlight w:val="none"/>
          <w:lang w:val="en-US" w:eastAsia="zh-CN"/>
        </w:rPr>
      </w:pPr>
    </w:p>
    <w:p w14:paraId="560534E9">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10F8784C">
      <w:pPr>
        <w:pStyle w:val="5"/>
        <w:shd w:val="clear"/>
        <w:ind w:firstLine="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sz w:val="24"/>
          <w:szCs w:val="18"/>
          <w:highlight w:val="none"/>
          <w:lang w:eastAsia="zh-CN"/>
        </w:rPr>
        <w:t>附</w:t>
      </w:r>
      <w:r>
        <w:rPr>
          <w:rFonts w:hint="eastAsia" w:ascii="宋体" w:hAnsi="宋体" w:eastAsia="宋体" w:cs="宋体"/>
          <w:b w:val="0"/>
          <w:bCs w:val="0"/>
          <w:color w:val="auto"/>
          <w:sz w:val="24"/>
          <w:szCs w:val="18"/>
          <w:highlight w:val="none"/>
          <w:lang w:val="en-US" w:eastAsia="zh-CN"/>
        </w:rPr>
        <w:t>件一</w:t>
      </w:r>
      <w:r>
        <w:rPr>
          <w:rFonts w:hint="eastAsia" w:ascii="宋体" w:hAnsi="宋体" w:eastAsia="宋体" w:cs="宋体"/>
          <w:b w:val="0"/>
          <w:bCs w:val="0"/>
          <w:color w:val="auto"/>
          <w:sz w:val="24"/>
          <w:szCs w:val="18"/>
          <w:highlight w:val="none"/>
          <w:lang w:eastAsia="zh-CN"/>
        </w:rPr>
        <w:t>：</w:t>
      </w:r>
    </w:p>
    <w:p w14:paraId="4BC7D57D">
      <w:pPr>
        <w:pStyle w:val="5"/>
        <w:shd w:val="clear"/>
        <w:ind w:firstLine="0"/>
        <w:jc w:val="center"/>
        <w:outlineLvl w:val="9"/>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无重大违法记录声明</w:t>
      </w:r>
    </w:p>
    <w:p w14:paraId="21D7C7D6">
      <w:pPr>
        <w:shd w:val="clear"/>
        <w:spacing w:line="360" w:lineRule="auto"/>
        <w:ind w:firstLine="240" w:firstLineChars="100"/>
        <w:outlineLvl w:val="9"/>
        <w:rPr>
          <w:rFonts w:hint="eastAsia" w:ascii="宋体" w:hAnsi="宋体" w:eastAsia="宋体" w:cs="宋体"/>
          <w:color w:val="auto"/>
          <w:sz w:val="24"/>
          <w:highlight w:val="none"/>
        </w:rPr>
      </w:pPr>
    </w:p>
    <w:p w14:paraId="5DA816EF">
      <w:pPr>
        <w:shd w:val="clear"/>
        <w:spacing w:line="360" w:lineRule="auto"/>
        <w:outlineLvl w:val="9"/>
        <w:rPr>
          <w:rFonts w:hint="eastAsia" w:ascii="宋体" w:hAnsi="宋体" w:eastAsia="宋体" w:cs="宋体"/>
          <w:b/>
          <w:bCs/>
          <w:color w:val="auto"/>
          <w:sz w:val="24"/>
          <w:highlight w:val="none"/>
          <w:u w:val="single"/>
          <w:lang w:eastAsia="zh-CN"/>
        </w:rPr>
      </w:pPr>
      <w:r>
        <w:rPr>
          <w:rFonts w:hint="eastAsia" w:ascii="宋体" w:hAnsi="宋体" w:eastAsia="宋体" w:cs="宋体"/>
          <w:b/>
          <w:bCs/>
          <w:color w:val="auto"/>
          <w:sz w:val="24"/>
          <w:highlight w:val="none"/>
        </w:rPr>
        <w:t>致：</w:t>
      </w:r>
      <w:r>
        <w:rPr>
          <w:rFonts w:hint="eastAsia" w:ascii="宋体" w:hAnsi="宋体" w:cs="宋体"/>
          <w:b/>
          <w:bCs/>
          <w:color w:val="auto"/>
          <w:sz w:val="24"/>
          <w:highlight w:val="none"/>
          <w:u w:val="single"/>
          <w:lang w:eastAsia="zh-CN"/>
        </w:rPr>
        <w:t>陕西紫方乔项目管理有限公司</w:t>
      </w:r>
    </w:p>
    <w:p w14:paraId="67DA19C9">
      <w:pPr>
        <w:shd w:val="clear"/>
        <w:spacing w:line="360" w:lineRule="auto"/>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（供应商名称）郑重声明，我方参加贵公司组织的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活动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近三年在政府采购经营活动中无重大违法记录</w:t>
      </w:r>
      <w:r>
        <w:rPr>
          <w:rFonts w:hint="eastAsia" w:ascii="宋体" w:hAnsi="宋体" w:eastAsia="宋体" w:cs="宋体"/>
          <w:color w:val="auto"/>
          <w:sz w:val="24"/>
          <w:highlight w:val="none"/>
        </w:rPr>
        <w:t>，符合《中华人民共和国政府采购法》规定的供应商资格条件。我方对此声明负全部法律责任。</w:t>
      </w:r>
    </w:p>
    <w:p w14:paraId="0CA91550">
      <w:pPr>
        <w:shd w:val="clear"/>
        <w:spacing w:line="360" w:lineRule="auto"/>
        <w:ind w:firstLine="240" w:firstLineChars="1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特此声明。</w:t>
      </w:r>
    </w:p>
    <w:p w14:paraId="51772FE3">
      <w:pPr>
        <w:shd w:val="clear"/>
        <w:spacing w:line="360" w:lineRule="auto"/>
        <w:jc w:val="left"/>
        <w:outlineLvl w:val="9"/>
        <w:rPr>
          <w:rFonts w:hint="eastAsia" w:ascii="宋体" w:hAnsi="宋体" w:eastAsia="宋体" w:cs="宋体"/>
          <w:b/>
          <w:bCs/>
          <w:color w:val="auto"/>
          <w:sz w:val="22"/>
          <w:szCs w:val="18"/>
          <w:highlight w:val="none"/>
        </w:rPr>
      </w:pPr>
      <w:r>
        <w:rPr>
          <w:rFonts w:hint="eastAsia" w:ascii="宋体" w:hAnsi="宋体" w:eastAsia="宋体" w:cs="宋体"/>
          <w:b/>
          <w:bCs/>
          <w:color w:val="auto"/>
          <w:sz w:val="22"/>
          <w:szCs w:val="18"/>
          <w:highlight w:val="none"/>
        </w:rPr>
        <w:t>注：成立不足三年的供应商提供自成立之日起至</w:t>
      </w:r>
      <w:r>
        <w:rPr>
          <w:rFonts w:hint="eastAsia" w:ascii="宋体" w:hAnsi="宋体" w:eastAsia="宋体" w:cs="宋体"/>
          <w:b/>
          <w:bCs/>
          <w:color w:val="auto"/>
          <w:sz w:val="22"/>
          <w:szCs w:val="18"/>
          <w:highlight w:val="none"/>
          <w:lang w:eastAsia="zh-CN"/>
        </w:rPr>
        <w:t>谈判截止</w:t>
      </w:r>
      <w:r>
        <w:rPr>
          <w:rFonts w:hint="eastAsia" w:ascii="宋体" w:hAnsi="宋体" w:eastAsia="宋体" w:cs="宋体"/>
          <w:b/>
          <w:bCs/>
          <w:color w:val="auto"/>
          <w:sz w:val="22"/>
          <w:szCs w:val="18"/>
          <w:highlight w:val="none"/>
        </w:rPr>
        <w:t>之日止的无重大违法记录声明。</w:t>
      </w:r>
    </w:p>
    <w:p w14:paraId="4451C9D3">
      <w:pPr>
        <w:shd w:val="clear"/>
        <w:spacing w:line="360" w:lineRule="auto"/>
        <w:ind w:firstLine="4759" w:firstLineChars="1983"/>
        <w:outlineLvl w:val="9"/>
        <w:rPr>
          <w:rFonts w:hint="eastAsia" w:ascii="宋体" w:hAnsi="宋体" w:eastAsia="宋体" w:cs="宋体"/>
          <w:color w:val="auto"/>
          <w:sz w:val="24"/>
          <w:szCs w:val="28"/>
          <w:highlight w:val="none"/>
        </w:rPr>
      </w:pPr>
    </w:p>
    <w:p w14:paraId="3B70C24D">
      <w:pPr>
        <w:shd w:val="clear"/>
        <w:spacing w:line="360" w:lineRule="auto"/>
        <w:ind w:firstLine="4759" w:firstLineChars="1983"/>
        <w:outlineLvl w:val="9"/>
        <w:rPr>
          <w:rFonts w:hint="eastAsia" w:ascii="宋体" w:hAnsi="宋体" w:eastAsia="宋体" w:cs="宋体"/>
          <w:color w:val="auto"/>
          <w:sz w:val="24"/>
          <w:szCs w:val="28"/>
          <w:highlight w:val="none"/>
        </w:rPr>
      </w:pPr>
    </w:p>
    <w:p w14:paraId="0F851FBE">
      <w:pPr>
        <w:shd w:val="clear"/>
        <w:spacing w:line="360" w:lineRule="auto"/>
        <w:outlineLvl w:val="9"/>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供应商</w:t>
      </w:r>
      <w:r>
        <w:rPr>
          <w:rFonts w:hint="eastAsia" w:ascii="宋体" w:hAnsi="宋体" w:eastAsia="宋体" w:cs="宋体"/>
          <w:color w:val="auto"/>
          <w:sz w:val="24"/>
          <w:szCs w:val="28"/>
          <w:highlight w:val="none"/>
          <w:lang w:eastAsia="zh-CN"/>
        </w:rPr>
        <w:t>名</w:t>
      </w:r>
      <w:r>
        <w:rPr>
          <w:rFonts w:hint="eastAsia" w:ascii="宋体" w:hAnsi="宋体" w:eastAsia="宋体" w:cs="宋体"/>
          <w:color w:val="auto"/>
          <w:sz w:val="24"/>
          <w:szCs w:val="28"/>
          <w:highlight w:val="none"/>
        </w:rPr>
        <w:t>称(盖章)：</w:t>
      </w:r>
    </w:p>
    <w:p w14:paraId="4E73ECC7">
      <w:pPr>
        <w:shd w:val="clear"/>
        <w:spacing w:line="360" w:lineRule="auto"/>
        <w:outlineLvl w:val="9"/>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日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期：</w:t>
      </w:r>
    </w:p>
    <w:p w14:paraId="07253D25">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5BF4F2F7">
      <w:pPr>
        <w:spacing w:line="360" w:lineRule="auto"/>
        <w:ind w:left="210" w:leftChars="100"/>
        <w:jc w:val="lef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4"/>
          <w:szCs w:val="24"/>
          <w:highlight w:val="none"/>
          <w:lang w:val="en-US" w:eastAsia="zh-CN"/>
        </w:rPr>
        <w:t>附件二：</w:t>
      </w:r>
    </w:p>
    <w:p w14:paraId="5D480108">
      <w:pPr>
        <w:spacing w:line="480" w:lineRule="exact"/>
        <w:ind w:left="210" w:leftChars="100"/>
        <w:jc w:val="center"/>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法定代表人资格证明书</w:t>
      </w:r>
    </w:p>
    <w:tbl>
      <w:tblPr>
        <w:tblStyle w:val="30"/>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2464"/>
        <w:gridCol w:w="1960"/>
        <w:gridCol w:w="1333"/>
        <w:gridCol w:w="2417"/>
      </w:tblGrid>
      <w:tr w14:paraId="5F18C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9380" w:type="dxa"/>
            <w:gridSpan w:val="5"/>
            <w:noWrap/>
          </w:tcPr>
          <w:p w14:paraId="7248854A">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lang w:eastAsia="zh-CN"/>
              </w:rPr>
            </w:pPr>
            <w:r>
              <w:rPr>
                <w:rFonts w:hint="eastAsia" w:ascii="宋体" w:hAnsi="宋体" w:eastAsia="宋体" w:cs="宋体"/>
                <w:bCs/>
                <w:caps/>
                <w:color w:val="auto"/>
                <w:sz w:val="24"/>
                <w:szCs w:val="24"/>
                <w:highlight w:val="none"/>
              </w:rPr>
              <w:t xml:space="preserve">致： </w:t>
            </w:r>
            <w:r>
              <w:rPr>
                <w:rFonts w:hint="eastAsia" w:ascii="宋体" w:hAnsi="宋体" w:cs="宋体"/>
                <w:bCs/>
                <w:caps/>
                <w:color w:val="auto"/>
                <w:sz w:val="24"/>
                <w:szCs w:val="24"/>
                <w:highlight w:val="none"/>
                <w:lang w:eastAsia="zh-CN"/>
              </w:rPr>
              <w:t>陕西紫方乔项目管理有限公司</w:t>
            </w:r>
          </w:p>
        </w:tc>
      </w:tr>
      <w:tr w14:paraId="11D1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noWrap/>
            <w:vAlign w:val="center"/>
          </w:tcPr>
          <w:p w14:paraId="36FD257D">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项目名称</w:t>
            </w:r>
          </w:p>
        </w:tc>
        <w:tc>
          <w:tcPr>
            <w:tcW w:w="8174" w:type="dxa"/>
            <w:gridSpan w:val="4"/>
            <w:noWrap/>
          </w:tcPr>
          <w:p w14:paraId="4AFEE13B">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645F6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noWrap/>
            <w:vAlign w:val="center"/>
          </w:tcPr>
          <w:p w14:paraId="396A696D">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lang w:val="en-US" w:eastAsia="zh-CN"/>
              </w:rPr>
              <w:t>项目</w:t>
            </w:r>
            <w:r>
              <w:rPr>
                <w:rFonts w:hint="eastAsia" w:ascii="宋体" w:hAnsi="宋体" w:eastAsia="宋体" w:cs="宋体"/>
                <w:bCs/>
                <w:caps/>
                <w:color w:val="auto"/>
                <w:sz w:val="24"/>
                <w:szCs w:val="24"/>
                <w:highlight w:val="none"/>
              </w:rPr>
              <w:t>编号</w:t>
            </w:r>
          </w:p>
        </w:tc>
        <w:tc>
          <w:tcPr>
            <w:tcW w:w="8174" w:type="dxa"/>
            <w:gridSpan w:val="4"/>
            <w:noWrap/>
          </w:tcPr>
          <w:p w14:paraId="1F223C47">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210C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206" w:type="dxa"/>
            <w:noWrap/>
            <w:vAlign w:val="center"/>
          </w:tcPr>
          <w:p w14:paraId="4326F9A0">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权   限</w:t>
            </w:r>
          </w:p>
        </w:tc>
        <w:tc>
          <w:tcPr>
            <w:tcW w:w="8174" w:type="dxa"/>
            <w:gridSpan w:val="4"/>
            <w:noWrap/>
            <w:vAlign w:val="center"/>
          </w:tcPr>
          <w:p w14:paraId="777D4D82">
            <w:pPr>
              <w:tabs>
                <w:tab w:val="right" w:leader="dot" w:pos="9022"/>
              </w:tabs>
              <w:autoSpaceDE w:val="0"/>
              <w:autoSpaceDN w:val="0"/>
              <w:adjustRightInd w:val="0"/>
              <w:spacing w:line="4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办理本次采购项目的谈判、联系、洽谈、签约、执行等具体事务，签署全部有关文件、文书、协议及合同。</w:t>
            </w:r>
          </w:p>
        </w:tc>
      </w:tr>
      <w:tr w14:paraId="7D155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noWrap/>
            <w:vAlign w:val="center"/>
          </w:tcPr>
          <w:p w14:paraId="3E2F5392">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有效期</w:t>
            </w:r>
          </w:p>
        </w:tc>
        <w:tc>
          <w:tcPr>
            <w:tcW w:w="8174" w:type="dxa"/>
            <w:gridSpan w:val="4"/>
            <w:noWrap/>
            <w:vAlign w:val="center"/>
          </w:tcPr>
          <w:p w14:paraId="130D03EE">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color w:val="auto"/>
                <w:sz w:val="24"/>
                <w:szCs w:val="24"/>
                <w:highlight w:val="none"/>
              </w:rPr>
              <w:t>自提交谈判响应文件截止之日起90个日历日</w:t>
            </w:r>
          </w:p>
        </w:tc>
      </w:tr>
      <w:tr w14:paraId="3D772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restart"/>
            <w:noWrap/>
            <w:vAlign w:val="center"/>
          </w:tcPr>
          <w:p w14:paraId="05FCC026">
            <w:pPr>
              <w:tabs>
                <w:tab w:val="right" w:leader="dot" w:pos="9022"/>
              </w:tabs>
              <w:autoSpaceDE w:val="0"/>
              <w:autoSpaceDN w:val="0"/>
              <w:adjustRightInd w:val="0"/>
              <w:spacing w:line="500" w:lineRule="exact"/>
              <w:ind w:firstLine="240" w:firstLineChars="100"/>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企业</w:t>
            </w:r>
          </w:p>
          <w:p w14:paraId="127B020E">
            <w:pPr>
              <w:tabs>
                <w:tab w:val="right" w:leader="dot" w:pos="9022"/>
              </w:tabs>
              <w:autoSpaceDE w:val="0"/>
              <w:autoSpaceDN w:val="0"/>
              <w:adjustRightInd w:val="0"/>
              <w:spacing w:line="500" w:lineRule="exact"/>
              <w:ind w:firstLine="240" w:firstLineChars="100"/>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信息</w:t>
            </w:r>
          </w:p>
        </w:tc>
        <w:tc>
          <w:tcPr>
            <w:tcW w:w="2464" w:type="dxa"/>
            <w:noWrap/>
          </w:tcPr>
          <w:p w14:paraId="68C1426A">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 xml:space="preserve">企 业 名 称 </w:t>
            </w:r>
          </w:p>
        </w:tc>
        <w:tc>
          <w:tcPr>
            <w:tcW w:w="5710" w:type="dxa"/>
            <w:gridSpan w:val="3"/>
            <w:noWrap/>
          </w:tcPr>
          <w:p w14:paraId="148B24A1">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0D387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48B65F6D">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c>
          <w:tcPr>
            <w:tcW w:w="2464" w:type="dxa"/>
            <w:noWrap/>
          </w:tcPr>
          <w:p w14:paraId="77B6F039">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法 定 地 址</w:t>
            </w:r>
          </w:p>
        </w:tc>
        <w:tc>
          <w:tcPr>
            <w:tcW w:w="5710" w:type="dxa"/>
            <w:gridSpan w:val="3"/>
            <w:noWrap/>
          </w:tcPr>
          <w:p w14:paraId="67DA4226">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5668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305BC2F7">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c>
          <w:tcPr>
            <w:tcW w:w="2464" w:type="dxa"/>
            <w:noWrap/>
          </w:tcPr>
          <w:p w14:paraId="4E352F32">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lang w:eastAsia="zh-CN"/>
              </w:rPr>
            </w:pPr>
            <w:r>
              <w:rPr>
                <w:rFonts w:hint="eastAsia" w:ascii="宋体" w:hAnsi="宋体" w:eastAsia="宋体" w:cs="宋体"/>
                <w:bCs/>
                <w:caps/>
                <w:color w:val="auto"/>
                <w:sz w:val="24"/>
                <w:szCs w:val="24"/>
                <w:highlight w:val="none"/>
                <w:lang w:eastAsia="zh-CN"/>
              </w:rPr>
              <w:t>统一社会信用代码</w:t>
            </w:r>
          </w:p>
        </w:tc>
        <w:tc>
          <w:tcPr>
            <w:tcW w:w="5710" w:type="dxa"/>
            <w:gridSpan w:val="3"/>
            <w:noWrap/>
          </w:tcPr>
          <w:p w14:paraId="7B22547C">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5F46C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3B9FB34D">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c>
          <w:tcPr>
            <w:tcW w:w="2464" w:type="dxa"/>
            <w:noWrap/>
          </w:tcPr>
          <w:p w14:paraId="1B5EE1AE">
            <w:pPr>
              <w:tabs>
                <w:tab w:val="right" w:leader="dot" w:pos="9022"/>
              </w:tabs>
              <w:spacing w:line="500" w:lineRule="exac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工商登记机关</w:t>
            </w:r>
          </w:p>
        </w:tc>
        <w:tc>
          <w:tcPr>
            <w:tcW w:w="5710" w:type="dxa"/>
            <w:gridSpan w:val="3"/>
            <w:noWrap/>
          </w:tcPr>
          <w:p w14:paraId="5E2233F5">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5F974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3E38D5A8">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c>
          <w:tcPr>
            <w:tcW w:w="2464" w:type="dxa"/>
            <w:noWrap/>
          </w:tcPr>
          <w:p w14:paraId="3A6E741D">
            <w:pPr>
              <w:tabs>
                <w:tab w:val="right" w:leader="dot" w:pos="9022"/>
              </w:tabs>
              <w:spacing w:line="500" w:lineRule="exac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网        址</w:t>
            </w:r>
          </w:p>
        </w:tc>
        <w:tc>
          <w:tcPr>
            <w:tcW w:w="5710" w:type="dxa"/>
            <w:gridSpan w:val="3"/>
            <w:noWrap/>
          </w:tcPr>
          <w:p w14:paraId="39C4342B">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7DC6E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restart"/>
            <w:noWrap/>
            <w:vAlign w:val="center"/>
          </w:tcPr>
          <w:p w14:paraId="7250385E">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法定代</w:t>
            </w:r>
          </w:p>
          <w:p w14:paraId="557D18B2">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表人</w:t>
            </w:r>
          </w:p>
        </w:tc>
        <w:tc>
          <w:tcPr>
            <w:tcW w:w="2464" w:type="dxa"/>
            <w:noWrap/>
          </w:tcPr>
          <w:p w14:paraId="404B12D5">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姓    名</w:t>
            </w:r>
          </w:p>
        </w:tc>
        <w:tc>
          <w:tcPr>
            <w:tcW w:w="1960" w:type="dxa"/>
            <w:noWrap/>
          </w:tcPr>
          <w:p w14:paraId="30BCBD80">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c>
          <w:tcPr>
            <w:tcW w:w="1333" w:type="dxa"/>
            <w:noWrap/>
          </w:tcPr>
          <w:p w14:paraId="5A33525F">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性    别</w:t>
            </w:r>
          </w:p>
        </w:tc>
        <w:tc>
          <w:tcPr>
            <w:tcW w:w="2417" w:type="dxa"/>
            <w:noWrap/>
          </w:tcPr>
          <w:p w14:paraId="0B6A31DA">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739B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52C56D63">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c>
          <w:tcPr>
            <w:tcW w:w="2464" w:type="dxa"/>
            <w:noWrap/>
          </w:tcPr>
          <w:p w14:paraId="79D2273D">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职    务</w:t>
            </w:r>
          </w:p>
        </w:tc>
        <w:tc>
          <w:tcPr>
            <w:tcW w:w="1960" w:type="dxa"/>
            <w:noWrap/>
          </w:tcPr>
          <w:p w14:paraId="2562DC91">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c>
          <w:tcPr>
            <w:tcW w:w="1333" w:type="dxa"/>
            <w:noWrap/>
          </w:tcPr>
          <w:p w14:paraId="3164BEC0">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联系电话</w:t>
            </w:r>
          </w:p>
        </w:tc>
        <w:tc>
          <w:tcPr>
            <w:tcW w:w="2417" w:type="dxa"/>
            <w:noWrap/>
          </w:tcPr>
          <w:p w14:paraId="5075C4C8">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76B68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3E647F3A">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c>
          <w:tcPr>
            <w:tcW w:w="2464" w:type="dxa"/>
            <w:noWrap/>
          </w:tcPr>
          <w:p w14:paraId="65771E2E">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传    真</w:t>
            </w:r>
          </w:p>
        </w:tc>
        <w:tc>
          <w:tcPr>
            <w:tcW w:w="5710" w:type="dxa"/>
            <w:gridSpan w:val="3"/>
            <w:noWrap/>
          </w:tcPr>
          <w:p w14:paraId="26EBF668">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0558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5AA5032E">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c>
          <w:tcPr>
            <w:tcW w:w="2464" w:type="dxa"/>
            <w:noWrap/>
          </w:tcPr>
          <w:p w14:paraId="7215CC82">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通讯地址</w:t>
            </w:r>
          </w:p>
        </w:tc>
        <w:tc>
          <w:tcPr>
            <w:tcW w:w="5710" w:type="dxa"/>
            <w:gridSpan w:val="3"/>
            <w:noWrap/>
          </w:tcPr>
          <w:p w14:paraId="1DEC1758">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3A9EE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6" w:hRule="atLeast"/>
          <w:jc w:val="center"/>
        </w:trPr>
        <w:tc>
          <w:tcPr>
            <w:tcW w:w="9380" w:type="dxa"/>
            <w:gridSpan w:val="5"/>
            <w:noWrap/>
          </w:tcPr>
          <w:p w14:paraId="0068B832">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p w14:paraId="2ED8FCF0">
            <w:pPr>
              <w:tabs>
                <w:tab w:val="right" w:leader="dot" w:pos="9022"/>
              </w:tabs>
              <w:autoSpaceDE w:val="0"/>
              <w:autoSpaceDN w:val="0"/>
              <w:adjustRightInd w:val="0"/>
              <w:spacing w:line="500" w:lineRule="exact"/>
              <w:jc w:val="center"/>
              <w:rPr>
                <w:rFonts w:hint="eastAsia" w:ascii="宋体" w:hAnsi="宋体" w:eastAsia="宋体" w:cs="宋体"/>
                <w:color w:val="auto"/>
                <w:spacing w:val="-4"/>
                <w:sz w:val="24"/>
                <w:szCs w:val="24"/>
                <w:highlight w:val="none"/>
              </w:rPr>
            </w:pPr>
            <w:r>
              <w:rPr>
                <w:rFonts w:hint="eastAsia" w:ascii="宋体" w:hAnsi="宋体" w:eastAsia="宋体" w:cs="宋体"/>
                <w:bCs/>
                <w:caps/>
                <w:color w:val="auto"/>
                <w:sz w:val="24"/>
                <w:szCs w:val="24"/>
                <w:highlight w:val="none"/>
              </w:rPr>
              <w:t>法定代表人身份证复印件</w:t>
            </w:r>
          </w:p>
          <w:p w14:paraId="6DCE774A">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（粘贴处）</w:t>
            </w:r>
          </w:p>
          <w:p w14:paraId="1C9023BA">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p w14:paraId="447A6674">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p w14:paraId="38A4B4DD">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p w14:paraId="23B34F54">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r>
      <w:tr w14:paraId="7C27F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380" w:type="dxa"/>
            <w:gridSpan w:val="5"/>
            <w:noWrap/>
          </w:tcPr>
          <w:p w14:paraId="1C1AB060">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法定代表人签字</w:t>
            </w:r>
            <w:r>
              <w:rPr>
                <w:rFonts w:hint="eastAsia" w:ascii="宋体" w:hAnsi="宋体" w:eastAsia="宋体" w:cs="宋体"/>
                <w:bCs/>
                <w:caps/>
                <w:color w:val="auto"/>
                <w:sz w:val="24"/>
                <w:szCs w:val="24"/>
                <w:highlight w:val="none"/>
                <w:lang w:eastAsia="zh-CN"/>
              </w:rPr>
              <w:t>及</w:t>
            </w:r>
            <w:r>
              <w:rPr>
                <w:rFonts w:hint="eastAsia" w:ascii="宋体" w:hAnsi="宋体" w:eastAsia="宋体" w:cs="宋体"/>
                <w:bCs/>
                <w:caps/>
                <w:color w:val="auto"/>
                <w:sz w:val="24"/>
                <w:szCs w:val="24"/>
                <w:highlight w:val="none"/>
              </w:rPr>
              <w:t>盖章：</w:t>
            </w:r>
          </w:p>
        </w:tc>
      </w:tr>
    </w:tbl>
    <w:p w14:paraId="4824F7C5">
      <w:pPr>
        <w:spacing w:line="480" w:lineRule="exact"/>
        <w:ind w:firstLine="240" w:firstLineChars="100"/>
        <w:rPr>
          <w:rFonts w:hint="eastAsia" w:ascii="宋体" w:hAnsi="宋体" w:eastAsia="宋体" w:cs="宋体"/>
          <w:b/>
          <w:bCs/>
          <w:color w:val="auto"/>
          <w:szCs w:val="24"/>
          <w:highlight w:val="none"/>
        </w:rPr>
      </w:pPr>
      <w:r>
        <w:rPr>
          <w:rFonts w:hint="eastAsia" w:ascii="宋体" w:hAnsi="宋体" w:eastAsia="宋体" w:cs="宋体"/>
          <w:color w:val="auto"/>
          <w:sz w:val="24"/>
          <w:szCs w:val="22"/>
          <w:highlight w:val="none"/>
        </w:rPr>
        <w:t>供应商名称：</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（供应商单位公章）      日 期：</w:t>
      </w:r>
    </w:p>
    <w:p w14:paraId="71108246">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0CF47F19">
      <w:pPr>
        <w:spacing w:line="480" w:lineRule="exact"/>
        <w:ind w:left="210" w:leftChars="1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法定代表人授权委托书</w:t>
      </w:r>
    </w:p>
    <w:tbl>
      <w:tblPr>
        <w:tblStyle w:val="30"/>
        <w:tblW w:w="9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2"/>
        <w:gridCol w:w="1187"/>
        <w:gridCol w:w="1134"/>
        <w:gridCol w:w="1064"/>
        <w:gridCol w:w="495"/>
        <w:gridCol w:w="1559"/>
        <w:gridCol w:w="2414"/>
      </w:tblGrid>
      <w:tr w14:paraId="19DB1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425" w:type="dxa"/>
            <w:gridSpan w:val="7"/>
            <w:noWrap/>
          </w:tcPr>
          <w:p w14:paraId="58096573">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lang w:eastAsia="zh-CN"/>
              </w:rPr>
            </w:pPr>
            <w:r>
              <w:rPr>
                <w:rFonts w:hint="eastAsia" w:ascii="宋体" w:hAnsi="宋体" w:eastAsia="宋体" w:cs="宋体"/>
                <w:bCs/>
                <w:caps/>
                <w:color w:val="auto"/>
                <w:sz w:val="24"/>
                <w:szCs w:val="24"/>
                <w:highlight w:val="none"/>
              </w:rPr>
              <w:t xml:space="preserve">致： </w:t>
            </w:r>
            <w:r>
              <w:rPr>
                <w:rFonts w:hint="eastAsia" w:ascii="宋体" w:hAnsi="宋体" w:cs="宋体"/>
                <w:bCs/>
                <w:caps/>
                <w:color w:val="auto"/>
                <w:sz w:val="24"/>
                <w:szCs w:val="24"/>
                <w:highlight w:val="none"/>
                <w:lang w:eastAsia="zh-CN"/>
              </w:rPr>
              <w:t>陕西紫方乔项目管理有限公司</w:t>
            </w:r>
          </w:p>
        </w:tc>
      </w:tr>
      <w:tr w14:paraId="5994D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restart"/>
            <w:noWrap/>
            <w:vAlign w:val="center"/>
          </w:tcPr>
          <w:p w14:paraId="38108A57">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被授</w:t>
            </w:r>
          </w:p>
          <w:p w14:paraId="5B0A4777">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权项</w:t>
            </w:r>
          </w:p>
          <w:p w14:paraId="1E8804AF">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目与</w:t>
            </w:r>
          </w:p>
          <w:p w14:paraId="4134F688">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内容</w:t>
            </w:r>
          </w:p>
        </w:tc>
        <w:tc>
          <w:tcPr>
            <w:tcW w:w="1187" w:type="dxa"/>
            <w:noWrap/>
          </w:tcPr>
          <w:p w14:paraId="380CD805">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项目名称</w:t>
            </w:r>
          </w:p>
        </w:tc>
        <w:tc>
          <w:tcPr>
            <w:tcW w:w="6666" w:type="dxa"/>
            <w:gridSpan w:val="5"/>
            <w:noWrap/>
          </w:tcPr>
          <w:p w14:paraId="2C5A60BF">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3B4A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continue"/>
            <w:noWrap/>
          </w:tcPr>
          <w:p w14:paraId="34653EB4">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c>
          <w:tcPr>
            <w:tcW w:w="1187" w:type="dxa"/>
            <w:noWrap/>
          </w:tcPr>
          <w:p w14:paraId="6DC9D4BF">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lang w:val="en-US" w:eastAsia="zh-CN"/>
              </w:rPr>
              <w:t>项目</w:t>
            </w:r>
            <w:r>
              <w:rPr>
                <w:rFonts w:hint="eastAsia" w:ascii="宋体" w:hAnsi="宋体" w:eastAsia="宋体" w:cs="宋体"/>
                <w:bCs/>
                <w:caps/>
                <w:color w:val="auto"/>
                <w:sz w:val="24"/>
                <w:szCs w:val="24"/>
                <w:highlight w:val="none"/>
              </w:rPr>
              <w:t>编号</w:t>
            </w:r>
          </w:p>
        </w:tc>
        <w:tc>
          <w:tcPr>
            <w:tcW w:w="6666" w:type="dxa"/>
            <w:gridSpan w:val="5"/>
            <w:noWrap/>
          </w:tcPr>
          <w:p w14:paraId="3542E5EA">
            <w:pPr>
              <w:tabs>
                <w:tab w:val="right" w:leader="dot" w:pos="9022"/>
              </w:tabs>
              <w:autoSpaceDE w:val="0"/>
              <w:autoSpaceDN w:val="0"/>
              <w:adjustRightInd w:val="0"/>
              <w:spacing w:line="500" w:lineRule="exact"/>
              <w:ind w:firstLine="1200" w:firstLineChars="500"/>
              <w:jc w:val="left"/>
              <w:rPr>
                <w:rFonts w:hint="eastAsia" w:ascii="宋体" w:hAnsi="宋体" w:eastAsia="宋体" w:cs="宋体"/>
                <w:bCs/>
                <w:caps/>
                <w:color w:val="auto"/>
                <w:sz w:val="24"/>
                <w:szCs w:val="24"/>
                <w:highlight w:val="none"/>
              </w:rPr>
            </w:pPr>
          </w:p>
        </w:tc>
      </w:tr>
      <w:tr w14:paraId="4B06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572" w:type="dxa"/>
            <w:vMerge w:val="continue"/>
            <w:noWrap/>
          </w:tcPr>
          <w:p w14:paraId="3138DDDA">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c>
          <w:tcPr>
            <w:tcW w:w="1187" w:type="dxa"/>
            <w:noWrap/>
            <w:vAlign w:val="center"/>
          </w:tcPr>
          <w:p w14:paraId="428C2F15">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授权范围</w:t>
            </w:r>
          </w:p>
        </w:tc>
        <w:tc>
          <w:tcPr>
            <w:tcW w:w="6666" w:type="dxa"/>
            <w:gridSpan w:val="5"/>
            <w:noWrap/>
          </w:tcPr>
          <w:p w14:paraId="654A8B13">
            <w:pPr>
              <w:tabs>
                <w:tab w:val="right" w:leader="dot" w:pos="9022"/>
              </w:tabs>
              <w:autoSpaceDE w:val="0"/>
              <w:autoSpaceDN w:val="0"/>
              <w:adjustRightInd w:val="0"/>
              <w:spacing w:line="4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全权办理本次采购项目的谈判、联系、洽谈、签约、执行等具体事务，签署全部有关文件、文书、协议及合同。</w:t>
            </w:r>
          </w:p>
        </w:tc>
      </w:tr>
      <w:tr w14:paraId="48FE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continue"/>
            <w:noWrap/>
          </w:tcPr>
          <w:p w14:paraId="3B34DB3E">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c>
          <w:tcPr>
            <w:tcW w:w="1187" w:type="dxa"/>
            <w:noWrap/>
          </w:tcPr>
          <w:p w14:paraId="3BD8E6E3">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法律责任</w:t>
            </w:r>
          </w:p>
        </w:tc>
        <w:tc>
          <w:tcPr>
            <w:tcW w:w="6666" w:type="dxa"/>
            <w:gridSpan w:val="5"/>
            <w:noWrap/>
          </w:tcPr>
          <w:p w14:paraId="1107EBF1">
            <w:pPr>
              <w:tabs>
                <w:tab w:val="right" w:leader="dot" w:pos="9022"/>
              </w:tabs>
              <w:autoSpaceDE w:val="0"/>
              <w:autoSpaceDN w:val="0"/>
              <w:adjustRightInd w:val="0"/>
              <w:spacing w:line="4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本公司对被授权人在本项目中的签名承担全部法律责任。</w:t>
            </w:r>
          </w:p>
        </w:tc>
      </w:tr>
      <w:tr w14:paraId="2606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continue"/>
            <w:noWrap/>
          </w:tcPr>
          <w:p w14:paraId="65396E2B">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c>
          <w:tcPr>
            <w:tcW w:w="1187" w:type="dxa"/>
            <w:noWrap/>
            <w:vAlign w:val="center"/>
          </w:tcPr>
          <w:p w14:paraId="575816C0">
            <w:pPr>
              <w:tabs>
                <w:tab w:val="right" w:leader="dot" w:pos="9022"/>
              </w:tabs>
              <w:autoSpaceDE w:val="0"/>
              <w:autoSpaceDN w:val="0"/>
              <w:adjustRightInd w:val="0"/>
              <w:spacing w:line="500" w:lineRule="exac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授权期限</w:t>
            </w:r>
          </w:p>
        </w:tc>
        <w:tc>
          <w:tcPr>
            <w:tcW w:w="6666" w:type="dxa"/>
            <w:gridSpan w:val="5"/>
            <w:noWrap/>
            <w:vAlign w:val="center"/>
          </w:tcPr>
          <w:p w14:paraId="046A08AB">
            <w:pPr>
              <w:tabs>
                <w:tab w:val="right" w:leader="dot" w:pos="9022"/>
              </w:tabs>
              <w:autoSpaceDE w:val="0"/>
              <w:autoSpaceDN w:val="0"/>
              <w:adjustRightInd w:val="0"/>
              <w:spacing w:line="400" w:lineRule="exac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本授权书</w:t>
            </w:r>
            <w:r>
              <w:rPr>
                <w:rFonts w:hint="eastAsia" w:ascii="宋体" w:hAnsi="宋体" w:eastAsia="宋体" w:cs="宋体"/>
                <w:color w:val="auto"/>
                <w:sz w:val="24"/>
                <w:szCs w:val="24"/>
                <w:highlight w:val="none"/>
              </w:rPr>
              <w:t>自提交谈判响应文件截止之日起90个日历日</w:t>
            </w:r>
          </w:p>
        </w:tc>
      </w:tr>
      <w:tr w14:paraId="49EC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572" w:type="dxa"/>
            <w:vMerge w:val="restart"/>
            <w:noWrap/>
            <w:vAlign w:val="center"/>
          </w:tcPr>
          <w:p w14:paraId="04BDD2A3">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企业信息</w:t>
            </w:r>
          </w:p>
        </w:tc>
        <w:tc>
          <w:tcPr>
            <w:tcW w:w="2321" w:type="dxa"/>
            <w:gridSpan w:val="2"/>
            <w:noWrap/>
          </w:tcPr>
          <w:p w14:paraId="4BDB36E8">
            <w:pPr>
              <w:tabs>
                <w:tab w:val="right" w:leader="dot" w:pos="9022"/>
              </w:tabs>
              <w:autoSpaceDE w:val="0"/>
              <w:autoSpaceDN w:val="0"/>
              <w:adjustRightInd w:val="0"/>
              <w:spacing w:line="400" w:lineRule="exac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 xml:space="preserve">企 业 名 称 </w:t>
            </w:r>
          </w:p>
        </w:tc>
        <w:tc>
          <w:tcPr>
            <w:tcW w:w="5532" w:type="dxa"/>
            <w:gridSpan w:val="4"/>
            <w:noWrap/>
            <w:vAlign w:val="center"/>
          </w:tcPr>
          <w:p w14:paraId="21199ADB">
            <w:pPr>
              <w:tabs>
                <w:tab w:val="right" w:leader="dot" w:pos="9022"/>
              </w:tabs>
              <w:autoSpaceDE w:val="0"/>
              <w:autoSpaceDN w:val="0"/>
              <w:adjustRightInd w:val="0"/>
              <w:spacing w:line="400" w:lineRule="exact"/>
              <w:rPr>
                <w:rFonts w:hint="eastAsia" w:ascii="宋体" w:hAnsi="宋体" w:eastAsia="宋体" w:cs="宋体"/>
                <w:bCs/>
                <w:caps/>
                <w:color w:val="auto"/>
                <w:sz w:val="24"/>
                <w:szCs w:val="24"/>
                <w:highlight w:val="none"/>
              </w:rPr>
            </w:pPr>
          </w:p>
        </w:tc>
      </w:tr>
      <w:tr w14:paraId="23BCD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572" w:type="dxa"/>
            <w:vMerge w:val="continue"/>
            <w:noWrap/>
          </w:tcPr>
          <w:p w14:paraId="47C8955A">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c>
          <w:tcPr>
            <w:tcW w:w="2321" w:type="dxa"/>
            <w:gridSpan w:val="2"/>
            <w:noWrap/>
          </w:tcPr>
          <w:p w14:paraId="26753E50">
            <w:pPr>
              <w:tabs>
                <w:tab w:val="right" w:leader="dot" w:pos="9022"/>
              </w:tabs>
              <w:autoSpaceDE w:val="0"/>
              <w:autoSpaceDN w:val="0"/>
              <w:adjustRightInd w:val="0"/>
              <w:spacing w:line="400" w:lineRule="exac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法 定 地 址</w:t>
            </w:r>
          </w:p>
        </w:tc>
        <w:tc>
          <w:tcPr>
            <w:tcW w:w="5532" w:type="dxa"/>
            <w:gridSpan w:val="4"/>
            <w:noWrap/>
            <w:vAlign w:val="center"/>
          </w:tcPr>
          <w:p w14:paraId="734CE745">
            <w:pPr>
              <w:tabs>
                <w:tab w:val="right" w:leader="dot" w:pos="9022"/>
              </w:tabs>
              <w:autoSpaceDE w:val="0"/>
              <w:autoSpaceDN w:val="0"/>
              <w:adjustRightInd w:val="0"/>
              <w:spacing w:line="400" w:lineRule="exact"/>
              <w:rPr>
                <w:rFonts w:hint="eastAsia" w:ascii="宋体" w:hAnsi="宋体" w:eastAsia="宋体" w:cs="宋体"/>
                <w:bCs/>
                <w:caps/>
                <w:color w:val="auto"/>
                <w:sz w:val="24"/>
                <w:szCs w:val="24"/>
                <w:highlight w:val="none"/>
              </w:rPr>
            </w:pPr>
          </w:p>
        </w:tc>
      </w:tr>
      <w:tr w14:paraId="758B6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572" w:type="dxa"/>
            <w:vMerge w:val="continue"/>
            <w:noWrap/>
          </w:tcPr>
          <w:p w14:paraId="7A79651F">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c>
          <w:tcPr>
            <w:tcW w:w="2321" w:type="dxa"/>
            <w:gridSpan w:val="2"/>
            <w:noWrap/>
          </w:tcPr>
          <w:p w14:paraId="0CEEC1B0">
            <w:pPr>
              <w:tabs>
                <w:tab w:val="right" w:leader="dot" w:pos="9022"/>
              </w:tabs>
              <w:autoSpaceDE w:val="0"/>
              <w:autoSpaceDN w:val="0"/>
              <w:adjustRightInd w:val="0"/>
              <w:spacing w:line="400" w:lineRule="exac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lang w:eastAsia="zh-CN"/>
              </w:rPr>
              <w:t>统一社会信用代码</w:t>
            </w:r>
          </w:p>
        </w:tc>
        <w:tc>
          <w:tcPr>
            <w:tcW w:w="5532" w:type="dxa"/>
            <w:gridSpan w:val="4"/>
            <w:noWrap/>
            <w:vAlign w:val="center"/>
          </w:tcPr>
          <w:p w14:paraId="44EB7427">
            <w:pPr>
              <w:tabs>
                <w:tab w:val="right" w:leader="dot" w:pos="9022"/>
              </w:tabs>
              <w:autoSpaceDE w:val="0"/>
              <w:autoSpaceDN w:val="0"/>
              <w:adjustRightInd w:val="0"/>
              <w:spacing w:line="400" w:lineRule="exact"/>
              <w:rPr>
                <w:rFonts w:hint="eastAsia" w:ascii="宋体" w:hAnsi="宋体" w:eastAsia="宋体" w:cs="宋体"/>
                <w:bCs/>
                <w:caps/>
                <w:color w:val="auto"/>
                <w:sz w:val="24"/>
                <w:szCs w:val="24"/>
                <w:highlight w:val="none"/>
              </w:rPr>
            </w:pPr>
          </w:p>
        </w:tc>
      </w:tr>
      <w:tr w14:paraId="6C895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restart"/>
            <w:noWrap/>
            <w:vAlign w:val="center"/>
          </w:tcPr>
          <w:p w14:paraId="33F40082">
            <w:pPr>
              <w:tabs>
                <w:tab w:val="right" w:leader="dot" w:pos="9022"/>
              </w:tabs>
              <w:autoSpaceDE w:val="0"/>
              <w:autoSpaceDN w:val="0"/>
              <w:adjustRightInd w:val="0"/>
              <w:spacing w:line="500" w:lineRule="exac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法定代表人</w:t>
            </w:r>
          </w:p>
        </w:tc>
        <w:tc>
          <w:tcPr>
            <w:tcW w:w="1187" w:type="dxa"/>
            <w:noWrap/>
            <w:vAlign w:val="center"/>
          </w:tcPr>
          <w:p w14:paraId="02CF6461">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姓</w:t>
            </w:r>
            <w:r>
              <w:rPr>
                <w:rFonts w:hint="eastAsia" w:ascii="宋体" w:hAnsi="宋体" w:eastAsia="宋体" w:cs="宋体"/>
                <w:bCs/>
                <w:caps/>
                <w:color w:val="auto"/>
                <w:sz w:val="24"/>
                <w:szCs w:val="24"/>
                <w:highlight w:val="none"/>
                <w:lang w:val="en-US" w:eastAsia="zh-CN"/>
              </w:rPr>
              <w:t xml:space="preserve"> </w:t>
            </w:r>
            <w:r>
              <w:rPr>
                <w:rFonts w:hint="eastAsia" w:ascii="宋体" w:hAnsi="宋体" w:eastAsia="宋体" w:cs="宋体"/>
                <w:bCs/>
                <w:caps/>
                <w:color w:val="auto"/>
                <w:sz w:val="24"/>
                <w:szCs w:val="24"/>
                <w:highlight w:val="none"/>
              </w:rPr>
              <w:t>名</w:t>
            </w:r>
          </w:p>
        </w:tc>
        <w:tc>
          <w:tcPr>
            <w:tcW w:w="2693" w:type="dxa"/>
            <w:gridSpan w:val="3"/>
            <w:noWrap/>
            <w:vAlign w:val="center"/>
          </w:tcPr>
          <w:p w14:paraId="27B23858">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c>
          <w:tcPr>
            <w:tcW w:w="1559" w:type="dxa"/>
            <w:noWrap/>
            <w:vAlign w:val="center"/>
          </w:tcPr>
          <w:p w14:paraId="597FF637">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性    别</w:t>
            </w:r>
          </w:p>
        </w:tc>
        <w:tc>
          <w:tcPr>
            <w:tcW w:w="2414" w:type="dxa"/>
            <w:noWrap/>
            <w:vAlign w:val="center"/>
          </w:tcPr>
          <w:p w14:paraId="4751B8EE">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r>
      <w:tr w14:paraId="712F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continue"/>
            <w:noWrap/>
            <w:vAlign w:val="center"/>
          </w:tcPr>
          <w:p w14:paraId="6ADCB4CB">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c>
          <w:tcPr>
            <w:tcW w:w="1187" w:type="dxa"/>
            <w:noWrap/>
            <w:vAlign w:val="center"/>
          </w:tcPr>
          <w:p w14:paraId="7A63653A">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职</w:t>
            </w:r>
            <w:r>
              <w:rPr>
                <w:rFonts w:hint="eastAsia" w:ascii="宋体" w:hAnsi="宋体" w:eastAsia="宋体" w:cs="宋体"/>
                <w:bCs/>
                <w:caps/>
                <w:color w:val="auto"/>
                <w:sz w:val="24"/>
                <w:szCs w:val="24"/>
                <w:highlight w:val="none"/>
                <w:lang w:val="en-US" w:eastAsia="zh-CN"/>
              </w:rPr>
              <w:t xml:space="preserve"> </w:t>
            </w:r>
            <w:r>
              <w:rPr>
                <w:rFonts w:hint="eastAsia" w:ascii="宋体" w:hAnsi="宋体" w:eastAsia="宋体" w:cs="宋体"/>
                <w:bCs/>
                <w:caps/>
                <w:color w:val="auto"/>
                <w:sz w:val="24"/>
                <w:szCs w:val="24"/>
                <w:highlight w:val="none"/>
              </w:rPr>
              <w:t>务</w:t>
            </w:r>
          </w:p>
        </w:tc>
        <w:tc>
          <w:tcPr>
            <w:tcW w:w="2693" w:type="dxa"/>
            <w:gridSpan w:val="3"/>
            <w:noWrap/>
            <w:vAlign w:val="center"/>
          </w:tcPr>
          <w:p w14:paraId="724BC17D">
            <w:pPr>
              <w:tabs>
                <w:tab w:val="right" w:leader="dot" w:pos="9022"/>
              </w:tabs>
              <w:autoSpaceDE w:val="0"/>
              <w:autoSpaceDN w:val="0"/>
              <w:adjustRightInd w:val="0"/>
              <w:spacing w:line="400" w:lineRule="exact"/>
              <w:jc w:val="center"/>
              <w:rPr>
                <w:rFonts w:hint="eastAsia" w:ascii="宋体" w:hAnsi="宋体" w:eastAsia="宋体" w:cs="宋体"/>
                <w:bCs/>
                <w:caps/>
                <w:color w:val="auto"/>
                <w:sz w:val="24"/>
                <w:szCs w:val="24"/>
                <w:highlight w:val="none"/>
              </w:rPr>
            </w:pPr>
          </w:p>
        </w:tc>
        <w:tc>
          <w:tcPr>
            <w:tcW w:w="1559" w:type="dxa"/>
            <w:noWrap/>
            <w:vAlign w:val="center"/>
          </w:tcPr>
          <w:p w14:paraId="555C6F04">
            <w:pPr>
              <w:tabs>
                <w:tab w:val="right" w:leader="dot" w:pos="9022"/>
              </w:tabs>
              <w:autoSpaceDE w:val="0"/>
              <w:autoSpaceDN w:val="0"/>
              <w:adjustRightInd w:val="0"/>
              <w:spacing w:line="400" w:lineRule="exact"/>
              <w:jc w:val="center"/>
              <w:rPr>
                <w:rFonts w:hint="eastAsia" w:ascii="宋体" w:hAnsi="宋体" w:eastAsia="宋体" w:cs="宋体"/>
                <w:bCs/>
                <w:caps/>
                <w:color w:val="auto"/>
                <w:sz w:val="24"/>
                <w:szCs w:val="24"/>
                <w:highlight w:val="none"/>
                <w:lang w:eastAsia="zh-CN"/>
              </w:rPr>
            </w:pPr>
            <w:r>
              <w:rPr>
                <w:rFonts w:hint="eastAsia" w:ascii="宋体" w:hAnsi="宋体" w:eastAsia="宋体" w:cs="宋体"/>
                <w:bCs/>
                <w:caps/>
                <w:color w:val="auto"/>
                <w:sz w:val="24"/>
                <w:szCs w:val="24"/>
                <w:highlight w:val="none"/>
                <w:lang w:eastAsia="zh-CN"/>
              </w:rPr>
              <w:t>联系电话</w:t>
            </w:r>
          </w:p>
        </w:tc>
        <w:tc>
          <w:tcPr>
            <w:tcW w:w="2414" w:type="dxa"/>
            <w:noWrap/>
            <w:vAlign w:val="center"/>
          </w:tcPr>
          <w:p w14:paraId="313529B4">
            <w:pPr>
              <w:tabs>
                <w:tab w:val="right" w:leader="dot" w:pos="9022"/>
              </w:tabs>
              <w:autoSpaceDE w:val="0"/>
              <w:autoSpaceDN w:val="0"/>
              <w:adjustRightInd w:val="0"/>
              <w:spacing w:line="400" w:lineRule="exact"/>
              <w:rPr>
                <w:rFonts w:hint="eastAsia" w:ascii="宋体" w:hAnsi="宋体" w:eastAsia="宋体" w:cs="宋体"/>
                <w:bCs/>
                <w:caps/>
                <w:color w:val="auto"/>
                <w:sz w:val="24"/>
                <w:szCs w:val="24"/>
                <w:highlight w:val="none"/>
              </w:rPr>
            </w:pPr>
          </w:p>
        </w:tc>
      </w:tr>
      <w:tr w14:paraId="50D16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restart"/>
            <w:noWrap/>
            <w:vAlign w:val="center"/>
          </w:tcPr>
          <w:p w14:paraId="556E9950">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被授权人</w:t>
            </w:r>
          </w:p>
        </w:tc>
        <w:tc>
          <w:tcPr>
            <w:tcW w:w="1187" w:type="dxa"/>
            <w:noWrap/>
            <w:vAlign w:val="center"/>
          </w:tcPr>
          <w:p w14:paraId="2006032E">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姓</w:t>
            </w:r>
            <w:r>
              <w:rPr>
                <w:rFonts w:hint="eastAsia" w:ascii="宋体" w:hAnsi="宋体" w:eastAsia="宋体" w:cs="宋体"/>
                <w:bCs/>
                <w:caps/>
                <w:color w:val="auto"/>
                <w:sz w:val="24"/>
                <w:szCs w:val="24"/>
                <w:highlight w:val="none"/>
                <w:lang w:val="en-US" w:eastAsia="zh-CN"/>
              </w:rPr>
              <w:t xml:space="preserve"> </w:t>
            </w:r>
            <w:r>
              <w:rPr>
                <w:rFonts w:hint="eastAsia" w:ascii="宋体" w:hAnsi="宋体" w:eastAsia="宋体" w:cs="宋体"/>
                <w:bCs/>
                <w:caps/>
                <w:color w:val="auto"/>
                <w:sz w:val="24"/>
                <w:szCs w:val="24"/>
                <w:highlight w:val="none"/>
              </w:rPr>
              <w:t>名</w:t>
            </w:r>
          </w:p>
        </w:tc>
        <w:tc>
          <w:tcPr>
            <w:tcW w:w="2693" w:type="dxa"/>
            <w:gridSpan w:val="3"/>
            <w:noWrap/>
            <w:vAlign w:val="center"/>
          </w:tcPr>
          <w:p w14:paraId="66C034C6">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c>
          <w:tcPr>
            <w:tcW w:w="1559" w:type="dxa"/>
            <w:noWrap/>
            <w:vAlign w:val="center"/>
          </w:tcPr>
          <w:p w14:paraId="4019393C">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性    别</w:t>
            </w:r>
          </w:p>
        </w:tc>
        <w:tc>
          <w:tcPr>
            <w:tcW w:w="2414" w:type="dxa"/>
            <w:noWrap/>
            <w:vAlign w:val="center"/>
          </w:tcPr>
          <w:p w14:paraId="55013F8C">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p>
        </w:tc>
      </w:tr>
      <w:tr w14:paraId="0C133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continue"/>
            <w:noWrap/>
          </w:tcPr>
          <w:p w14:paraId="195B1D9D">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c>
          <w:tcPr>
            <w:tcW w:w="1187" w:type="dxa"/>
            <w:noWrap/>
            <w:vAlign w:val="center"/>
          </w:tcPr>
          <w:p w14:paraId="1C22B5D1">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职</w:t>
            </w:r>
            <w:r>
              <w:rPr>
                <w:rFonts w:hint="eastAsia" w:ascii="宋体" w:hAnsi="宋体" w:eastAsia="宋体" w:cs="宋体"/>
                <w:bCs/>
                <w:caps/>
                <w:color w:val="auto"/>
                <w:sz w:val="24"/>
                <w:szCs w:val="24"/>
                <w:highlight w:val="none"/>
                <w:lang w:val="en-US" w:eastAsia="zh-CN"/>
              </w:rPr>
              <w:t xml:space="preserve"> </w:t>
            </w:r>
            <w:r>
              <w:rPr>
                <w:rFonts w:hint="eastAsia" w:ascii="宋体" w:hAnsi="宋体" w:eastAsia="宋体" w:cs="宋体"/>
                <w:bCs/>
                <w:caps/>
                <w:color w:val="auto"/>
                <w:sz w:val="24"/>
                <w:szCs w:val="24"/>
                <w:highlight w:val="none"/>
              </w:rPr>
              <w:t>务</w:t>
            </w:r>
          </w:p>
        </w:tc>
        <w:tc>
          <w:tcPr>
            <w:tcW w:w="2693" w:type="dxa"/>
            <w:gridSpan w:val="3"/>
            <w:noWrap/>
            <w:vAlign w:val="center"/>
          </w:tcPr>
          <w:p w14:paraId="02870AB3">
            <w:pPr>
              <w:tabs>
                <w:tab w:val="right" w:leader="dot" w:pos="9022"/>
              </w:tabs>
              <w:autoSpaceDE w:val="0"/>
              <w:autoSpaceDN w:val="0"/>
              <w:adjustRightInd w:val="0"/>
              <w:spacing w:line="400" w:lineRule="exact"/>
              <w:jc w:val="center"/>
              <w:rPr>
                <w:rFonts w:hint="eastAsia" w:ascii="宋体" w:hAnsi="宋体" w:eastAsia="宋体" w:cs="宋体"/>
                <w:bCs/>
                <w:caps/>
                <w:color w:val="auto"/>
                <w:sz w:val="24"/>
                <w:szCs w:val="24"/>
                <w:highlight w:val="none"/>
              </w:rPr>
            </w:pPr>
          </w:p>
        </w:tc>
        <w:tc>
          <w:tcPr>
            <w:tcW w:w="1559" w:type="dxa"/>
            <w:noWrap/>
            <w:vAlign w:val="center"/>
          </w:tcPr>
          <w:p w14:paraId="30A49213">
            <w:pPr>
              <w:tabs>
                <w:tab w:val="right" w:leader="dot" w:pos="9022"/>
              </w:tabs>
              <w:autoSpaceDE w:val="0"/>
              <w:autoSpaceDN w:val="0"/>
              <w:adjustRightInd w:val="0"/>
              <w:spacing w:line="400" w:lineRule="exact"/>
              <w:jc w:val="center"/>
              <w:rPr>
                <w:rFonts w:hint="eastAsia" w:ascii="宋体" w:hAnsi="宋体" w:eastAsia="宋体" w:cs="宋体"/>
                <w:bCs/>
                <w:caps/>
                <w:color w:val="auto"/>
                <w:sz w:val="24"/>
                <w:szCs w:val="24"/>
                <w:highlight w:val="none"/>
                <w:lang w:eastAsia="zh-CN"/>
              </w:rPr>
            </w:pPr>
            <w:r>
              <w:rPr>
                <w:rFonts w:hint="eastAsia" w:ascii="宋体" w:hAnsi="宋体" w:eastAsia="宋体" w:cs="宋体"/>
                <w:bCs/>
                <w:caps/>
                <w:color w:val="auto"/>
                <w:sz w:val="24"/>
                <w:szCs w:val="24"/>
                <w:highlight w:val="none"/>
                <w:lang w:eastAsia="zh-CN"/>
              </w:rPr>
              <w:t>联系电话</w:t>
            </w:r>
          </w:p>
        </w:tc>
        <w:tc>
          <w:tcPr>
            <w:tcW w:w="2414" w:type="dxa"/>
            <w:noWrap/>
          </w:tcPr>
          <w:p w14:paraId="25B41189">
            <w:pPr>
              <w:tabs>
                <w:tab w:val="right" w:leader="dot" w:pos="9022"/>
              </w:tabs>
              <w:autoSpaceDE w:val="0"/>
              <w:autoSpaceDN w:val="0"/>
              <w:adjustRightInd w:val="0"/>
              <w:spacing w:line="400" w:lineRule="exact"/>
              <w:rPr>
                <w:rFonts w:hint="eastAsia" w:ascii="宋体" w:hAnsi="宋体" w:eastAsia="宋体" w:cs="宋体"/>
                <w:bCs/>
                <w:caps/>
                <w:color w:val="auto"/>
                <w:sz w:val="24"/>
                <w:szCs w:val="24"/>
                <w:highlight w:val="none"/>
              </w:rPr>
            </w:pPr>
          </w:p>
        </w:tc>
      </w:tr>
      <w:tr w14:paraId="2B1F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noWrap/>
          </w:tcPr>
          <w:p w14:paraId="400F9EF9">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通讯地址</w:t>
            </w:r>
          </w:p>
        </w:tc>
        <w:tc>
          <w:tcPr>
            <w:tcW w:w="7853" w:type="dxa"/>
            <w:gridSpan w:val="6"/>
            <w:noWrap/>
          </w:tcPr>
          <w:p w14:paraId="380E6B9B">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tc>
      </w:tr>
      <w:tr w14:paraId="2E878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3" w:hRule="atLeast"/>
          <w:jc w:val="center"/>
        </w:trPr>
        <w:tc>
          <w:tcPr>
            <w:tcW w:w="4957" w:type="dxa"/>
            <w:gridSpan w:val="4"/>
            <w:noWrap/>
            <w:vAlign w:val="center"/>
          </w:tcPr>
          <w:p w14:paraId="00B8A827">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法定代表人身份证复印件</w:t>
            </w:r>
          </w:p>
          <w:p w14:paraId="3951D210">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p w14:paraId="252358B0">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（粘贴处）</w:t>
            </w:r>
          </w:p>
        </w:tc>
        <w:tc>
          <w:tcPr>
            <w:tcW w:w="4468" w:type="dxa"/>
            <w:gridSpan w:val="3"/>
            <w:noWrap/>
            <w:vAlign w:val="center"/>
          </w:tcPr>
          <w:p w14:paraId="4E2F984E">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被授权人身份证复印件</w:t>
            </w:r>
          </w:p>
          <w:p w14:paraId="62EF8F71">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p>
          <w:p w14:paraId="32197A9E">
            <w:pPr>
              <w:tabs>
                <w:tab w:val="right" w:leader="dot" w:pos="9022"/>
              </w:tabs>
              <w:autoSpaceDE w:val="0"/>
              <w:autoSpaceDN w:val="0"/>
              <w:adjustRightInd w:val="0"/>
              <w:spacing w:line="500" w:lineRule="exact"/>
              <w:jc w:val="center"/>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（粘贴处）</w:t>
            </w:r>
          </w:p>
        </w:tc>
      </w:tr>
      <w:tr w14:paraId="3BFA7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425" w:type="dxa"/>
            <w:gridSpan w:val="7"/>
            <w:tcBorders>
              <w:bottom w:val="single" w:color="auto" w:sz="4" w:space="0"/>
            </w:tcBorders>
            <w:noWrap/>
            <w:vAlign w:val="center"/>
          </w:tcPr>
          <w:p w14:paraId="2E789897">
            <w:pPr>
              <w:tabs>
                <w:tab w:val="right" w:leader="dot" w:pos="9022"/>
              </w:tabs>
              <w:autoSpaceDE w:val="0"/>
              <w:autoSpaceDN w:val="0"/>
              <w:adjustRightInd w:val="0"/>
              <w:spacing w:line="500" w:lineRule="exact"/>
              <w:jc w:val="lef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法定代表人及被授权人签字或盖章：</w:t>
            </w:r>
          </w:p>
        </w:tc>
      </w:tr>
    </w:tbl>
    <w:p w14:paraId="4FECC5F2">
      <w:pPr>
        <w:autoSpaceDE w:val="0"/>
        <w:autoSpaceDN w:val="0"/>
        <w:adjustRightInd w:val="0"/>
        <w:snapToGrid w:val="0"/>
        <w:spacing w:line="480" w:lineRule="exact"/>
        <w:rPr>
          <w:rFonts w:hint="eastAsia" w:ascii="宋体" w:hAnsi="宋体" w:eastAsia="宋体" w:cs="宋体"/>
          <w:bCs/>
          <w:caps/>
          <w:color w:val="auto"/>
          <w:sz w:val="24"/>
          <w:szCs w:val="24"/>
          <w:highlight w:val="none"/>
        </w:rPr>
      </w:pPr>
      <w:r>
        <w:rPr>
          <w:rFonts w:hint="eastAsia" w:ascii="宋体" w:hAnsi="宋体" w:eastAsia="宋体" w:cs="宋体"/>
          <w:bCs/>
          <w:caps/>
          <w:color w:val="auto"/>
          <w:sz w:val="24"/>
          <w:szCs w:val="24"/>
          <w:highlight w:val="none"/>
        </w:rPr>
        <w:t>供应商名称：</w:t>
      </w:r>
      <w:r>
        <w:rPr>
          <w:rFonts w:hint="eastAsia" w:ascii="宋体" w:hAnsi="宋体" w:eastAsia="宋体" w:cs="宋体"/>
          <w:bCs/>
          <w:caps/>
          <w:color w:val="auto"/>
          <w:sz w:val="24"/>
          <w:szCs w:val="24"/>
          <w:highlight w:val="none"/>
          <w:u w:val="single"/>
          <w:lang w:val="en-US" w:eastAsia="zh-CN"/>
        </w:rPr>
        <w:t xml:space="preserve">              </w:t>
      </w:r>
      <w:r>
        <w:rPr>
          <w:rFonts w:hint="eastAsia" w:ascii="宋体" w:hAnsi="宋体" w:eastAsia="宋体" w:cs="宋体"/>
          <w:bCs/>
          <w:caps/>
          <w:color w:val="auto"/>
          <w:sz w:val="24"/>
          <w:szCs w:val="24"/>
          <w:highlight w:val="none"/>
          <w:lang w:val="en-US" w:eastAsia="zh-CN"/>
        </w:rPr>
        <w:t xml:space="preserve"> </w:t>
      </w:r>
      <w:r>
        <w:rPr>
          <w:rFonts w:hint="eastAsia" w:ascii="宋体" w:hAnsi="宋体" w:eastAsia="宋体" w:cs="宋体"/>
          <w:bCs/>
          <w:caps/>
          <w:color w:val="auto"/>
          <w:sz w:val="24"/>
          <w:szCs w:val="24"/>
          <w:highlight w:val="none"/>
        </w:rPr>
        <w:t xml:space="preserve">（供应商单位公章）     日 期：  </w:t>
      </w:r>
    </w:p>
    <w:p w14:paraId="2F87B2F7">
      <w:pPr>
        <w:rPr>
          <w:rFonts w:hint="eastAsia" w:ascii="宋体" w:hAnsi="宋体" w:eastAsia="宋体" w:cs="宋体"/>
          <w:color w:val="auto"/>
          <w:highlight w:val="none"/>
          <w:lang w:val="en-US" w:eastAsia="zh-CN"/>
        </w:rPr>
        <w:sectPr>
          <w:pgSz w:w="11905" w:h="16838"/>
          <w:pgMar w:top="1440" w:right="1083" w:bottom="1440" w:left="1083" w:header="850" w:footer="992" w:gutter="0"/>
          <w:pgBorders>
            <w:top w:val="none" w:sz="0" w:space="0"/>
            <w:left w:val="none" w:sz="0" w:space="0"/>
            <w:bottom w:val="none" w:sz="0" w:space="0"/>
            <w:right w:val="none" w:sz="0" w:space="0"/>
          </w:pgBorders>
          <w:pgNumType w:fmt="decimal"/>
          <w:cols w:space="0" w:num="1"/>
          <w:rtlGutter w:val="0"/>
          <w:docGrid w:linePitch="0" w:charSpace="0"/>
        </w:sectPr>
      </w:pPr>
    </w:p>
    <w:p w14:paraId="7F9817E5">
      <w:pPr>
        <w:pStyle w:val="5"/>
        <w:numPr>
          <w:ilvl w:val="0"/>
          <w:numId w:val="0"/>
        </w:numPr>
        <w:shd w:val="clear"/>
        <w:spacing w:line="360" w:lineRule="auto"/>
        <w:jc w:val="both"/>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附件三：《中小企业声明函》</w:t>
      </w:r>
    </w:p>
    <w:p w14:paraId="11A12E26">
      <w:pPr>
        <w:spacing w:line="360" w:lineRule="auto"/>
        <w:ind w:left="210" w:leftChars="100"/>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kern w:val="2"/>
          <w:sz w:val="28"/>
          <w:szCs w:val="28"/>
          <w:highlight w:val="none"/>
          <w:lang w:val="en-US" w:eastAsia="en-US" w:bidi="ar-SA"/>
        </w:rPr>
        <w:t>中小企业声明函</w:t>
      </w:r>
      <w:r>
        <w:rPr>
          <w:rFonts w:hint="eastAsia" w:ascii="宋体" w:hAnsi="宋体" w:eastAsia="宋体" w:cs="宋体"/>
          <w:b/>
          <w:bCs/>
          <w:color w:val="auto"/>
          <w:kern w:val="2"/>
          <w:sz w:val="28"/>
          <w:szCs w:val="28"/>
          <w:highlight w:val="none"/>
          <w:lang w:val="en-US" w:eastAsia="zh-CN" w:bidi="ar-SA"/>
        </w:rPr>
        <w:t>（货物）</w:t>
      </w:r>
    </w:p>
    <w:p w14:paraId="1B93DD33">
      <w:pPr>
        <w:spacing w:before="162" w:line="360" w:lineRule="auto"/>
        <w:jc w:val="left"/>
        <w:rPr>
          <w:rFonts w:hint="eastAsia" w:ascii="宋体" w:hAnsi="宋体" w:eastAsia="宋体" w:cs="宋体"/>
          <w:sz w:val="24"/>
          <w:szCs w:val="24"/>
          <w:highlight w:val="none"/>
        </w:rPr>
      </w:pPr>
      <w:r>
        <w:rPr>
          <w:rFonts w:hint="eastAsia" w:ascii="宋体" w:hAnsi="宋体" w:eastAsia="宋体" w:cs="宋体"/>
          <w:spacing w:val="4"/>
          <w:sz w:val="24"/>
          <w:szCs w:val="24"/>
          <w:highlight w:val="none"/>
          <w:lang w:val="en-US" w:eastAsia="zh-CN"/>
        </w:rPr>
        <w:t xml:space="preserve">    </w:t>
      </w:r>
      <w:r>
        <w:rPr>
          <w:rFonts w:hint="eastAsia" w:ascii="宋体" w:hAnsi="宋体" w:eastAsia="宋体" w:cs="宋体"/>
          <w:spacing w:val="4"/>
          <w:sz w:val="24"/>
          <w:szCs w:val="24"/>
          <w:highlight w:val="none"/>
        </w:rPr>
        <w:t>本公司郑重声明，根据《政府采购促进中小企业发展管理办法》(财库( 2020 ) 46 号)、财库〔2022〕19号的规定，本公司(联合体)参加</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 xml:space="preserve"> (单位名称)的</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 xml:space="preserve"> (项目名称)采购活动，提供的货物全部由符合政策要求的中小企业制造。相关企业 （含联合体中的中小企业、签订分包意向协议的中小企业）的具体情况如下：</w:t>
      </w:r>
    </w:p>
    <w:p w14:paraId="71D88897">
      <w:pPr>
        <w:widowControl/>
        <w:numPr>
          <w:ilvl w:val="0"/>
          <w:numId w:val="0"/>
        </w:numPr>
        <w:spacing w:line="360" w:lineRule="auto"/>
        <w:ind w:firstLine="496" w:firstLineChars="200"/>
        <w:jc w:val="left"/>
        <w:rPr>
          <w:rFonts w:hint="eastAsia" w:ascii="宋体" w:hAnsi="宋体" w:eastAsia="宋体" w:cs="宋体"/>
          <w:spacing w:val="4"/>
          <w:sz w:val="24"/>
          <w:szCs w:val="24"/>
          <w:highlight w:val="none"/>
        </w:rPr>
      </w:pPr>
      <w:r>
        <w:rPr>
          <w:rFonts w:hint="eastAsia" w:ascii="宋体" w:hAnsi="宋体" w:eastAsia="宋体" w:cs="宋体"/>
          <w:spacing w:val="4"/>
          <w:kern w:val="2"/>
          <w:sz w:val="24"/>
          <w:szCs w:val="24"/>
          <w:highlight w:val="none"/>
          <w:lang w:val="en-US" w:eastAsia="zh-CN" w:bidi="ar-SA"/>
        </w:rPr>
        <w:t>1.</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(标的名称)，属于</w:t>
      </w:r>
      <w:r>
        <w:rPr>
          <w:rFonts w:hint="eastAsia" w:ascii="宋体" w:hAnsi="宋体" w:eastAsia="宋体" w:cs="宋体"/>
          <w:spacing w:val="4"/>
          <w:sz w:val="24"/>
          <w:szCs w:val="24"/>
          <w:highlight w:val="none"/>
          <w:u w:val="single"/>
        </w:rPr>
        <w:t>(采购文件中明确的所属行业</w:t>
      </w:r>
      <w:r>
        <w:rPr>
          <w:rFonts w:hint="eastAsia" w:ascii="宋体" w:hAnsi="宋体" w:eastAsia="宋体" w:cs="宋体"/>
          <w:spacing w:val="4"/>
          <w:sz w:val="24"/>
          <w:szCs w:val="24"/>
          <w:highlight w:val="none"/>
        </w:rPr>
        <w:t>)；制造商为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（企业名称），从业人员</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人，营业收入为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万元， 资产总额为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万元， 属于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 xml:space="preserve"> (中型企业、小型企业、微型企业);</w:t>
      </w:r>
    </w:p>
    <w:p w14:paraId="62EA0E93">
      <w:pPr>
        <w:widowControl/>
        <w:numPr>
          <w:ilvl w:val="0"/>
          <w:numId w:val="0"/>
        </w:numPr>
        <w:spacing w:line="360" w:lineRule="auto"/>
        <w:ind w:firstLine="496" w:firstLineChars="200"/>
        <w:jc w:val="left"/>
        <w:rPr>
          <w:rFonts w:hint="eastAsia" w:ascii="宋体" w:hAnsi="宋体" w:eastAsia="宋体" w:cs="宋体"/>
          <w:spacing w:val="4"/>
          <w:sz w:val="24"/>
          <w:szCs w:val="24"/>
          <w:highlight w:val="none"/>
        </w:rPr>
      </w:pPr>
      <w:r>
        <w:rPr>
          <w:rFonts w:hint="eastAsia" w:ascii="宋体" w:hAnsi="宋体" w:eastAsia="宋体" w:cs="宋体"/>
          <w:spacing w:val="4"/>
          <w:kern w:val="2"/>
          <w:sz w:val="24"/>
          <w:szCs w:val="24"/>
          <w:highlight w:val="none"/>
          <w:lang w:val="en-US" w:eastAsia="zh-CN" w:bidi="ar-SA"/>
        </w:rPr>
        <w:t>2.</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(标的名称)，属于</w:t>
      </w:r>
      <w:r>
        <w:rPr>
          <w:rFonts w:hint="eastAsia" w:ascii="宋体" w:hAnsi="宋体" w:eastAsia="宋体" w:cs="宋体"/>
          <w:spacing w:val="4"/>
          <w:sz w:val="24"/>
          <w:szCs w:val="24"/>
          <w:highlight w:val="none"/>
          <w:u w:val="single"/>
        </w:rPr>
        <w:t>(采购文件中明确的所属行业)</w:t>
      </w:r>
      <w:r>
        <w:rPr>
          <w:rFonts w:hint="eastAsia" w:ascii="宋体" w:hAnsi="宋体" w:eastAsia="宋体" w:cs="宋体"/>
          <w:spacing w:val="4"/>
          <w:sz w:val="24"/>
          <w:szCs w:val="24"/>
          <w:highlight w:val="none"/>
        </w:rPr>
        <w:t>；制造商为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（企业名称），从业人员</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人，营业收入为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万元， 资产总额为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万元， 属于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 xml:space="preserve"> (中型企业、小型企业、微型企业);</w:t>
      </w:r>
    </w:p>
    <w:p w14:paraId="24FE30C4">
      <w:pPr>
        <w:pStyle w:val="29"/>
        <w:ind w:firstLine="456"/>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w:t>
      </w:r>
    </w:p>
    <w:p w14:paraId="469D139F">
      <w:pPr>
        <w:spacing w:line="360" w:lineRule="auto"/>
        <w:ind w:firstLine="496" w:firstLineChars="20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以上企业，不属于大企业的分支机构，不存在控股股东为大企业的情形，也不存在与大企业的负责人为同一人的情形。</w:t>
      </w:r>
    </w:p>
    <w:p w14:paraId="1C3D8135">
      <w:pPr>
        <w:spacing w:line="360" w:lineRule="auto"/>
        <w:ind w:firstLine="496" w:firstLineChars="200"/>
        <w:rPr>
          <w:rFonts w:hint="eastAsia" w:ascii="宋体" w:hAnsi="宋体" w:eastAsia="宋体" w:cs="宋体"/>
          <w:spacing w:val="4"/>
          <w:sz w:val="22"/>
          <w:highlight w:val="none"/>
        </w:rPr>
      </w:pPr>
      <w:r>
        <w:rPr>
          <w:rFonts w:hint="eastAsia" w:ascii="宋体" w:hAnsi="宋体" w:eastAsia="宋体" w:cs="宋体"/>
          <w:spacing w:val="4"/>
          <w:sz w:val="24"/>
          <w:szCs w:val="24"/>
          <w:highlight w:val="none"/>
        </w:rPr>
        <w:t xml:space="preserve">本企业对，上述声明内容的真实性负责。如有虚假，将依法承担相应责任。       </w:t>
      </w:r>
      <w:r>
        <w:rPr>
          <w:rFonts w:hint="eastAsia" w:ascii="宋体" w:hAnsi="宋体" w:eastAsia="宋体" w:cs="宋体"/>
          <w:spacing w:val="4"/>
          <w:sz w:val="22"/>
          <w:highlight w:val="none"/>
        </w:rPr>
        <w:t xml:space="preserve">      </w:t>
      </w:r>
    </w:p>
    <w:p w14:paraId="77CDD900">
      <w:pPr>
        <w:tabs>
          <w:tab w:val="left" w:pos="4860"/>
        </w:tabs>
        <w:spacing w:line="360" w:lineRule="auto"/>
        <w:ind w:right="1560" w:firstLine="496" w:firstLineChars="200"/>
        <w:jc w:val="center"/>
        <w:rPr>
          <w:rFonts w:hint="eastAsia" w:ascii="宋体" w:hAnsi="宋体" w:eastAsia="宋体" w:cs="宋体"/>
          <w:spacing w:val="4"/>
          <w:sz w:val="24"/>
          <w:szCs w:val="21"/>
          <w:highlight w:val="none"/>
        </w:rPr>
      </w:pPr>
    </w:p>
    <w:p w14:paraId="07765BA3">
      <w:pPr>
        <w:spacing w:beforeLines="50" w:afterLines="50" w:line="360" w:lineRule="auto"/>
        <w:rPr>
          <w:rFonts w:hint="eastAsia" w:ascii="宋体" w:hAnsi="宋体" w:eastAsia="宋体" w:cs="宋体"/>
          <w:spacing w:val="4"/>
          <w:sz w:val="22"/>
          <w:szCs w:val="28"/>
          <w:highlight w:val="none"/>
        </w:rPr>
      </w:pPr>
      <w:r>
        <w:rPr>
          <w:rFonts w:hint="eastAsia" w:ascii="宋体" w:hAnsi="宋体" w:eastAsia="宋体" w:cs="宋体"/>
          <w:spacing w:val="4"/>
          <w:sz w:val="22"/>
          <w:szCs w:val="28"/>
          <w:highlight w:val="none"/>
        </w:rPr>
        <w:t xml:space="preserve">                            </w:t>
      </w:r>
      <w:r>
        <w:rPr>
          <w:rFonts w:hint="eastAsia" w:ascii="宋体" w:hAnsi="宋体" w:eastAsia="宋体" w:cs="宋体"/>
          <w:spacing w:val="4"/>
          <w:sz w:val="22"/>
          <w:szCs w:val="28"/>
          <w:highlight w:val="none"/>
          <w:lang w:val="en-US" w:eastAsia="zh-CN"/>
        </w:rPr>
        <w:t xml:space="preserve">       </w:t>
      </w:r>
      <w:r>
        <w:rPr>
          <w:rFonts w:hint="eastAsia" w:ascii="宋体" w:hAnsi="宋体" w:eastAsia="宋体" w:cs="宋体"/>
          <w:spacing w:val="4"/>
          <w:sz w:val="22"/>
          <w:szCs w:val="28"/>
          <w:highlight w:val="none"/>
        </w:rPr>
        <w:t xml:space="preserve"> 投标单位名称：</w:t>
      </w:r>
      <w:r>
        <w:rPr>
          <w:rFonts w:hint="eastAsia" w:ascii="宋体" w:hAnsi="宋体" w:eastAsia="宋体" w:cs="宋体"/>
          <w:sz w:val="22"/>
          <w:szCs w:val="28"/>
          <w:highlight w:val="none"/>
          <w:u w:val="single"/>
        </w:rPr>
        <w:t xml:space="preserve">          （</w:t>
      </w:r>
      <w:r>
        <w:rPr>
          <w:rFonts w:hint="eastAsia" w:ascii="宋体" w:hAnsi="宋体" w:eastAsia="宋体" w:cs="宋体"/>
          <w:sz w:val="22"/>
          <w:szCs w:val="28"/>
          <w:highlight w:val="none"/>
        </w:rPr>
        <w:t>单位公章）</w:t>
      </w:r>
    </w:p>
    <w:p w14:paraId="003A50C6">
      <w:pPr>
        <w:adjustRightInd w:val="0"/>
        <w:snapToGrid w:val="0"/>
        <w:spacing w:line="360" w:lineRule="auto"/>
        <w:ind w:right="420"/>
        <w:jc w:val="center"/>
        <w:rPr>
          <w:rFonts w:hint="eastAsia" w:ascii="宋体" w:hAnsi="宋体" w:eastAsia="宋体" w:cs="宋体"/>
          <w:sz w:val="22"/>
          <w:szCs w:val="21"/>
          <w:highlight w:val="none"/>
        </w:rPr>
      </w:pPr>
      <w:r>
        <w:rPr>
          <w:rFonts w:hint="eastAsia" w:ascii="宋体" w:hAnsi="宋体" w:eastAsia="宋体" w:cs="宋体"/>
          <w:sz w:val="22"/>
          <w:szCs w:val="28"/>
          <w:highlight w:val="none"/>
        </w:rPr>
        <w:t xml:space="preserve">                        日    期：    年   月   日</w:t>
      </w:r>
    </w:p>
    <w:p w14:paraId="2CCE7CC7">
      <w:pPr>
        <w:spacing w:line="360" w:lineRule="auto"/>
        <w:ind w:firstLine="496"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pacing w:val="4"/>
          <w:sz w:val="24"/>
          <w:szCs w:val="24"/>
          <w:highlight w:val="none"/>
        </w:rPr>
        <w:t xml:space="preserve">                                 </w:t>
      </w:r>
    </w:p>
    <w:p w14:paraId="0EA1FFD7">
      <w:pPr>
        <w:pStyle w:val="92"/>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备注：</w:t>
      </w:r>
    </w:p>
    <w:p w14:paraId="1583916F">
      <w:pPr>
        <w:pStyle w:val="9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1.从业人员、营业收入、资产总额填报上一年度数据，无上一年度数据的新成立企业可不填报。</w:t>
      </w:r>
    </w:p>
    <w:p w14:paraId="596F8B6F">
      <w:pPr>
        <w:pStyle w:val="9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2.填写前请认真阅读《工业和信息化部、国家统计局、国家发展和改革委员会　财政部关于印发中小企业划型标准规定的通知》(工信部联企业〔2011〕300号)和《财政部、工业和信息化部关于印发〈政府采购促进中小企业发展管理办法〉的通知》（财库﹝2020﹞46 号）相关规定。</w:t>
      </w:r>
    </w:p>
    <w:p w14:paraId="12B32A6F">
      <w:pPr>
        <w:pStyle w:val="92"/>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3.本项目采购标的对应的中小企业划分标准所属行业为工业。（所属行业类别供应商不得更改，否则，造成不利影响供应商自行承担）</w:t>
      </w:r>
    </w:p>
    <w:p w14:paraId="3788D1B7">
      <w:pPr>
        <w:rPr>
          <w:rFonts w:hint="eastAsia" w:ascii="宋体" w:hAnsi="宋体" w:eastAsia="宋体" w:cs="宋体"/>
          <w:b/>
          <w:bCs/>
          <w:i w:val="0"/>
          <w:iCs w:val="0"/>
          <w:sz w:val="24"/>
          <w:szCs w:val="24"/>
          <w:highlight w:val="none"/>
        </w:rPr>
      </w:pPr>
      <w:bookmarkStart w:id="49" w:name="_Toc26587"/>
      <w:r>
        <w:rPr>
          <w:rFonts w:hint="eastAsia" w:ascii="宋体" w:hAnsi="宋体" w:eastAsia="宋体" w:cs="宋体"/>
          <w:b/>
          <w:bCs/>
          <w:i w:val="0"/>
          <w:iCs w:val="0"/>
          <w:sz w:val="24"/>
          <w:szCs w:val="24"/>
          <w:highlight w:val="none"/>
        </w:rPr>
        <w:br w:type="page"/>
      </w:r>
    </w:p>
    <w:p w14:paraId="3B5362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中小企业划型标准规定</w:t>
      </w:r>
    </w:p>
    <w:p w14:paraId="44D9CA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一、根据《中华人民共和国中小企业促进法》和《国务院关于进一步促进中小企业发展的若干意见》(国发[2009]36号)，制定本规定。</w:t>
      </w:r>
    </w:p>
    <w:p w14:paraId="45A62C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二、中小企业划分为中型、小型、微型三种类型，具体标准根据企业从业人员、营业收入、资产总额等指标，结合行业特点制定。</w:t>
      </w:r>
    </w:p>
    <w:p w14:paraId="01C0F6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94FFF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四、各行业划型标准为：</w:t>
      </w:r>
    </w:p>
    <w:p w14:paraId="09F959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73214D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1D891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92577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EE141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D9386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D0D0D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D14C8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FC72F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B731B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15D2E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C66E5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7F455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E9F67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178ED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B4492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12A3E1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五、企业类型的划分以统计部门的统计数据为依据。</w:t>
      </w:r>
    </w:p>
    <w:p w14:paraId="3A5DF6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六、本规定适用于在中华人民共和国境内依法设立的各类所有制和各种组织形式的企业。个体工商户和本规定以外的行业，参照本规定进行划型。</w:t>
      </w:r>
    </w:p>
    <w:p w14:paraId="3E7BDA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3A7F60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八、本规定由工业和信息化部、国家统计局会同有关部门根据《国民经济行业分类》修订情况和企业发展变化情况适时修订。</w:t>
      </w:r>
    </w:p>
    <w:p w14:paraId="481AC2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九、本规定由工业和信息化部、国家统计局会同有关部门负责解释。</w:t>
      </w:r>
    </w:p>
    <w:p w14:paraId="1DE25B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十、本规定自发布之日起执行，原国家经贸委、原国家计委、财政部和国家统计局2003年颁布的《中小企业标准暂行规定》(国经贸中小企[2003]143号)同时废止。</w:t>
      </w:r>
    </w:p>
    <w:p w14:paraId="4E6AF597">
      <w:pPr>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rPr>
        <w:br w:type="page"/>
      </w:r>
    </w:p>
    <w:p w14:paraId="1F1455CE">
      <w:pPr>
        <w:pStyle w:val="92"/>
        <w:spacing w:line="360" w:lineRule="auto"/>
        <w:ind w:firstLine="0" w:firstLineChars="0"/>
        <w:jc w:val="left"/>
        <w:outlineLvl w:val="9"/>
        <w:rPr>
          <w:rFonts w:hint="eastAsia" w:ascii="宋体" w:hAnsi="宋体" w:eastAsia="宋体" w:cs="宋体"/>
          <w:b/>
          <w:i w:val="0"/>
          <w:iCs w:val="0"/>
          <w:spacing w:val="6"/>
          <w:sz w:val="44"/>
          <w:szCs w:val="40"/>
          <w:highlight w:val="none"/>
        </w:rPr>
      </w:pPr>
      <w:r>
        <w:rPr>
          <w:rFonts w:hint="eastAsia" w:ascii="宋体" w:hAnsi="宋体" w:eastAsia="宋体" w:cs="宋体"/>
          <w:b/>
          <w:bCs/>
          <w:i w:val="0"/>
          <w:iCs w:val="0"/>
          <w:sz w:val="24"/>
          <w:szCs w:val="24"/>
          <w:highlight w:val="none"/>
        </w:rPr>
        <w:t>附件</w:t>
      </w:r>
      <w:r>
        <w:rPr>
          <w:rFonts w:hint="eastAsia" w:ascii="宋体" w:hAnsi="宋体" w:eastAsia="宋体" w:cs="宋体"/>
          <w:b/>
          <w:bCs/>
          <w:i w:val="0"/>
          <w:iCs w:val="0"/>
          <w:sz w:val="24"/>
          <w:szCs w:val="24"/>
          <w:highlight w:val="none"/>
          <w:lang w:eastAsia="zh-CN"/>
        </w:rPr>
        <w:t>四</w:t>
      </w:r>
      <w:r>
        <w:rPr>
          <w:rFonts w:hint="eastAsia" w:ascii="宋体" w:hAnsi="宋体" w:eastAsia="宋体" w:cs="宋体"/>
          <w:b/>
          <w:bCs/>
          <w:i w:val="0"/>
          <w:iCs w:val="0"/>
          <w:sz w:val="24"/>
          <w:szCs w:val="24"/>
          <w:highlight w:val="none"/>
        </w:rPr>
        <w:t>：《残疾人福利性单位声明函》（若有）</w:t>
      </w:r>
      <w:bookmarkEnd w:id="49"/>
    </w:p>
    <w:p w14:paraId="7B69B763">
      <w:pPr>
        <w:spacing w:line="360" w:lineRule="auto"/>
        <w:jc w:val="both"/>
        <w:outlineLvl w:val="9"/>
        <w:rPr>
          <w:rFonts w:hint="eastAsia" w:ascii="宋体" w:hAnsi="宋体" w:eastAsia="宋体" w:cs="宋体"/>
          <w:b/>
          <w:color w:val="auto"/>
          <w:spacing w:val="6"/>
          <w:szCs w:val="24"/>
          <w:highlight w:val="none"/>
        </w:rPr>
      </w:pPr>
    </w:p>
    <w:p w14:paraId="662969D9">
      <w:pPr>
        <w:spacing w:line="360" w:lineRule="auto"/>
        <w:jc w:val="center"/>
        <w:outlineLvl w:val="9"/>
        <w:rPr>
          <w:rFonts w:hint="eastAsia" w:ascii="宋体" w:hAnsi="宋体" w:eastAsia="宋体" w:cs="宋体"/>
          <w:b/>
          <w:bCs w:val="0"/>
          <w:color w:val="auto"/>
          <w:spacing w:val="6"/>
          <w:szCs w:val="24"/>
          <w:highlight w:val="none"/>
        </w:rPr>
      </w:pPr>
      <w:r>
        <w:rPr>
          <w:rFonts w:hint="eastAsia" w:ascii="宋体" w:hAnsi="宋体" w:eastAsia="宋体" w:cs="宋体"/>
          <w:b/>
          <w:bCs w:val="0"/>
          <w:color w:val="auto"/>
          <w:spacing w:val="6"/>
          <w:szCs w:val="24"/>
          <w:highlight w:val="none"/>
        </w:rPr>
        <w:t>残疾人福利性单位声明函</w:t>
      </w:r>
    </w:p>
    <w:p w14:paraId="7258E829">
      <w:pPr>
        <w:spacing w:line="360" w:lineRule="auto"/>
        <w:outlineLvl w:val="9"/>
        <w:rPr>
          <w:rFonts w:hint="eastAsia" w:ascii="宋体" w:hAnsi="宋体" w:eastAsia="宋体" w:cs="宋体"/>
          <w:b/>
          <w:color w:val="auto"/>
          <w:spacing w:val="6"/>
          <w:szCs w:val="24"/>
          <w:highlight w:val="none"/>
        </w:rPr>
      </w:pPr>
    </w:p>
    <w:p w14:paraId="62943950">
      <w:pPr>
        <w:spacing w:line="360" w:lineRule="auto"/>
        <w:ind w:firstLine="44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本单位郑重声明，根据《财政部 民政部 中国残疾人联合会关于促进残疾人就业政府采购政策的通知》（财库</w:t>
      </w:r>
      <w:r>
        <w:rPr>
          <w:rFonts w:hint="eastAsia" w:ascii="宋体" w:hAnsi="宋体" w:eastAsia="宋体" w:cs="宋体"/>
          <w:color w:val="auto"/>
          <w:szCs w:val="24"/>
          <w:highlight w:val="none"/>
        </w:rPr>
        <w:t>〔2017〕 141</w:t>
      </w:r>
      <w:r>
        <w:rPr>
          <w:rFonts w:hint="eastAsia" w:ascii="宋体" w:hAnsi="宋体" w:eastAsia="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7032AAB">
      <w:pPr>
        <w:spacing w:line="360" w:lineRule="auto"/>
        <w:ind w:firstLine="44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本单位对上述声明的真实性负责。如有虚假，将依法承担相应责任。</w:t>
      </w:r>
    </w:p>
    <w:p w14:paraId="3F36B8B0">
      <w:pPr>
        <w:spacing w:line="360" w:lineRule="auto"/>
        <w:ind w:firstLine="444" w:firstLineChars="200"/>
        <w:rPr>
          <w:rFonts w:hint="eastAsia" w:ascii="宋体" w:hAnsi="宋体" w:eastAsia="宋体" w:cs="宋体"/>
          <w:color w:val="auto"/>
          <w:spacing w:val="6"/>
          <w:szCs w:val="24"/>
          <w:highlight w:val="none"/>
        </w:rPr>
      </w:pPr>
    </w:p>
    <w:p w14:paraId="0C288D10">
      <w:pPr>
        <w:spacing w:line="360" w:lineRule="auto"/>
        <w:ind w:firstLine="444" w:firstLineChars="200"/>
        <w:rPr>
          <w:rFonts w:hint="eastAsia" w:ascii="宋体" w:hAnsi="宋体" w:eastAsia="宋体" w:cs="宋体"/>
          <w:color w:val="auto"/>
          <w:spacing w:val="6"/>
          <w:szCs w:val="24"/>
          <w:highlight w:val="none"/>
        </w:rPr>
      </w:pPr>
    </w:p>
    <w:p w14:paraId="62034B35">
      <w:pPr>
        <w:spacing w:before="120" w:beforeLines="50" w:after="120" w:afterLines="50" w:line="360" w:lineRule="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 xml:space="preserve">                          投标单位名称：</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单位公章）</w:t>
      </w:r>
    </w:p>
    <w:p w14:paraId="2A0322DD">
      <w:pPr>
        <w:adjustRightInd w:val="0"/>
        <w:snapToGrid w:val="0"/>
        <w:spacing w:line="360" w:lineRule="auto"/>
        <w:ind w:right="42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日    期：    年   月   日</w:t>
      </w:r>
    </w:p>
    <w:p w14:paraId="1E1568DF">
      <w:pPr>
        <w:rPr>
          <w:rFonts w:hint="eastAsia" w:ascii="宋体" w:hAnsi="宋体" w:eastAsia="宋体" w:cs="宋体"/>
          <w:color w:val="auto"/>
          <w:szCs w:val="24"/>
          <w:highlight w:val="none"/>
        </w:rPr>
      </w:pPr>
    </w:p>
    <w:p w14:paraId="62F73C84">
      <w:pPr>
        <w:ind w:firstLine="280"/>
        <w:rPr>
          <w:rFonts w:hint="eastAsia" w:ascii="宋体" w:hAnsi="宋体" w:eastAsia="宋体" w:cs="宋体"/>
          <w:color w:val="auto"/>
          <w:highlight w:val="none"/>
        </w:rPr>
      </w:pPr>
    </w:p>
    <w:p w14:paraId="61596185">
      <w:pPr>
        <w:ind w:firstLine="280"/>
        <w:rPr>
          <w:rFonts w:hint="eastAsia" w:ascii="宋体" w:hAnsi="宋体" w:eastAsia="宋体" w:cs="宋体"/>
          <w:color w:val="auto"/>
          <w:highlight w:val="none"/>
          <w:lang w:eastAsia="zh-CN"/>
        </w:rPr>
      </w:pPr>
      <w:r>
        <w:rPr>
          <w:rFonts w:hint="eastAsia" w:ascii="宋体" w:hAnsi="宋体" w:eastAsia="宋体" w:cs="宋体"/>
          <w:b/>
          <w:bCs/>
          <w:color w:val="auto"/>
          <w:sz w:val="24"/>
          <w:szCs w:val="24"/>
          <w:highlight w:val="none"/>
          <w:lang w:val="en-US" w:eastAsia="zh-CN"/>
        </w:rPr>
        <w:t>注：非残疾人福利性单位不用提供</w:t>
      </w:r>
    </w:p>
    <w:p w14:paraId="58DBB95F">
      <w:pPr>
        <w:ind w:firstLine="280"/>
        <w:rPr>
          <w:rFonts w:hint="eastAsia" w:ascii="宋体" w:hAnsi="宋体" w:eastAsia="宋体" w:cs="宋体"/>
          <w:color w:val="auto"/>
          <w:highlight w:val="none"/>
        </w:rPr>
      </w:pPr>
    </w:p>
    <w:p w14:paraId="38FA8A3E">
      <w:pPr>
        <w:ind w:firstLine="280"/>
        <w:rPr>
          <w:rFonts w:hint="eastAsia" w:ascii="宋体" w:hAnsi="宋体" w:eastAsia="宋体" w:cs="宋体"/>
          <w:color w:val="auto"/>
          <w:highlight w:val="none"/>
        </w:rPr>
      </w:pPr>
    </w:p>
    <w:p w14:paraId="3C8052D1">
      <w:pPr>
        <w:spacing w:line="360" w:lineRule="auto"/>
        <w:rPr>
          <w:rFonts w:hint="eastAsia" w:ascii="宋体" w:hAnsi="宋体" w:eastAsia="宋体" w:cs="宋体"/>
          <w:b/>
          <w:color w:val="auto"/>
          <w:sz w:val="44"/>
          <w:szCs w:val="44"/>
          <w:highlight w:val="none"/>
        </w:rPr>
      </w:pPr>
    </w:p>
    <w:p w14:paraId="45CFC676">
      <w:pPr>
        <w:spacing w:line="360" w:lineRule="auto"/>
        <w:rPr>
          <w:rFonts w:hint="eastAsia" w:ascii="宋体" w:hAnsi="宋体" w:eastAsia="宋体" w:cs="宋体"/>
          <w:color w:val="auto"/>
          <w:highlight w:val="none"/>
        </w:rPr>
      </w:pPr>
    </w:p>
    <w:p w14:paraId="07241C70">
      <w:pPr>
        <w:rPr>
          <w:rFonts w:hint="eastAsia" w:ascii="宋体" w:hAnsi="宋体" w:eastAsia="宋体" w:cs="宋体"/>
          <w:b/>
          <w:color w:val="auto"/>
          <w:highlight w:val="none"/>
        </w:rPr>
      </w:pPr>
    </w:p>
    <w:p w14:paraId="442445E0">
      <w:pPr>
        <w:spacing w:line="600" w:lineRule="exact"/>
        <w:rPr>
          <w:rFonts w:hint="eastAsia" w:ascii="宋体" w:hAnsi="宋体" w:eastAsia="宋体" w:cs="宋体"/>
          <w:color w:val="auto"/>
          <w:sz w:val="28"/>
          <w:szCs w:val="28"/>
          <w:highlight w:val="none"/>
        </w:rPr>
      </w:pPr>
    </w:p>
    <w:p w14:paraId="774AFA37">
      <w:pPr>
        <w:spacing w:line="600" w:lineRule="exact"/>
        <w:rPr>
          <w:rFonts w:hint="eastAsia" w:ascii="宋体" w:hAnsi="宋体" w:eastAsia="宋体" w:cs="宋体"/>
          <w:color w:val="auto"/>
          <w:sz w:val="28"/>
          <w:szCs w:val="28"/>
          <w:highlight w:val="none"/>
        </w:rPr>
      </w:pPr>
    </w:p>
    <w:p w14:paraId="3CD3FF28">
      <w:pPr>
        <w:spacing w:line="600" w:lineRule="exact"/>
        <w:rPr>
          <w:rFonts w:hint="eastAsia" w:ascii="宋体" w:hAnsi="宋体" w:eastAsia="宋体" w:cs="宋体"/>
          <w:color w:val="auto"/>
          <w:sz w:val="28"/>
          <w:szCs w:val="28"/>
          <w:highlight w:val="none"/>
        </w:rPr>
      </w:pPr>
    </w:p>
    <w:p w14:paraId="1559F952">
      <w:pPr>
        <w:spacing w:line="600" w:lineRule="exact"/>
        <w:rPr>
          <w:rFonts w:hint="eastAsia" w:ascii="宋体" w:hAnsi="宋体" w:eastAsia="宋体" w:cs="宋体"/>
          <w:color w:val="auto"/>
          <w:sz w:val="28"/>
          <w:szCs w:val="28"/>
          <w:highlight w:val="none"/>
        </w:rPr>
      </w:pPr>
    </w:p>
    <w:p w14:paraId="01C6FDF3">
      <w:pPr>
        <w:rPr>
          <w:rFonts w:hint="eastAsia" w:ascii="宋体" w:hAnsi="宋体" w:eastAsia="宋体" w:cs="宋体"/>
          <w:b/>
          <w:bCs/>
          <w:kern w:val="2"/>
          <w:sz w:val="24"/>
          <w:szCs w:val="24"/>
          <w:highlight w:val="none"/>
          <w:lang w:val="en-US" w:eastAsia="zh-CN" w:bidi="ar-SA"/>
        </w:rPr>
      </w:pPr>
      <w:r>
        <w:rPr>
          <w:rFonts w:hint="eastAsia" w:ascii="宋体" w:hAnsi="宋体" w:eastAsia="宋体" w:cs="宋体"/>
          <w:color w:val="auto"/>
          <w:sz w:val="28"/>
          <w:szCs w:val="28"/>
          <w:highlight w:val="none"/>
        </w:rPr>
        <w:br w:type="page"/>
      </w:r>
      <w:r>
        <w:rPr>
          <w:rFonts w:hint="eastAsia" w:ascii="宋体" w:hAnsi="宋体" w:cs="宋体"/>
          <w:b/>
          <w:bCs/>
          <w:color w:val="auto"/>
          <w:sz w:val="24"/>
          <w:szCs w:val="24"/>
          <w:highlight w:val="none"/>
          <w:lang w:eastAsia="zh-CN"/>
        </w:rPr>
        <w:t>附件五</w:t>
      </w:r>
      <w:r>
        <w:rPr>
          <w:rFonts w:hint="eastAsia" w:ascii="宋体" w:hAnsi="宋体" w:cs="宋体"/>
          <w:color w:val="auto"/>
          <w:sz w:val="28"/>
          <w:szCs w:val="28"/>
          <w:highlight w:val="none"/>
          <w:lang w:val="en-US" w:eastAsia="zh-CN"/>
        </w:rPr>
        <w:t xml:space="preserve"> </w:t>
      </w:r>
      <w:r>
        <w:rPr>
          <w:rFonts w:hint="eastAsia" w:ascii="宋体" w:hAnsi="宋体" w:eastAsia="宋体" w:cs="宋体"/>
          <w:b/>
          <w:bCs/>
          <w:kern w:val="2"/>
          <w:sz w:val="24"/>
          <w:szCs w:val="24"/>
          <w:highlight w:val="none"/>
          <w:lang w:val="en-US" w:eastAsia="zh-CN" w:bidi="ar-SA"/>
        </w:rPr>
        <w:t>监狱企业证明文件（若有）</w:t>
      </w:r>
    </w:p>
    <w:p w14:paraId="0E1A5E1B">
      <w:pPr>
        <w:numPr>
          <w:ilvl w:val="0"/>
          <w:numId w:val="0"/>
        </w:numPr>
        <w:autoSpaceDE w:val="0"/>
        <w:autoSpaceDN w:val="0"/>
        <w:adjustRightInd w:val="0"/>
        <w:snapToGrid w:val="0"/>
        <w:spacing w:line="360" w:lineRule="auto"/>
        <w:ind w:leftChars="0"/>
        <w:jc w:val="both"/>
        <w:outlineLvl w:val="9"/>
        <w:rPr>
          <w:rFonts w:hint="eastAsia" w:ascii="宋体" w:hAnsi="宋体" w:eastAsia="宋体" w:cs="宋体"/>
          <w:b/>
          <w:bCs/>
          <w:color w:val="auto"/>
          <w:sz w:val="24"/>
          <w:szCs w:val="24"/>
          <w:highlight w:val="none"/>
          <w:lang w:val="en-US" w:eastAsia="zh-CN"/>
        </w:rPr>
      </w:pPr>
    </w:p>
    <w:p w14:paraId="0C4B406E">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监狱企业证明文件</w:t>
      </w:r>
    </w:p>
    <w:p w14:paraId="10998992">
      <w:pPr>
        <w:pStyle w:val="29"/>
        <w:ind w:firstLine="560"/>
        <w:rPr>
          <w:rFonts w:hint="eastAsia" w:ascii="宋体" w:hAnsi="宋体" w:eastAsia="宋体" w:cs="宋体"/>
          <w:color w:val="auto"/>
          <w:kern w:val="2"/>
          <w:sz w:val="28"/>
          <w:szCs w:val="28"/>
          <w:highlight w:val="none"/>
        </w:rPr>
      </w:pPr>
    </w:p>
    <w:p w14:paraId="05A8A511">
      <w:pPr>
        <w:spacing w:line="360" w:lineRule="auto"/>
        <w:ind w:firstLine="44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说明：监狱企业参加政府采购活动时，应当提供由省级以上监狱管理局、戒毒管理局（含新疆生产建设兵团）出具的属于监狱企业的证明文件。在政府采购活动中，监狱企业视同小型、微型企业。</w:t>
      </w:r>
    </w:p>
    <w:p w14:paraId="679556AB">
      <w:pPr>
        <w:pStyle w:val="14"/>
        <w:numPr>
          <w:ilvl w:val="0"/>
          <w:numId w:val="0"/>
        </w:numPr>
        <w:ind w:leftChars="200"/>
        <w:jc w:val="both"/>
        <w:rPr>
          <w:rFonts w:hint="eastAsia" w:ascii="宋体" w:hAnsi="宋体" w:eastAsia="宋体" w:cs="宋体"/>
          <w:b/>
          <w:bCs/>
          <w:color w:val="auto"/>
          <w:kern w:val="2"/>
          <w:sz w:val="24"/>
          <w:szCs w:val="24"/>
          <w:highlight w:val="none"/>
          <w:lang w:val="en-US" w:eastAsia="zh-CN" w:bidi="ar-SA"/>
        </w:rPr>
      </w:pPr>
    </w:p>
    <w:p w14:paraId="73026C38">
      <w:pPr>
        <w:pStyle w:val="14"/>
        <w:numPr>
          <w:ilvl w:val="0"/>
          <w:numId w:val="0"/>
        </w:numPr>
        <w:ind w:leftChars="200"/>
        <w:jc w:val="both"/>
        <w:rPr>
          <w:rFonts w:hint="eastAsia" w:ascii="宋体" w:hAnsi="宋体" w:eastAsia="宋体" w:cs="宋体"/>
          <w:b/>
          <w:bCs/>
          <w:color w:val="auto"/>
          <w:kern w:val="2"/>
          <w:sz w:val="24"/>
          <w:szCs w:val="24"/>
          <w:highlight w:val="none"/>
          <w:lang w:val="en-US" w:eastAsia="zh-CN" w:bidi="ar-SA"/>
        </w:rPr>
      </w:pPr>
    </w:p>
    <w:p w14:paraId="3EE916BE">
      <w:pPr>
        <w:pStyle w:val="14"/>
        <w:numPr>
          <w:ilvl w:val="0"/>
          <w:numId w:val="0"/>
        </w:numPr>
        <w:ind w:leftChars="200"/>
        <w:jc w:val="both"/>
        <w:rPr>
          <w:rFonts w:hint="eastAsia" w:ascii="宋体" w:hAnsi="宋体" w:eastAsia="宋体" w:cs="宋体"/>
          <w:b/>
          <w:bCs/>
          <w:color w:val="auto"/>
          <w:kern w:val="2"/>
          <w:sz w:val="24"/>
          <w:szCs w:val="24"/>
          <w:highlight w:val="none"/>
          <w:lang w:val="en-US" w:eastAsia="zh-CN" w:bidi="ar-SA"/>
        </w:rPr>
      </w:pPr>
    </w:p>
    <w:p w14:paraId="63D9B35A">
      <w:pPr>
        <w:pStyle w:val="14"/>
        <w:numPr>
          <w:ilvl w:val="0"/>
          <w:numId w:val="0"/>
        </w:numPr>
        <w:ind w:leftChars="200"/>
        <w:jc w:val="both"/>
        <w:rPr>
          <w:rFonts w:hint="eastAsia" w:ascii="宋体" w:hAnsi="宋体" w:eastAsia="宋体" w:cs="宋体"/>
          <w:b/>
          <w:bCs/>
          <w:color w:val="auto"/>
          <w:kern w:val="2"/>
          <w:sz w:val="24"/>
          <w:szCs w:val="24"/>
          <w:highlight w:val="none"/>
          <w:lang w:val="en-US" w:eastAsia="zh-CN" w:bidi="ar-SA"/>
        </w:rPr>
      </w:pPr>
    </w:p>
    <w:p w14:paraId="399BB930">
      <w:pPr>
        <w:pStyle w:val="14"/>
        <w:numPr>
          <w:ilvl w:val="0"/>
          <w:numId w:val="0"/>
        </w:numPr>
        <w:jc w:val="both"/>
        <w:rPr>
          <w:rFonts w:hint="eastAsia" w:ascii="宋体" w:hAnsi="宋体" w:eastAsia="宋体" w:cs="宋体"/>
          <w:b/>
          <w:bCs/>
          <w:color w:val="auto"/>
          <w:kern w:val="2"/>
          <w:sz w:val="24"/>
          <w:szCs w:val="24"/>
          <w:highlight w:val="none"/>
          <w:lang w:val="en-US" w:eastAsia="zh-CN" w:bidi="ar-SA"/>
        </w:rPr>
      </w:pPr>
    </w:p>
    <w:p w14:paraId="5DCC7D76">
      <w:pPr>
        <w:pStyle w:val="14"/>
        <w:numPr>
          <w:ilvl w:val="0"/>
          <w:numId w:val="0"/>
        </w:numPr>
        <w:ind w:leftChars="200"/>
        <w:jc w:val="both"/>
        <w:rPr>
          <w:rFonts w:hint="eastAsia" w:ascii="宋体" w:hAnsi="宋体" w:eastAsia="宋体" w:cs="宋体"/>
          <w:b/>
          <w:bCs/>
          <w:color w:val="auto"/>
          <w:kern w:val="2"/>
          <w:sz w:val="24"/>
          <w:szCs w:val="24"/>
          <w:highlight w:val="none"/>
          <w:lang w:val="en-US" w:eastAsia="zh-CN" w:bidi="ar-SA"/>
        </w:rPr>
      </w:pPr>
    </w:p>
    <w:p w14:paraId="4ACD01D7">
      <w:pPr>
        <w:pStyle w:val="14"/>
        <w:numPr>
          <w:ilvl w:val="0"/>
          <w:numId w:val="0"/>
        </w:numPr>
        <w:ind w:leftChars="200"/>
        <w:jc w:val="both"/>
        <w:rPr>
          <w:rFonts w:hint="eastAsia" w:ascii="宋体" w:hAnsi="宋体" w:eastAsia="宋体" w:cs="宋体"/>
          <w:b/>
          <w:bCs/>
          <w:color w:val="auto"/>
          <w:kern w:val="2"/>
          <w:sz w:val="24"/>
          <w:szCs w:val="24"/>
          <w:highlight w:val="none"/>
          <w:lang w:val="en-US" w:eastAsia="zh-CN" w:bidi="ar-SA"/>
        </w:rPr>
      </w:pPr>
    </w:p>
    <w:p w14:paraId="30727673">
      <w:pPr>
        <w:ind w:firstLine="280"/>
        <w:rPr>
          <w:rFonts w:hint="eastAsia" w:ascii="宋体" w:hAnsi="宋体" w:eastAsia="宋体" w:cs="宋体"/>
          <w:color w:val="auto"/>
          <w:highlight w:val="none"/>
          <w:lang w:eastAsia="zh-CN"/>
        </w:rPr>
      </w:pPr>
      <w:r>
        <w:rPr>
          <w:rFonts w:hint="eastAsia" w:ascii="宋体" w:hAnsi="宋体" w:eastAsia="宋体" w:cs="宋体"/>
          <w:b/>
          <w:bCs/>
          <w:color w:val="auto"/>
          <w:sz w:val="24"/>
          <w:szCs w:val="24"/>
          <w:highlight w:val="none"/>
          <w:lang w:val="en-US" w:eastAsia="zh-CN"/>
        </w:rPr>
        <w:t>注：非监狱企业不用提供</w:t>
      </w:r>
    </w:p>
    <w:p w14:paraId="740FEB42">
      <w:pPr>
        <w:pStyle w:val="14"/>
        <w:numPr>
          <w:ilvl w:val="0"/>
          <w:numId w:val="0"/>
        </w:numPr>
        <w:ind w:leftChars="200"/>
        <w:jc w:val="both"/>
        <w:rPr>
          <w:rFonts w:hint="eastAsia" w:ascii="宋体" w:hAnsi="宋体" w:eastAsia="宋体" w:cs="宋体"/>
          <w:b/>
          <w:bCs/>
          <w:color w:val="auto"/>
          <w:kern w:val="2"/>
          <w:sz w:val="24"/>
          <w:szCs w:val="24"/>
          <w:highlight w:val="none"/>
          <w:lang w:val="en-US" w:eastAsia="zh-CN" w:bidi="ar-SA"/>
        </w:rPr>
      </w:pPr>
    </w:p>
    <w:p w14:paraId="6659A6BB">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14:paraId="18AFFE30">
      <w:pPr>
        <w:spacing w:line="480" w:lineRule="auto"/>
        <w:jc w:val="both"/>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三、符合性证明文件</w:t>
      </w:r>
    </w:p>
    <w:p w14:paraId="72F9F822">
      <w:pPr>
        <w:pStyle w:val="91"/>
        <w:numPr>
          <w:ilvl w:val="0"/>
          <w:numId w:val="0"/>
        </w:numPr>
        <w:autoSpaceDE w:val="0"/>
        <w:autoSpaceDN w:val="0"/>
        <w:adjustRightInd w:val="0"/>
        <w:snapToGrid w:val="0"/>
        <w:spacing w:line="312" w:lineRule="auto"/>
        <w:jc w:val="center"/>
        <w:outlineLvl w:val="2"/>
        <w:rPr>
          <w:rFonts w:hint="eastAsia" w:ascii="宋体" w:hAnsi="宋体" w:eastAsia="宋体" w:cs="宋体"/>
          <w:b/>
          <w:color w:val="auto"/>
          <w:sz w:val="24"/>
          <w:szCs w:val="24"/>
          <w:highlight w:val="none"/>
          <w:lang w:val="zh-CN"/>
        </w:rPr>
      </w:pPr>
      <w:bookmarkStart w:id="50" w:name="_Toc8436"/>
      <w:bookmarkStart w:id="51" w:name="_Toc6042"/>
      <w:bookmarkStart w:id="52" w:name="_Toc1949"/>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val="zh-CN"/>
        </w:rPr>
        <w:t>响应函</w:t>
      </w:r>
      <w:bookmarkEnd w:id="50"/>
      <w:bookmarkEnd w:id="51"/>
      <w:bookmarkEnd w:id="52"/>
    </w:p>
    <w:p w14:paraId="2EE132C4">
      <w:pPr>
        <w:autoSpaceDE w:val="0"/>
        <w:autoSpaceDN w:val="0"/>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采购人名称</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rPr>
        <w:t>：</w:t>
      </w:r>
    </w:p>
    <w:p w14:paraId="4758F713">
      <w:pPr>
        <w:autoSpaceDE w:val="0"/>
        <w:autoSpaceDN w:val="0"/>
        <w:adjustRightInd w:val="0"/>
        <w:snapToGrid w:val="0"/>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我单位已获取到贵方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32"/>
          <w:highlight w:val="none"/>
          <w:u w:val="single"/>
        </w:rPr>
        <w:t>（项目名称）</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zh-CN"/>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竞争性谈判文件，经详细研究，我们决定参加本次谈判活动。为此，我方郑重声明以下诸点，并负法律责任。</w:t>
      </w:r>
    </w:p>
    <w:p w14:paraId="6EEC8B4D">
      <w:pPr>
        <w:autoSpaceDE w:val="0"/>
        <w:autoSpaceDN w:val="0"/>
        <w:adjustRightInd w:val="0"/>
        <w:snapToGrid w:val="0"/>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我方完全响应</w:t>
      </w:r>
      <w:r>
        <w:rPr>
          <w:rFonts w:hint="eastAsia" w:ascii="宋体" w:hAnsi="宋体" w:eastAsia="宋体" w:cs="宋体"/>
          <w:color w:val="auto"/>
          <w:sz w:val="24"/>
          <w:szCs w:val="24"/>
          <w:highlight w:val="none"/>
          <w:lang w:val="zh-CN"/>
        </w:rPr>
        <w:t>竞争性谈判文件中</w:t>
      </w:r>
      <w:r>
        <w:rPr>
          <w:rFonts w:hint="eastAsia" w:ascii="宋体" w:hAnsi="宋体" w:eastAsia="宋体" w:cs="宋体"/>
          <w:color w:val="auto"/>
          <w:sz w:val="24"/>
          <w:szCs w:val="24"/>
          <w:highlight w:val="none"/>
        </w:rPr>
        <w:t>关于商务条款、技术条款及合同条款</w:t>
      </w:r>
      <w:r>
        <w:rPr>
          <w:rFonts w:hint="eastAsia" w:ascii="宋体" w:hAnsi="宋体" w:eastAsia="宋体" w:cs="宋体"/>
          <w:color w:val="auto"/>
          <w:sz w:val="24"/>
          <w:szCs w:val="24"/>
          <w:highlight w:val="none"/>
          <w:lang w:val="zh-CN"/>
        </w:rPr>
        <w:t>。</w:t>
      </w:r>
    </w:p>
    <w:p w14:paraId="6F9A30D7">
      <w:pPr>
        <w:autoSpaceDE w:val="0"/>
        <w:autoSpaceDN w:val="0"/>
        <w:adjustRightInd w:val="0"/>
        <w:snapToGrid w:val="0"/>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、按竞争性谈判文件的规定，我公司的第一次谈判报价为：</w:t>
      </w:r>
      <w:r>
        <w:rPr>
          <w:rFonts w:hint="eastAsia" w:ascii="宋体" w:hAnsi="宋体" w:eastAsia="宋体" w:cs="宋体"/>
          <w:color w:val="auto"/>
          <w:sz w:val="24"/>
          <w:highlight w:val="none"/>
        </w:rPr>
        <w:t>(大写)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人民币（RMB￥</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szCs w:val="24"/>
          <w:highlight w:val="none"/>
          <w:lang w:val="zh-CN"/>
        </w:rPr>
        <w:t>，并对其后的谈判报价负法律责任。</w:t>
      </w:r>
    </w:p>
    <w:p w14:paraId="5BAC4A4A">
      <w:pPr>
        <w:autoSpaceDE w:val="0"/>
        <w:autoSpaceDN w:val="0"/>
        <w:adjustRightInd w:val="0"/>
        <w:snapToGrid w:val="0"/>
        <w:spacing w:line="360" w:lineRule="auto"/>
        <w:ind w:firstLine="63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、我方提交电子响应文件一份。</w:t>
      </w:r>
    </w:p>
    <w:p w14:paraId="6ACC9FA9">
      <w:pPr>
        <w:autoSpaceDE w:val="0"/>
        <w:autoSpaceDN w:val="0"/>
        <w:adjustRightInd w:val="0"/>
        <w:snapToGrid w:val="0"/>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、我方已详细阅读了竞争性谈判文件，完全理解并放弃提出含糊不清或易形成歧义的表述和资料。</w:t>
      </w:r>
    </w:p>
    <w:p w14:paraId="380293E6">
      <w:pPr>
        <w:autoSpaceDE w:val="0"/>
        <w:autoSpaceDN w:val="0"/>
        <w:adjustRightInd w:val="0"/>
        <w:snapToGrid w:val="0"/>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、谈判后在规定的有效期内撤回谈判，我方愿接受政府采购的有关处罚决定。</w:t>
      </w:r>
    </w:p>
    <w:p w14:paraId="615DEAC2">
      <w:pPr>
        <w:autoSpaceDE w:val="0"/>
        <w:autoSpaceDN w:val="0"/>
        <w:adjustRightInd w:val="0"/>
        <w:snapToGrid w:val="0"/>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、同意向贵方提供可能要求的，与本次谈判有关的任何证据或资料，且尊重谈判小组的评审结论和结果。</w:t>
      </w:r>
    </w:p>
    <w:p w14:paraId="3AAC2323">
      <w:pPr>
        <w:autoSpaceDE w:val="0"/>
        <w:autoSpaceDN w:val="0"/>
        <w:adjustRightInd w:val="0"/>
        <w:snapToGrid w:val="0"/>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、我方的响应文件有效期为自谈判之日起</w:t>
      </w:r>
      <w:r>
        <w:rPr>
          <w:rFonts w:hint="eastAsia" w:ascii="宋体" w:hAnsi="宋体" w:eastAsia="宋体" w:cs="宋体"/>
          <w:color w:val="auto"/>
          <w:sz w:val="24"/>
          <w:szCs w:val="24"/>
          <w:highlight w:val="none"/>
        </w:rPr>
        <w:t>90</w:t>
      </w:r>
      <w:r>
        <w:rPr>
          <w:rFonts w:hint="eastAsia" w:ascii="宋体" w:hAnsi="宋体" w:eastAsia="宋体" w:cs="宋体"/>
          <w:color w:val="auto"/>
          <w:sz w:val="24"/>
          <w:szCs w:val="24"/>
          <w:highlight w:val="none"/>
          <w:lang w:val="zh-CN"/>
        </w:rPr>
        <w:t>个日历天，若我方成交，响应文件有效期延长至合同执行完毕。</w:t>
      </w:r>
    </w:p>
    <w:p w14:paraId="0C155EA7">
      <w:pPr>
        <w:autoSpaceDE w:val="0"/>
        <w:autoSpaceDN w:val="0"/>
        <w:adjustRightInd w:val="0"/>
        <w:snapToGrid w:val="0"/>
        <w:spacing w:line="360" w:lineRule="auto"/>
        <w:ind w:firstLine="63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、有关于本谈判文件的函电，请按下列地址联系。</w:t>
      </w:r>
    </w:p>
    <w:p w14:paraId="6C2F25C5">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p>
    <w:p w14:paraId="2DE39FAB">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val="zh-CN"/>
        </w:rPr>
        <w:t>供应商：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8"/>
          <w:highlight w:val="none"/>
          <w:lang w:eastAsia="zh-CN"/>
        </w:rPr>
        <w:t>加</w:t>
      </w:r>
      <w:r>
        <w:rPr>
          <w:rFonts w:hint="eastAsia" w:ascii="宋体" w:hAnsi="宋体" w:eastAsia="宋体" w:cs="宋体"/>
          <w:color w:val="auto"/>
          <w:sz w:val="24"/>
          <w:szCs w:val="28"/>
          <w:highlight w:val="none"/>
        </w:rPr>
        <w:t>盖</w:t>
      </w:r>
      <w:r>
        <w:rPr>
          <w:rFonts w:hint="eastAsia" w:ascii="宋体" w:hAnsi="宋体" w:eastAsia="宋体" w:cs="宋体"/>
          <w:color w:val="auto"/>
          <w:sz w:val="24"/>
          <w:szCs w:val="22"/>
          <w:highlight w:val="none"/>
        </w:rPr>
        <w:t>公章</w:t>
      </w:r>
      <w:r>
        <w:rPr>
          <w:rFonts w:hint="eastAsia" w:ascii="宋体" w:hAnsi="宋体" w:eastAsia="宋体" w:cs="宋体"/>
          <w:color w:val="auto"/>
          <w:sz w:val="24"/>
          <w:szCs w:val="24"/>
          <w:highlight w:val="none"/>
          <w:lang w:val="zh-CN"/>
        </w:rPr>
        <w:t>）</w:t>
      </w:r>
    </w:p>
    <w:p w14:paraId="7B61344D">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地址：</w:t>
      </w:r>
      <w:r>
        <w:rPr>
          <w:rFonts w:hint="eastAsia" w:ascii="宋体" w:hAnsi="宋体" w:eastAsia="宋体" w:cs="宋体"/>
          <w:color w:val="auto"/>
          <w:sz w:val="24"/>
          <w:szCs w:val="24"/>
          <w:highlight w:val="none"/>
        </w:rPr>
        <w:t>__________________________________________</w:t>
      </w:r>
    </w:p>
    <w:p w14:paraId="2B56B6DA">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电话：</w:t>
      </w:r>
      <w:r>
        <w:rPr>
          <w:rFonts w:hint="eastAsia" w:ascii="宋体" w:hAnsi="宋体" w:eastAsia="宋体" w:cs="宋体"/>
          <w:color w:val="auto"/>
          <w:sz w:val="24"/>
          <w:szCs w:val="24"/>
          <w:highlight w:val="none"/>
        </w:rPr>
        <w:t>__________________________________________</w:t>
      </w:r>
    </w:p>
    <w:p w14:paraId="08F50720">
      <w:pPr>
        <w:autoSpaceDE w:val="0"/>
        <w:autoSpaceDN w:val="0"/>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法定代表人或授权代表（签字或盖章）：</w:t>
      </w:r>
      <w:r>
        <w:rPr>
          <w:rFonts w:hint="eastAsia" w:ascii="宋体" w:hAnsi="宋体" w:eastAsia="宋体" w:cs="宋体"/>
          <w:color w:val="auto"/>
          <w:sz w:val="24"/>
          <w:szCs w:val="24"/>
          <w:highlight w:val="none"/>
        </w:rPr>
        <w:t>______________________________</w:t>
      </w:r>
    </w:p>
    <w:p w14:paraId="199C2EB8">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_____</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日</w:t>
      </w:r>
    </w:p>
    <w:p w14:paraId="5A45B5A3">
      <w:pPr>
        <w:widowControl/>
        <w:spacing w:beforeAutospacing="1" w:afterAutospacing="1" w:line="312" w:lineRule="auto"/>
        <w:jc w:val="left"/>
        <w:rPr>
          <w:rFonts w:hint="eastAsia" w:ascii="宋体" w:hAnsi="宋体" w:eastAsia="宋体" w:cs="宋体"/>
          <w:color w:val="auto"/>
          <w:sz w:val="24"/>
          <w:szCs w:val="24"/>
          <w:highlight w:val="none"/>
        </w:rPr>
        <w:sectPr>
          <w:pgSz w:w="11905" w:h="16838"/>
          <w:pgMar w:top="1440" w:right="1083" w:bottom="1440" w:left="1083" w:header="850" w:footer="992" w:gutter="0"/>
          <w:pgBorders>
            <w:top w:val="none" w:sz="0" w:space="0"/>
            <w:left w:val="none" w:sz="0" w:space="0"/>
            <w:bottom w:val="none" w:sz="0" w:space="0"/>
            <w:right w:val="none" w:sz="0" w:space="0"/>
          </w:pgBorders>
          <w:pgNumType w:fmt="decimal"/>
          <w:cols w:space="0" w:num="1"/>
          <w:rtlGutter w:val="0"/>
          <w:docGrid w:linePitch="0" w:charSpace="0"/>
        </w:sectPr>
      </w:pPr>
    </w:p>
    <w:p w14:paraId="486EA575">
      <w:pPr>
        <w:numPr>
          <w:ilvl w:val="0"/>
          <w:numId w:val="0"/>
        </w:numPr>
        <w:autoSpaceDE w:val="0"/>
        <w:autoSpaceDN w:val="0"/>
        <w:adjustRightInd w:val="0"/>
        <w:snapToGrid w:val="0"/>
        <w:spacing w:line="360" w:lineRule="auto"/>
        <w:jc w:val="center"/>
        <w:outlineLvl w:val="2"/>
        <w:rPr>
          <w:rFonts w:hint="eastAsia" w:ascii="宋体" w:hAnsi="宋体" w:eastAsia="宋体" w:cs="宋体"/>
          <w:b/>
          <w:bCs/>
          <w:color w:val="auto"/>
          <w:sz w:val="24"/>
          <w:szCs w:val="24"/>
          <w:highlight w:val="none"/>
        </w:rPr>
      </w:pPr>
      <w:bookmarkStart w:id="53" w:name="_Toc26930"/>
      <w:bookmarkStart w:id="54" w:name="_Toc31858"/>
      <w:bookmarkStart w:id="55" w:name="_Toc5315"/>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第一次谈判报价</w:t>
      </w:r>
      <w:r>
        <w:rPr>
          <w:rFonts w:hint="eastAsia" w:ascii="宋体" w:hAnsi="宋体" w:eastAsia="宋体" w:cs="宋体"/>
          <w:b/>
          <w:bCs/>
          <w:color w:val="auto"/>
          <w:sz w:val="24"/>
          <w:szCs w:val="24"/>
          <w:highlight w:val="none"/>
        </w:rPr>
        <w:t>表</w:t>
      </w:r>
      <w:bookmarkEnd w:id="53"/>
      <w:bookmarkEnd w:id="54"/>
      <w:bookmarkEnd w:id="55"/>
    </w:p>
    <w:p w14:paraId="734014AB">
      <w:pPr>
        <w:pStyle w:val="16"/>
        <w:spacing w:line="360" w:lineRule="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采购编号：</w:t>
      </w:r>
      <w:r>
        <w:rPr>
          <w:rFonts w:hint="eastAsia" w:ascii="宋体" w:hAnsi="宋体" w:eastAsia="宋体" w:cs="宋体"/>
          <w:color w:val="auto"/>
          <w:sz w:val="24"/>
          <w:highlight w:val="none"/>
          <w:u w:val="single"/>
          <w:lang w:eastAsia="zh-CN"/>
        </w:rPr>
        <w:t xml:space="preserve">                          </w:t>
      </w:r>
    </w:p>
    <w:p w14:paraId="1E7D7D21">
      <w:pPr>
        <w:pStyle w:val="16"/>
        <w:spacing w:line="360" w:lineRule="auto"/>
        <w:outlineLvl w:val="9"/>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                     </w:t>
      </w:r>
    </w:p>
    <w:p w14:paraId="44BBFF54">
      <w:pPr>
        <w:spacing w:line="360" w:lineRule="auto"/>
        <w:jc w:val="right"/>
        <w:outlineLvl w:val="9"/>
        <w:rPr>
          <w:rFonts w:hint="eastAsia" w:ascii="宋体" w:hAnsi="宋体" w:eastAsia="宋体" w:cs="宋体"/>
          <w:bCs/>
          <w:color w:val="auto"/>
          <w:kern w:val="2"/>
          <w:sz w:val="32"/>
          <w:szCs w:val="32"/>
          <w:highlight w:val="none"/>
        </w:rPr>
      </w:pPr>
      <w:r>
        <w:rPr>
          <w:rFonts w:hint="eastAsia" w:ascii="宋体" w:hAnsi="宋体" w:eastAsia="宋体" w:cs="宋体"/>
          <w:color w:val="auto"/>
          <w:sz w:val="24"/>
          <w:highlight w:val="none"/>
        </w:rPr>
        <w:t>单位 ：元（保留小数点后两位）</w:t>
      </w:r>
    </w:p>
    <w:p w14:paraId="5380C79D">
      <w:pPr>
        <w:outlineLvl w:val="9"/>
        <w:rPr>
          <w:rFonts w:hint="eastAsia" w:ascii="宋体" w:hAnsi="宋体" w:eastAsia="宋体" w:cs="宋体"/>
          <w:color w:val="auto"/>
          <w:highlight w:val="none"/>
          <w:lang w:eastAsia="zh-CN"/>
        </w:rPr>
      </w:pPr>
    </w:p>
    <w:tbl>
      <w:tblPr>
        <w:tblStyle w:val="30"/>
        <w:tblW w:w="9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4"/>
        <w:gridCol w:w="7305"/>
      </w:tblGrid>
      <w:tr w14:paraId="21563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634" w:type="dxa"/>
            <w:noWrap w:val="0"/>
            <w:vAlign w:val="top"/>
          </w:tcPr>
          <w:p w14:paraId="702D8FF0">
            <w:pPr>
              <w:pStyle w:val="116"/>
              <w:tabs>
                <w:tab w:val="left" w:pos="1860"/>
                <w:tab w:val="center" w:pos="4680"/>
              </w:tabs>
              <w:spacing w:line="540" w:lineRule="exact"/>
              <w:outlineLvl w:val="9"/>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谈判</w:t>
            </w:r>
            <w:r>
              <w:rPr>
                <w:rFonts w:hint="eastAsia" w:ascii="宋体" w:hAnsi="宋体" w:eastAsia="宋体" w:cs="宋体"/>
                <w:b w:val="0"/>
                <w:color w:val="auto"/>
                <w:sz w:val="24"/>
                <w:szCs w:val="24"/>
                <w:highlight w:val="none"/>
              </w:rPr>
              <w:t>总价</w:t>
            </w:r>
          </w:p>
          <w:p w14:paraId="5D4353B5">
            <w:pPr>
              <w:pStyle w:val="116"/>
              <w:tabs>
                <w:tab w:val="left" w:pos="1860"/>
                <w:tab w:val="center" w:pos="4680"/>
              </w:tabs>
              <w:spacing w:line="540" w:lineRule="exact"/>
              <w:outlineLvl w:val="9"/>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（人民币:元）</w:t>
            </w:r>
          </w:p>
        </w:tc>
        <w:tc>
          <w:tcPr>
            <w:tcW w:w="7305" w:type="dxa"/>
            <w:noWrap w:val="0"/>
            <w:vAlign w:val="top"/>
          </w:tcPr>
          <w:p w14:paraId="53F86A82">
            <w:pPr>
              <w:pStyle w:val="116"/>
              <w:tabs>
                <w:tab w:val="left" w:pos="1860"/>
                <w:tab w:val="center" w:pos="4680"/>
              </w:tabs>
              <w:spacing w:line="540" w:lineRule="exact"/>
              <w:jc w:val="both"/>
              <w:outlineLvl w:val="9"/>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大  写：</w:t>
            </w:r>
          </w:p>
          <w:p w14:paraId="28D29688">
            <w:pPr>
              <w:pStyle w:val="116"/>
              <w:tabs>
                <w:tab w:val="left" w:pos="1860"/>
                <w:tab w:val="center" w:pos="4680"/>
              </w:tabs>
              <w:spacing w:line="540" w:lineRule="exact"/>
              <w:jc w:val="both"/>
              <w:outlineLvl w:val="9"/>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小  写：</w:t>
            </w:r>
          </w:p>
        </w:tc>
      </w:tr>
      <w:tr w14:paraId="7581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2634" w:type="dxa"/>
            <w:noWrap w:val="0"/>
            <w:vAlign w:val="top"/>
          </w:tcPr>
          <w:p w14:paraId="29CAA083">
            <w:pPr>
              <w:pStyle w:val="116"/>
              <w:tabs>
                <w:tab w:val="left" w:pos="1860"/>
                <w:tab w:val="center" w:pos="4680"/>
              </w:tabs>
              <w:spacing w:line="540" w:lineRule="exact"/>
              <w:outlineLvl w:val="9"/>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供货期</w:t>
            </w:r>
          </w:p>
        </w:tc>
        <w:tc>
          <w:tcPr>
            <w:tcW w:w="7305" w:type="dxa"/>
            <w:noWrap w:val="0"/>
            <w:vAlign w:val="top"/>
          </w:tcPr>
          <w:p w14:paraId="505CD72F">
            <w:pPr>
              <w:pStyle w:val="116"/>
              <w:tabs>
                <w:tab w:val="left" w:pos="1860"/>
                <w:tab w:val="center" w:pos="4680"/>
              </w:tabs>
              <w:spacing w:line="540" w:lineRule="exact"/>
              <w:jc w:val="both"/>
              <w:outlineLvl w:val="9"/>
              <w:rPr>
                <w:rFonts w:hint="eastAsia" w:ascii="宋体" w:hAnsi="宋体" w:eastAsia="宋体" w:cs="宋体"/>
                <w:color w:val="auto"/>
                <w:sz w:val="24"/>
                <w:szCs w:val="24"/>
                <w:highlight w:val="none"/>
              </w:rPr>
            </w:pPr>
          </w:p>
        </w:tc>
      </w:tr>
      <w:tr w14:paraId="4730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2634" w:type="dxa"/>
            <w:noWrap w:val="0"/>
            <w:vAlign w:val="top"/>
          </w:tcPr>
          <w:p w14:paraId="29B030C2">
            <w:pPr>
              <w:pStyle w:val="116"/>
              <w:tabs>
                <w:tab w:val="left" w:pos="1860"/>
                <w:tab w:val="center" w:pos="4680"/>
              </w:tabs>
              <w:spacing w:line="540" w:lineRule="exact"/>
              <w:outlineLvl w:val="9"/>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质保期</w:t>
            </w:r>
          </w:p>
        </w:tc>
        <w:tc>
          <w:tcPr>
            <w:tcW w:w="7305" w:type="dxa"/>
            <w:noWrap w:val="0"/>
            <w:vAlign w:val="top"/>
          </w:tcPr>
          <w:p w14:paraId="3BE0A2BE">
            <w:pPr>
              <w:pStyle w:val="116"/>
              <w:tabs>
                <w:tab w:val="left" w:pos="1860"/>
                <w:tab w:val="center" w:pos="4680"/>
              </w:tabs>
              <w:spacing w:line="540" w:lineRule="exact"/>
              <w:jc w:val="both"/>
              <w:outlineLvl w:val="9"/>
              <w:rPr>
                <w:rFonts w:hint="eastAsia" w:ascii="宋体" w:hAnsi="宋体" w:eastAsia="宋体" w:cs="宋体"/>
                <w:color w:val="auto"/>
                <w:sz w:val="24"/>
                <w:szCs w:val="24"/>
                <w:highlight w:val="none"/>
              </w:rPr>
            </w:pPr>
          </w:p>
        </w:tc>
      </w:tr>
      <w:tr w14:paraId="2B2A7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9939" w:type="dxa"/>
            <w:gridSpan w:val="2"/>
            <w:noWrap w:val="0"/>
            <w:vAlign w:val="top"/>
          </w:tcPr>
          <w:p w14:paraId="44EA4669">
            <w:pPr>
              <w:pStyle w:val="27"/>
              <w:widowControl/>
              <w:spacing w:line="384" w:lineRule="auto"/>
              <w:rPr>
                <w:rFonts w:hint="eastAsia" w:ascii="宋体" w:hAnsi="宋体" w:eastAsia="宋体" w:cs="宋体"/>
                <w:color w:val="auto"/>
                <w:sz w:val="21"/>
                <w:szCs w:val="21"/>
                <w:highlight w:val="none"/>
              </w:rPr>
            </w:pPr>
            <w:r>
              <w:rPr>
                <w:rFonts w:hint="eastAsia" w:ascii="宋体" w:hAnsi="宋体" w:eastAsia="宋体" w:cs="宋体"/>
                <w:b/>
                <w:i w:val="0"/>
                <w:color w:val="auto"/>
                <w:kern w:val="0"/>
                <w:sz w:val="22"/>
                <w:szCs w:val="22"/>
                <w:highlight w:val="none"/>
                <w:u w:val="none"/>
                <w:lang w:val="en-US" w:eastAsia="zh-CN" w:bidi="ar"/>
              </w:rPr>
              <w:t>备注：</w:t>
            </w:r>
            <w:r>
              <w:rPr>
                <w:rFonts w:hint="eastAsia" w:ascii="宋体" w:hAnsi="宋体" w:eastAsia="宋体" w:cs="宋体"/>
                <w:b/>
                <w:bCs/>
                <w:color w:val="auto"/>
                <w:sz w:val="22"/>
                <w:szCs w:val="22"/>
                <w:highlight w:val="none"/>
                <w:lang w:val="en-US" w:eastAsia="zh-CN"/>
              </w:rPr>
              <w:t>报价</w:t>
            </w:r>
            <w:r>
              <w:rPr>
                <w:rFonts w:hint="eastAsia" w:ascii="宋体" w:hAnsi="宋体" w:eastAsia="宋体" w:cs="宋体"/>
                <w:b/>
                <w:bCs/>
                <w:color w:val="auto"/>
                <w:sz w:val="22"/>
                <w:szCs w:val="22"/>
                <w:highlight w:val="none"/>
                <w:lang w:val="zh-CN"/>
              </w:rPr>
              <w:t>应是包括完成本项目所需全部费用。</w:t>
            </w:r>
          </w:p>
        </w:tc>
      </w:tr>
    </w:tbl>
    <w:p w14:paraId="75028997">
      <w:pPr>
        <w:outlineLvl w:val="9"/>
        <w:rPr>
          <w:rFonts w:hint="eastAsia" w:ascii="宋体" w:hAnsi="宋体" w:eastAsia="宋体" w:cs="宋体"/>
          <w:color w:val="auto"/>
          <w:highlight w:val="none"/>
        </w:rPr>
      </w:pPr>
    </w:p>
    <w:p w14:paraId="551A95DF">
      <w:pPr>
        <w:outlineLvl w:val="9"/>
        <w:rPr>
          <w:rFonts w:hint="eastAsia" w:ascii="宋体" w:hAnsi="宋体" w:eastAsia="宋体" w:cs="宋体"/>
          <w:color w:val="auto"/>
          <w:highlight w:val="none"/>
        </w:rPr>
      </w:pPr>
    </w:p>
    <w:p w14:paraId="0402D7D6">
      <w:pPr>
        <w:outlineLvl w:val="9"/>
        <w:rPr>
          <w:rFonts w:hint="eastAsia" w:ascii="宋体" w:hAnsi="宋体" w:eastAsia="宋体" w:cs="宋体"/>
          <w:color w:val="auto"/>
          <w:highlight w:val="none"/>
        </w:rPr>
      </w:pPr>
    </w:p>
    <w:p w14:paraId="18A85F7B">
      <w:pPr>
        <w:outlineLvl w:val="9"/>
        <w:rPr>
          <w:rFonts w:hint="eastAsia" w:ascii="宋体" w:hAnsi="宋体" w:eastAsia="宋体" w:cs="宋体"/>
          <w:color w:val="auto"/>
          <w:highlight w:val="none"/>
        </w:rPr>
      </w:pPr>
    </w:p>
    <w:p w14:paraId="5310F6E3">
      <w:pPr>
        <w:outlineLvl w:val="9"/>
        <w:rPr>
          <w:rFonts w:hint="eastAsia" w:ascii="宋体" w:hAnsi="宋体" w:eastAsia="宋体" w:cs="宋体"/>
          <w:color w:val="auto"/>
          <w:highlight w:val="none"/>
        </w:rPr>
      </w:pPr>
    </w:p>
    <w:p w14:paraId="4BE0149D">
      <w:pPr>
        <w:autoSpaceDE w:val="0"/>
        <w:autoSpaceDN w:val="0"/>
        <w:adjustRightInd w:val="0"/>
        <w:snapToGrid w:val="0"/>
        <w:spacing w:line="360" w:lineRule="auto"/>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加</w:t>
      </w:r>
      <w:r>
        <w:rPr>
          <w:rFonts w:hint="eastAsia" w:ascii="宋体" w:hAnsi="宋体" w:eastAsia="宋体" w:cs="宋体"/>
          <w:color w:val="auto"/>
          <w:sz w:val="24"/>
          <w:szCs w:val="24"/>
          <w:highlight w:val="none"/>
        </w:rPr>
        <w:t>盖公章)</w:t>
      </w:r>
    </w:p>
    <w:p w14:paraId="5A7C72C4">
      <w:pPr>
        <w:autoSpaceDE w:val="0"/>
        <w:autoSpaceDN w:val="0"/>
        <w:adjustRightInd w:val="0"/>
        <w:snapToGrid w:val="0"/>
        <w:spacing w:line="360" w:lineRule="auto"/>
        <w:jc w:val="both"/>
        <w:outlineLvl w:val="9"/>
        <w:rPr>
          <w:rFonts w:hint="eastAsia" w:ascii="宋体" w:hAnsi="宋体" w:eastAsia="宋体" w:cs="宋体"/>
          <w:color w:val="auto"/>
          <w:sz w:val="24"/>
          <w:szCs w:val="24"/>
          <w:highlight w:val="none"/>
        </w:rPr>
      </w:pPr>
    </w:p>
    <w:p w14:paraId="30C64C1B">
      <w:pPr>
        <w:autoSpaceDE w:val="0"/>
        <w:autoSpaceDN w:val="0"/>
        <w:adjustRightInd w:val="0"/>
        <w:snapToGrid w:val="0"/>
        <w:spacing w:line="360" w:lineRule="auto"/>
        <w:jc w:val="both"/>
        <w:outlineLvl w:val="9"/>
        <w:rPr>
          <w:rFonts w:hint="eastAsia" w:ascii="宋体" w:hAnsi="宋体" w:eastAsia="宋体" w:cs="宋体"/>
          <w:color w:val="auto"/>
          <w:kern w:val="2"/>
          <w:sz w:val="28"/>
          <w:szCs w:val="24"/>
          <w:highlight w:val="none"/>
          <w:u w:val="none"/>
          <w:lang w:val="en-US" w:eastAsia="zh-CN" w:bidi="ar-SA"/>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授权代表人(签字或盖章)：</w:t>
      </w:r>
      <w:r>
        <w:rPr>
          <w:rFonts w:hint="eastAsia" w:ascii="宋体" w:hAnsi="宋体" w:eastAsia="宋体" w:cs="宋体"/>
          <w:color w:val="auto"/>
          <w:sz w:val="24"/>
          <w:szCs w:val="22"/>
          <w:highlight w:val="none"/>
          <w:u w:val="single"/>
        </w:rPr>
        <w:t xml:space="preserve">                </w:t>
      </w:r>
    </w:p>
    <w:p w14:paraId="065A584B">
      <w:pPr>
        <w:autoSpaceDE w:val="0"/>
        <w:autoSpaceDN w:val="0"/>
        <w:adjustRightInd w:val="0"/>
        <w:snapToGrid w:val="0"/>
        <w:spacing w:line="360" w:lineRule="auto"/>
        <w:jc w:val="both"/>
        <w:outlineLvl w:val="9"/>
        <w:rPr>
          <w:rFonts w:hint="eastAsia" w:ascii="宋体" w:hAnsi="宋体" w:eastAsia="宋体" w:cs="宋体"/>
          <w:color w:val="auto"/>
          <w:sz w:val="24"/>
          <w:szCs w:val="24"/>
          <w:highlight w:val="none"/>
        </w:rPr>
      </w:pPr>
    </w:p>
    <w:p w14:paraId="282C7BB5">
      <w:pPr>
        <w:autoSpaceDE w:val="0"/>
        <w:autoSpaceDN w:val="0"/>
        <w:adjustRightInd w:val="0"/>
        <w:snapToGrid w:val="0"/>
        <w:spacing w:line="360" w:lineRule="auto"/>
        <w:jc w:val="both"/>
        <w:outlineLvl w:val="9"/>
        <w:rPr>
          <w:rFonts w:hint="eastAsia" w:ascii="宋体" w:hAnsi="宋体" w:eastAsia="宋体" w:cs="宋体"/>
          <w:color w:val="auto"/>
          <w:kern w:val="2"/>
          <w:sz w:val="28"/>
          <w:szCs w:val="24"/>
          <w:highlight w:val="none"/>
          <w:u w:val="none"/>
          <w:lang w:val="en-US" w:eastAsia="zh-CN" w:bidi="ar-SA"/>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2"/>
          <w:highlight w:val="none"/>
          <w:u w:val="single"/>
        </w:rPr>
        <w:t xml:space="preserve">                </w:t>
      </w:r>
    </w:p>
    <w:p w14:paraId="340E9FF6">
      <w:pPr>
        <w:spacing w:line="480" w:lineRule="auto"/>
        <w:outlineLvl w:val="9"/>
        <w:rPr>
          <w:rFonts w:hint="eastAsia" w:ascii="宋体" w:hAnsi="宋体" w:eastAsia="宋体" w:cs="宋体"/>
          <w:color w:val="auto"/>
          <w:sz w:val="24"/>
          <w:szCs w:val="24"/>
          <w:highlight w:val="none"/>
        </w:rPr>
      </w:pPr>
    </w:p>
    <w:p w14:paraId="3EE8E712">
      <w:pPr>
        <w:spacing w:line="480" w:lineRule="auto"/>
        <w:outlineLvl w:val="9"/>
        <w:rPr>
          <w:rFonts w:hint="eastAsia" w:ascii="宋体" w:hAnsi="宋体" w:eastAsia="宋体" w:cs="宋体"/>
          <w:color w:val="auto"/>
          <w:sz w:val="32"/>
          <w:szCs w:val="21"/>
          <w:highlight w:val="none"/>
        </w:rPr>
        <w:sectPr>
          <w:pgSz w:w="11905" w:h="16838"/>
          <w:pgMar w:top="1440" w:right="1083" w:bottom="1440" w:left="1083" w:header="850"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699E530F">
      <w:pPr>
        <w:pStyle w:val="14"/>
        <w:spacing w:before="98" w:line="218" w:lineRule="auto"/>
        <w:ind w:left="7139"/>
        <w:outlineLvl w:val="2"/>
        <w:rPr>
          <w:rFonts w:hint="eastAsia" w:ascii="宋体" w:hAnsi="宋体" w:eastAsia="宋体" w:cs="宋体"/>
          <w:sz w:val="30"/>
          <w:szCs w:val="30"/>
          <w:highlight w:val="none"/>
        </w:rPr>
      </w:pPr>
      <w:r>
        <w:rPr>
          <w:rFonts w:hint="eastAsia" w:ascii="宋体" w:hAnsi="宋体" w:eastAsia="宋体" w:cs="宋体"/>
          <w:b/>
          <w:bCs/>
          <w:spacing w:val="-6"/>
          <w:sz w:val="30"/>
          <w:szCs w:val="30"/>
          <w:highlight w:val="none"/>
          <w:lang w:val="en-US" w:eastAsia="zh-CN"/>
        </w:rPr>
        <w:t>3、</w:t>
      </w:r>
      <w:r>
        <w:rPr>
          <w:rFonts w:hint="eastAsia" w:ascii="宋体" w:hAnsi="宋体" w:eastAsia="宋体" w:cs="宋体"/>
          <w:b/>
          <w:bCs/>
          <w:spacing w:val="-6"/>
          <w:sz w:val="30"/>
          <w:szCs w:val="30"/>
          <w:highlight w:val="none"/>
        </w:rPr>
        <w:t>分项报价表</w:t>
      </w:r>
    </w:p>
    <w:p w14:paraId="0651AE3E">
      <w:pPr>
        <w:spacing w:line="15" w:lineRule="exact"/>
        <w:rPr>
          <w:rFonts w:hint="eastAsia" w:ascii="宋体" w:hAnsi="宋体" w:eastAsia="宋体" w:cs="宋体"/>
          <w:highlight w:val="none"/>
        </w:rPr>
      </w:pPr>
    </w:p>
    <w:tbl>
      <w:tblPr>
        <w:tblStyle w:val="118"/>
        <w:tblW w:w="1393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2482"/>
        <w:gridCol w:w="2571"/>
        <w:gridCol w:w="1262"/>
        <w:gridCol w:w="1262"/>
        <w:gridCol w:w="1518"/>
        <w:gridCol w:w="1465"/>
        <w:gridCol w:w="1576"/>
        <w:gridCol w:w="930"/>
      </w:tblGrid>
      <w:tr w14:paraId="2AA9A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871" w:type="dxa"/>
            <w:tcBorders>
              <w:top w:val="single" w:color="000000" w:sz="2" w:space="0"/>
              <w:left w:val="single" w:color="000000" w:sz="2" w:space="0"/>
              <w:right w:val="single" w:color="000000" w:sz="2" w:space="0"/>
            </w:tcBorders>
            <w:vAlign w:val="top"/>
          </w:tcPr>
          <w:p w14:paraId="15EC6BFD">
            <w:pPr>
              <w:spacing w:line="245" w:lineRule="auto"/>
              <w:rPr>
                <w:rFonts w:hint="eastAsia" w:ascii="宋体" w:hAnsi="宋体" w:eastAsia="宋体" w:cs="宋体"/>
                <w:sz w:val="21"/>
                <w:highlight w:val="none"/>
              </w:rPr>
            </w:pPr>
          </w:p>
          <w:p w14:paraId="501C59F9">
            <w:pPr>
              <w:pStyle w:val="117"/>
              <w:spacing w:before="78" w:line="221" w:lineRule="auto"/>
              <w:ind w:left="289"/>
              <w:rPr>
                <w:rFonts w:hint="eastAsia" w:ascii="宋体" w:hAnsi="宋体" w:eastAsia="宋体" w:cs="宋体"/>
                <w:highlight w:val="none"/>
              </w:rPr>
            </w:pPr>
            <w:r>
              <w:rPr>
                <w:rFonts w:hint="eastAsia" w:ascii="宋体" w:hAnsi="宋体" w:eastAsia="宋体" w:cs="宋体"/>
                <w:spacing w:val="-5"/>
                <w:highlight w:val="none"/>
              </w:rPr>
              <w:t>序号</w:t>
            </w:r>
          </w:p>
        </w:tc>
        <w:tc>
          <w:tcPr>
            <w:tcW w:w="2482" w:type="dxa"/>
            <w:tcBorders>
              <w:top w:val="single" w:color="000000" w:sz="2" w:space="0"/>
              <w:left w:val="single" w:color="000000" w:sz="2" w:space="0"/>
            </w:tcBorders>
            <w:vAlign w:val="top"/>
          </w:tcPr>
          <w:p w14:paraId="62463681">
            <w:pPr>
              <w:spacing w:line="244" w:lineRule="auto"/>
              <w:rPr>
                <w:rFonts w:hint="eastAsia" w:ascii="宋体" w:hAnsi="宋体" w:eastAsia="宋体" w:cs="宋体"/>
                <w:sz w:val="21"/>
                <w:highlight w:val="none"/>
              </w:rPr>
            </w:pPr>
          </w:p>
          <w:p w14:paraId="7E8937B2">
            <w:pPr>
              <w:pStyle w:val="117"/>
              <w:spacing w:before="78" w:line="219" w:lineRule="auto"/>
              <w:ind w:left="1005"/>
              <w:rPr>
                <w:rFonts w:hint="eastAsia" w:ascii="宋体" w:hAnsi="宋体" w:eastAsia="宋体" w:cs="宋体"/>
                <w:highlight w:val="none"/>
              </w:rPr>
            </w:pPr>
            <w:r>
              <w:rPr>
                <w:rFonts w:hint="eastAsia" w:ascii="宋体" w:hAnsi="宋体" w:eastAsia="宋体" w:cs="宋体"/>
                <w:spacing w:val="-4"/>
                <w:highlight w:val="none"/>
              </w:rPr>
              <w:t>货物名称</w:t>
            </w:r>
          </w:p>
        </w:tc>
        <w:tc>
          <w:tcPr>
            <w:tcW w:w="2571" w:type="dxa"/>
            <w:tcBorders>
              <w:top w:val="single" w:color="000000" w:sz="2" w:space="0"/>
            </w:tcBorders>
            <w:vAlign w:val="top"/>
          </w:tcPr>
          <w:p w14:paraId="2D610A6C">
            <w:pPr>
              <w:spacing w:line="245" w:lineRule="auto"/>
              <w:rPr>
                <w:rFonts w:hint="eastAsia" w:ascii="宋体" w:hAnsi="宋体" w:eastAsia="宋体" w:cs="宋体"/>
                <w:sz w:val="21"/>
                <w:highlight w:val="none"/>
              </w:rPr>
            </w:pPr>
          </w:p>
          <w:p w14:paraId="6572889B">
            <w:pPr>
              <w:pStyle w:val="117"/>
              <w:spacing w:before="78" w:line="219" w:lineRule="auto"/>
              <w:ind w:left="351" w:firstLine="428" w:firstLineChars="200"/>
              <w:rPr>
                <w:rFonts w:hint="eastAsia" w:ascii="宋体" w:hAnsi="宋体" w:eastAsia="宋体" w:cs="宋体"/>
                <w:highlight w:val="none"/>
              </w:rPr>
            </w:pPr>
            <w:r>
              <w:rPr>
                <w:rFonts w:hint="eastAsia" w:ascii="宋体" w:hAnsi="宋体" w:eastAsia="宋体" w:cs="宋体"/>
                <w:spacing w:val="-3"/>
                <w:highlight w:val="none"/>
              </w:rPr>
              <w:t>品牌</w:t>
            </w:r>
          </w:p>
        </w:tc>
        <w:tc>
          <w:tcPr>
            <w:tcW w:w="1262" w:type="dxa"/>
            <w:tcBorders>
              <w:top w:val="single" w:color="000000" w:sz="2" w:space="0"/>
            </w:tcBorders>
            <w:vAlign w:val="center"/>
          </w:tcPr>
          <w:p w14:paraId="6F0E6F42">
            <w:pPr>
              <w:pStyle w:val="117"/>
              <w:spacing w:before="78" w:line="219" w:lineRule="auto"/>
              <w:jc w:val="center"/>
              <w:rPr>
                <w:rFonts w:hint="eastAsia" w:ascii="宋体" w:hAnsi="宋体" w:eastAsia="宋体" w:cs="宋体"/>
                <w:spacing w:val="-3"/>
                <w:highlight w:val="none"/>
              </w:rPr>
            </w:pPr>
            <w:r>
              <w:rPr>
                <w:rFonts w:hint="eastAsia" w:ascii="宋体" w:hAnsi="宋体" w:eastAsia="宋体" w:cs="宋体"/>
                <w:spacing w:val="-3"/>
                <w:highlight w:val="none"/>
              </w:rPr>
              <w:t>规格</w:t>
            </w:r>
          </w:p>
        </w:tc>
        <w:tc>
          <w:tcPr>
            <w:tcW w:w="1262" w:type="dxa"/>
            <w:tcBorders>
              <w:top w:val="single" w:color="000000" w:sz="2" w:space="0"/>
            </w:tcBorders>
            <w:vAlign w:val="top"/>
          </w:tcPr>
          <w:p w14:paraId="6A1F32C1">
            <w:pPr>
              <w:spacing w:line="245" w:lineRule="auto"/>
              <w:rPr>
                <w:rFonts w:hint="eastAsia" w:ascii="宋体" w:hAnsi="宋体" w:eastAsia="宋体" w:cs="宋体"/>
                <w:sz w:val="21"/>
                <w:highlight w:val="none"/>
              </w:rPr>
            </w:pPr>
          </w:p>
          <w:p w14:paraId="5D9D6CB1">
            <w:pPr>
              <w:pStyle w:val="117"/>
              <w:spacing w:before="78" w:line="219" w:lineRule="auto"/>
              <w:ind w:left="516"/>
              <w:rPr>
                <w:rFonts w:hint="eastAsia" w:ascii="宋体" w:hAnsi="宋体" w:eastAsia="宋体" w:cs="宋体"/>
                <w:highlight w:val="none"/>
              </w:rPr>
            </w:pPr>
            <w:r>
              <w:rPr>
                <w:rFonts w:hint="eastAsia" w:ascii="宋体" w:hAnsi="宋体" w:eastAsia="宋体" w:cs="宋体"/>
                <w:spacing w:val="-6"/>
                <w:highlight w:val="none"/>
              </w:rPr>
              <w:t>数量</w:t>
            </w:r>
          </w:p>
        </w:tc>
        <w:tc>
          <w:tcPr>
            <w:tcW w:w="1518" w:type="dxa"/>
            <w:tcBorders>
              <w:top w:val="single" w:color="000000" w:sz="2" w:space="0"/>
            </w:tcBorders>
            <w:vAlign w:val="top"/>
          </w:tcPr>
          <w:p w14:paraId="0CF966DC">
            <w:pPr>
              <w:spacing w:line="245" w:lineRule="auto"/>
              <w:rPr>
                <w:rFonts w:hint="eastAsia" w:ascii="宋体" w:hAnsi="宋体" w:eastAsia="宋体" w:cs="宋体"/>
                <w:sz w:val="21"/>
                <w:highlight w:val="none"/>
              </w:rPr>
            </w:pPr>
          </w:p>
          <w:p w14:paraId="55C9ED62">
            <w:pPr>
              <w:pStyle w:val="117"/>
              <w:spacing w:before="78" w:line="220" w:lineRule="auto"/>
              <w:ind w:left="517" w:firstLine="208" w:firstLineChars="100"/>
              <w:rPr>
                <w:rFonts w:hint="eastAsia" w:ascii="宋体" w:hAnsi="宋体" w:eastAsia="宋体" w:cs="宋体"/>
                <w:highlight w:val="none"/>
              </w:rPr>
            </w:pPr>
            <w:r>
              <w:rPr>
                <w:rFonts w:hint="eastAsia" w:ascii="宋体" w:hAnsi="宋体" w:eastAsia="宋体" w:cs="宋体"/>
                <w:spacing w:val="-6"/>
                <w:highlight w:val="none"/>
              </w:rPr>
              <w:t>单位</w:t>
            </w:r>
          </w:p>
        </w:tc>
        <w:tc>
          <w:tcPr>
            <w:tcW w:w="1465" w:type="dxa"/>
            <w:tcBorders>
              <w:top w:val="single" w:color="000000" w:sz="2" w:space="0"/>
            </w:tcBorders>
            <w:vAlign w:val="top"/>
          </w:tcPr>
          <w:p w14:paraId="289AA8A8">
            <w:pPr>
              <w:spacing w:line="245" w:lineRule="auto"/>
              <w:rPr>
                <w:rFonts w:hint="eastAsia" w:ascii="宋体" w:hAnsi="宋体" w:eastAsia="宋体" w:cs="宋体"/>
                <w:sz w:val="21"/>
                <w:highlight w:val="none"/>
              </w:rPr>
            </w:pPr>
          </w:p>
          <w:p w14:paraId="449CA11A">
            <w:pPr>
              <w:pStyle w:val="117"/>
              <w:spacing w:before="78" w:line="218" w:lineRule="auto"/>
              <w:ind w:left="246"/>
              <w:rPr>
                <w:rFonts w:hint="eastAsia" w:ascii="宋体" w:hAnsi="宋体" w:eastAsia="宋体" w:cs="宋体"/>
                <w:highlight w:val="none"/>
              </w:rPr>
            </w:pPr>
            <w:r>
              <w:rPr>
                <w:rFonts w:hint="eastAsia" w:ascii="宋体" w:hAnsi="宋体" w:eastAsia="宋体" w:cs="宋体"/>
                <w:spacing w:val="-3"/>
                <w:highlight w:val="none"/>
              </w:rPr>
              <w:t>单价（元）</w:t>
            </w:r>
          </w:p>
        </w:tc>
        <w:tc>
          <w:tcPr>
            <w:tcW w:w="1576" w:type="dxa"/>
            <w:tcBorders>
              <w:top w:val="single" w:color="000000" w:sz="2" w:space="0"/>
            </w:tcBorders>
            <w:vAlign w:val="top"/>
          </w:tcPr>
          <w:p w14:paraId="3DACD377">
            <w:pPr>
              <w:spacing w:line="245" w:lineRule="auto"/>
              <w:rPr>
                <w:rFonts w:hint="eastAsia" w:ascii="宋体" w:hAnsi="宋体" w:eastAsia="宋体" w:cs="宋体"/>
                <w:sz w:val="21"/>
                <w:highlight w:val="none"/>
              </w:rPr>
            </w:pPr>
          </w:p>
          <w:p w14:paraId="24F8F3DB">
            <w:pPr>
              <w:pStyle w:val="117"/>
              <w:spacing w:before="78" w:line="218" w:lineRule="auto"/>
              <w:ind w:left="372"/>
              <w:rPr>
                <w:rFonts w:hint="eastAsia" w:ascii="宋体" w:hAnsi="宋体" w:eastAsia="宋体" w:cs="宋体"/>
                <w:highlight w:val="none"/>
              </w:rPr>
            </w:pPr>
            <w:r>
              <w:rPr>
                <w:rFonts w:hint="eastAsia" w:ascii="宋体" w:hAnsi="宋体" w:eastAsia="宋体" w:cs="宋体"/>
                <w:spacing w:val="-4"/>
                <w:highlight w:val="none"/>
              </w:rPr>
              <w:t>总价（元）</w:t>
            </w:r>
          </w:p>
        </w:tc>
        <w:tc>
          <w:tcPr>
            <w:tcW w:w="930" w:type="dxa"/>
            <w:tcBorders>
              <w:top w:val="single" w:color="000000" w:sz="2" w:space="0"/>
              <w:right w:val="single" w:color="000000" w:sz="2" w:space="0"/>
            </w:tcBorders>
            <w:vAlign w:val="top"/>
          </w:tcPr>
          <w:p w14:paraId="250C388D">
            <w:pPr>
              <w:spacing w:line="245" w:lineRule="auto"/>
              <w:rPr>
                <w:rFonts w:hint="eastAsia" w:ascii="宋体" w:hAnsi="宋体" w:eastAsia="宋体" w:cs="宋体"/>
                <w:sz w:val="21"/>
                <w:highlight w:val="none"/>
              </w:rPr>
            </w:pPr>
          </w:p>
          <w:p w14:paraId="4C136871">
            <w:pPr>
              <w:pStyle w:val="117"/>
              <w:spacing w:before="78" w:line="221" w:lineRule="auto"/>
              <w:ind w:firstLine="206" w:firstLineChars="100"/>
              <w:rPr>
                <w:rFonts w:hint="eastAsia" w:ascii="宋体" w:hAnsi="宋体" w:eastAsia="宋体" w:cs="宋体"/>
                <w:highlight w:val="none"/>
              </w:rPr>
            </w:pPr>
            <w:r>
              <w:rPr>
                <w:rFonts w:hint="eastAsia" w:ascii="宋体" w:hAnsi="宋体" w:eastAsia="宋体" w:cs="宋体"/>
                <w:spacing w:val="-7"/>
                <w:highlight w:val="none"/>
              </w:rPr>
              <w:t>备注</w:t>
            </w:r>
          </w:p>
        </w:tc>
      </w:tr>
      <w:tr w14:paraId="17606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 w:hRule="atLeast"/>
        </w:trPr>
        <w:tc>
          <w:tcPr>
            <w:tcW w:w="871" w:type="dxa"/>
            <w:tcBorders>
              <w:left w:val="single" w:color="000000" w:sz="2" w:space="0"/>
              <w:right w:val="single" w:color="000000" w:sz="2" w:space="0"/>
            </w:tcBorders>
            <w:vAlign w:val="top"/>
          </w:tcPr>
          <w:p w14:paraId="6DCECD8B">
            <w:pPr>
              <w:pStyle w:val="117"/>
              <w:spacing w:before="213" w:line="241" w:lineRule="auto"/>
              <w:ind w:left="488"/>
              <w:rPr>
                <w:rFonts w:hint="eastAsia" w:ascii="宋体" w:hAnsi="宋体" w:eastAsia="宋体" w:cs="宋体"/>
                <w:highlight w:val="none"/>
              </w:rPr>
            </w:pPr>
            <w:r>
              <w:rPr>
                <w:rFonts w:hint="eastAsia" w:ascii="宋体" w:hAnsi="宋体" w:eastAsia="宋体" w:cs="宋体"/>
                <w:highlight w:val="none"/>
              </w:rPr>
              <w:t>1</w:t>
            </w:r>
          </w:p>
        </w:tc>
        <w:tc>
          <w:tcPr>
            <w:tcW w:w="2482" w:type="dxa"/>
            <w:tcBorders>
              <w:left w:val="single" w:color="000000" w:sz="2" w:space="0"/>
            </w:tcBorders>
            <w:vAlign w:val="top"/>
          </w:tcPr>
          <w:p w14:paraId="6631983C">
            <w:pPr>
              <w:rPr>
                <w:rFonts w:hint="eastAsia" w:ascii="宋体" w:hAnsi="宋体" w:eastAsia="宋体" w:cs="宋体"/>
                <w:sz w:val="21"/>
                <w:highlight w:val="none"/>
              </w:rPr>
            </w:pPr>
          </w:p>
        </w:tc>
        <w:tc>
          <w:tcPr>
            <w:tcW w:w="2571" w:type="dxa"/>
            <w:vAlign w:val="top"/>
          </w:tcPr>
          <w:p w14:paraId="06AFECB9">
            <w:pPr>
              <w:rPr>
                <w:rFonts w:hint="eastAsia" w:ascii="宋体" w:hAnsi="宋体" w:eastAsia="宋体" w:cs="宋体"/>
                <w:sz w:val="21"/>
                <w:highlight w:val="none"/>
              </w:rPr>
            </w:pPr>
          </w:p>
        </w:tc>
        <w:tc>
          <w:tcPr>
            <w:tcW w:w="1262" w:type="dxa"/>
            <w:vAlign w:val="top"/>
          </w:tcPr>
          <w:p w14:paraId="760F1E72">
            <w:pPr>
              <w:rPr>
                <w:rFonts w:hint="eastAsia" w:ascii="宋体" w:hAnsi="宋体" w:eastAsia="宋体" w:cs="宋体"/>
                <w:sz w:val="21"/>
                <w:highlight w:val="none"/>
              </w:rPr>
            </w:pPr>
          </w:p>
        </w:tc>
        <w:tc>
          <w:tcPr>
            <w:tcW w:w="1262" w:type="dxa"/>
            <w:vAlign w:val="top"/>
          </w:tcPr>
          <w:p w14:paraId="7BF07268">
            <w:pPr>
              <w:rPr>
                <w:rFonts w:hint="eastAsia" w:ascii="宋体" w:hAnsi="宋体" w:eastAsia="宋体" w:cs="宋体"/>
                <w:sz w:val="21"/>
                <w:highlight w:val="none"/>
              </w:rPr>
            </w:pPr>
          </w:p>
        </w:tc>
        <w:tc>
          <w:tcPr>
            <w:tcW w:w="1518" w:type="dxa"/>
            <w:vAlign w:val="top"/>
          </w:tcPr>
          <w:p w14:paraId="03BDAC9C">
            <w:pPr>
              <w:rPr>
                <w:rFonts w:hint="eastAsia" w:ascii="宋体" w:hAnsi="宋体" w:eastAsia="宋体" w:cs="宋体"/>
                <w:sz w:val="21"/>
                <w:highlight w:val="none"/>
              </w:rPr>
            </w:pPr>
          </w:p>
        </w:tc>
        <w:tc>
          <w:tcPr>
            <w:tcW w:w="1465" w:type="dxa"/>
            <w:vAlign w:val="top"/>
          </w:tcPr>
          <w:p w14:paraId="0209DE8D">
            <w:pPr>
              <w:rPr>
                <w:rFonts w:hint="eastAsia" w:ascii="宋体" w:hAnsi="宋体" w:eastAsia="宋体" w:cs="宋体"/>
                <w:sz w:val="21"/>
                <w:highlight w:val="none"/>
              </w:rPr>
            </w:pPr>
          </w:p>
        </w:tc>
        <w:tc>
          <w:tcPr>
            <w:tcW w:w="1576" w:type="dxa"/>
            <w:vAlign w:val="top"/>
          </w:tcPr>
          <w:p w14:paraId="0B92D909">
            <w:pPr>
              <w:rPr>
                <w:rFonts w:hint="eastAsia" w:ascii="宋体" w:hAnsi="宋体" w:eastAsia="宋体" w:cs="宋体"/>
                <w:sz w:val="21"/>
                <w:highlight w:val="none"/>
              </w:rPr>
            </w:pPr>
          </w:p>
        </w:tc>
        <w:tc>
          <w:tcPr>
            <w:tcW w:w="930" w:type="dxa"/>
            <w:tcBorders>
              <w:right w:val="single" w:color="000000" w:sz="2" w:space="0"/>
            </w:tcBorders>
            <w:vAlign w:val="top"/>
          </w:tcPr>
          <w:p w14:paraId="4C57015D">
            <w:pPr>
              <w:rPr>
                <w:rFonts w:hint="eastAsia" w:ascii="宋体" w:hAnsi="宋体" w:eastAsia="宋体" w:cs="宋体"/>
                <w:sz w:val="21"/>
                <w:highlight w:val="none"/>
              </w:rPr>
            </w:pPr>
          </w:p>
        </w:tc>
      </w:tr>
      <w:tr w14:paraId="121D7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871" w:type="dxa"/>
            <w:tcBorders>
              <w:left w:val="single" w:color="000000" w:sz="2" w:space="0"/>
              <w:right w:val="single" w:color="000000" w:sz="2" w:space="0"/>
            </w:tcBorders>
            <w:vAlign w:val="top"/>
          </w:tcPr>
          <w:p w14:paraId="3E04E380">
            <w:pPr>
              <w:pStyle w:val="117"/>
              <w:spacing w:before="232" w:line="241" w:lineRule="auto"/>
              <w:ind w:left="473"/>
              <w:rPr>
                <w:rFonts w:hint="eastAsia" w:ascii="宋体" w:hAnsi="宋体" w:eastAsia="宋体" w:cs="宋体"/>
                <w:highlight w:val="none"/>
              </w:rPr>
            </w:pPr>
            <w:r>
              <w:rPr>
                <w:rFonts w:hint="eastAsia" w:ascii="宋体" w:hAnsi="宋体" w:eastAsia="宋体" w:cs="宋体"/>
                <w:highlight w:val="none"/>
              </w:rPr>
              <w:t>2</w:t>
            </w:r>
          </w:p>
        </w:tc>
        <w:tc>
          <w:tcPr>
            <w:tcW w:w="2482" w:type="dxa"/>
            <w:tcBorders>
              <w:left w:val="single" w:color="000000" w:sz="2" w:space="0"/>
            </w:tcBorders>
            <w:vAlign w:val="top"/>
          </w:tcPr>
          <w:p w14:paraId="098A4756">
            <w:pPr>
              <w:rPr>
                <w:rFonts w:hint="eastAsia" w:ascii="宋体" w:hAnsi="宋体" w:eastAsia="宋体" w:cs="宋体"/>
                <w:sz w:val="21"/>
                <w:highlight w:val="none"/>
              </w:rPr>
            </w:pPr>
          </w:p>
        </w:tc>
        <w:tc>
          <w:tcPr>
            <w:tcW w:w="2571" w:type="dxa"/>
            <w:vAlign w:val="top"/>
          </w:tcPr>
          <w:p w14:paraId="78C388AE">
            <w:pPr>
              <w:rPr>
                <w:rFonts w:hint="eastAsia" w:ascii="宋体" w:hAnsi="宋体" w:eastAsia="宋体" w:cs="宋体"/>
                <w:sz w:val="21"/>
                <w:highlight w:val="none"/>
              </w:rPr>
            </w:pPr>
          </w:p>
        </w:tc>
        <w:tc>
          <w:tcPr>
            <w:tcW w:w="1262" w:type="dxa"/>
            <w:vAlign w:val="top"/>
          </w:tcPr>
          <w:p w14:paraId="1740296B">
            <w:pPr>
              <w:rPr>
                <w:rFonts w:hint="eastAsia" w:ascii="宋体" w:hAnsi="宋体" w:eastAsia="宋体" w:cs="宋体"/>
                <w:sz w:val="21"/>
                <w:highlight w:val="none"/>
              </w:rPr>
            </w:pPr>
          </w:p>
        </w:tc>
        <w:tc>
          <w:tcPr>
            <w:tcW w:w="1262" w:type="dxa"/>
            <w:vAlign w:val="top"/>
          </w:tcPr>
          <w:p w14:paraId="77078B8A">
            <w:pPr>
              <w:rPr>
                <w:rFonts w:hint="eastAsia" w:ascii="宋体" w:hAnsi="宋体" w:eastAsia="宋体" w:cs="宋体"/>
                <w:sz w:val="21"/>
                <w:highlight w:val="none"/>
              </w:rPr>
            </w:pPr>
          </w:p>
        </w:tc>
        <w:tc>
          <w:tcPr>
            <w:tcW w:w="1518" w:type="dxa"/>
            <w:vAlign w:val="top"/>
          </w:tcPr>
          <w:p w14:paraId="149339ED">
            <w:pPr>
              <w:rPr>
                <w:rFonts w:hint="eastAsia" w:ascii="宋体" w:hAnsi="宋体" w:eastAsia="宋体" w:cs="宋体"/>
                <w:sz w:val="21"/>
                <w:highlight w:val="none"/>
              </w:rPr>
            </w:pPr>
          </w:p>
        </w:tc>
        <w:tc>
          <w:tcPr>
            <w:tcW w:w="1465" w:type="dxa"/>
            <w:vAlign w:val="top"/>
          </w:tcPr>
          <w:p w14:paraId="5B6EBBFA">
            <w:pPr>
              <w:rPr>
                <w:rFonts w:hint="eastAsia" w:ascii="宋体" w:hAnsi="宋体" w:eastAsia="宋体" w:cs="宋体"/>
                <w:sz w:val="21"/>
                <w:highlight w:val="none"/>
              </w:rPr>
            </w:pPr>
          </w:p>
        </w:tc>
        <w:tc>
          <w:tcPr>
            <w:tcW w:w="1576" w:type="dxa"/>
            <w:vAlign w:val="top"/>
          </w:tcPr>
          <w:p w14:paraId="3B1D901B">
            <w:pPr>
              <w:rPr>
                <w:rFonts w:hint="eastAsia" w:ascii="宋体" w:hAnsi="宋体" w:eastAsia="宋体" w:cs="宋体"/>
                <w:sz w:val="21"/>
                <w:highlight w:val="none"/>
              </w:rPr>
            </w:pPr>
          </w:p>
        </w:tc>
        <w:tc>
          <w:tcPr>
            <w:tcW w:w="930" w:type="dxa"/>
            <w:tcBorders>
              <w:right w:val="single" w:color="000000" w:sz="2" w:space="0"/>
            </w:tcBorders>
            <w:vAlign w:val="top"/>
          </w:tcPr>
          <w:p w14:paraId="1860C1FF">
            <w:pPr>
              <w:rPr>
                <w:rFonts w:hint="eastAsia" w:ascii="宋体" w:hAnsi="宋体" w:eastAsia="宋体" w:cs="宋体"/>
                <w:sz w:val="21"/>
                <w:highlight w:val="none"/>
              </w:rPr>
            </w:pPr>
          </w:p>
        </w:tc>
      </w:tr>
      <w:tr w14:paraId="46E02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 w:hRule="atLeast"/>
        </w:trPr>
        <w:tc>
          <w:tcPr>
            <w:tcW w:w="871" w:type="dxa"/>
            <w:tcBorders>
              <w:left w:val="single" w:color="000000" w:sz="2" w:space="0"/>
              <w:right w:val="single" w:color="000000" w:sz="2" w:space="0"/>
            </w:tcBorders>
            <w:vAlign w:val="top"/>
          </w:tcPr>
          <w:p w14:paraId="4CC61C83">
            <w:pPr>
              <w:pStyle w:val="117"/>
              <w:spacing w:before="215"/>
              <w:ind w:left="475"/>
              <w:rPr>
                <w:rFonts w:hint="eastAsia" w:ascii="宋体" w:hAnsi="宋体" w:eastAsia="宋体" w:cs="宋体"/>
                <w:highlight w:val="none"/>
              </w:rPr>
            </w:pPr>
            <w:r>
              <w:rPr>
                <w:rFonts w:hint="eastAsia" w:ascii="宋体" w:hAnsi="宋体" w:eastAsia="宋体" w:cs="宋体"/>
                <w:highlight w:val="none"/>
              </w:rPr>
              <w:t>3</w:t>
            </w:r>
          </w:p>
        </w:tc>
        <w:tc>
          <w:tcPr>
            <w:tcW w:w="2482" w:type="dxa"/>
            <w:tcBorders>
              <w:left w:val="single" w:color="000000" w:sz="2" w:space="0"/>
            </w:tcBorders>
            <w:vAlign w:val="top"/>
          </w:tcPr>
          <w:p w14:paraId="46654288">
            <w:pPr>
              <w:rPr>
                <w:rFonts w:hint="eastAsia" w:ascii="宋体" w:hAnsi="宋体" w:eastAsia="宋体" w:cs="宋体"/>
                <w:sz w:val="21"/>
                <w:highlight w:val="none"/>
              </w:rPr>
            </w:pPr>
          </w:p>
        </w:tc>
        <w:tc>
          <w:tcPr>
            <w:tcW w:w="2571" w:type="dxa"/>
            <w:vAlign w:val="top"/>
          </w:tcPr>
          <w:p w14:paraId="721148EC">
            <w:pPr>
              <w:rPr>
                <w:rFonts w:hint="eastAsia" w:ascii="宋体" w:hAnsi="宋体" w:eastAsia="宋体" w:cs="宋体"/>
                <w:sz w:val="21"/>
                <w:highlight w:val="none"/>
              </w:rPr>
            </w:pPr>
          </w:p>
        </w:tc>
        <w:tc>
          <w:tcPr>
            <w:tcW w:w="1262" w:type="dxa"/>
            <w:vAlign w:val="top"/>
          </w:tcPr>
          <w:p w14:paraId="4F8A17FB">
            <w:pPr>
              <w:rPr>
                <w:rFonts w:hint="eastAsia" w:ascii="宋体" w:hAnsi="宋体" w:eastAsia="宋体" w:cs="宋体"/>
                <w:sz w:val="21"/>
                <w:highlight w:val="none"/>
              </w:rPr>
            </w:pPr>
          </w:p>
        </w:tc>
        <w:tc>
          <w:tcPr>
            <w:tcW w:w="1262" w:type="dxa"/>
            <w:vAlign w:val="top"/>
          </w:tcPr>
          <w:p w14:paraId="15280DF2">
            <w:pPr>
              <w:rPr>
                <w:rFonts w:hint="eastAsia" w:ascii="宋体" w:hAnsi="宋体" w:eastAsia="宋体" w:cs="宋体"/>
                <w:sz w:val="21"/>
                <w:highlight w:val="none"/>
              </w:rPr>
            </w:pPr>
          </w:p>
        </w:tc>
        <w:tc>
          <w:tcPr>
            <w:tcW w:w="1518" w:type="dxa"/>
            <w:vAlign w:val="top"/>
          </w:tcPr>
          <w:p w14:paraId="2766CD43">
            <w:pPr>
              <w:rPr>
                <w:rFonts w:hint="eastAsia" w:ascii="宋体" w:hAnsi="宋体" w:eastAsia="宋体" w:cs="宋体"/>
                <w:sz w:val="21"/>
                <w:highlight w:val="none"/>
              </w:rPr>
            </w:pPr>
          </w:p>
        </w:tc>
        <w:tc>
          <w:tcPr>
            <w:tcW w:w="1465" w:type="dxa"/>
            <w:vAlign w:val="top"/>
          </w:tcPr>
          <w:p w14:paraId="60DBF01F">
            <w:pPr>
              <w:rPr>
                <w:rFonts w:hint="eastAsia" w:ascii="宋体" w:hAnsi="宋体" w:eastAsia="宋体" w:cs="宋体"/>
                <w:sz w:val="21"/>
                <w:highlight w:val="none"/>
              </w:rPr>
            </w:pPr>
          </w:p>
        </w:tc>
        <w:tc>
          <w:tcPr>
            <w:tcW w:w="1576" w:type="dxa"/>
            <w:vAlign w:val="top"/>
          </w:tcPr>
          <w:p w14:paraId="2B866C6E">
            <w:pPr>
              <w:rPr>
                <w:rFonts w:hint="eastAsia" w:ascii="宋体" w:hAnsi="宋体" w:eastAsia="宋体" w:cs="宋体"/>
                <w:sz w:val="21"/>
                <w:highlight w:val="none"/>
              </w:rPr>
            </w:pPr>
          </w:p>
        </w:tc>
        <w:tc>
          <w:tcPr>
            <w:tcW w:w="930" w:type="dxa"/>
            <w:tcBorders>
              <w:right w:val="single" w:color="000000" w:sz="2" w:space="0"/>
            </w:tcBorders>
            <w:vAlign w:val="top"/>
          </w:tcPr>
          <w:p w14:paraId="75E35B9C">
            <w:pPr>
              <w:rPr>
                <w:rFonts w:hint="eastAsia" w:ascii="宋体" w:hAnsi="宋体" w:eastAsia="宋体" w:cs="宋体"/>
                <w:sz w:val="21"/>
                <w:highlight w:val="none"/>
              </w:rPr>
            </w:pPr>
          </w:p>
        </w:tc>
      </w:tr>
      <w:tr w14:paraId="6EE71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871" w:type="dxa"/>
            <w:tcBorders>
              <w:left w:val="single" w:color="000000" w:sz="2" w:space="0"/>
              <w:right w:val="single" w:color="000000" w:sz="2" w:space="0"/>
            </w:tcBorders>
            <w:vAlign w:val="top"/>
          </w:tcPr>
          <w:p w14:paraId="7721D8CE">
            <w:pPr>
              <w:pStyle w:val="117"/>
              <w:spacing w:before="216" w:line="241" w:lineRule="auto"/>
              <w:ind w:left="469"/>
              <w:rPr>
                <w:rFonts w:hint="eastAsia" w:ascii="宋体" w:hAnsi="宋体" w:eastAsia="宋体" w:cs="宋体"/>
                <w:highlight w:val="none"/>
              </w:rPr>
            </w:pPr>
            <w:r>
              <w:rPr>
                <w:rFonts w:hint="eastAsia" w:ascii="宋体" w:hAnsi="宋体" w:eastAsia="宋体" w:cs="宋体"/>
                <w:highlight w:val="none"/>
              </w:rPr>
              <w:t>4</w:t>
            </w:r>
          </w:p>
        </w:tc>
        <w:tc>
          <w:tcPr>
            <w:tcW w:w="2482" w:type="dxa"/>
            <w:tcBorders>
              <w:left w:val="single" w:color="000000" w:sz="2" w:space="0"/>
            </w:tcBorders>
            <w:vAlign w:val="top"/>
          </w:tcPr>
          <w:p w14:paraId="09AB32C7">
            <w:pPr>
              <w:rPr>
                <w:rFonts w:hint="eastAsia" w:ascii="宋体" w:hAnsi="宋体" w:eastAsia="宋体" w:cs="宋体"/>
                <w:sz w:val="21"/>
                <w:highlight w:val="none"/>
              </w:rPr>
            </w:pPr>
          </w:p>
        </w:tc>
        <w:tc>
          <w:tcPr>
            <w:tcW w:w="2571" w:type="dxa"/>
            <w:vAlign w:val="top"/>
          </w:tcPr>
          <w:p w14:paraId="0B4F5D83">
            <w:pPr>
              <w:rPr>
                <w:rFonts w:hint="eastAsia" w:ascii="宋体" w:hAnsi="宋体" w:eastAsia="宋体" w:cs="宋体"/>
                <w:sz w:val="21"/>
                <w:highlight w:val="none"/>
              </w:rPr>
            </w:pPr>
          </w:p>
        </w:tc>
        <w:tc>
          <w:tcPr>
            <w:tcW w:w="1262" w:type="dxa"/>
            <w:vAlign w:val="top"/>
          </w:tcPr>
          <w:p w14:paraId="291EB8D8">
            <w:pPr>
              <w:rPr>
                <w:rFonts w:hint="eastAsia" w:ascii="宋体" w:hAnsi="宋体" w:eastAsia="宋体" w:cs="宋体"/>
                <w:sz w:val="21"/>
                <w:highlight w:val="none"/>
              </w:rPr>
            </w:pPr>
          </w:p>
        </w:tc>
        <w:tc>
          <w:tcPr>
            <w:tcW w:w="1262" w:type="dxa"/>
            <w:vAlign w:val="top"/>
          </w:tcPr>
          <w:p w14:paraId="56156511">
            <w:pPr>
              <w:rPr>
                <w:rFonts w:hint="eastAsia" w:ascii="宋体" w:hAnsi="宋体" w:eastAsia="宋体" w:cs="宋体"/>
                <w:sz w:val="21"/>
                <w:highlight w:val="none"/>
              </w:rPr>
            </w:pPr>
          </w:p>
        </w:tc>
        <w:tc>
          <w:tcPr>
            <w:tcW w:w="1518" w:type="dxa"/>
            <w:vAlign w:val="top"/>
          </w:tcPr>
          <w:p w14:paraId="0CE38906">
            <w:pPr>
              <w:rPr>
                <w:rFonts w:hint="eastAsia" w:ascii="宋体" w:hAnsi="宋体" w:eastAsia="宋体" w:cs="宋体"/>
                <w:sz w:val="21"/>
                <w:highlight w:val="none"/>
              </w:rPr>
            </w:pPr>
          </w:p>
        </w:tc>
        <w:tc>
          <w:tcPr>
            <w:tcW w:w="1465" w:type="dxa"/>
            <w:vAlign w:val="top"/>
          </w:tcPr>
          <w:p w14:paraId="44094A57">
            <w:pPr>
              <w:rPr>
                <w:rFonts w:hint="eastAsia" w:ascii="宋体" w:hAnsi="宋体" w:eastAsia="宋体" w:cs="宋体"/>
                <w:sz w:val="21"/>
                <w:highlight w:val="none"/>
              </w:rPr>
            </w:pPr>
          </w:p>
        </w:tc>
        <w:tc>
          <w:tcPr>
            <w:tcW w:w="1576" w:type="dxa"/>
            <w:vAlign w:val="top"/>
          </w:tcPr>
          <w:p w14:paraId="4367CD17">
            <w:pPr>
              <w:rPr>
                <w:rFonts w:hint="eastAsia" w:ascii="宋体" w:hAnsi="宋体" w:eastAsia="宋体" w:cs="宋体"/>
                <w:sz w:val="21"/>
                <w:highlight w:val="none"/>
              </w:rPr>
            </w:pPr>
          </w:p>
        </w:tc>
        <w:tc>
          <w:tcPr>
            <w:tcW w:w="930" w:type="dxa"/>
            <w:tcBorders>
              <w:right w:val="single" w:color="000000" w:sz="2" w:space="0"/>
            </w:tcBorders>
            <w:vAlign w:val="top"/>
          </w:tcPr>
          <w:p w14:paraId="1EBD4434">
            <w:pPr>
              <w:rPr>
                <w:rFonts w:hint="eastAsia" w:ascii="宋体" w:hAnsi="宋体" w:eastAsia="宋体" w:cs="宋体"/>
                <w:sz w:val="21"/>
                <w:highlight w:val="none"/>
              </w:rPr>
            </w:pPr>
          </w:p>
        </w:tc>
      </w:tr>
      <w:tr w14:paraId="12276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871" w:type="dxa"/>
            <w:tcBorders>
              <w:left w:val="single" w:color="000000" w:sz="2" w:space="0"/>
              <w:right w:val="single" w:color="000000" w:sz="2" w:space="0"/>
            </w:tcBorders>
            <w:vAlign w:val="top"/>
          </w:tcPr>
          <w:p w14:paraId="4C3D476F">
            <w:pPr>
              <w:pStyle w:val="117"/>
              <w:spacing w:before="234"/>
              <w:ind w:left="475"/>
              <w:rPr>
                <w:rFonts w:hint="eastAsia" w:ascii="宋体" w:hAnsi="宋体" w:eastAsia="宋体" w:cs="宋体"/>
                <w:highlight w:val="none"/>
              </w:rPr>
            </w:pPr>
            <w:r>
              <w:rPr>
                <w:rFonts w:hint="eastAsia" w:ascii="宋体" w:hAnsi="宋体" w:eastAsia="宋体" w:cs="宋体"/>
                <w:highlight w:val="none"/>
              </w:rPr>
              <w:t>5</w:t>
            </w:r>
          </w:p>
        </w:tc>
        <w:tc>
          <w:tcPr>
            <w:tcW w:w="2482" w:type="dxa"/>
            <w:tcBorders>
              <w:left w:val="single" w:color="000000" w:sz="2" w:space="0"/>
            </w:tcBorders>
            <w:vAlign w:val="top"/>
          </w:tcPr>
          <w:p w14:paraId="2974EE59">
            <w:pPr>
              <w:rPr>
                <w:rFonts w:hint="eastAsia" w:ascii="宋体" w:hAnsi="宋体" w:eastAsia="宋体" w:cs="宋体"/>
                <w:sz w:val="21"/>
                <w:highlight w:val="none"/>
              </w:rPr>
            </w:pPr>
          </w:p>
        </w:tc>
        <w:tc>
          <w:tcPr>
            <w:tcW w:w="2571" w:type="dxa"/>
            <w:vAlign w:val="top"/>
          </w:tcPr>
          <w:p w14:paraId="34F21822">
            <w:pPr>
              <w:rPr>
                <w:rFonts w:hint="eastAsia" w:ascii="宋体" w:hAnsi="宋体" w:eastAsia="宋体" w:cs="宋体"/>
                <w:sz w:val="21"/>
                <w:highlight w:val="none"/>
              </w:rPr>
            </w:pPr>
          </w:p>
        </w:tc>
        <w:tc>
          <w:tcPr>
            <w:tcW w:w="1262" w:type="dxa"/>
            <w:vAlign w:val="top"/>
          </w:tcPr>
          <w:p w14:paraId="29BC8C02">
            <w:pPr>
              <w:rPr>
                <w:rFonts w:hint="eastAsia" w:ascii="宋体" w:hAnsi="宋体" w:eastAsia="宋体" w:cs="宋体"/>
                <w:sz w:val="21"/>
                <w:highlight w:val="none"/>
              </w:rPr>
            </w:pPr>
          </w:p>
        </w:tc>
        <w:tc>
          <w:tcPr>
            <w:tcW w:w="1262" w:type="dxa"/>
            <w:vAlign w:val="top"/>
          </w:tcPr>
          <w:p w14:paraId="6CA1D95A">
            <w:pPr>
              <w:rPr>
                <w:rFonts w:hint="eastAsia" w:ascii="宋体" w:hAnsi="宋体" w:eastAsia="宋体" w:cs="宋体"/>
                <w:sz w:val="21"/>
                <w:highlight w:val="none"/>
              </w:rPr>
            </w:pPr>
          </w:p>
        </w:tc>
        <w:tc>
          <w:tcPr>
            <w:tcW w:w="1518" w:type="dxa"/>
            <w:vAlign w:val="top"/>
          </w:tcPr>
          <w:p w14:paraId="45A84421">
            <w:pPr>
              <w:rPr>
                <w:rFonts w:hint="eastAsia" w:ascii="宋体" w:hAnsi="宋体" w:eastAsia="宋体" w:cs="宋体"/>
                <w:sz w:val="21"/>
                <w:highlight w:val="none"/>
              </w:rPr>
            </w:pPr>
          </w:p>
        </w:tc>
        <w:tc>
          <w:tcPr>
            <w:tcW w:w="1465" w:type="dxa"/>
            <w:vAlign w:val="top"/>
          </w:tcPr>
          <w:p w14:paraId="2B80FDA1">
            <w:pPr>
              <w:rPr>
                <w:rFonts w:hint="eastAsia" w:ascii="宋体" w:hAnsi="宋体" w:eastAsia="宋体" w:cs="宋体"/>
                <w:sz w:val="21"/>
                <w:highlight w:val="none"/>
              </w:rPr>
            </w:pPr>
          </w:p>
        </w:tc>
        <w:tc>
          <w:tcPr>
            <w:tcW w:w="1576" w:type="dxa"/>
            <w:vAlign w:val="top"/>
          </w:tcPr>
          <w:p w14:paraId="69C0A0C2">
            <w:pPr>
              <w:rPr>
                <w:rFonts w:hint="eastAsia" w:ascii="宋体" w:hAnsi="宋体" w:eastAsia="宋体" w:cs="宋体"/>
                <w:sz w:val="21"/>
                <w:highlight w:val="none"/>
              </w:rPr>
            </w:pPr>
          </w:p>
        </w:tc>
        <w:tc>
          <w:tcPr>
            <w:tcW w:w="930" w:type="dxa"/>
            <w:tcBorders>
              <w:right w:val="single" w:color="000000" w:sz="2" w:space="0"/>
            </w:tcBorders>
            <w:vAlign w:val="top"/>
          </w:tcPr>
          <w:p w14:paraId="16C13501">
            <w:pPr>
              <w:rPr>
                <w:rFonts w:hint="eastAsia" w:ascii="宋体" w:hAnsi="宋体" w:eastAsia="宋体" w:cs="宋体"/>
                <w:sz w:val="21"/>
                <w:highlight w:val="none"/>
              </w:rPr>
            </w:pPr>
          </w:p>
        </w:tc>
      </w:tr>
      <w:tr w14:paraId="5A347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 w:hRule="atLeast"/>
        </w:trPr>
        <w:tc>
          <w:tcPr>
            <w:tcW w:w="871" w:type="dxa"/>
            <w:tcBorders>
              <w:left w:val="single" w:color="000000" w:sz="2" w:space="0"/>
              <w:right w:val="single" w:color="000000" w:sz="2" w:space="0"/>
            </w:tcBorders>
            <w:vAlign w:val="top"/>
          </w:tcPr>
          <w:p w14:paraId="74DB2E85">
            <w:pPr>
              <w:pStyle w:val="117"/>
              <w:spacing w:before="217" w:line="352" w:lineRule="exact"/>
              <w:ind w:left="425"/>
              <w:rPr>
                <w:rFonts w:hint="eastAsia" w:ascii="宋体" w:hAnsi="宋体" w:eastAsia="宋体" w:cs="宋体"/>
                <w:highlight w:val="none"/>
              </w:rPr>
            </w:pPr>
            <w:r>
              <w:rPr>
                <w:rFonts w:hint="eastAsia" w:ascii="宋体" w:hAnsi="宋体" w:eastAsia="宋体" w:cs="宋体"/>
                <w:position w:val="2"/>
                <w:highlight w:val="none"/>
              </w:rPr>
              <w:t>…</w:t>
            </w:r>
          </w:p>
        </w:tc>
        <w:tc>
          <w:tcPr>
            <w:tcW w:w="2482" w:type="dxa"/>
            <w:tcBorders>
              <w:left w:val="single" w:color="000000" w:sz="2" w:space="0"/>
            </w:tcBorders>
            <w:vAlign w:val="top"/>
          </w:tcPr>
          <w:p w14:paraId="20997CE8">
            <w:pPr>
              <w:rPr>
                <w:rFonts w:hint="eastAsia" w:ascii="宋体" w:hAnsi="宋体" w:eastAsia="宋体" w:cs="宋体"/>
                <w:sz w:val="21"/>
                <w:highlight w:val="none"/>
              </w:rPr>
            </w:pPr>
          </w:p>
        </w:tc>
        <w:tc>
          <w:tcPr>
            <w:tcW w:w="2571" w:type="dxa"/>
            <w:vAlign w:val="top"/>
          </w:tcPr>
          <w:p w14:paraId="2DD77FA7">
            <w:pPr>
              <w:rPr>
                <w:rFonts w:hint="eastAsia" w:ascii="宋体" w:hAnsi="宋体" w:eastAsia="宋体" w:cs="宋体"/>
                <w:sz w:val="21"/>
                <w:highlight w:val="none"/>
              </w:rPr>
            </w:pPr>
          </w:p>
        </w:tc>
        <w:tc>
          <w:tcPr>
            <w:tcW w:w="1262" w:type="dxa"/>
            <w:vAlign w:val="top"/>
          </w:tcPr>
          <w:p w14:paraId="5E1E9546">
            <w:pPr>
              <w:rPr>
                <w:rFonts w:hint="eastAsia" w:ascii="宋体" w:hAnsi="宋体" w:eastAsia="宋体" w:cs="宋体"/>
                <w:sz w:val="21"/>
                <w:highlight w:val="none"/>
              </w:rPr>
            </w:pPr>
          </w:p>
        </w:tc>
        <w:tc>
          <w:tcPr>
            <w:tcW w:w="1262" w:type="dxa"/>
            <w:vAlign w:val="top"/>
          </w:tcPr>
          <w:p w14:paraId="20B323E3">
            <w:pPr>
              <w:rPr>
                <w:rFonts w:hint="eastAsia" w:ascii="宋体" w:hAnsi="宋体" w:eastAsia="宋体" w:cs="宋体"/>
                <w:sz w:val="21"/>
                <w:highlight w:val="none"/>
              </w:rPr>
            </w:pPr>
          </w:p>
        </w:tc>
        <w:tc>
          <w:tcPr>
            <w:tcW w:w="1518" w:type="dxa"/>
            <w:vAlign w:val="top"/>
          </w:tcPr>
          <w:p w14:paraId="5CEFCF85">
            <w:pPr>
              <w:rPr>
                <w:rFonts w:hint="eastAsia" w:ascii="宋体" w:hAnsi="宋体" w:eastAsia="宋体" w:cs="宋体"/>
                <w:sz w:val="21"/>
                <w:highlight w:val="none"/>
              </w:rPr>
            </w:pPr>
          </w:p>
        </w:tc>
        <w:tc>
          <w:tcPr>
            <w:tcW w:w="1465" w:type="dxa"/>
            <w:vAlign w:val="top"/>
          </w:tcPr>
          <w:p w14:paraId="263568AC">
            <w:pPr>
              <w:rPr>
                <w:rFonts w:hint="eastAsia" w:ascii="宋体" w:hAnsi="宋体" w:eastAsia="宋体" w:cs="宋体"/>
                <w:sz w:val="21"/>
                <w:highlight w:val="none"/>
              </w:rPr>
            </w:pPr>
          </w:p>
        </w:tc>
        <w:tc>
          <w:tcPr>
            <w:tcW w:w="1576" w:type="dxa"/>
            <w:vAlign w:val="top"/>
          </w:tcPr>
          <w:p w14:paraId="53E2A949">
            <w:pPr>
              <w:rPr>
                <w:rFonts w:hint="eastAsia" w:ascii="宋体" w:hAnsi="宋体" w:eastAsia="宋体" w:cs="宋体"/>
                <w:sz w:val="21"/>
                <w:highlight w:val="none"/>
              </w:rPr>
            </w:pPr>
          </w:p>
        </w:tc>
        <w:tc>
          <w:tcPr>
            <w:tcW w:w="930" w:type="dxa"/>
            <w:tcBorders>
              <w:right w:val="single" w:color="000000" w:sz="2" w:space="0"/>
            </w:tcBorders>
            <w:vAlign w:val="top"/>
          </w:tcPr>
          <w:p w14:paraId="60FA8F99">
            <w:pPr>
              <w:rPr>
                <w:rFonts w:hint="eastAsia" w:ascii="宋体" w:hAnsi="宋体" w:eastAsia="宋体" w:cs="宋体"/>
                <w:sz w:val="21"/>
                <w:highlight w:val="none"/>
              </w:rPr>
            </w:pPr>
          </w:p>
        </w:tc>
      </w:tr>
      <w:tr w14:paraId="3BB01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871" w:type="dxa"/>
            <w:tcBorders>
              <w:left w:val="single" w:color="000000" w:sz="2" w:space="0"/>
              <w:bottom w:val="single" w:color="000000" w:sz="2" w:space="0"/>
            </w:tcBorders>
            <w:vAlign w:val="top"/>
          </w:tcPr>
          <w:p w14:paraId="25ECAA1F">
            <w:pPr>
              <w:pStyle w:val="117"/>
              <w:spacing w:before="217" w:line="221" w:lineRule="auto"/>
              <w:ind w:left="46"/>
              <w:rPr>
                <w:rFonts w:hint="eastAsia" w:ascii="宋体" w:hAnsi="宋体" w:eastAsia="宋体" w:cs="宋体"/>
                <w:highlight w:val="none"/>
              </w:rPr>
            </w:pPr>
            <w:r>
              <w:rPr>
                <w:rFonts w:hint="eastAsia" w:ascii="宋体" w:hAnsi="宋体" w:eastAsia="宋体" w:cs="宋体"/>
                <w:spacing w:val="-4"/>
                <w:highlight w:val="none"/>
              </w:rPr>
              <w:t>合计：</w:t>
            </w:r>
          </w:p>
        </w:tc>
        <w:tc>
          <w:tcPr>
            <w:tcW w:w="2482" w:type="dxa"/>
            <w:tcBorders>
              <w:bottom w:val="single" w:color="000000" w:sz="2" w:space="0"/>
              <w:right w:val="nil"/>
            </w:tcBorders>
            <w:vAlign w:val="top"/>
          </w:tcPr>
          <w:p w14:paraId="246F59BD">
            <w:pPr>
              <w:pStyle w:val="117"/>
              <w:spacing w:before="218" w:line="220" w:lineRule="auto"/>
              <w:rPr>
                <w:rFonts w:hint="eastAsia" w:ascii="宋体" w:hAnsi="宋体" w:eastAsia="宋体" w:cs="宋体"/>
                <w:highlight w:val="none"/>
              </w:rPr>
            </w:pPr>
            <w:r>
              <w:rPr>
                <w:rFonts w:hint="eastAsia" w:ascii="宋体" w:hAnsi="宋体" w:eastAsia="宋体" w:cs="宋体"/>
                <w:spacing w:val="-4"/>
                <w:highlight w:val="none"/>
              </w:rPr>
              <w:t>大写：</w:t>
            </w:r>
            <w:r>
              <w:rPr>
                <w:rFonts w:hint="eastAsia" w:ascii="宋体" w:hAnsi="宋体" w:eastAsia="宋体" w:cs="宋体"/>
                <w:spacing w:val="1"/>
                <w:highlight w:val="none"/>
              </w:rPr>
              <w:t xml:space="preserve">            </w:t>
            </w:r>
            <w:r>
              <w:rPr>
                <w:rFonts w:hint="eastAsia" w:ascii="宋体" w:hAnsi="宋体" w:eastAsia="宋体" w:cs="宋体"/>
                <w:spacing w:val="-4"/>
                <w:highlight w:val="none"/>
              </w:rPr>
              <w:t>元</w:t>
            </w:r>
          </w:p>
        </w:tc>
        <w:tc>
          <w:tcPr>
            <w:tcW w:w="2571" w:type="dxa"/>
            <w:tcBorders>
              <w:left w:val="nil"/>
              <w:bottom w:val="single" w:color="000000" w:sz="2" w:space="0"/>
              <w:right w:val="nil"/>
            </w:tcBorders>
            <w:vAlign w:val="top"/>
          </w:tcPr>
          <w:p w14:paraId="15BFABC1">
            <w:pPr>
              <w:rPr>
                <w:rFonts w:hint="eastAsia" w:ascii="宋体" w:hAnsi="宋体" w:eastAsia="宋体" w:cs="宋体"/>
                <w:sz w:val="21"/>
                <w:highlight w:val="none"/>
              </w:rPr>
            </w:pPr>
          </w:p>
        </w:tc>
        <w:tc>
          <w:tcPr>
            <w:tcW w:w="1262" w:type="dxa"/>
            <w:tcBorders>
              <w:left w:val="nil"/>
              <w:bottom w:val="single" w:color="000000" w:sz="2" w:space="0"/>
              <w:right w:val="nil"/>
            </w:tcBorders>
            <w:vAlign w:val="top"/>
          </w:tcPr>
          <w:p w14:paraId="41E24D3E">
            <w:pPr>
              <w:rPr>
                <w:rFonts w:hint="eastAsia" w:ascii="宋体" w:hAnsi="宋体" w:eastAsia="宋体" w:cs="宋体"/>
                <w:sz w:val="21"/>
                <w:highlight w:val="none"/>
              </w:rPr>
            </w:pPr>
          </w:p>
        </w:tc>
        <w:tc>
          <w:tcPr>
            <w:tcW w:w="1262" w:type="dxa"/>
            <w:tcBorders>
              <w:left w:val="nil"/>
              <w:bottom w:val="single" w:color="000000" w:sz="2" w:space="0"/>
              <w:right w:val="nil"/>
            </w:tcBorders>
            <w:vAlign w:val="top"/>
          </w:tcPr>
          <w:p w14:paraId="28D8CCF9">
            <w:pPr>
              <w:rPr>
                <w:rFonts w:hint="eastAsia" w:ascii="宋体" w:hAnsi="宋体" w:eastAsia="宋体" w:cs="宋体"/>
                <w:sz w:val="21"/>
                <w:highlight w:val="none"/>
              </w:rPr>
            </w:pPr>
          </w:p>
        </w:tc>
        <w:tc>
          <w:tcPr>
            <w:tcW w:w="1518" w:type="dxa"/>
            <w:tcBorders>
              <w:left w:val="nil"/>
              <w:bottom w:val="single" w:color="000000" w:sz="2" w:space="0"/>
              <w:right w:val="nil"/>
            </w:tcBorders>
            <w:vAlign w:val="top"/>
          </w:tcPr>
          <w:p w14:paraId="249510BB">
            <w:pPr>
              <w:rPr>
                <w:rFonts w:hint="eastAsia" w:ascii="宋体" w:hAnsi="宋体" w:eastAsia="宋体" w:cs="宋体"/>
                <w:sz w:val="21"/>
                <w:highlight w:val="none"/>
              </w:rPr>
            </w:pPr>
          </w:p>
        </w:tc>
        <w:tc>
          <w:tcPr>
            <w:tcW w:w="1465" w:type="dxa"/>
            <w:tcBorders>
              <w:left w:val="nil"/>
              <w:bottom w:val="single" w:color="000000" w:sz="2" w:space="0"/>
              <w:right w:val="nil"/>
            </w:tcBorders>
            <w:vAlign w:val="top"/>
          </w:tcPr>
          <w:p w14:paraId="7A16F16C">
            <w:pPr>
              <w:pStyle w:val="117"/>
              <w:spacing w:before="218" w:line="220" w:lineRule="auto"/>
              <w:rPr>
                <w:rFonts w:hint="eastAsia" w:ascii="宋体" w:hAnsi="宋体" w:eastAsia="宋体" w:cs="宋体"/>
                <w:highlight w:val="none"/>
              </w:rPr>
            </w:pPr>
            <w:r>
              <w:rPr>
                <w:rFonts w:hint="eastAsia" w:ascii="宋体" w:hAnsi="宋体" w:eastAsia="宋体" w:cs="宋体"/>
                <w:spacing w:val="-2"/>
                <w:highlight w:val="none"/>
              </w:rPr>
              <w:t>小写：</w:t>
            </w:r>
            <w:r>
              <w:rPr>
                <w:rFonts w:hint="eastAsia" w:cs="宋体"/>
                <w:spacing w:val="-2"/>
                <w:highlight w:val="none"/>
                <w:lang w:val="en-US" w:eastAsia="zh-CN"/>
              </w:rPr>
              <w:t xml:space="preserve">  </w:t>
            </w:r>
            <w:r>
              <w:rPr>
                <w:rFonts w:hint="eastAsia" w:ascii="宋体" w:hAnsi="宋体" w:eastAsia="宋体" w:cs="宋体"/>
                <w:spacing w:val="-2"/>
                <w:highlight w:val="none"/>
              </w:rPr>
              <w:t>元</w:t>
            </w:r>
          </w:p>
        </w:tc>
        <w:tc>
          <w:tcPr>
            <w:tcW w:w="1576" w:type="dxa"/>
            <w:tcBorders>
              <w:left w:val="nil"/>
              <w:bottom w:val="single" w:color="000000" w:sz="2" w:space="0"/>
              <w:right w:val="nil"/>
            </w:tcBorders>
            <w:vAlign w:val="top"/>
          </w:tcPr>
          <w:p w14:paraId="51916EE6">
            <w:pPr>
              <w:rPr>
                <w:rFonts w:hint="eastAsia" w:ascii="宋体" w:hAnsi="宋体" w:eastAsia="宋体" w:cs="宋体"/>
                <w:sz w:val="21"/>
                <w:highlight w:val="none"/>
              </w:rPr>
            </w:pPr>
          </w:p>
        </w:tc>
        <w:tc>
          <w:tcPr>
            <w:tcW w:w="930" w:type="dxa"/>
            <w:tcBorders>
              <w:left w:val="nil"/>
              <w:bottom w:val="single" w:color="000000" w:sz="2" w:space="0"/>
              <w:right w:val="single" w:color="000000" w:sz="2" w:space="0"/>
            </w:tcBorders>
            <w:vAlign w:val="top"/>
          </w:tcPr>
          <w:p w14:paraId="60636794">
            <w:pPr>
              <w:rPr>
                <w:rFonts w:hint="eastAsia" w:ascii="宋体" w:hAnsi="宋体" w:eastAsia="宋体" w:cs="宋体"/>
                <w:sz w:val="21"/>
                <w:highlight w:val="none"/>
              </w:rPr>
            </w:pPr>
          </w:p>
        </w:tc>
      </w:tr>
    </w:tbl>
    <w:p w14:paraId="1713AD5B">
      <w:pPr>
        <w:pStyle w:val="14"/>
        <w:spacing w:before="171" w:line="219" w:lineRule="auto"/>
        <w:ind w:firstLine="488" w:firstLineChars="200"/>
        <w:rPr>
          <w:rFonts w:hint="eastAsia" w:ascii="宋体" w:hAnsi="宋体" w:eastAsia="宋体" w:cs="宋体"/>
          <w:sz w:val="24"/>
          <w:szCs w:val="18"/>
          <w:highlight w:val="none"/>
        </w:rPr>
      </w:pPr>
      <w:r>
        <w:rPr>
          <w:rFonts w:hint="eastAsia" w:ascii="宋体" w:hAnsi="宋体" w:eastAsia="宋体" w:cs="宋体"/>
          <w:spacing w:val="2"/>
          <w:sz w:val="24"/>
          <w:szCs w:val="18"/>
          <w:highlight w:val="none"/>
        </w:rPr>
        <w:t>供应商</w:t>
      </w:r>
      <w:r>
        <w:rPr>
          <w:rFonts w:hint="eastAsia" w:ascii="宋体" w:hAnsi="宋体" w:eastAsia="宋体" w:cs="宋体"/>
          <w:spacing w:val="-29"/>
          <w:sz w:val="24"/>
          <w:szCs w:val="18"/>
          <w:highlight w:val="none"/>
        </w:rPr>
        <w:t>：（</w:t>
      </w:r>
      <w:r>
        <w:rPr>
          <w:rFonts w:hint="eastAsia" w:ascii="宋体" w:hAnsi="宋体" w:eastAsia="宋体" w:cs="宋体"/>
          <w:spacing w:val="2"/>
          <w:sz w:val="24"/>
          <w:szCs w:val="18"/>
          <w:highlight w:val="none"/>
        </w:rPr>
        <w:t>公章）</w:t>
      </w:r>
      <w:r>
        <w:rPr>
          <w:rFonts w:hint="eastAsia" w:ascii="宋体" w:hAnsi="宋体" w:eastAsia="宋体" w:cs="宋体"/>
          <w:spacing w:val="9"/>
          <w:sz w:val="24"/>
          <w:szCs w:val="18"/>
          <w:highlight w:val="none"/>
        </w:rPr>
        <w:t xml:space="preserve">         </w:t>
      </w:r>
      <w:r>
        <w:rPr>
          <w:rFonts w:hint="eastAsia" w:ascii="宋体" w:hAnsi="宋体" w:eastAsia="宋体" w:cs="宋体"/>
          <w:spacing w:val="9"/>
          <w:sz w:val="24"/>
          <w:szCs w:val="18"/>
          <w:highlight w:val="none"/>
          <w:lang w:val="en-US" w:eastAsia="zh-CN"/>
        </w:rPr>
        <w:t xml:space="preserve">    </w:t>
      </w:r>
      <w:r>
        <w:rPr>
          <w:rFonts w:hint="eastAsia" w:ascii="宋体" w:hAnsi="宋体" w:eastAsia="宋体" w:cs="宋体"/>
          <w:spacing w:val="9"/>
          <w:sz w:val="24"/>
          <w:szCs w:val="18"/>
          <w:highlight w:val="none"/>
        </w:rPr>
        <w:t xml:space="preserve">   </w:t>
      </w:r>
      <w:r>
        <w:rPr>
          <w:rFonts w:hint="eastAsia" w:ascii="宋体" w:hAnsi="宋体" w:eastAsia="宋体" w:cs="宋体"/>
          <w:spacing w:val="2"/>
          <w:sz w:val="24"/>
          <w:szCs w:val="18"/>
          <w:highlight w:val="none"/>
        </w:rPr>
        <w:t>法定代表人</w:t>
      </w:r>
      <w:r>
        <w:rPr>
          <w:rFonts w:hint="eastAsia" w:ascii="宋体" w:hAnsi="宋体" w:eastAsia="宋体" w:cs="宋体"/>
          <w:spacing w:val="2"/>
          <w:sz w:val="24"/>
          <w:szCs w:val="18"/>
          <w:highlight w:val="none"/>
          <w:lang w:eastAsia="zh-CN"/>
        </w:rPr>
        <w:t>或</w:t>
      </w:r>
      <w:r>
        <w:rPr>
          <w:rFonts w:hint="eastAsia" w:ascii="宋体" w:hAnsi="宋体" w:eastAsia="宋体" w:cs="宋体"/>
          <w:spacing w:val="2"/>
          <w:sz w:val="24"/>
          <w:szCs w:val="18"/>
          <w:highlight w:val="none"/>
        </w:rPr>
        <w:t>被授权代表</w:t>
      </w:r>
      <w:r>
        <w:rPr>
          <w:rFonts w:hint="eastAsia" w:ascii="宋体" w:hAnsi="宋体" w:eastAsia="宋体" w:cs="宋体"/>
          <w:spacing w:val="-29"/>
          <w:sz w:val="24"/>
          <w:szCs w:val="18"/>
          <w:highlight w:val="none"/>
        </w:rPr>
        <w:t>：（</w:t>
      </w:r>
      <w:r>
        <w:rPr>
          <w:rFonts w:hint="eastAsia" w:ascii="宋体" w:hAnsi="宋体" w:eastAsia="宋体" w:cs="宋体"/>
          <w:spacing w:val="2"/>
          <w:sz w:val="24"/>
          <w:szCs w:val="18"/>
          <w:highlight w:val="none"/>
        </w:rPr>
        <w:t>签字或盖章）</w:t>
      </w:r>
      <w:r>
        <w:rPr>
          <w:rFonts w:hint="eastAsia" w:ascii="宋体" w:hAnsi="宋体" w:eastAsia="宋体" w:cs="宋体"/>
          <w:spacing w:val="11"/>
          <w:sz w:val="24"/>
          <w:szCs w:val="18"/>
          <w:highlight w:val="none"/>
        </w:rPr>
        <w:t xml:space="preserve">           </w:t>
      </w:r>
      <w:r>
        <w:rPr>
          <w:rFonts w:hint="eastAsia" w:ascii="宋体" w:hAnsi="宋体" w:eastAsia="宋体" w:cs="宋体"/>
          <w:spacing w:val="1"/>
          <w:sz w:val="24"/>
          <w:szCs w:val="18"/>
          <w:highlight w:val="none"/>
        </w:rPr>
        <w:t xml:space="preserve">   年   月   日</w:t>
      </w:r>
    </w:p>
    <w:p w14:paraId="63869AA9">
      <w:pPr>
        <w:pStyle w:val="14"/>
        <w:spacing w:line="360" w:lineRule="auto"/>
        <w:ind w:firstLine="0" w:firstLineChars="0"/>
        <w:rPr>
          <w:rFonts w:hint="eastAsia" w:ascii="宋体" w:hAnsi="宋体" w:eastAsia="宋体" w:cs="宋体"/>
          <w:spacing w:val="7"/>
          <w:sz w:val="24"/>
          <w:szCs w:val="24"/>
          <w:highlight w:val="none"/>
        </w:rPr>
      </w:pPr>
    </w:p>
    <w:p w14:paraId="45B82D8C">
      <w:pPr>
        <w:pStyle w:val="14"/>
        <w:spacing w:line="360" w:lineRule="auto"/>
        <w:ind w:firstLine="0" w:firstLineChars="0"/>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注：1、如果按单价计算的结果与总价不一致， 以单价为准修正总价。</w:t>
      </w:r>
    </w:p>
    <w:p w14:paraId="61D07F7B">
      <w:pPr>
        <w:kinsoku w:val="0"/>
        <w:spacing w:line="360" w:lineRule="auto"/>
        <w:ind w:firstLine="508" w:firstLineChars="200"/>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2、</w:t>
      </w:r>
      <w:r>
        <w:rPr>
          <w:rFonts w:hint="eastAsia" w:ascii="宋体" w:hAnsi="宋体" w:eastAsia="宋体" w:cs="宋体"/>
          <w:spacing w:val="7"/>
          <w:sz w:val="24"/>
          <w:szCs w:val="24"/>
          <w:highlight w:val="none"/>
          <w:lang w:eastAsia="zh-CN"/>
        </w:rPr>
        <w:t>报价</w:t>
      </w:r>
      <w:r>
        <w:rPr>
          <w:rFonts w:hint="eastAsia" w:ascii="宋体" w:hAnsi="宋体" w:eastAsia="宋体" w:cs="宋体"/>
          <w:sz w:val="24"/>
          <w:szCs w:val="24"/>
          <w:highlight w:val="none"/>
          <w:lang w:eastAsia="zh-CN"/>
        </w:rPr>
        <w:t>包含生产厂商到采购人指定送达现场所需的成本、装卸、运输（含保险费）、现场保管费、</w:t>
      </w:r>
      <w:r>
        <w:rPr>
          <w:rFonts w:hint="eastAsia" w:ascii="宋体" w:hAnsi="宋体" w:cs="宋体"/>
          <w:sz w:val="24"/>
          <w:szCs w:val="24"/>
          <w:highlight w:val="none"/>
          <w:lang w:eastAsia="zh-CN"/>
        </w:rPr>
        <w:t>耗材</w:t>
      </w:r>
      <w:r>
        <w:rPr>
          <w:rFonts w:hint="eastAsia" w:ascii="宋体" w:hAnsi="宋体" w:eastAsia="宋体" w:cs="宋体"/>
          <w:sz w:val="24"/>
          <w:szCs w:val="24"/>
          <w:highlight w:val="none"/>
          <w:lang w:eastAsia="zh-CN"/>
        </w:rPr>
        <w:t>、人工费、税金、利润等一切费用。</w:t>
      </w:r>
      <w:r>
        <w:rPr>
          <w:rFonts w:hint="eastAsia" w:ascii="宋体" w:hAnsi="宋体" w:eastAsia="宋体" w:cs="宋体"/>
          <w:color w:val="000000"/>
          <w:sz w:val="24"/>
          <w:szCs w:val="24"/>
          <w:highlight w:val="none"/>
          <w:lang w:val="en-US" w:eastAsia="zh-CN"/>
        </w:rPr>
        <w:t>合同总价不可变更，不受市场价格或汇率变化的影响。</w:t>
      </w:r>
    </w:p>
    <w:p w14:paraId="2CCFEB69">
      <w:pPr>
        <w:spacing w:line="360" w:lineRule="auto"/>
        <w:ind w:firstLine="0" w:firstLineChars="0"/>
        <w:rPr>
          <w:rFonts w:hint="eastAsia" w:ascii="宋体" w:hAnsi="宋体" w:eastAsia="宋体" w:cs="宋体"/>
          <w:sz w:val="24"/>
          <w:szCs w:val="24"/>
          <w:highlight w:val="none"/>
        </w:rPr>
        <w:sectPr>
          <w:headerReference r:id="rId5" w:type="default"/>
          <w:footerReference r:id="rId6" w:type="default"/>
          <w:pgSz w:w="16838" w:h="11905" w:orient="landscape"/>
          <w:pgMar w:top="1083" w:right="1440" w:bottom="1083" w:left="1440" w:header="850" w:footer="992" w:gutter="0"/>
          <w:cols w:space="0" w:num="1"/>
          <w:rtlGutter w:val="0"/>
          <w:docGrid w:linePitch="0" w:charSpace="0"/>
        </w:sectPr>
      </w:pPr>
    </w:p>
    <w:p w14:paraId="350B2D50">
      <w:pPr>
        <w:numPr>
          <w:ilvl w:val="0"/>
          <w:numId w:val="1"/>
        </w:numPr>
        <w:autoSpaceDE w:val="0"/>
        <w:autoSpaceDN w:val="0"/>
        <w:adjustRightInd w:val="0"/>
        <w:snapToGrid w:val="0"/>
        <w:spacing w:line="360" w:lineRule="auto"/>
        <w:jc w:val="center"/>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谈判保证金交纳凭证</w:t>
      </w:r>
    </w:p>
    <w:p w14:paraId="3FEEE79B">
      <w:pPr>
        <w:widowControl w:val="0"/>
        <w:numPr>
          <w:ilvl w:val="0"/>
          <w:numId w:val="0"/>
        </w:numPr>
        <w:autoSpaceDE w:val="0"/>
        <w:autoSpaceDN w:val="0"/>
        <w:adjustRightInd w:val="0"/>
        <w:snapToGrid w:val="0"/>
        <w:spacing w:line="360" w:lineRule="auto"/>
        <w:jc w:val="center"/>
        <w:outlineLvl w:val="2"/>
        <w:rPr>
          <w:rFonts w:hint="eastAsia" w:ascii="宋体" w:hAnsi="宋体" w:eastAsia="宋体" w:cs="宋体"/>
          <w:b/>
          <w:bCs/>
          <w:color w:val="auto"/>
          <w:sz w:val="24"/>
          <w:szCs w:val="24"/>
          <w:highlight w:val="none"/>
          <w:lang w:val="en-US" w:eastAsia="zh-CN"/>
        </w:rPr>
      </w:pPr>
    </w:p>
    <w:p w14:paraId="57DBC9B3">
      <w:pPr>
        <w:rPr>
          <w:rFonts w:hint="eastAsia" w:ascii="宋体" w:hAnsi="宋体" w:eastAsia="宋体" w:cs="宋体"/>
          <w:b/>
          <w:bCs/>
          <w:snapToGrid w:val="0"/>
          <w:color w:val="000000"/>
          <w:kern w:val="0"/>
          <w:sz w:val="32"/>
          <w:szCs w:val="32"/>
          <w:highlight w:val="none"/>
          <w:lang w:val="en-US" w:eastAsia="zh-CN" w:bidi="ar"/>
        </w:rPr>
      </w:pPr>
      <w:r>
        <w:rPr>
          <w:rFonts w:hint="eastAsia" w:ascii="宋体" w:hAnsi="宋体" w:eastAsia="宋体" w:cs="宋体"/>
          <w:b/>
          <w:bCs/>
          <w:snapToGrid w:val="0"/>
          <w:color w:val="000000"/>
          <w:kern w:val="0"/>
          <w:sz w:val="32"/>
          <w:szCs w:val="32"/>
          <w:highlight w:val="none"/>
          <w:lang w:val="en-US" w:eastAsia="zh-CN" w:bidi="ar"/>
        </w:rPr>
        <w:br w:type="page"/>
      </w:r>
    </w:p>
    <w:p w14:paraId="47EFAB42">
      <w:pPr>
        <w:keepNext w:val="0"/>
        <w:keepLines w:val="0"/>
        <w:widowControl/>
        <w:suppressLineNumbers w:val="0"/>
        <w:jc w:val="both"/>
        <w:rPr>
          <w:rFonts w:hint="eastAsia" w:ascii="宋体" w:hAnsi="宋体" w:eastAsia="宋体" w:cs="宋体"/>
          <w:b/>
          <w:bCs/>
          <w:snapToGrid w:val="0"/>
          <w:color w:val="000000"/>
          <w:kern w:val="0"/>
          <w:sz w:val="32"/>
          <w:szCs w:val="32"/>
          <w:highlight w:val="none"/>
          <w:lang w:val="en-US" w:eastAsia="zh-CN" w:bidi="ar"/>
        </w:rPr>
      </w:pPr>
      <w:r>
        <w:rPr>
          <w:rFonts w:hint="eastAsia" w:ascii="宋体" w:hAnsi="宋体" w:eastAsia="宋体" w:cs="宋体"/>
          <w:b/>
          <w:bCs/>
          <w:snapToGrid w:val="0"/>
          <w:color w:val="000000"/>
          <w:kern w:val="0"/>
          <w:sz w:val="32"/>
          <w:szCs w:val="32"/>
          <w:highlight w:val="none"/>
          <w:lang w:val="en-US" w:eastAsia="zh-CN" w:bidi="ar"/>
        </w:rPr>
        <w:t>格式</w:t>
      </w:r>
    </w:p>
    <w:p w14:paraId="04748CC5">
      <w:pPr>
        <w:keepNext w:val="0"/>
        <w:keepLines w:val="0"/>
        <w:widowControl/>
        <w:suppressLineNumbers w:val="0"/>
        <w:jc w:val="center"/>
        <w:rPr>
          <w:rFonts w:hint="eastAsia" w:ascii="宋体" w:hAnsi="宋体" w:eastAsia="宋体" w:cs="宋体"/>
          <w:highlight w:val="none"/>
        </w:rPr>
      </w:pPr>
      <w:r>
        <w:rPr>
          <w:rFonts w:hint="eastAsia" w:ascii="宋体" w:hAnsi="宋体" w:eastAsia="宋体" w:cs="宋体"/>
          <w:b/>
          <w:bCs/>
          <w:snapToGrid w:val="0"/>
          <w:color w:val="000000"/>
          <w:kern w:val="0"/>
          <w:sz w:val="32"/>
          <w:szCs w:val="32"/>
          <w:highlight w:val="none"/>
          <w:lang w:val="en-US" w:eastAsia="zh-CN" w:bidi="ar"/>
        </w:rPr>
        <w:t>政府采购投标担保函（项目用）</w:t>
      </w:r>
    </w:p>
    <w:p w14:paraId="75BA64F7">
      <w:pPr>
        <w:keepNext w:val="0"/>
        <w:keepLines w:val="0"/>
        <w:widowControl/>
        <w:suppressLineNumbers w:val="0"/>
        <w:spacing w:line="360" w:lineRule="auto"/>
        <w:jc w:val="center"/>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                                                编号： </w:t>
      </w:r>
    </w:p>
    <w:p w14:paraId="1EC6A2EF">
      <w:pPr>
        <w:keepNext w:val="0"/>
        <w:keepLines w:val="0"/>
        <w:widowControl/>
        <w:suppressLineNumbers w:val="0"/>
        <w:spacing w:line="240" w:lineRule="auto"/>
        <w:ind w:firstLine="1200" w:firstLineChars="5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（采购人或采购代理机构）： </w:t>
      </w:r>
    </w:p>
    <w:p w14:paraId="099850C3">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鉴 于</w:t>
      </w:r>
      <w:r>
        <w:rPr>
          <w:rFonts w:hint="eastAsia" w:ascii="宋体" w:hAnsi="宋体" w:eastAsia="宋体" w:cs="宋体"/>
          <w:snapToGrid w:val="0"/>
          <w:color w:val="000000"/>
          <w:kern w:val="0"/>
          <w:sz w:val="24"/>
          <w:szCs w:val="24"/>
          <w:highlight w:val="none"/>
          <w:u w:val="single"/>
          <w:lang w:val="en-US" w:eastAsia="zh-CN" w:bidi="ar"/>
        </w:rPr>
        <w:t xml:space="preserve">          </w:t>
      </w:r>
      <w:r>
        <w:rPr>
          <w:rFonts w:hint="eastAsia" w:ascii="宋体" w:hAnsi="宋体" w:eastAsia="宋体" w:cs="宋体"/>
          <w:snapToGrid w:val="0"/>
          <w:color w:val="000000"/>
          <w:kern w:val="0"/>
          <w:sz w:val="24"/>
          <w:szCs w:val="24"/>
          <w:highlight w:val="none"/>
          <w:lang w:val="en-US" w:eastAsia="zh-CN" w:bidi="ar"/>
        </w:rPr>
        <w:t>（ 以下简称“供应商”）拟参加编号为</w:t>
      </w:r>
      <w:r>
        <w:rPr>
          <w:rFonts w:hint="eastAsia" w:ascii="宋体" w:hAnsi="宋体" w:eastAsia="宋体" w:cs="宋体"/>
          <w:snapToGrid w:val="0"/>
          <w:color w:val="000000"/>
          <w:kern w:val="0"/>
          <w:sz w:val="24"/>
          <w:szCs w:val="24"/>
          <w:highlight w:val="none"/>
          <w:u w:val="single"/>
          <w:lang w:val="en-US" w:eastAsia="zh-CN" w:bidi="ar"/>
        </w:rPr>
        <w:t xml:space="preserve">        </w:t>
      </w:r>
      <w:r>
        <w:rPr>
          <w:rFonts w:hint="eastAsia" w:ascii="宋体" w:hAnsi="宋体" w:eastAsia="宋体" w:cs="宋体"/>
          <w:snapToGrid w:val="0"/>
          <w:color w:val="000000"/>
          <w:kern w:val="0"/>
          <w:sz w:val="24"/>
          <w:szCs w:val="24"/>
          <w:highlight w:val="none"/>
          <w:lang w:val="en-US" w:eastAsia="zh-CN" w:bidi="ar"/>
        </w:rPr>
        <w:t xml:space="preserve"> 的</w:t>
      </w:r>
      <w:r>
        <w:rPr>
          <w:rFonts w:hint="eastAsia" w:ascii="宋体" w:hAnsi="宋体" w:eastAsia="宋体" w:cs="宋体"/>
          <w:snapToGrid w:val="0"/>
          <w:color w:val="000000"/>
          <w:kern w:val="0"/>
          <w:sz w:val="24"/>
          <w:szCs w:val="24"/>
          <w:highlight w:val="none"/>
          <w:u w:val="single"/>
          <w:lang w:val="en-US" w:eastAsia="zh-CN" w:bidi="ar"/>
        </w:rPr>
        <w:t xml:space="preserve">         </w:t>
      </w:r>
      <w:r>
        <w:rPr>
          <w:rFonts w:hint="eastAsia" w:ascii="宋体" w:hAnsi="宋体" w:eastAsia="宋体" w:cs="宋体"/>
          <w:snapToGrid w:val="0"/>
          <w:color w:val="000000"/>
          <w:kern w:val="0"/>
          <w:sz w:val="24"/>
          <w:szCs w:val="24"/>
          <w:highlight w:val="none"/>
          <w:lang w:val="en-US" w:eastAsia="zh-CN" w:bidi="ar"/>
        </w:rPr>
        <w:t xml:space="preserve">项目（以下简称“本项目”）谈判，根据本项目竞争性谈判，供应商参加谈判时应向你方交纳谈判保证金，且可以投标担保函的形式交纳谈判保证金。应供应商的申请，我方以保证的方式向你方提供如下谈判保证金担保： </w:t>
      </w:r>
    </w:p>
    <w:p w14:paraId="5BFE1719">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一、保证责任的情形及保证金额 </w:t>
      </w:r>
    </w:p>
    <w:p w14:paraId="53739167">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（一）在供应商出现下列情形之一时，我方承担保证责任： </w:t>
      </w:r>
    </w:p>
    <w:p w14:paraId="101D95CA">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1．成交后供应商无正当理由不与采购人或者采购代理机构签订《政府采购合同》； </w:t>
      </w:r>
    </w:p>
    <w:p w14:paraId="306559AA">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2．竞争性谈判规定的供应商应当缴纳保证金的其他情形。 </w:t>
      </w:r>
    </w:p>
    <w:p w14:paraId="4B5CA76D">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（二）我方承担保证责任的最高金额为人民币</w:t>
      </w:r>
      <w:r>
        <w:rPr>
          <w:rFonts w:hint="eastAsia" w:ascii="宋体" w:hAnsi="宋体" w:eastAsia="宋体" w:cs="宋体"/>
          <w:snapToGrid w:val="0"/>
          <w:color w:val="000000"/>
          <w:kern w:val="0"/>
          <w:sz w:val="24"/>
          <w:szCs w:val="24"/>
          <w:highlight w:val="none"/>
          <w:u w:val="single"/>
          <w:lang w:val="en-US" w:eastAsia="zh-CN" w:bidi="ar"/>
        </w:rPr>
        <w:t xml:space="preserve">           </w:t>
      </w:r>
      <w:r>
        <w:rPr>
          <w:rFonts w:hint="eastAsia" w:ascii="宋体" w:hAnsi="宋体" w:eastAsia="宋体" w:cs="宋体"/>
          <w:snapToGrid w:val="0"/>
          <w:color w:val="000000"/>
          <w:kern w:val="0"/>
          <w:sz w:val="24"/>
          <w:szCs w:val="24"/>
          <w:highlight w:val="none"/>
          <w:lang w:val="en-US" w:eastAsia="zh-CN" w:bidi="ar"/>
        </w:rPr>
        <w:t>元（大写</w:t>
      </w:r>
      <w:r>
        <w:rPr>
          <w:rFonts w:hint="eastAsia" w:ascii="宋体" w:hAnsi="宋体" w:eastAsia="宋体" w:cs="宋体"/>
          <w:snapToGrid w:val="0"/>
          <w:color w:val="000000"/>
          <w:kern w:val="0"/>
          <w:sz w:val="24"/>
          <w:szCs w:val="24"/>
          <w:highlight w:val="none"/>
          <w:u w:val="single"/>
          <w:lang w:val="en-US" w:eastAsia="zh-CN" w:bidi="ar"/>
        </w:rPr>
        <w:t xml:space="preserve">          </w:t>
      </w:r>
      <w:r>
        <w:rPr>
          <w:rFonts w:hint="eastAsia" w:ascii="宋体" w:hAnsi="宋体" w:eastAsia="宋体" w:cs="宋体"/>
          <w:snapToGrid w:val="0"/>
          <w:color w:val="000000"/>
          <w:kern w:val="0"/>
          <w:sz w:val="24"/>
          <w:szCs w:val="24"/>
          <w:highlight w:val="none"/>
          <w:lang w:val="en-US" w:eastAsia="zh-CN" w:bidi="ar"/>
        </w:rPr>
        <w:t xml:space="preserve">），即本项目的谈判保证金金额。 </w:t>
      </w:r>
    </w:p>
    <w:p w14:paraId="2705AF6A">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二、保证的方式及保证期间 </w:t>
      </w:r>
    </w:p>
    <w:p w14:paraId="1E521B41">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我方保证的方式为：连带责任保证。 </w:t>
      </w:r>
    </w:p>
    <w:p w14:paraId="3768DB6C">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我方的保证期间为：自本保函生效之日起</w:t>
      </w:r>
      <w:r>
        <w:rPr>
          <w:rFonts w:hint="eastAsia" w:ascii="宋体" w:hAnsi="宋体" w:eastAsia="宋体" w:cs="宋体"/>
          <w:snapToGrid w:val="0"/>
          <w:color w:val="000000"/>
          <w:kern w:val="0"/>
          <w:sz w:val="24"/>
          <w:szCs w:val="24"/>
          <w:highlight w:val="none"/>
          <w:u w:val="single"/>
          <w:lang w:val="en-US" w:eastAsia="zh-CN" w:bidi="ar"/>
        </w:rPr>
        <w:t xml:space="preserve">             </w:t>
      </w:r>
      <w:r>
        <w:rPr>
          <w:rFonts w:hint="eastAsia" w:ascii="宋体" w:hAnsi="宋体" w:eastAsia="宋体" w:cs="宋体"/>
          <w:snapToGrid w:val="0"/>
          <w:color w:val="000000"/>
          <w:kern w:val="0"/>
          <w:sz w:val="24"/>
          <w:szCs w:val="24"/>
          <w:highlight w:val="none"/>
          <w:lang w:val="en-US" w:eastAsia="zh-CN" w:bidi="ar"/>
        </w:rPr>
        <w:t xml:space="preserve">个月止。 </w:t>
      </w:r>
    </w:p>
    <w:p w14:paraId="40675F28">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三、承担保证责任的程序 </w:t>
      </w:r>
    </w:p>
    <w:p w14:paraId="7A3A4C2F">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1．你方要求我方承担保证责任的，应在本保函保证期间内向我方发出书面索赔通知。索赔通知应写明要求索赔的金额，支付款项应到达的账号，并附有证明供应商发生我方应承担保证责任情形的事实材料。 </w:t>
      </w:r>
    </w:p>
    <w:p w14:paraId="623A942C">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2．我方在收到索赔通知及相关证明材料后，在</w:t>
      </w:r>
      <w:r>
        <w:rPr>
          <w:rFonts w:hint="eastAsia" w:ascii="宋体" w:hAnsi="宋体" w:eastAsia="宋体" w:cs="宋体"/>
          <w:snapToGrid w:val="0"/>
          <w:color w:val="000000"/>
          <w:kern w:val="0"/>
          <w:sz w:val="24"/>
          <w:szCs w:val="24"/>
          <w:highlight w:val="none"/>
          <w:u w:val="single"/>
          <w:lang w:val="en-US" w:eastAsia="zh-CN" w:bidi="ar"/>
        </w:rPr>
        <w:t xml:space="preserve">    </w:t>
      </w:r>
      <w:r>
        <w:rPr>
          <w:rFonts w:hint="eastAsia" w:ascii="宋体" w:hAnsi="宋体" w:eastAsia="宋体" w:cs="宋体"/>
          <w:snapToGrid w:val="0"/>
          <w:color w:val="000000"/>
          <w:kern w:val="0"/>
          <w:sz w:val="24"/>
          <w:szCs w:val="24"/>
          <w:highlight w:val="none"/>
          <w:lang w:val="en-US" w:eastAsia="zh-CN" w:bidi="ar"/>
        </w:rPr>
        <w:t xml:space="preserve">个工作日内进行审查，符合应承担保证责任情形的，我方应按照你方的要求代供应商向你方支付谈判保证金。 </w:t>
      </w:r>
    </w:p>
    <w:p w14:paraId="69D2DD5A">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四、保证责任的终止 </w:t>
      </w:r>
    </w:p>
    <w:p w14:paraId="4D40CFF6">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1．保证期间届满你方未向我方书面主张保证责任的，自保证期间届满次日起，我方保证责任自动终止。 </w:t>
      </w:r>
    </w:p>
    <w:p w14:paraId="73CCD0E7">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2．我方按照本保函向你方履行了保证责任后，自我方向你方支付款项（支付款项从我方账户划出）之日起，保证责任终止。</w:t>
      </w:r>
    </w:p>
    <w:p w14:paraId="4C6205FB">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3．按照法律法规的规定或出现我方保证责任终止的其它情形的，我方在本保函项下的保证责任亦终止。 </w:t>
      </w:r>
    </w:p>
    <w:p w14:paraId="202BC446">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五、免责条款 </w:t>
      </w:r>
    </w:p>
    <w:p w14:paraId="75ECC3D2">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1．依照法律规定或你方与供应商的另行约定，全部或者部分免除供应商谈判保证金义务时，我方亦免除相应的保证责任。 </w:t>
      </w:r>
    </w:p>
    <w:p w14:paraId="4D2A622C">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2．因你方原因致使供应商发生本保函第一条第（一）款约定情形的，我方不承担保证责任。 </w:t>
      </w:r>
    </w:p>
    <w:p w14:paraId="1D81EBCC">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3．因不可抗力造成供应商发生本保函第一条约定情形的，我方不承担保证责任。 </w:t>
      </w:r>
    </w:p>
    <w:p w14:paraId="535C08B6">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4．你方或其他有权机关对竞争性谈判进行任何澄清或修改，加重我方保证责任的，我方对加重部分不承担保证责任，但该澄清或修改经我方事先书面同意的除外。 </w:t>
      </w:r>
    </w:p>
    <w:p w14:paraId="6FE99F6D">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六、争议的解决 </w:t>
      </w:r>
    </w:p>
    <w:p w14:paraId="416CF0DA">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因本保函发生的纠纷，由你我双方协商解决，协商不成的，通过诉讼程序解决，诉讼管辖地法院为 </w:t>
      </w:r>
      <w:r>
        <w:rPr>
          <w:rFonts w:hint="eastAsia" w:ascii="宋体" w:hAnsi="宋体" w:eastAsia="宋体" w:cs="宋体"/>
          <w:snapToGrid w:val="0"/>
          <w:color w:val="000000"/>
          <w:kern w:val="0"/>
          <w:sz w:val="24"/>
          <w:szCs w:val="24"/>
          <w:highlight w:val="none"/>
          <w:u w:val="single"/>
          <w:lang w:val="en-US" w:eastAsia="zh-CN" w:bidi="ar"/>
        </w:rPr>
        <w:t xml:space="preserve">                </w:t>
      </w:r>
      <w:r>
        <w:rPr>
          <w:rFonts w:hint="eastAsia" w:ascii="宋体" w:hAnsi="宋体" w:eastAsia="宋体" w:cs="宋体"/>
          <w:snapToGrid w:val="0"/>
          <w:color w:val="000000"/>
          <w:kern w:val="0"/>
          <w:sz w:val="24"/>
          <w:szCs w:val="24"/>
          <w:highlight w:val="none"/>
          <w:lang w:val="en-US" w:eastAsia="zh-CN" w:bidi="ar"/>
        </w:rPr>
        <w:t xml:space="preserve">法院。 </w:t>
      </w:r>
    </w:p>
    <w:p w14:paraId="7F856B50">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 xml:space="preserve">七、保函的生效 </w:t>
      </w:r>
    </w:p>
    <w:p w14:paraId="14619BEA">
      <w:pPr>
        <w:keepNext w:val="0"/>
        <w:keepLines w:val="0"/>
        <w:widowControl/>
        <w:suppressLineNumbers w:val="0"/>
        <w:spacing w:line="360" w:lineRule="auto"/>
        <w:ind w:firstLine="480" w:firstLineChars="200"/>
        <w:jc w:val="left"/>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snapToGrid w:val="0"/>
          <w:color w:val="000000"/>
          <w:kern w:val="0"/>
          <w:sz w:val="24"/>
          <w:szCs w:val="24"/>
          <w:highlight w:val="none"/>
          <w:lang w:val="en-US" w:eastAsia="zh-CN" w:bidi="ar"/>
        </w:rPr>
        <w:t xml:space="preserve">本保函自我方加盖公章之日起生效。 </w:t>
      </w:r>
    </w:p>
    <w:p w14:paraId="6AC88128">
      <w:pPr>
        <w:keepNext w:val="0"/>
        <w:keepLines w:val="0"/>
        <w:widowControl/>
        <w:suppressLineNumbers w:val="0"/>
        <w:spacing w:line="360" w:lineRule="auto"/>
        <w:ind w:firstLine="480" w:firstLineChars="200"/>
        <w:jc w:val="left"/>
        <w:rPr>
          <w:rFonts w:hint="eastAsia" w:ascii="宋体" w:hAnsi="宋体" w:eastAsia="宋体" w:cs="宋体"/>
          <w:snapToGrid w:val="0"/>
          <w:color w:val="000000"/>
          <w:kern w:val="0"/>
          <w:sz w:val="24"/>
          <w:szCs w:val="24"/>
          <w:highlight w:val="none"/>
          <w:lang w:val="en-US" w:eastAsia="zh-CN" w:bidi="ar"/>
        </w:rPr>
      </w:pPr>
    </w:p>
    <w:p w14:paraId="04B6A353">
      <w:pPr>
        <w:keepNext w:val="0"/>
        <w:keepLines w:val="0"/>
        <w:widowControl/>
        <w:suppressLineNumbers w:val="0"/>
        <w:spacing w:line="360" w:lineRule="auto"/>
        <w:ind w:firstLine="480" w:firstLineChars="200"/>
        <w:jc w:val="left"/>
        <w:rPr>
          <w:rFonts w:hint="eastAsia" w:ascii="宋体" w:hAnsi="宋体" w:eastAsia="宋体" w:cs="宋体"/>
          <w:snapToGrid w:val="0"/>
          <w:color w:val="000000"/>
          <w:kern w:val="0"/>
          <w:sz w:val="24"/>
          <w:szCs w:val="24"/>
          <w:highlight w:val="none"/>
          <w:lang w:val="en-US" w:eastAsia="zh-CN" w:bidi="ar"/>
        </w:rPr>
      </w:pPr>
    </w:p>
    <w:p w14:paraId="2749EE01">
      <w:pPr>
        <w:keepNext w:val="0"/>
        <w:keepLines w:val="0"/>
        <w:widowControl/>
        <w:suppressLineNumbers w:val="0"/>
        <w:spacing w:line="360" w:lineRule="auto"/>
        <w:ind w:firstLine="5520" w:firstLineChars="2300"/>
        <w:jc w:val="left"/>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snapToGrid w:val="0"/>
          <w:color w:val="000000"/>
          <w:kern w:val="0"/>
          <w:sz w:val="24"/>
          <w:szCs w:val="24"/>
          <w:highlight w:val="none"/>
          <w:lang w:val="en-US" w:eastAsia="zh-CN" w:bidi="ar"/>
        </w:rPr>
        <w:t xml:space="preserve">保证人：（公章） </w:t>
      </w:r>
    </w:p>
    <w:p w14:paraId="109AAEAA">
      <w:pPr>
        <w:keepNext w:val="0"/>
        <w:keepLines w:val="0"/>
        <w:widowControl/>
        <w:suppressLineNumbers w:val="0"/>
        <w:spacing w:line="360" w:lineRule="auto"/>
        <w:ind w:firstLine="6000" w:firstLineChars="2500"/>
        <w:jc w:val="left"/>
        <w:rPr>
          <w:rFonts w:hint="eastAsia" w:ascii="宋体" w:hAnsi="宋体" w:eastAsia="宋体" w:cs="宋体"/>
          <w:snapToGrid w:val="0"/>
          <w:color w:val="000000"/>
          <w:kern w:val="0"/>
          <w:sz w:val="24"/>
          <w:szCs w:val="24"/>
          <w:highlight w:val="none"/>
          <w:lang w:val="en-US" w:eastAsia="zh-CN" w:bidi="ar"/>
        </w:rPr>
      </w:pPr>
      <w:r>
        <w:rPr>
          <w:rFonts w:hint="eastAsia" w:ascii="宋体" w:hAnsi="宋体" w:eastAsia="宋体" w:cs="宋体"/>
          <w:snapToGrid w:val="0"/>
          <w:color w:val="000000"/>
          <w:kern w:val="0"/>
          <w:sz w:val="24"/>
          <w:szCs w:val="24"/>
          <w:highlight w:val="none"/>
          <w:lang w:val="en-US" w:eastAsia="zh-CN" w:bidi="ar"/>
        </w:rPr>
        <w:t>年  月  日</w:t>
      </w:r>
    </w:p>
    <w:p w14:paraId="0429A463">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000000"/>
          <w:spacing w:val="0"/>
          <w:sz w:val="32"/>
          <w:szCs w:val="32"/>
          <w:highlight w:val="none"/>
          <w:lang w:val="en-US" w:eastAsia="zh-CN"/>
        </w:rPr>
      </w:pPr>
    </w:p>
    <w:p w14:paraId="1D4F33D6">
      <w:pPr>
        <w:rPr>
          <w:rFonts w:hint="eastAsia" w:ascii="宋体" w:hAnsi="宋体" w:eastAsia="宋体" w:cs="宋体"/>
          <w:color w:val="000000"/>
          <w:spacing w:val="0"/>
          <w:sz w:val="32"/>
          <w:szCs w:val="32"/>
          <w:highlight w:val="none"/>
          <w:lang w:val="en-US" w:eastAsia="zh-CN"/>
        </w:rPr>
      </w:pPr>
      <w:r>
        <w:rPr>
          <w:rFonts w:hint="eastAsia" w:ascii="宋体" w:hAnsi="宋体" w:eastAsia="宋体" w:cs="宋体"/>
          <w:color w:val="000000"/>
          <w:spacing w:val="0"/>
          <w:sz w:val="32"/>
          <w:szCs w:val="32"/>
          <w:highlight w:val="none"/>
          <w:lang w:val="en-US" w:eastAsia="zh-CN"/>
        </w:rPr>
        <w:br w:type="page"/>
      </w:r>
    </w:p>
    <w:p w14:paraId="2832F9C6">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000000"/>
          <w:spacing w:val="0"/>
          <w:sz w:val="32"/>
          <w:szCs w:val="32"/>
          <w:highlight w:val="none"/>
          <w:lang w:val="en-US" w:eastAsia="zh-CN"/>
        </w:rPr>
      </w:pPr>
      <w:r>
        <w:rPr>
          <w:rFonts w:hint="eastAsia" w:ascii="宋体" w:hAnsi="宋体" w:eastAsia="宋体" w:cs="宋体"/>
          <w:color w:val="000000"/>
          <w:spacing w:val="0"/>
          <w:sz w:val="32"/>
          <w:szCs w:val="32"/>
          <w:highlight w:val="none"/>
          <w:lang w:val="en-US" w:eastAsia="zh-CN"/>
        </w:rPr>
        <w:t>（格式）</w:t>
      </w:r>
    </w:p>
    <w:p w14:paraId="37494163">
      <w:pPr>
        <w:keepNext w:val="0"/>
        <w:keepLines w:val="0"/>
        <w:pageBreakBefore w:val="0"/>
        <w:widowControl w:val="0"/>
        <w:kinsoku/>
        <w:wordWrap/>
        <w:overflowPunct/>
        <w:topLinePunct w:val="0"/>
        <w:autoSpaceDE/>
        <w:autoSpaceDN/>
        <w:bidi w:val="0"/>
        <w:adjustRightInd/>
        <w:snapToGrid/>
        <w:spacing w:line="520" w:lineRule="exact"/>
        <w:ind w:right="0"/>
        <w:jc w:val="center"/>
        <w:textAlignment w:val="auto"/>
        <w:rPr>
          <w:rFonts w:hint="eastAsia" w:ascii="宋体" w:hAnsi="宋体" w:eastAsia="宋体" w:cs="宋体"/>
          <w:color w:val="000000"/>
          <w:spacing w:val="0"/>
          <w:sz w:val="40"/>
          <w:szCs w:val="40"/>
          <w:highlight w:val="none"/>
          <w:lang w:val="en-US" w:eastAsia="zh-CN"/>
        </w:rPr>
      </w:pPr>
      <w:r>
        <w:rPr>
          <w:rFonts w:hint="eastAsia" w:ascii="宋体" w:hAnsi="宋体" w:eastAsia="宋体" w:cs="宋体"/>
          <w:color w:val="000000"/>
          <w:spacing w:val="0"/>
          <w:sz w:val="40"/>
          <w:szCs w:val="40"/>
          <w:highlight w:val="none"/>
          <w:lang w:val="en-US" w:eastAsia="zh-CN"/>
        </w:rPr>
        <w:t>交易保证金信用承诺书</w:t>
      </w:r>
    </w:p>
    <w:p w14:paraId="6D06B859">
      <w:pPr>
        <w:keepNext w:val="0"/>
        <w:keepLines w:val="0"/>
        <w:pageBreakBefore w:val="0"/>
        <w:widowControl w:val="0"/>
        <w:kinsoku/>
        <w:wordWrap/>
        <w:overflowPunct/>
        <w:topLinePunct w:val="0"/>
        <w:autoSpaceDE/>
        <w:autoSpaceDN/>
        <w:bidi w:val="0"/>
        <w:adjustRightInd/>
        <w:snapToGrid/>
        <w:spacing w:line="520" w:lineRule="exact"/>
        <w:ind w:right="0" w:firstLine="560" w:firstLineChars="200"/>
        <w:jc w:val="both"/>
        <w:textAlignment w:val="auto"/>
        <w:rPr>
          <w:rFonts w:hint="eastAsia" w:ascii="宋体" w:hAnsi="宋体" w:eastAsia="宋体" w:cs="宋体"/>
          <w:color w:val="000000"/>
          <w:spacing w:val="0"/>
          <w:sz w:val="28"/>
          <w:szCs w:val="28"/>
          <w:highlight w:val="none"/>
          <w:u w:val="single"/>
          <w:lang w:val="en-US" w:eastAsia="zh-CN"/>
        </w:rPr>
      </w:pPr>
    </w:p>
    <w:p w14:paraId="7E1790B1">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u w:val="single"/>
          <w:lang w:val="en-US" w:eastAsia="zh-CN"/>
        </w:rPr>
      </w:pPr>
      <w:r>
        <w:rPr>
          <w:rFonts w:hint="eastAsia" w:ascii="宋体" w:hAnsi="宋体" w:eastAsia="宋体" w:cs="宋体"/>
          <w:color w:val="000000"/>
          <w:spacing w:val="0"/>
          <w:sz w:val="24"/>
          <w:szCs w:val="24"/>
          <w:highlight w:val="none"/>
          <w:u w:val="single"/>
          <w:lang w:val="en-US" w:eastAsia="zh-CN"/>
        </w:rPr>
        <w:t>（招标采购单位名称）：</w:t>
      </w:r>
    </w:p>
    <w:p w14:paraId="7A7F9EC7">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为维护公平、公正、公开的招标采购市场秩序，树立诚实守信的投标人供应商形象，我单位自愿作出以下承诺：</w:t>
      </w:r>
    </w:p>
    <w:p w14:paraId="6DCE4F9D">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单位名称：</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lang w:val="en-US" w:eastAsia="zh-CN"/>
        </w:rPr>
        <w:tab/>
      </w:r>
      <w:r>
        <w:rPr>
          <w:rFonts w:hint="eastAsia" w:ascii="宋体" w:hAnsi="宋体" w:eastAsia="宋体" w:cs="宋体"/>
          <w:color w:val="000000"/>
          <w:spacing w:val="0"/>
          <w:sz w:val="24"/>
          <w:szCs w:val="24"/>
          <w:highlight w:val="none"/>
          <w:lang w:val="en-US" w:eastAsia="zh-CN"/>
        </w:rPr>
        <w:t xml:space="preserve"> </w:t>
      </w:r>
    </w:p>
    <w:p w14:paraId="237EEF36">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统一社会信用代码：</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lang w:val="en-US" w:eastAsia="zh-CN"/>
        </w:rPr>
        <w:tab/>
      </w:r>
      <w:r>
        <w:rPr>
          <w:rFonts w:hint="eastAsia" w:ascii="宋体" w:hAnsi="宋体" w:eastAsia="宋体" w:cs="宋体"/>
          <w:color w:val="000000"/>
          <w:spacing w:val="0"/>
          <w:sz w:val="24"/>
          <w:szCs w:val="24"/>
          <w:highlight w:val="none"/>
          <w:lang w:val="en-US" w:eastAsia="zh-CN"/>
        </w:rPr>
        <w:tab/>
      </w:r>
      <w:r>
        <w:rPr>
          <w:rFonts w:hint="eastAsia" w:ascii="宋体" w:hAnsi="宋体" w:eastAsia="宋体" w:cs="宋体"/>
          <w:color w:val="000000"/>
          <w:spacing w:val="0"/>
          <w:sz w:val="24"/>
          <w:szCs w:val="24"/>
          <w:highlight w:val="none"/>
          <w:lang w:val="en-US" w:eastAsia="zh-CN"/>
        </w:rPr>
        <w:tab/>
      </w:r>
      <w:r>
        <w:rPr>
          <w:rFonts w:hint="eastAsia" w:ascii="宋体" w:hAnsi="宋体" w:eastAsia="宋体" w:cs="宋体"/>
          <w:color w:val="000000"/>
          <w:spacing w:val="0"/>
          <w:sz w:val="24"/>
          <w:szCs w:val="24"/>
          <w:highlight w:val="none"/>
          <w:lang w:val="en-US" w:eastAsia="zh-CN"/>
        </w:rPr>
        <w:t xml:space="preserve"> </w:t>
      </w:r>
    </w:p>
    <w:p w14:paraId="1EF09542">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法定代表人：</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lang w:val="en-US" w:eastAsia="zh-CN"/>
        </w:rPr>
        <w:tab/>
      </w:r>
      <w:r>
        <w:rPr>
          <w:rFonts w:hint="eastAsia" w:ascii="宋体" w:hAnsi="宋体" w:eastAsia="宋体" w:cs="宋体"/>
          <w:color w:val="000000"/>
          <w:spacing w:val="0"/>
          <w:sz w:val="24"/>
          <w:szCs w:val="24"/>
          <w:highlight w:val="none"/>
          <w:lang w:val="en-US" w:eastAsia="zh-CN"/>
        </w:rPr>
        <w:tab/>
      </w:r>
      <w:r>
        <w:rPr>
          <w:rFonts w:hint="eastAsia" w:ascii="宋体" w:hAnsi="宋体" w:eastAsia="宋体" w:cs="宋体"/>
          <w:color w:val="000000"/>
          <w:spacing w:val="0"/>
          <w:sz w:val="24"/>
          <w:szCs w:val="24"/>
          <w:highlight w:val="none"/>
          <w:lang w:val="en-US" w:eastAsia="zh-CN"/>
        </w:rPr>
        <w:t xml:space="preserve"> </w:t>
      </w:r>
    </w:p>
    <w:p w14:paraId="14E95C36">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地址和联系电话：</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lang w:val="en-US" w:eastAsia="zh-CN"/>
        </w:rPr>
        <w:t xml:space="preserve">                                   </w:t>
      </w:r>
    </w:p>
    <w:p w14:paraId="34F642F6">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一、我单位具备承担招标采购项目的能力，自愿参加</w:t>
      </w:r>
      <w:r>
        <w:rPr>
          <w:rFonts w:hint="eastAsia" w:ascii="宋体" w:hAnsi="宋体" w:eastAsia="宋体" w:cs="宋体"/>
          <w:color w:val="000000"/>
          <w:spacing w:val="0"/>
          <w:sz w:val="24"/>
          <w:szCs w:val="24"/>
          <w:highlight w:val="none"/>
          <w:u w:val="single"/>
          <w:lang w:val="en-US" w:eastAsia="zh-CN"/>
        </w:rPr>
        <w:t>（         项目名称）</w:t>
      </w:r>
      <w:r>
        <w:rPr>
          <w:rFonts w:hint="eastAsia" w:ascii="宋体" w:hAnsi="宋体" w:eastAsia="宋体" w:cs="宋体"/>
          <w:color w:val="000000"/>
          <w:spacing w:val="0"/>
          <w:sz w:val="24"/>
          <w:szCs w:val="24"/>
          <w:highlight w:val="none"/>
          <w:u w:val="none"/>
          <w:lang w:val="en-US" w:eastAsia="zh-CN"/>
        </w:rPr>
        <w:t>招标采购</w:t>
      </w:r>
      <w:r>
        <w:rPr>
          <w:rFonts w:hint="eastAsia" w:ascii="宋体" w:hAnsi="宋体" w:eastAsia="宋体" w:cs="宋体"/>
          <w:color w:val="000000"/>
          <w:spacing w:val="0"/>
          <w:sz w:val="24"/>
          <w:szCs w:val="24"/>
          <w:highlight w:val="none"/>
          <w:lang w:val="en-US" w:eastAsia="zh-CN"/>
        </w:rPr>
        <w:t>活动，严格遵守《中华人民共和国招标投标法》《中华人民共和国政府采购法》及相关法律法规，依法守信，诚信履约，自觉执行招标采购活动的各项规定。</w:t>
      </w:r>
    </w:p>
    <w:p w14:paraId="126C7AB4">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二、按照国家公共信用查询结果，我单位属于国家公共信用评价的无违规违法不良信用记录企业。</w:t>
      </w:r>
    </w:p>
    <w:p w14:paraId="6562BFA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三、我单位如有发生下述任何一种违约行为，自愿承担相关法律责任，5年内自动放弃在宝鸡市项目招标采购中使用“保证金信用承诺书”资格</w:t>
      </w:r>
      <w:r>
        <w:rPr>
          <w:rFonts w:hint="eastAsia" w:ascii="宋体" w:hAnsi="宋体" w:eastAsia="宋体" w:cs="宋体"/>
          <w:color w:val="000000"/>
          <w:spacing w:val="7"/>
          <w:sz w:val="24"/>
          <w:szCs w:val="24"/>
          <w:highlight w:val="none"/>
          <w:lang w:eastAsia="zh-CN"/>
        </w:rPr>
        <w:t>。</w:t>
      </w:r>
      <w:r>
        <w:rPr>
          <w:rFonts w:hint="eastAsia" w:ascii="宋体" w:hAnsi="宋体" w:eastAsia="宋体" w:cs="宋体"/>
          <w:color w:val="000000"/>
          <w:spacing w:val="0"/>
          <w:sz w:val="24"/>
          <w:szCs w:val="24"/>
          <w:highlight w:val="none"/>
          <w:lang w:val="en-US" w:eastAsia="zh-CN"/>
        </w:rPr>
        <w:t>并于收到招标人采购人书面通知7个工作日内，将文件规定的投标保证金足额缴纳至招标人指定账户予以没收，作为处罚。如若拒交，招标人采购人优先选择市公共资源交易中心认可的宝鸡商事纠纷信用调解中心进行调解或仲裁或诉讼。交易中心有权取消失信主体在宝鸡参与招标采购、进场交易等权益。</w:t>
      </w:r>
    </w:p>
    <w:p w14:paraId="3D9B5FFA">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（一）在招标采购文件中规定的有效期内撤销投标采购文件；</w:t>
      </w:r>
    </w:p>
    <w:p w14:paraId="299F4452">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（二）中标后在规定期限内无正当理由不与招标人采购人签订合同，或者未按招标采购文件规定提交履约保证金；</w:t>
      </w:r>
    </w:p>
    <w:p w14:paraId="1462DBDA">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（三）未按照宝鸡市公共资源交易规定，及时足额缴纳进场交易服务费，或仍有拖欠交易服务费；</w:t>
      </w:r>
    </w:p>
    <w:p w14:paraId="20C78A06">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（四）行政监管机构认定投标采购人有串通投标或弄虚作假等违法违纪行为；</w:t>
      </w:r>
    </w:p>
    <w:p w14:paraId="4459C13A">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（五）法律法规规定的其他情形。</w:t>
      </w:r>
    </w:p>
    <w:p w14:paraId="30211B93">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四、同意将承诺和失诺信息纳入宝鸡市公共资源交易领域信用记录并归集至信用中国（陕西宝鸡）等信用平台合规应用。</w:t>
      </w:r>
    </w:p>
    <w:p w14:paraId="09260710">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特此承诺。</w:t>
      </w:r>
    </w:p>
    <w:p w14:paraId="101C0A12">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附件：</w:t>
      </w:r>
      <w:r>
        <w:rPr>
          <w:rFonts w:hint="eastAsia" w:ascii="宋体" w:hAnsi="宋体" w:eastAsia="宋体" w:cs="宋体"/>
          <w:sz w:val="24"/>
          <w:szCs w:val="24"/>
          <w:highlight w:val="none"/>
          <w:lang w:val="en-US" w:eastAsia="zh-CN"/>
        </w:rPr>
        <w:t>“信用中国”网站信用报告</w:t>
      </w:r>
    </w:p>
    <w:p w14:paraId="4FF2D52D">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000000"/>
          <w:spacing w:val="0"/>
          <w:sz w:val="24"/>
          <w:szCs w:val="24"/>
          <w:highlight w:val="none"/>
          <w:lang w:val="en-US" w:eastAsia="zh-CN"/>
        </w:rPr>
      </w:pPr>
    </w:p>
    <w:p w14:paraId="65E94EBA">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000000"/>
          <w:spacing w:val="0"/>
          <w:sz w:val="24"/>
          <w:szCs w:val="24"/>
          <w:highlight w:val="none"/>
          <w:lang w:val="en-US" w:eastAsia="zh-CN"/>
        </w:rPr>
      </w:pPr>
    </w:p>
    <w:p w14:paraId="21E1A766">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000000"/>
          <w:spacing w:val="0"/>
          <w:sz w:val="24"/>
          <w:szCs w:val="24"/>
          <w:highlight w:val="none"/>
          <w:lang w:val="en-US" w:eastAsia="zh-CN"/>
        </w:rPr>
      </w:pPr>
    </w:p>
    <w:p w14:paraId="4F4045C7">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投标人供应商                                  法定代表人或</w:t>
      </w:r>
    </w:p>
    <w:p w14:paraId="3ACECF9A">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单位名称：（盖章）                         授权代表：（签字或签章）</w:t>
      </w:r>
    </w:p>
    <w:p w14:paraId="1767B682">
      <w:pPr>
        <w:keepNext w:val="0"/>
        <w:keepLines w:val="0"/>
        <w:pageBreakBefore w:val="0"/>
        <w:widowControl w:val="0"/>
        <w:kinsoku/>
        <w:wordWrap/>
        <w:overflowPunct/>
        <w:topLinePunct w:val="0"/>
        <w:autoSpaceDE/>
        <w:autoSpaceDN/>
        <w:bidi w:val="0"/>
        <w:adjustRightInd/>
        <w:snapToGrid/>
        <w:spacing w:line="520" w:lineRule="exact"/>
        <w:ind w:right="0" w:firstLine="560" w:firstLineChars="200"/>
        <w:jc w:val="both"/>
        <w:textAlignment w:val="auto"/>
        <w:rPr>
          <w:rFonts w:hint="eastAsia"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0"/>
          <w:sz w:val="28"/>
          <w:szCs w:val="28"/>
          <w:highlight w:val="none"/>
          <w:lang w:val="en-US" w:eastAsia="zh-CN"/>
        </w:rPr>
        <w:t>年    月    日                            年    月    日</w:t>
      </w:r>
    </w:p>
    <w:p w14:paraId="478186DA">
      <w:pPr>
        <w:jc w:val="both"/>
        <w:rPr>
          <w:rFonts w:hint="eastAsia" w:ascii="宋体" w:hAnsi="宋体" w:eastAsia="宋体" w:cs="宋体"/>
          <w:sz w:val="28"/>
          <w:szCs w:val="28"/>
          <w:highlight w:val="none"/>
          <w:lang w:val="en-US" w:eastAsia="zh-CN"/>
        </w:rPr>
      </w:pPr>
    </w:p>
    <w:p w14:paraId="05424843">
      <w:pPr>
        <w:ind w:firstLine="420" w:firstLineChars="0"/>
        <w:jc w:val="both"/>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 </w:t>
      </w:r>
    </w:p>
    <w:p w14:paraId="66519335">
      <w:pPr>
        <w:spacing w:line="360" w:lineRule="auto"/>
        <w:jc w:val="center"/>
        <w:rPr>
          <w:rFonts w:hint="eastAsia" w:ascii="宋体" w:hAnsi="宋体" w:eastAsia="宋体" w:cs="宋体"/>
          <w:b/>
          <w:bCs/>
          <w:sz w:val="24"/>
          <w:szCs w:val="24"/>
          <w:highlight w:val="none"/>
          <w:lang w:eastAsia="zh-CN"/>
        </w:rPr>
      </w:pPr>
    </w:p>
    <w:p w14:paraId="63485ADD">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br w:type="page"/>
      </w:r>
    </w:p>
    <w:p w14:paraId="7C784F48">
      <w:pPr>
        <w:widowControl w:val="0"/>
        <w:numPr>
          <w:ilvl w:val="0"/>
          <w:numId w:val="0"/>
        </w:numPr>
        <w:autoSpaceDE w:val="0"/>
        <w:autoSpaceDN w:val="0"/>
        <w:adjustRightInd w:val="0"/>
        <w:snapToGrid w:val="0"/>
        <w:spacing w:line="360" w:lineRule="auto"/>
        <w:jc w:val="center"/>
        <w:outlineLvl w:val="2"/>
        <w:rPr>
          <w:rFonts w:hint="eastAsia" w:ascii="宋体" w:hAnsi="宋体" w:eastAsia="宋体" w:cs="宋体"/>
          <w:b/>
          <w:bCs/>
          <w:color w:val="auto"/>
          <w:sz w:val="24"/>
          <w:szCs w:val="24"/>
          <w:highlight w:val="none"/>
          <w:lang w:val="en-US" w:eastAsia="zh-CN"/>
        </w:rPr>
        <w:sectPr>
          <w:pgSz w:w="11905" w:h="16838"/>
          <w:pgMar w:top="1440" w:right="1083" w:bottom="1440" w:left="1083" w:header="850" w:footer="992" w:gutter="0"/>
          <w:pgBorders>
            <w:top w:val="none" w:sz="0" w:space="0"/>
            <w:left w:val="none" w:sz="0" w:space="0"/>
            <w:bottom w:val="none" w:sz="0" w:space="0"/>
            <w:right w:val="none" w:sz="0" w:space="0"/>
          </w:pgBorders>
          <w:pgNumType w:fmt="decimal"/>
          <w:cols w:space="0" w:num="1"/>
          <w:rtlGutter w:val="0"/>
          <w:docGrid w:linePitch="319" w:charSpace="0"/>
        </w:sectPr>
      </w:pPr>
    </w:p>
    <w:p w14:paraId="175E7D17">
      <w:pPr>
        <w:autoSpaceDE w:val="0"/>
        <w:autoSpaceDN w:val="0"/>
        <w:adjustRightInd w:val="0"/>
        <w:snapToGrid w:val="0"/>
        <w:spacing w:line="360" w:lineRule="auto"/>
        <w:jc w:val="center"/>
        <w:outlineLvl w:val="2"/>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5、供应商承诺书</w:t>
      </w:r>
    </w:p>
    <w:p w14:paraId="62FF0452">
      <w:pPr>
        <w:autoSpaceDE w:val="0"/>
        <w:autoSpaceDN w:val="0"/>
        <w:adjustRightInd w:val="0"/>
        <w:snapToGrid w:val="0"/>
        <w:spacing w:line="360" w:lineRule="auto"/>
        <w:jc w:val="center"/>
        <w:outlineLvl w:val="9"/>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陕西省政府采购供应商拒绝政府采购领域商业贿赂承诺书</w:t>
      </w:r>
    </w:p>
    <w:p w14:paraId="0AE3132D">
      <w:pPr>
        <w:widowControl/>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为响应党中央、国务院关于治理政府采购领域商业贿赂行为的号召，我单位作为 </w:t>
      </w:r>
      <w:r>
        <w:rPr>
          <w:rFonts w:hint="eastAsia" w:ascii="宋体" w:hAnsi="宋体" w:eastAsia="宋体" w:cs="宋体"/>
          <w:color w:val="auto"/>
          <w:kern w:val="0"/>
          <w:sz w:val="24"/>
          <w:szCs w:val="24"/>
          <w:highlight w:val="none"/>
          <w:u w:val="single"/>
        </w:rPr>
        <w:t>（项目名称</w:t>
      </w:r>
      <w:r>
        <w:rPr>
          <w:rFonts w:hint="eastAsia" w:ascii="宋体" w:hAnsi="宋体" w:eastAsia="宋体" w:cs="宋体"/>
          <w:color w:val="auto"/>
          <w:kern w:val="0"/>
          <w:sz w:val="24"/>
          <w:szCs w:val="24"/>
          <w:highlight w:val="none"/>
          <w:u w:val="single"/>
          <w:lang w:val="en-US" w:eastAsia="zh-CN"/>
        </w:rPr>
        <w:t>及编号</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的供应商，在此庄严承诺： </w:t>
      </w:r>
    </w:p>
    <w:p w14:paraId="3A0C3A22">
      <w:pPr>
        <w:widowControl/>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1、在参与政府采购活动中遵纪守法、诚信经营、公平竞标。 </w:t>
      </w:r>
    </w:p>
    <w:p w14:paraId="2488F4D6">
      <w:pPr>
        <w:widowControl/>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2、不向采购人、采购代理机构和政府采购评审专家进行任何形式的商业贿赂以谋取交易机会。 </w:t>
      </w:r>
    </w:p>
    <w:p w14:paraId="03BAC548">
      <w:pPr>
        <w:widowControl/>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3、不向政府采购代理机构和采购人提供虚假资质文件或采用虚假应标方式参与政府采购市场竞争并谋取成交、成交。 </w:t>
      </w:r>
    </w:p>
    <w:p w14:paraId="34D1136F">
      <w:pPr>
        <w:widowControl/>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4、不采取“围标、陪标”等商业欺诈手段获得政府采购定单。 </w:t>
      </w:r>
    </w:p>
    <w:p w14:paraId="2AE25287">
      <w:pPr>
        <w:widowControl/>
        <w:spacing w:line="360" w:lineRule="auto"/>
        <w:ind w:left="479" w:leftChars="228" w:firstLine="0" w:firstLineChars="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5、不采取不正当手段</w:t>
      </w:r>
      <w:r>
        <w:rPr>
          <w:rFonts w:hint="eastAsia" w:ascii="宋体" w:hAnsi="宋体" w:eastAsia="宋体" w:cs="宋体"/>
          <w:color w:val="auto"/>
          <w:kern w:val="0"/>
          <w:sz w:val="24"/>
          <w:szCs w:val="24"/>
          <w:highlight w:val="none"/>
          <w:lang w:eastAsia="zh-CN"/>
        </w:rPr>
        <w:t>诋毁</w:t>
      </w:r>
      <w:r>
        <w:rPr>
          <w:rFonts w:hint="eastAsia" w:ascii="宋体" w:hAnsi="宋体" w:eastAsia="宋体" w:cs="宋体"/>
          <w:color w:val="auto"/>
          <w:kern w:val="0"/>
          <w:sz w:val="24"/>
          <w:szCs w:val="24"/>
          <w:highlight w:val="none"/>
        </w:rPr>
        <w:t>、排挤其他</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 xml:space="preserve">。 </w:t>
      </w:r>
    </w:p>
    <w:p w14:paraId="2E11A0F2">
      <w:pPr>
        <w:widowControl/>
        <w:spacing w:line="360" w:lineRule="auto"/>
        <w:ind w:left="479" w:leftChars="228" w:firstLine="0" w:firstLineChars="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6、不在提供商品和服务时“偷梁换柱、以次充好”损害采购人的合法权益。 </w:t>
      </w:r>
    </w:p>
    <w:p w14:paraId="7239DA5A">
      <w:pPr>
        <w:widowControl/>
        <w:spacing w:line="360" w:lineRule="auto"/>
        <w:ind w:left="479" w:leftChars="228" w:firstLine="0" w:firstLineChars="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7、不与采购人、采购代理机构政府采购评审专家或其它</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恶意串通，</w:t>
      </w:r>
    </w:p>
    <w:p w14:paraId="752A3BE9">
      <w:pPr>
        <w:widowControl/>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进行质疑和投诉，维护政府采购市场秩序。 </w:t>
      </w:r>
    </w:p>
    <w:p w14:paraId="5BA592BD">
      <w:pPr>
        <w:widowControl/>
        <w:numPr>
          <w:ilvl w:val="0"/>
          <w:numId w:val="2"/>
        </w:num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尊重和接受政府采购监督管理部门的监督和政府采购代理机构招标要求，承担因违约行为给采购人造成的损失。 </w:t>
      </w:r>
    </w:p>
    <w:p w14:paraId="1E04290A">
      <w:pPr>
        <w:widowControl/>
        <w:numPr>
          <w:ilvl w:val="0"/>
          <w:numId w:val="0"/>
        </w:numPr>
        <w:spacing w:line="360" w:lineRule="auto"/>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9、不发生其他有悖于政府采购公开、公平、公正和诚信原则的行为。 </w:t>
      </w:r>
    </w:p>
    <w:p w14:paraId="4B6C937B">
      <w:pPr>
        <w:widowControl/>
        <w:numPr>
          <w:ilvl w:val="0"/>
          <w:numId w:val="0"/>
        </w:num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33EA22F5">
      <w:pPr>
        <w:pStyle w:val="28"/>
        <w:numPr>
          <w:ilvl w:val="0"/>
          <w:numId w:val="0"/>
        </w:numPr>
        <w:ind w:leftChars="0"/>
        <w:rPr>
          <w:rFonts w:hint="eastAsia" w:ascii="宋体" w:hAnsi="宋体" w:eastAsia="宋体" w:cs="宋体"/>
          <w:color w:val="auto"/>
          <w:sz w:val="24"/>
          <w:szCs w:val="18"/>
          <w:highlight w:val="none"/>
        </w:rPr>
      </w:pPr>
      <w:r>
        <w:rPr>
          <w:rFonts w:hint="eastAsia" w:ascii="宋体" w:hAnsi="宋体" w:eastAsia="宋体" w:cs="宋体"/>
          <w:color w:val="auto"/>
          <w:sz w:val="24"/>
          <w:szCs w:val="22"/>
          <w:highlight w:val="none"/>
          <w:u w:val="none"/>
          <w:lang w:eastAsia="zh-CN"/>
        </w:rPr>
        <w:t>供应商：</w:t>
      </w:r>
      <w:r>
        <w:rPr>
          <w:rFonts w:hint="eastAsia" w:ascii="宋体" w:hAnsi="宋体" w:eastAsia="宋体" w:cs="宋体"/>
          <w:color w:val="auto"/>
          <w:sz w:val="24"/>
          <w:szCs w:val="22"/>
          <w:highlight w:val="none"/>
          <w:u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8"/>
          <w:highlight w:val="none"/>
          <w:lang w:eastAsia="zh-CN"/>
        </w:rPr>
        <w:t>加</w:t>
      </w:r>
      <w:r>
        <w:rPr>
          <w:rFonts w:hint="eastAsia" w:ascii="宋体" w:hAnsi="宋体" w:eastAsia="宋体" w:cs="宋体"/>
          <w:color w:val="auto"/>
          <w:sz w:val="24"/>
          <w:szCs w:val="28"/>
          <w:highlight w:val="none"/>
        </w:rPr>
        <w:t>盖公</w:t>
      </w:r>
      <w:r>
        <w:rPr>
          <w:rFonts w:hint="eastAsia" w:ascii="宋体" w:hAnsi="宋体" w:eastAsia="宋体" w:cs="宋体"/>
          <w:color w:val="auto"/>
          <w:sz w:val="24"/>
          <w:szCs w:val="22"/>
          <w:highlight w:val="none"/>
        </w:rPr>
        <w:t xml:space="preserve">章）  </w:t>
      </w:r>
    </w:p>
    <w:p w14:paraId="6E1A92A1">
      <w:pPr>
        <w:rPr>
          <w:rFonts w:hint="eastAsia" w:ascii="宋体" w:hAnsi="宋体" w:eastAsia="宋体" w:cs="宋体"/>
          <w:color w:val="auto"/>
          <w:highlight w:val="none"/>
          <w:lang w:val="en-US" w:eastAsia="zh-CN"/>
        </w:rPr>
      </w:pPr>
    </w:p>
    <w:p w14:paraId="3D93FD2C">
      <w:pPr>
        <w:autoSpaceDE w:val="0"/>
        <w:autoSpaceDN w:val="0"/>
        <w:adjustRightInd w:val="0"/>
        <w:snapToGrid w:val="0"/>
        <w:spacing w:line="360" w:lineRule="auto"/>
        <w:jc w:val="both"/>
        <w:outlineLvl w:val="9"/>
        <w:rPr>
          <w:rFonts w:hint="eastAsia" w:ascii="宋体" w:hAnsi="宋体" w:eastAsia="宋体" w:cs="宋体"/>
          <w:color w:val="auto"/>
          <w:kern w:val="2"/>
          <w:sz w:val="24"/>
          <w:szCs w:val="22"/>
          <w:highlight w:val="none"/>
          <w:u w:val="none"/>
          <w:lang w:val="en-US" w:eastAsia="zh-CN" w:bidi="ar-SA"/>
        </w:rPr>
      </w:pPr>
    </w:p>
    <w:p w14:paraId="02C559CB">
      <w:pPr>
        <w:autoSpaceDE w:val="0"/>
        <w:autoSpaceDN w:val="0"/>
        <w:adjustRightInd w:val="0"/>
        <w:snapToGrid w:val="0"/>
        <w:spacing w:line="360" w:lineRule="auto"/>
        <w:jc w:val="both"/>
        <w:outlineLvl w:val="9"/>
        <w:rPr>
          <w:rFonts w:hint="eastAsia" w:ascii="宋体" w:hAnsi="宋体" w:eastAsia="宋体" w:cs="宋体"/>
          <w:color w:val="auto"/>
          <w:kern w:val="2"/>
          <w:sz w:val="28"/>
          <w:szCs w:val="24"/>
          <w:highlight w:val="none"/>
          <w:u w:val="none"/>
          <w:lang w:val="en-US" w:eastAsia="zh-CN" w:bidi="ar-SA"/>
        </w:rPr>
      </w:pPr>
      <w:r>
        <w:rPr>
          <w:rFonts w:hint="eastAsia" w:ascii="宋体" w:hAnsi="宋体" w:eastAsia="宋体" w:cs="宋体"/>
          <w:color w:val="auto"/>
          <w:kern w:val="2"/>
          <w:sz w:val="24"/>
          <w:szCs w:val="22"/>
          <w:highlight w:val="none"/>
          <w:u w:val="none"/>
          <w:lang w:val="en-US" w:eastAsia="zh-CN" w:bidi="ar-SA"/>
        </w:rPr>
        <w:t>日  期：</w:t>
      </w:r>
      <w:r>
        <w:rPr>
          <w:rFonts w:hint="eastAsia" w:ascii="宋体" w:hAnsi="宋体" w:eastAsia="宋体" w:cs="宋体"/>
          <w:color w:val="auto"/>
          <w:sz w:val="24"/>
          <w:szCs w:val="22"/>
          <w:highlight w:val="none"/>
          <w:u w:val="none"/>
        </w:rPr>
        <w:t xml:space="preserve"> </w:t>
      </w:r>
      <w:r>
        <w:rPr>
          <w:rFonts w:hint="eastAsia" w:ascii="宋体" w:hAnsi="宋体" w:eastAsia="宋体" w:cs="宋体"/>
          <w:color w:val="auto"/>
          <w:sz w:val="24"/>
          <w:szCs w:val="22"/>
          <w:highlight w:val="none"/>
          <w:u w:val="single"/>
        </w:rPr>
        <w:t xml:space="preserve">                 </w:t>
      </w:r>
    </w:p>
    <w:p w14:paraId="29FFDB6D">
      <w:pPr>
        <w:autoSpaceDE w:val="0"/>
        <w:autoSpaceDN w:val="0"/>
        <w:adjustRightInd w:val="0"/>
        <w:snapToGrid w:val="0"/>
        <w:spacing w:line="360" w:lineRule="auto"/>
        <w:ind w:firstLine="960" w:firstLineChars="400"/>
        <w:rPr>
          <w:rFonts w:hint="eastAsia" w:ascii="宋体" w:hAnsi="宋体" w:eastAsia="宋体" w:cs="宋体"/>
          <w:color w:val="auto"/>
          <w:kern w:val="0"/>
          <w:sz w:val="24"/>
          <w:szCs w:val="24"/>
          <w:highlight w:val="none"/>
        </w:rPr>
      </w:pPr>
    </w:p>
    <w:p w14:paraId="4C1CC7A6">
      <w:pPr>
        <w:autoSpaceDE w:val="0"/>
        <w:autoSpaceDN w:val="0"/>
        <w:adjustRightInd w:val="0"/>
        <w:snapToGrid w:val="0"/>
        <w:spacing w:line="360" w:lineRule="auto"/>
        <w:jc w:val="both"/>
        <w:outlineLvl w:val="0"/>
        <w:rPr>
          <w:rFonts w:hint="eastAsia" w:ascii="宋体" w:hAnsi="宋体" w:eastAsia="宋体" w:cs="宋体"/>
          <w:b/>
          <w:bCs/>
          <w:color w:val="auto"/>
          <w:sz w:val="28"/>
          <w:szCs w:val="28"/>
          <w:highlight w:val="none"/>
          <w:lang w:val="en-US" w:eastAsia="zh-CN"/>
        </w:rPr>
        <w:sectPr>
          <w:pgSz w:w="11905" w:h="16838"/>
          <w:pgMar w:top="1440" w:right="1083" w:bottom="1440" w:left="1083" w:header="850" w:footer="992" w:gutter="0"/>
          <w:pgBorders>
            <w:top w:val="none" w:sz="0" w:space="0"/>
            <w:left w:val="none" w:sz="0" w:space="0"/>
            <w:bottom w:val="none" w:sz="0" w:space="0"/>
            <w:right w:val="none" w:sz="0" w:space="0"/>
          </w:pgBorders>
          <w:pgNumType w:fmt="decimal"/>
          <w:cols w:space="0" w:num="1"/>
          <w:rtlGutter w:val="0"/>
          <w:docGrid w:linePitch="319" w:charSpace="0"/>
        </w:sectPr>
      </w:pPr>
    </w:p>
    <w:p w14:paraId="163C4524">
      <w:pPr>
        <w:numPr>
          <w:ilvl w:val="0"/>
          <w:numId w:val="0"/>
        </w:numPr>
        <w:autoSpaceDE w:val="0"/>
        <w:autoSpaceDN w:val="0"/>
        <w:adjustRightInd w:val="0"/>
        <w:snapToGrid w:val="0"/>
        <w:spacing w:line="360" w:lineRule="auto"/>
        <w:ind w:leftChars="0"/>
        <w:jc w:val="center"/>
        <w:outlineLvl w:val="2"/>
        <w:rPr>
          <w:rFonts w:hint="eastAsia" w:ascii="宋体" w:hAnsi="宋体" w:eastAsia="宋体" w:cs="宋体"/>
          <w:color w:val="auto"/>
          <w:sz w:val="20"/>
          <w:szCs w:val="18"/>
          <w:highlight w:val="none"/>
          <w:lang w:val="en-US" w:eastAsia="zh-CN"/>
        </w:rPr>
      </w:pPr>
      <w:r>
        <w:rPr>
          <w:rFonts w:hint="eastAsia" w:ascii="宋体" w:hAnsi="宋体" w:eastAsia="宋体" w:cs="宋体"/>
          <w:b/>
          <w:bCs/>
          <w:color w:val="auto"/>
          <w:sz w:val="24"/>
          <w:szCs w:val="24"/>
          <w:highlight w:val="none"/>
          <w:lang w:val="en-US" w:eastAsia="zh-CN"/>
        </w:rPr>
        <w:t>6、商务要求响应偏离表</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5"/>
        <w:gridCol w:w="3018"/>
        <w:gridCol w:w="3747"/>
        <w:gridCol w:w="2059"/>
      </w:tblGrid>
      <w:tr w14:paraId="42B4A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65" w:type="pct"/>
            <w:tcBorders>
              <w:top w:val="single" w:color="auto" w:sz="4" w:space="0"/>
              <w:left w:val="single" w:color="auto" w:sz="4" w:space="0"/>
              <w:bottom w:val="single" w:color="auto" w:sz="4" w:space="0"/>
              <w:right w:val="single" w:color="auto" w:sz="4" w:space="0"/>
            </w:tcBorders>
            <w:vAlign w:val="center"/>
          </w:tcPr>
          <w:p w14:paraId="0C71D467">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16" w:type="pct"/>
            <w:tcBorders>
              <w:top w:val="single" w:color="auto" w:sz="4" w:space="0"/>
              <w:left w:val="single" w:color="auto" w:sz="4" w:space="0"/>
              <w:bottom w:val="single" w:color="auto" w:sz="4" w:space="0"/>
              <w:right w:val="single" w:color="auto" w:sz="4" w:space="0"/>
            </w:tcBorders>
            <w:vAlign w:val="center"/>
          </w:tcPr>
          <w:p w14:paraId="26B62AA0">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谈判文件</w:t>
            </w: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要求</w:t>
            </w:r>
          </w:p>
        </w:tc>
        <w:tc>
          <w:tcPr>
            <w:tcW w:w="1882" w:type="pct"/>
            <w:tcBorders>
              <w:top w:val="single" w:color="auto" w:sz="4" w:space="0"/>
              <w:left w:val="single" w:color="auto" w:sz="4" w:space="0"/>
              <w:bottom w:val="single" w:color="auto" w:sz="4" w:space="0"/>
              <w:right w:val="single" w:color="auto" w:sz="4" w:space="0"/>
            </w:tcBorders>
            <w:vAlign w:val="center"/>
          </w:tcPr>
          <w:p w14:paraId="537B15AA">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谈判响应文件商务要求</w:t>
            </w:r>
          </w:p>
        </w:tc>
        <w:tc>
          <w:tcPr>
            <w:tcW w:w="1034" w:type="pct"/>
            <w:tcBorders>
              <w:top w:val="single" w:color="auto" w:sz="4" w:space="0"/>
              <w:left w:val="single" w:color="auto" w:sz="4" w:space="0"/>
              <w:bottom w:val="single" w:color="auto" w:sz="4" w:space="0"/>
              <w:right w:val="single" w:color="auto" w:sz="4" w:space="0"/>
            </w:tcBorders>
            <w:vAlign w:val="center"/>
          </w:tcPr>
          <w:p w14:paraId="14601985">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r>
      <w:tr w14:paraId="591F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7CD208F7">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763F7AAE">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1CC384C4">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0DA3B38B">
            <w:pPr>
              <w:adjustRightInd w:val="0"/>
              <w:snapToGrid w:val="0"/>
              <w:spacing w:line="360" w:lineRule="auto"/>
              <w:rPr>
                <w:rFonts w:hint="eastAsia" w:ascii="宋体" w:hAnsi="宋体" w:eastAsia="宋体" w:cs="宋体"/>
                <w:color w:val="auto"/>
                <w:sz w:val="28"/>
                <w:szCs w:val="18"/>
                <w:highlight w:val="none"/>
              </w:rPr>
            </w:pPr>
          </w:p>
        </w:tc>
      </w:tr>
      <w:tr w14:paraId="1F806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19115316">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32A78895">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7BC66B5B">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2C65B437">
            <w:pPr>
              <w:adjustRightInd w:val="0"/>
              <w:snapToGrid w:val="0"/>
              <w:spacing w:line="360" w:lineRule="auto"/>
              <w:rPr>
                <w:rFonts w:hint="eastAsia" w:ascii="宋体" w:hAnsi="宋体" w:eastAsia="宋体" w:cs="宋体"/>
                <w:color w:val="auto"/>
                <w:sz w:val="28"/>
                <w:szCs w:val="18"/>
                <w:highlight w:val="none"/>
              </w:rPr>
            </w:pPr>
          </w:p>
        </w:tc>
      </w:tr>
      <w:tr w14:paraId="511B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0B1B6AB6">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6C717C3A">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4EAFE73C">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28A91A64">
            <w:pPr>
              <w:adjustRightInd w:val="0"/>
              <w:snapToGrid w:val="0"/>
              <w:spacing w:line="360" w:lineRule="auto"/>
              <w:rPr>
                <w:rFonts w:hint="eastAsia" w:ascii="宋体" w:hAnsi="宋体" w:eastAsia="宋体" w:cs="宋体"/>
                <w:color w:val="auto"/>
                <w:sz w:val="28"/>
                <w:szCs w:val="18"/>
                <w:highlight w:val="none"/>
              </w:rPr>
            </w:pPr>
          </w:p>
        </w:tc>
      </w:tr>
      <w:tr w14:paraId="5CB4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3475CFA3">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5519E3FE">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42E07C91">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04CA4B13">
            <w:pPr>
              <w:adjustRightInd w:val="0"/>
              <w:snapToGrid w:val="0"/>
              <w:spacing w:line="360" w:lineRule="auto"/>
              <w:rPr>
                <w:rFonts w:hint="eastAsia" w:ascii="宋体" w:hAnsi="宋体" w:eastAsia="宋体" w:cs="宋体"/>
                <w:color w:val="auto"/>
                <w:sz w:val="28"/>
                <w:szCs w:val="18"/>
                <w:highlight w:val="none"/>
              </w:rPr>
            </w:pPr>
          </w:p>
        </w:tc>
      </w:tr>
      <w:tr w14:paraId="2441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700046AA">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05A3EED1">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7432FB8E">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48A706DE">
            <w:pPr>
              <w:adjustRightInd w:val="0"/>
              <w:snapToGrid w:val="0"/>
              <w:spacing w:line="360" w:lineRule="auto"/>
              <w:rPr>
                <w:rFonts w:hint="eastAsia" w:ascii="宋体" w:hAnsi="宋体" w:eastAsia="宋体" w:cs="宋体"/>
                <w:color w:val="auto"/>
                <w:sz w:val="28"/>
                <w:szCs w:val="18"/>
                <w:highlight w:val="none"/>
              </w:rPr>
            </w:pPr>
          </w:p>
        </w:tc>
      </w:tr>
      <w:tr w14:paraId="13B23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4FC9FFE6">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6FCAABEC">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76783073">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22D48589">
            <w:pPr>
              <w:adjustRightInd w:val="0"/>
              <w:snapToGrid w:val="0"/>
              <w:spacing w:line="360" w:lineRule="auto"/>
              <w:rPr>
                <w:rFonts w:hint="eastAsia" w:ascii="宋体" w:hAnsi="宋体" w:eastAsia="宋体" w:cs="宋体"/>
                <w:color w:val="auto"/>
                <w:sz w:val="28"/>
                <w:szCs w:val="18"/>
                <w:highlight w:val="none"/>
              </w:rPr>
            </w:pPr>
          </w:p>
        </w:tc>
      </w:tr>
      <w:tr w14:paraId="1D0C6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1AB72935">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0720DD77">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7D8865A5">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43222EC3">
            <w:pPr>
              <w:adjustRightInd w:val="0"/>
              <w:snapToGrid w:val="0"/>
              <w:spacing w:line="360" w:lineRule="auto"/>
              <w:rPr>
                <w:rFonts w:hint="eastAsia" w:ascii="宋体" w:hAnsi="宋体" w:eastAsia="宋体" w:cs="宋体"/>
                <w:color w:val="auto"/>
                <w:sz w:val="28"/>
                <w:szCs w:val="18"/>
                <w:highlight w:val="none"/>
              </w:rPr>
            </w:pPr>
          </w:p>
        </w:tc>
      </w:tr>
      <w:tr w14:paraId="088E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197093F1">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5C5583DF">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3B2941C0">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58CA0218">
            <w:pPr>
              <w:adjustRightInd w:val="0"/>
              <w:snapToGrid w:val="0"/>
              <w:spacing w:line="360" w:lineRule="auto"/>
              <w:rPr>
                <w:rFonts w:hint="eastAsia" w:ascii="宋体" w:hAnsi="宋体" w:eastAsia="宋体" w:cs="宋体"/>
                <w:color w:val="auto"/>
                <w:sz w:val="28"/>
                <w:szCs w:val="18"/>
                <w:highlight w:val="none"/>
              </w:rPr>
            </w:pPr>
          </w:p>
        </w:tc>
      </w:tr>
      <w:tr w14:paraId="7421B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66FA3BA4">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52FAF580">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1EC37CCE">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48C9446B">
            <w:pPr>
              <w:adjustRightInd w:val="0"/>
              <w:snapToGrid w:val="0"/>
              <w:spacing w:line="360" w:lineRule="auto"/>
              <w:rPr>
                <w:rFonts w:hint="eastAsia" w:ascii="宋体" w:hAnsi="宋体" w:eastAsia="宋体" w:cs="宋体"/>
                <w:color w:val="auto"/>
                <w:sz w:val="28"/>
                <w:szCs w:val="18"/>
                <w:highlight w:val="none"/>
              </w:rPr>
            </w:pPr>
          </w:p>
        </w:tc>
      </w:tr>
      <w:tr w14:paraId="6170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1D750BB3">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74E2F132">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62529FC6">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04F8957A">
            <w:pPr>
              <w:adjustRightInd w:val="0"/>
              <w:snapToGrid w:val="0"/>
              <w:spacing w:line="360" w:lineRule="auto"/>
              <w:rPr>
                <w:rFonts w:hint="eastAsia" w:ascii="宋体" w:hAnsi="宋体" w:eastAsia="宋体" w:cs="宋体"/>
                <w:color w:val="auto"/>
                <w:sz w:val="28"/>
                <w:szCs w:val="18"/>
                <w:highlight w:val="none"/>
              </w:rPr>
            </w:pPr>
          </w:p>
        </w:tc>
      </w:tr>
      <w:tr w14:paraId="448B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65" w:type="pct"/>
            <w:tcBorders>
              <w:top w:val="single" w:color="auto" w:sz="4" w:space="0"/>
              <w:left w:val="single" w:color="auto" w:sz="4" w:space="0"/>
              <w:bottom w:val="single" w:color="auto" w:sz="4" w:space="0"/>
              <w:right w:val="single" w:color="auto" w:sz="4" w:space="0"/>
            </w:tcBorders>
          </w:tcPr>
          <w:p w14:paraId="7D84FF0D">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4E661160">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00157BC0">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2B4492B2">
            <w:pPr>
              <w:adjustRightInd w:val="0"/>
              <w:snapToGrid w:val="0"/>
              <w:spacing w:line="360" w:lineRule="auto"/>
              <w:rPr>
                <w:rFonts w:hint="eastAsia" w:ascii="宋体" w:hAnsi="宋体" w:eastAsia="宋体" w:cs="宋体"/>
                <w:color w:val="auto"/>
                <w:sz w:val="28"/>
                <w:szCs w:val="18"/>
                <w:highlight w:val="none"/>
              </w:rPr>
            </w:pPr>
          </w:p>
        </w:tc>
      </w:tr>
      <w:tr w14:paraId="3A8B9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565" w:type="pct"/>
            <w:tcBorders>
              <w:top w:val="single" w:color="auto" w:sz="4" w:space="0"/>
              <w:left w:val="single" w:color="auto" w:sz="4" w:space="0"/>
              <w:bottom w:val="single" w:color="auto" w:sz="4" w:space="0"/>
              <w:right w:val="single" w:color="auto" w:sz="4" w:space="0"/>
            </w:tcBorders>
          </w:tcPr>
          <w:p w14:paraId="2623CAEC">
            <w:pPr>
              <w:adjustRightInd w:val="0"/>
              <w:snapToGrid w:val="0"/>
              <w:spacing w:line="360" w:lineRule="auto"/>
              <w:rPr>
                <w:rFonts w:hint="eastAsia" w:ascii="宋体" w:hAnsi="宋体" w:eastAsia="宋体" w:cs="宋体"/>
                <w:color w:val="auto"/>
                <w:sz w:val="28"/>
                <w:szCs w:val="18"/>
                <w:highlight w:val="none"/>
              </w:rPr>
            </w:pPr>
          </w:p>
        </w:tc>
        <w:tc>
          <w:tcPr>
            <w:tcW w:w="1516" w:type="pct"/>
            <w:tcBorders>
              <w:top w:val="single" w:color="auto" w:sz="4" w:space="0"/>
              <w:left w:val="single" w:color="auto" w:sz="4" w:space="0"/>
              <w:bottom w:val="single" w:color="auto" w:sz="4" w:space="0"/>
              <w:right w:val="single" w:color="auto" w:sz="4" w:space="0"/>
            </w:tcBorders>
          </w:tcPr>
          <w:p w14:paraId="483867DB">
            <w:pPr>
              <w:adjustRightInd w:val="0"/>
              <w:snapToGrid w:val="0"/>
              <w:spacing w:line="360" w:lineRule="auto"/>
              <w:rPr>
                <w:rFonts w:hint="eastAsia" w:ascii="宋体" w:hAnsi="宋体" w:eastAsia="宋体" w:cs="宋体"/>
                <w:color w:val="auto"/>
                <w:sz w:val="28"/>
                <w:szCs w:val="18"/>
                <w:highlight w:val="none"/>
              </w:rPr>
            </w:pPr>
          </w:p>
        </w:tc>
        <w:tc>
          <w:tcPr>
            <w:tcW w:w="1882" w:type="pct"/>
            <w:tcBorders>
              <w:top w:val="single" w:color="auto" w:sz="4" w:space="0"/>
              <w:left w:val="single" w:color="auto" w:sz="4" w:space="0"/>
              <w:bottom w:val="single" w:color="auto" w:sz="4" w:space="0"/>
              <w:right w:val="single" w:color="auto" w:sz="4" w:space="0"/>
            </w:tcBorders>
          </w:tcPr>
          <w:p w14:paraId="4991E5DF">
            <w:pPr>
              <w:adjustRightInd w:val="0"/>
              <w:snapToGrid w:val="0"/>
              <w:spacing w:line="360" w:lineRule="auto"/>
              <w:rPr>
                <w:rFonts w:hint="eastAsia" w:ascii="宋体" w:hAnsi="宋体" w:eastAsia="宋体" w:cs="宋体"/>
                <w:color w:val="auto"/>
                <w:sz w:val="28"/>
                <w:szCs w:val="18"/>
                <w:highlight w:val="none"/>
              </w:rPr>
            </w:pPr>
          </w:p>
        </w:tc>
        <w:tc>
          <w:tcPr>
            <w:tcW w:w="1034" w:type="pct"/>
            <w:tcBorders>
              <w:top w:val="single" w:color="auto" w:sz="4" w:space="0"/>
              <w:left w:val="single" w:color="auto" w:sz="4" w:space="0"/>
              <w:bottom w:val="single" w:color="auto" w:sz="4" w:space="0"/>
              <w:right w:val="single" w:color="auto" w:sz="4" w:space="0"/>
            </w:tcBorders>
          </w:tcPr>
          <w:p w14:paraId="30EB5FFB">
            <w:pPr>
              <w:adjustRightInd w:val="0"/>
              <w:snapToGrid w:val="0"/>
              <w:spacing w:line="360" w:lineRule="auto"/>
              <w:rPr>
                <w:rFonts w:hint="eastAsia" w:ascii="宋体" w:hAnsi="宋体" w:eastAsia="宋体" w:cs="宋体"/>
                <w:color w:val="auto"/>
                <w:sz w:val="28"/>
                <w:szCs w:val="18"/>
                <w:highlight w:val="none"/>
              </w:rPr>
            </w:pPr>
          </w:p>
        </w:tc>
      </w:tr>
    </w:tbl>
    <w:p w14:paraId="21138D49">
      <w:pPr>
        <w:pStyle w:val="28"/>
        <w:numPr>
          <w:ilvl w:val="0"/>
          <w:numId w:val="0"/>
        </w:numPr>
        <w:ind w:leftChars="0"/>
        <w:rPr>
          <w:rFonts w:hint="eastAsia" w:ascii="宋体" w:hAnsi="宋体" w:eastAsia="宋体" w:cs="宋体"/>
          <w:color w:val="auto"/>
          <w:sz w:val="24"/>
          <w:szCs w:val="22"/>
          <w:highlight w:val="none"/>
          <w:u w:val="none"/>
          <w:lang w:eastAsia="zh-CN"/>
        </w:rPr>
      </w:pPr>
    </w:p>
    <w:p w14:paraId="68AE996A">
      <w:pPr>
        <w:spacing w:line="360" w:lineRule="auto"/>
        <w:ind w:left="210" w:leftChars="100"/>
        <w:rPr>
          <w:rFonts w:hint="eastAsia" w:ascii="宋体" w:hAnsi="宋体" w:eastAsia="宋体" w:cs="宋体"/>
          <w:color w:val="auto"/>
          <w:sz w:val="24"/>
          <w:szCs w:val="22"/>
          <w:highlight w:val="none"/>
          <w:u w:val="none"/>
          <w:lang w:eastAsia="zh-CN"/>
        </w:rPr>
      </w:pPr>
      <w:r>
        <w:rPr>
          <w:rFonts w:hint="eastAsia" w:ascii="宋体" w:hAnsi="宋体" w:eastAsia="宋体" w:cs="宋体"/>
          <w:b/>
          <w:color w:val="auto"/>
          <w:sz w:val="24"/>
          <w:szCs w:val="24"/>
          <w:highlight w:val="none"/>
        </w:rPr>
        <w:t>注：商务要求为实质性要求，不得负偏离。</w:t>
      </w:r>
    </w:p>
    <w:p w14:paraId="0581CEE8">
      <w:pPr>
        <w:pStyle w:val="28"/>
        <w:numPr>
          <w:ilvl w:val="0"/>
          <w:numId w:val="0"/>
        </w:numPr>
        <w:ind w:leftChars="0"/>
        <w:rPr>
          <w:rFonts w:hint="eastAsia" w:ascii="宋体" w:hAnsi="宋体" w:eastAsia="宋体" w:cs="宋体"/>
          <w:color w:val="auto"/>
          <w:sz w:val="24"/>
          <w:szCs w:val="22"/>
          <w:highlight w:val="none"/>
          <w:u w:val="none"/>
          <w:lang w:eastAsia="zh-CN"/>
        </w:rPr>
      </w:pPr>
    </w:p>
    <w:p w14:paraId="03F6451B">
      <w:pPr>
        <w:pStyle w:val="28"/>
        <w:numPr>
          <w:ilvl w:val="0"/>
          <w:numId w:val="0"/>
        </w:numPr>
        <w:ind w:leftChars="0"/>
        <w:outlineLvl w:val="9"/>
        <w:rPr>
          <w:rFonts w:hint="eastAsia" w:ascii="宋体" w:hAnsi="宋体" w:eastAsia="宋体" w:cs="宋体"/>
          <w:color w:val="auto"/>
          <w:sz w:val="24"/>
          <w:szCs w:val="22"/>
          <w:highlight w:val="none"/>
          <w:u w:val="none"/>
          <w:lang w:eastAsia="zh-CN"/>
        </w:rPr>
      </w:pPr>
    </w:p>
    <w:p w14:paraId="5FE0022E">
      <w:pPr>
        <w:pStyle w:val="28"/>
        <w:numPr>
          <w:ilvl w:val="0"/>
          <w:numId w:val="0"/>
        </w:numPr>
        <w:ind w:leftChars="0"/>
        <w:outlineLvl w:val="9"/>
        <w:rPr>
          <w:rFonts w:hint="eastAsia" w:ascii="宋体" w:hAnsi="宋体" w:eastAsia="宋体" w:cs="宋体"/>
          <w:color w:val="auto"/>
          <w:sz w:val="24"/>
          <w:szCs w:val="22"/>
          <w:highlight w:val="none"/>
          <w:u w:val="none"/>
          <w:lang w:eastAsia="zh-CN"/>
        </w:rPr>
      </w:pPr>
    </w:p>
    <w:p w14:paraId="7949C7B7">
      <w:pPr>
        <w:pStyle w:val="28"/>
        <w:numPr>
          <w:ilvl w:val="0"/>
          <w:numId w:val="0"/>
        </w:numPr>
        <w:ind w:leftChars="0"/>
        <w:outlineLvl w:val="9"/>
        <w:rPr>
          <w:rFonts w:hint="eastAsia" w:ascii="宋体" w:hAnsi="宋体" w:eastAsia="宋体" w:cs="宋体"/>
          <w:color w:val="auto"/>
          <w:sz w:val="24"/>
          <w:szCs w:val="18"/>
          <w:highlight w:val="none"/>
        </w:rPr>
      </w:pPr>
      <w:r>
        <w:rPr>
          <w:rFonts w:hint="eastAsia" w:ascii="宋体" w:hAnsi="宋体" w:eastAsia="宋体" w:cs="宋体"/>
          <w:color w:val="auto"/>
          <w:sz w:val="24"/>
          <w:szCs w:val="22"/>
          <w:highlight w:val="none"/>
          <w:u w:val="none"/>
          <w:lang w:eastAsia="zh-CN"/>
        </w:rPr>
        <w:t>供应商：</w:t>
      </w:r>
      <w:r>
        <w:rPr>
          <w:rFonts w:hint="eastAsia" w:ascii="宋体" w:hAnsi="宋体" w:eastAsia="宋体" w:cs="宋体"/>
          <w:color w:val="auto"/>
          <w:sz w:val="24"/>
          <w:szCs w:val="22"/>
          <w:highlight w:val="none"/>
          <w:u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8"/>
          <w:highlight w:val="none"/>
          <w:lang w:eastAsia="zh-CN"/>
        </w:rPr>
        <w:t>加</w:t>
      </w:r>
      <w:r>
        <w:rPr>
          <w:rFonts w:hint="eastAsia" w:ascii="宋体" w:hAnsi="宋体" w:eastAsia="宋体" w:cs="宋体"/>
          <w:color w:val="auto"/>
          <w:sz w:val="24"/>
          <w:szCs w:val="28"/>
          <w:highlight w:val="none"/>
        </w:rPr>
        <w:t>盖公</w:t>
      </w:r>
      <w:r>
        <w:rPr>
          <w:rFonts w:hint="eastAsia" w:ascii="宋体" w:hAnsi="宋体" w:eastAsia="宋体" w:cs="宋体"/>
          <w:color w:val="auto"/>
          <w:sz w:val="24"/>
          <w:szCs w:val="22"/>
          <w:highlight w:val="none"/>
        </w:rPr>
        <w:t xml:space="preserve">章）  </w:t>
      </w:r>
    </w:p>
    <w:p w14:paraId="470B46A7">
      <w:pPr>
        <w:outlineLvl w:val="9"/>
        <w:rPr>
          <w:rFonts w:hint="eastAsia" w:ascii="宋体" w:hAnsi="宋体" w:eastAsia="宋体" w:cs="宋体"/>
          <w:color w:val="auto"/>
          <w:highlight w:val="none"/>
          <w:lang w:val="en-US" w:eastAsia="zh-CN"/>
        </w:rPr>
      </w:pPr>
    </w:p>
    <w:p w14:paraId="576502C6">
      <w:pPr>
        <w:autoSpaceDE w:val="0"/>
        <w:autoSpaceDN w:val="0"/>
        <w:adjustRightInd w:val="0"/>
        <w:snapToGrid w:val="0"/>
        <w:spacing w:line="360" w:lineRule="auto"/>
        <w:jc w:val="both"/>
        <w:outlineLvl w:val="9"/>
        <w:rPr>
          <w:rFonts w:hint="eastAsia" w:ascii="宋体" w:hAnsi="宋体" w:eastAsia="宋体" w:cs="宋体"/>
          <w:color w:val="auto"/>
          <w:kern w:val="2"/>
          <w:sz w:val="24"/>
          <w:szCs w:val="22"/>
          <w:highlight w:val="none"/>
          <w:u w:val="none"/>
          <w:lang w:val="en-US" w:eastAsia="zh-CN" w:bidi="ar-SA"/>
        </w:rPr>
      </w:pPr>
    </w:p>
    <w:p w14:paraId="2104A78A">
      <w:pPr>
        <w:autoSpaceDE w:val="0"/>
        <w:autoSpaceDN w:val="0"/>
        <w:adjustRightInd w:val="0"/>
        <w:snapToGrid w:val="0"/>
        <w:spacing w:line="360" w:lineRule="auto"/>
        <w:jc w:val="both"/>
        <w:outlineLvl w:val="9"/>
        <w:rPr>
          <w:rFonts w:hint="eastAsia" w:ascii="宋体" w:hAnsi="宋体" w:eastAsia="宋体" w:cs="宋体"/>
          <w:color w:val="auto"/>
          <w:highlight w:val="none"/>
          <w:lang w:val="en-US" w:eastAsia="zh-CN"/>
        </w:rPr>
        <w:sectPr>
          <w:pgSz w:w="11905" w:h="16838"/>
          <w:pgMar w:top="1440" w:right="1083" w:bottom="1440" w:left="1083" w:header="850" w:footer="992" w:gutter="0"/>
          <w:pgBorders>
            <w:top w:val="none" w:sz="0" w:space="0"/>
            <w:left w:val="none" w:sz="0" w:space="0"/>
            <w:bottom w:val="none" w:sz="0" w:space="0"/>
            <w:right w:val="none" w:sz="0" w:space="0"/>
          </w:pgBorders>
          <w:pgNumType w:fmt="decimal"/>
          <w:cols w:space="0" w:num="1"/>
          <w:rtlGutter w:val="0"/>
          <w:docGrid w:linePitch="319" w:charSpace="0"/>
        </w:sectPr>
      </w:pPr>
      <w:r>
        <w:rPr>
          <w:rFonts w:hint="eastAsia" w:ascii="宋体" w:hAnsi="宋体" w:eastAsia="宋体" w:cs="宋体"/>
          <w:color w:val="auto"/>
          <w:kern w:val="2"/>
          <w:sz w:val="24"/>
          <w:szCs w:val="22"/>
          <w:highlight w:val="none"/>
          <w:u w:val="none"/>
          <w:lang w:val="en-US" w:eastAsia="zh-CN" w:bidi="ar-SA"/>
        </w:rPr>
        <w:t>日  期：</w:t>
      </w:r>
      <w:r>
        <w:rPr>
          <w:rFonts w:hint="eastAsia" w:ascii="宋体" w:hAnsi="宋体" w:eastAsia="宋体" w:cs="宋体"/>
          <w:color w:val="auto"/>
          <w:sz w:val="24"/>
          <w:szCs w:val="22"/>
          <w:highlight w:val="none"/>
          <w:u w:val="none"/>
        </w:rPr>
        <w:t xml:space="preserve"> </w:t>
      </w:r>
      <w:r>
        <w:rPr>
          <w:rFonts w:hint="eastAsia" w:ascii="宋体" w:hAnsi="宋体" w:eastAsia="宋体" w:cs="宋体"/>
          <w:color w:val="auto"/>
          <w:sz w:val="24"/>
          <w:szCs w:val="22"/>
          <w:highlight w:val="none"/>
          <w:u w:val="single"/>
        </w:rPr>
        <w:t xml:space="preserve">                 </w:t>
      </w:r>
    </w:p>
    <w:p w14:paraId="7FB81785">
      <w:pPr>
        <w:jc w:val="center"/>
        <w:outlineLvl w:val="2"/>
        <w:rPr>
          <w:rFonts w:hint="eastAsia" w:ascii="宋体" w:hAnsi="宋体" w:eastAsia="宋体" w:cs="宋体"/>
          <w:szCs w:val="24"/>
          <w:highlight w:val="none"/>
        </w:rPr>
      </w:pPr>
      <w:r>
        <w:rPr>
          <w:rFonts w:hint="eastAsia" w:ascii="宋体" w:hAnsi="宋体" w:eastAsia="宋体" w:cs="宋体"/>
          <w:b/>
          <w:bCs/>
          <w:sz w:val="24"/>
          <w:szCs w:val="24"/>
          <w:highlight w:val="none"/>
          <w:lang w:val="en-US" w:eastAsia="zh-CN"/>
        </w:rPr>
        <w:t>7、技术要求响应偏离表</w:t>
      </w:r>
      <w:r>
        <w:rPr>
          <w:rFonts w:hint="eastAsia" w:ascii="宋体" w:hAnsi="宋体" w:eastAsia="宋体" w:cs="宋体"/>
          <w:szCs w:val="24"/>
          <w:highlight w:val="none"/>
        </w:rPr>
        <w:t xml:space="preserve">            </w:t>
      </w:r>
    </w:p>
    <w:tbl>
      <w:tblPr>
        <w:tblStyle w:val="30"/>
        <w:tblW w:w="929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3234"/>
        <w:gridCol w:w="3709"/>
        <w:gridCol w:w="1421"/>
      </w:tblGrid>
      <w:tr w14:paraId="63D8EA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1DCAA12D">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序号</w:t>
            </w:r>
          </w:p>
        </w:tc>
        <w:tc>
          <w:tcPr>
            <w:tcW w:w="3234" w:type="dxa"/>
            <w:tcMar>
              <w:top w:w="57" w:type="dxa"/>
              <w:left w:w="28" w:type="dxa"/>
              <w:bottom w:w="57" w:type="dxa"/>
              <w:right w:w="28" w:type="dxa"/>
            </w:tcMar>
            <w:vAlign w:val="center"/>
          </w:tcPr>
          <w:p w14:paraId="67D69C50">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文件技术参数要求</w:t>
            </w:r>
          </w:p>
        </w:tc>
        <w:tc>
          <w:tcPr>
            <w:tcW w:w="3709" w:type="dxa"/>
            <w:tcMar>
              <w:top w:w="57" w:type="dxa"/>
              <w:left w:w="28" w:type="dxa"/>
              <w:bottom w:w="57" w:type="dxa"/>
              <w:right w:w="28" w:type="dxa"/>
            </w:tcMar>
            <w:vAlign w:val="center"/>
          </w:tcPr>
          <w:p w14:paraId="4C7AD801">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谈判响应</w:t>
            </w:r>
            <w:r>
              <w:rPr>
                <w:rFonts w:hint="eastAsia" w:ascii="宋体" w:hAnsi="宋体" w:eastAsia="宋体" w:cs="宋体"/>
                <w:color w:val="auto"/>
                <w:sz w:val="24"/>
                <w:szCs w:val="24"/>
                <w:highlight w:val="none"/>
              </w:rPr>
              <w:t>文件技术参数响应描述</w:t>
            </w:r>
          </w:p>
        </w:tc>
        <w:tc>
          <w:tcPr>
            <w:tcW w:w="1421" w:type="dxa"/>
            <w:tcMar>
              <w:top w:w="57" w:type="dxa"/>
              <w:left w:w="28" w:type="dxa"/>
              <w:bottom w:w="57" w:type="dxa"/>
              <w:right w:w="28" w:type="dxa"/>
            </w:tcMar>
            <w:vAlign w:val="center"/>
          </w:tcPr>
          <w:p w14:paraId="511E9B73">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r>
      <w:tr w14:paraId="7EADE5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33" w:type="dxa"/>
            <w:tcBorders>
              <w:bottom w:val="single" w:color="auto" w:sz="4" w:space="0"/>
            </w:tcBorders>
            <w:tcMar>
              <w:top w:w="57" w:type="dxa"/>
              <w:left w:w="28" w:type="dxa"/>
              <w:bottom w:w="57" w:type="dxa"/>
              <w:right w:w="28" w:type="dxa"/>
            </w:tcMar>
            <w:vAlign w:val="center"/>
          </w:tcPr>
          <w:p w14:paraId="58198A25">
            <w:pPr>
              <w:spacing w:line="360" w:lineRule="auto"/>
              <w:ind w:left="210" w:leftChars="100"/>
              <w:rPr>
                <w:rFonts w:hint="eastAsia" w:ascii="宋体" w:hAnsi="宋体" w:eastAsia="宋体" w:cs="宋体"/>
                <w:szCs w:val="24"/>
                <w:highlight w:val="none"/>
              </w:rPr>
            </w:pPr>
          </w:p>
        </w:tc>
        <w:tc>
          <w:tcPr>
            <w:tcW w:w="3234" w:type="dxa"/>
            <w:tcBorders>
              <w:bottom w:val="single" w:color="auto" w:sz="4" w:space="0"/>
            </w:tcBorders>
            <w:tcMar>
              <w:top w:w="57" w:type="dxa"/>
              <w:left w:w="28" w:type="dxa"/>
              <w:bottom w:w="57" w:type="dxa"/>
              <w:right w:w="28" w:type="dxa"/>
            </w:tcMar>
            <w:vAlign w:val="center"/>
          </w:tcPr>
          <w:p w14:paraId="3E52DBFC">
            <w:pPr>
              <w:spacing w:line="360" w:lineRule="auto"/>
              <w:ind w:left="210" w:leftChars="100"/>
              <w:rPr>
                <w:rFonts w:hint="eastAsia" w:ascii="宋体" w:hAnsi="宋体" w:eastAsia="宋体" w:cs="宋体"/>
                <w:szCs w:val="24"/>
                <w:highlight w:val="none"/>
              </w:rPr>
            </w:pPr>
          </w:p>
        </w:tc>
        <w:tc>
          <w:tcPr>
            <w:tcW w:w="3709" w:type="dxa"/>
            <w:tcBorders>
              <w:bottom w:val="single" w:color="auto" w:sz="4" w:space="0"/>
            </w:tcBorders>
            <w:tcMar>
              <w:top w:w="57" w:type="dxa"/>
              <w:left w:w="28" w:type="dxa"/>
              <w:bottom w:w="57" w:type="dxa"/>
              <w:right w:w="28" w:type="dxa"/>
            </w:tcMar>
            <w:vAlign w:val="center"/>
          </w:tcPr>
          <w:p w14:paraId="23015CDF">
            <w:pPr>
              <w:spacing w:line="360" w:lineRule="auto"/>
              <w:ind w:left="210" w:leftChars="100"/>
              <w:rPr>
                <w:rFonts w:hint="eastAsia" w:ascii="宋体" w:hAnsi="宋体" w:eastAsia="宋体" w:cs="宋体"/>
                <w:szCs w:val="24"/>
                <w:highlight w:val="none"/>
              </w:rPr>
            </w:pPr>
          </w:p>
        </w:tc>
        <w:tc>
          <w:tcPr>
            <w:tcW w:w="1421" w:type="dxa"/>
            <w:tcBorders>
              <w:bottom w:val="single" w:color="auto" w:sz="4" w:space="0"/>
            </w:tcBorders>
            <w:tcMar>
              <w:top w:w="57" w:type="dxa"/>
              <w:left w:w="28" w:type="dxa"/>
              <w:bottom w:w="57" w:type="dxa"/>
              <w:right w:w="28" w:type="dxa"/>
            </w:tcMar>
            <w:vAlign w:val="center"/>
          </w:tcPr>
          <w:p w14:paraId="609DA9B2">
            <w:pPr>
              <w:spacing w:line="360" w:lineRule="auto"/>
              <w:ind w:left="210" w:leftChars="100"/>
              <w:rPr>
                <w:rFonts w:hint="eastAsia" w:ascii="宋体" w:hAnsi="宋体" w:eastAsia="宋体" w:cs="宋体"/>
                <w:szCs w:val="24"/>
                <w:highlight w:val="none"/>
              </w:rPr>
            </w:pPr>
          </w:p>
        </w:tc>
      </w:tr>
      <w:tr w14:paraId="3DCBBB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33" w:type="dxa"/>
            <w:tcBorders>
              <w:bottom w:val="single" w:color="auto" w:sz="4" w:space="0"/>
            </w:tcBorders>
            <w:tcMar>
              <w:top w:w="57" w:type="dxa"/>
              <w:left w:w="28" w:type="dxa"/>
              <w:bottom w:w="57" w:type="dxa"/>
              <w:right w:w="28" w:type="dxa"/>
            </w:tcMar>
            <w:vAlign w:val="center"/>
          </w:tcPr>
          <w:p w14:paraId="705F3F9D">
            <w:pPr>
              <w:spacing w:line="360" w:lineRule="auto"/>
              <w:ind w:left="210" w:leftChars="100"/>
              <w:rPr>
                <w:rFonts w:hint="eastAsia" w:ascii="宋体" w:hAnsi="宋体" w:eastAsia="宋体" w:cs="宋体"/>
                <w:szCs w:val="24"/>
                <w:highlight w:val="none"/>
              </w:rPr>
            </w:pPr>
          </w:p>
        </w:tc>
        <w:tc>
          <w:tcPr>
            <w:tcW w:w="3234" w:type="dxa"/>
            <w:tcBorders>
              <w:bottom w:val="single" w:color="auto" w:sz="4" w:space="0"/>
            </w:tcBorders>
            <w:tcMar>
              <w:top w:w="57" w:type="dxa"/>
              <w:left w:w="28" w:type="dxa"/>
              <w:bottom w:w="57" w:type="dxa"/>
              <w:right w:w="28" w:type="dxa"/>
            </w:tcMar>
            <w:vAlign w:val="center"/>
          </w:tcPr>
          <w:p w14:paraId="45EDAA58">
            <w:pPr>
              <w:spacing w:line="360" w:lineRule="auto"/>
              <w:ind w:left="210" w:leftChars="100"/>
              <w:rPr>
                <w:rFonts w:hint="eastAsia" w:ascii="宋体" w:hAnsi="宋体" w:eastAsia="宋体" w:cs="宋体"/>
                <w:szCs w:val="24"/>
                <w:highlight w:val="none"/>
              </w:rPr>
            </w:pPr>
          </w:p>
        </w:tc>
        <w:tc>
          <w:tcPr>
            <w:tcW w:w="3709" w:type="dxa"/>
            <w:tcBorders>
              <w:bottom w:val="single" w:color="auto" w:sz="4" w:space="0"/>
            </w:tcBorders>
            <w:tcMar>
              <w:top w:w="57" w:type="dxa"/>
              <w:left w:w="28" w:type="dxa"/>
              <w:bottom w:w="57" w:type="dxa"/>
              <w:right w:w="28" w:type="dxa"/>
            </w:tcMar>
            <w:vAlign w:val="center"/>
          </w:tcPr>
          <w:p w14:paraId="1D746576">
            <w:pPr>
              <w:spacing w:line="360" w:lineRule="auto"/>
              <w:ind w:left="210" w:leftChars="100"/>
              <w:rPr>
                <w:rFonts w:hint="eastAsia" w:ascii="宋体" w:hAnsi="宋体" w:eastAsia="宋体" w:cs="宋体"/>
                <w:szCs w:val="24"/>
                <w:highlight w:val="none"/>
              </w:rPr>
            </w:pPr>
          </w:p>
        </w:tc>
        <w:tc>
          <w:tcPr>
            <w:tcW w:w="1421" w:type="dxa"/>
            <w:tcBorders>
              <w:bottom w:val="single" w:color="auto" w:sz="4" w:space="0"/>
            </w:tcBorders>
            <w:tcMar>
              <w:top w:w="57" w:type="dxa"/>
              <w:left w:w="28" w:type="dxa"/>
              <w:bottom w:w="57" w:type="dxa"/>
              <w:right w:w="28" w:type="dxa"/>
            </w:tcMar>
            <w:vAlign w:val="center"/>
          </w:tcPr>
          <w:p w14:paraId="1208A02B">
            <w:pPr>
              <w:spacing w:line="360" w:lineRule="auto"/>
              <w:ind w:left="210" w:leftChars="100"/>
              <w:rPr>
                <w:rFonts w:hint="eastAsia" w:ascii="宋体" w:hAnsi="宋体" w:eastAsia="宋体" w:cs="宋体"/>
                <w:szCs w:val="24"/>
                <w:highlight w:val="none"/>
              </w:rPr>
            </w:pPr>
          </w:p>
        </w:tc>
      </w:tr>
      <w:tr w14:paraId="321BE2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3AC3A434">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35792049">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2E701C1C">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0D39A6A6">
            <w:pPr>
              <w:spacing w:line="360" w:lineRule="auto"/>
              <w:ind w:left="210" w:leftChars="100"/>
              <w:rPr>
                <w:rFonts w:hint="eastAsia" w:ascii="宋体" w:hAnsi="宋体" w:eastAsia="宋体" w:cs="宋体"/>
                <w:szCs w:val="24"/>
                <w:highlight w:val="none"/>
              </w:rPr>
            </w:pPr>
          </w:p>
        </w:tc>
      </w:tr>
      <w:tr w14:paraId="3A0458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1CE60A35">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5B0BEE3A">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7872B207">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4E307225">
            <w:pPr>
              <w:spacing w:line="360" w:lineRule="auto"/>
              <w:ind w:left="210" w:leftChars="100"/>
              <w:rPr>
                <w:rFonts w:hint="eastAsia" w:ascii="宋体" w:hAnsi="宋体" w:eastAsia="宋体" w:cs="宋体"/>
                <w:szCs w:val="24"/>
                <w:highlight w:val="none"/>
              </w:rPr>
            </w:pPr>
          </w:p>
        </w:tc>
      </w:tr>
      <w:tr w14:paraId="08CBA0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4B0FB727">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62494876">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41B610A1">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1B1FFE91">
            <w:pPr>
              <w:spacing w:line="360" w:lineRule="auto"/>
              <w:ind w:left="210" w:leftChars="100"/>
              <w:rPr>
                <w:rFonts w:hint="eastAsia" w:ascii="宋体" w:hAnsi="宋体" w:eastAsia="宋体" w:cs="宋体"/>
                <w:szCs w:val="24"/>
                <w:highlight w:val="none"/>
              </w:rPr>
            </w:pPr>
          </w:p>
        </w:tc>
      </w:tr>
      <w:tr w14:paraId="0C94E3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4CD20A1E">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0DD52B45">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2FF77C52">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0DF65CB2">
            <w:pPr>
              <w:spacing w:line="360" w:lineRule="auto"/>
              <w:ind w:left="210" w:leftChars="100"/>
              <w:rPr>
                <w:rFonts w:hint="eastAsia" w:ascii="宋体" w:hAnsi="宋体" w:eastAsia="宋体" w:cs="宋体"/>
                <w:szCs w:val="24"/>
                <w:highlight w:val="none"/>
              </w:rPr>
            </w:pPr>
          </w:p>
        </w:tc>
      </w:tr>
      <w:tr w14:paraId="5456160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3133F9DA">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5DB5C60F">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5145107C">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23895E69">
            <w:pPr>
              <w:spacing w:line="360" w:lineRule="auto"/>
              <w:ind w:left="210" w:leftChars="100"/>
              <w:rPr>
                <w:rFonts w:hint="eastAsia" w:ascii="宋体" w:hAnsi="宋体" w:eastAsia="宋体" w:cs="宋体"/>
                <w:szCs w:val="24"/>
                <w:highlight w:val="none"/>
              </w:rPr>
            </w:pPr>
          </w:p>
        </w:tc>
      </w:tr>
      <w:tr w14:paraId="0810F5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435F689C">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5F8613D0">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5E428F8D">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02D3283D">
            <w:pPr>
              <w:spacing w:line="360" w:lineRule="auto"/>
              <w:ind w:left="210" w:leftChars="100"/>
              <w:rPr>
                <w:rFonts w:hint="eastAsia" w:ascii="宋体" w:hAnsi="宋体" w:eastAsia="宋体" w:cs="宋体"/>
                <w:szCs w:val="24"/>
                <w:highlight w:val="none"/>
              </w:rPr>
            </w:pPr>
          </w:p>
        </w:tc>
      </w:tr>
      <w:tr w14:paraId="749FD3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11579B29">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747CDA5B">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1C46FEF2">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517666FC">
            <w:pPr>
              <w:spacing w:line="360" w:lineRule="auto"/>
              <w:ind w:left="210" w:leftChars="100"/>
              <w:rPr>
                <w:rFonts w:hint="eastAsia" w:ascii="宋体" w:hAnsi="宋体" w:eastAsia="宋体" w:cs="宋体"/>
                <w:szCs w:val="24"/>
                <w:highlight w:val="none"/>
              </w:rPr>
            </w:pPr>
          </w:p>
        </w:tc>
      </w:tr>
      <w:tr w14:paraId="19B79F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39C78C7C">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06DD4FD8">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6FA91A9F">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3C0C2E4E">
            <w:pPr>
              <w:spacing w:line="360" w:lineRule="auto"/>
              <w:ind w:left="210" w:leftChars="100"/>
              <w:rPr>
                <w:rFonts w:hint="eastAsia" w:ascii="宋体" w:hAnsi="宋体" w:eastAsia="宋体" w:cs="宋体"/>
                <w:szCs w:val="24"/>
                <w:highlight w:val="none"/>
              </w:rPr>
            </w:pPr>
          </w:p>
        </w:tc>
      </w:tr>
      <w:tr w14:paraId="6162988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1F1411FD">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4A29C622">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0771404F">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4B0CC972">
            <w:pPr>
              <w:spacing w:line="360" w:lineRule="auto"/>
              <w:ind w:left="210" w:leftChars="100"/>
              <w:rPr>
                <w:rFonts w:hint="eastAsia" w:ascii="宋体" w:hAnsi="宋体" w:eastAsia="宋体" w:cs="宋体"/>
                <w:szCs w:val="24"/>
                <w:highlight w:val="none"/>
              </w:rPr>
            </w:pPr>
          </w:p>
        </w:tc>
      </w:tr>
      <w:tr w14:paraId="5B7AD3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33" w:type="dxa"/>
            <w:tcBorders>
              <w:bottom w:val="single" w:color="auto" w:sz="4" w:space="0"/>
            </w:tcBorders>
            <w:tcMar>
              <w:top w:w="57" w:type="dxa"/>
              <w:left w:w="28" w:type="dxa"/>
              <w:bottom w:w="57" w:type="dxa"/>
              <w:right w:w="28" w:type="dxa"/>
            </w:tcMar>
            <w:vAlign w:val="center"/>
          </w:tcPr>
          <w:p w14:paraId="5169D735">
            <w:pPr>
              <w:spacing w:line="360" w:lineRule="auto"/>
              <w:ind w:left="210" w:leftChars="100"/>
              <w:rPr>
                <w:rFonts w:hint="eastAsia" w:ascii="宋体" w:hAnsi="宋体" w:eastAsia="宋体" w:cs="宋体"/>
                <w:szCs w:val="24"/>
                <w:highlight w:val="none"/>
              </w:rPr>
            </w:pPr>
          </w:p>
        </w:tc>
        <w:tc>
          <w:tcPr>
            <w:tcW w:w="3234" w:type="dxa"/>
            <w:tcBorders>
              <w:bottom w:val="single" w:color="auto" w:sz="4" w:space="0"/>
            </w:tcBorders>
            <w:tcMar>
              <w:top w:w="57" w:type="dxa"/>
              <w:left w:w="28" w:type="dxa"/>
              <w:bottom w:w="57" w:type="dxa"/>
              <w:right w:w="28" w:type="dxa"/>
            </w:tcMar>
            <w:vAlign w:val="center"/>
          </w:tcPr>
          <w:p w14:paraId="5498F3C9">
            <w:pPr>
              <w:spacing w:line="360" w:lineRule="auto"/>
              <w:ind w:left="210" w:leftChars="100"/>
              <w:rPr>
                <w:rFonts w:hint="eastAsia" w:ascii="宋体" w:hAnsi="宋体" w:eastAsia="宋体" w:cs="宋体"/>
                <w:szCs w:val="24"/>
                <w:highlight w:val="none"/>
              </w:rPr>
            </w:pPr>
          </w:p>
        </w:tc>
        <w:tc>
          <w:tcPr>
            <w:tcW w:w="3709" w:type="dxa"/>
            <w:tcBorders>
              <w:bottom w:val="single" w:color="auto" w:sz="4" w:space="0"/>
            </w:tcBorders>
            <w:tcMar>
              <w:top w:w="57" w:type="dxa"/>
              <w:left w:w="28" w:type="dxa"/>
              <w:bottom w:w="57" w:type="dxa"/>
              <w:right w:w="28" w:type="dxa"/>
            </w:tcMar>
            <w:vAlign w:val="center"/>
          </w:tcPr>
          <w:p w14:paraId="411355FA">
            <w:pPr>
              <w:spacing w:line="360" w:lineRule="auto"/>
              <w:ind w:left="210" w:leftChars="100"/>
              <w:rPr>
                <w:rFonts w:hint="eastAsia" w:ascii="宋体" w:hAnsi="宋体" w:eastAsia="宋体" w:cs="宋体"/>
                <w:szCs w:val="24"/>
                <w:highlight w:val="none"/>
              </w:rPr>
            </w:pPr>
          </w:p>
        </w:tc>
        <w:tc>
          <w:tcPr>
            <w:tcW w:w="1421" w:type="dxa"/>
            <w:tcBorders>
              <w:bottom w:val="single" w:color="auto" w:sz="4" w:space="0"/>
            </w:tcBorders>
            <w:tcMar>
              <w:top w:w="57" w:type="dxa"/>
              <w:left w:w="28" w:type="dxa"/>
              <w:bottom w:w="57" w:type="dxa"/>
              <w:right w:w="28" w:type="dxa"/>
            </w:tcMar>
            <w:vAlign w:val="center"/>
          </w:tcPr>
          <w:p w14:paraId="1228E994">
            <w:pPr>
              <w:spacing w:line="360" w:lineRule="auto"/>
              <w:ind w:left="210" w:leftChars="100"/>
              <w:rPr>
                <w:rFonts w:hint="eastAsia" w:ascii="宋体" w:hAnsi="宋体" w:eastAsia="宋体" w:cs="宋体"/>
                <w:szCs w:val="24"/>
                <w:highlight w:val="none"/>
              </w:rPr>
            </w:pPr>
          </w:p>
        </w:tc>
      </w:tr>
      <w:tr w14:paraId="0A7A4E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5EDDB0CD">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76556DA3">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581897B1">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63314612">
            <w:pPr>
              <w:spacing w:line="360" w:lineRule="auto"/>
              <w:ind w:left="210" w:leftChars="100"/>
              <w:rPr>
                <w:rFonts w:hint="eastAsia" w:ascii="宋体" w:hAnsi="宋体" w:eastAsia="宋体" w:cs="宋体"/>
                <w:szCs w:val="24"/>
                <w:highlight w:val="none"/>
              </w:rPr>
            </w:pPr>
          </w:p>
        </w:tc>
      </w:tr>
      <w:tr w14:paraId="6E7B7A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5F76BA21">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2028D696">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40AF62D7">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64DEE2FD">
            <w:pPr>
              <w:spacing w:line="360" w:lineRule="auto"/>
              <w:ind w:left="210" w:leftChars="100"/>
              <w:rPr>
                <w:rFonts w:hint="eastAsia" w:ascii="宋体" w:hAnsi="宋体" w:eastAsia="宋体" w:cs="宋体"/>
                <w:szCs w:val="24"/>
                <w:highlight w:val="none"/>
              </w:rPr>
            </w:pPr>
          </w:p>
        </w:tc>
      </w:tr>
      <w:tr w14:paraId="7EA313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Mar>
              <w:top w:w="57" w:type="dxa"/>
              <w:left w:w="28" w:type="dxa"/>
              <w:bottom w:w="57" w:type="dxa"/>
              <w:right w:w="28" w:type="dxa"/>
            </w:tcMar>
            <w:vAlign w:val="center"/>
          </w:tcPr>
          <w:p w14:paraId="0C937444">
            <w:pPr>
              <w:spacing w:line="360" w:lineRule="auto"/>
              <w:ind w:left="210" w:leftChars="100"/>
              <w:rPr>
                <w:rFonts w:hint="eastAsia" w:ascii="宋体" w:hAnsi="宋体" w:eastAsia="宋体" w:cs="宋体"/>
                <w:szCs w:val="24"/>
                <w:highlight w:val="none"/>
              </w:rPr>
            </w:pPr>
          </w:p>
        </w:tc>
        <w:tc>
          <w:tcPr>
            <w:tcW w:w="3234" w:type="dxa"/>
            <w:tcMar>
              <w:top w:w="57" w:type="dxa"/>
              <w:left w:w="28" w:type="dxa"/>
              <w:bottom w:w="57" w:type="dxa"/>
              <w:right w:w="28" w:type="dxa"/>
            </w:tcMar>
            <w:vAlign w:val="center"/>
          </w:tcPr>
          <w:p w14:paraId="38E51F87">
            <w:pPr>
              <w:spacing w:line="360" w:lineRule="auto"/>
              <w:ind w:left="210" w:leftChars="100"/>
              <w:rPr>
                <w:rFonts w:hint="eastAsia" w:ascii="宋体" w:hAnsi="宋体" w:eastAsia="宋体" w:cs="宋体"/>
                <w:szCs w:val="24"/>
                <w:highlight w:val="none"/>
              </w:rPr>
            </w:pPr>
          </w:p>
        </w:tc>
        <w:tc>
          <w:tcPr>
            <w:tcW w:w="3709" w:type="dxa"/>
            <w:tcMar>
              <w:top w:w="57" w:type="dxa"/>
              <w:left w:w="28" w:type="dxa"/>
              <w:bottom w:w="57" w:type="dxa"/>
              <w:right w:w="28" w:type="dxa"/>
            </w:tcMar>
            <w:vAlign w:val="center"/>
          </w:tcPr>
          <w:p w14:paraId="4500A021">
            <w:pPr>
              <w:spacing w:line="360" w:lineRule="auto"/>
              <w:ind w:left="210" w:leftChars="100"/>
              <w:rPr>
                <w:rFonts w:hint="eastAsia" w:ascii="宋体" w:hAnsi="宋体" w:eastAsia="宋体" w:cs="宋体"/>
                <w:szCs w:val="24"/>
                <w:highlight w:val="none"/>
              </w:rPr>
            </w:pPr>
          </w:p>
        </w:tc>
        <w:tc>
          <w:tcPr>
            <w:tcW w:w="1421" w:type="dxa"/>
            <w:tcMar>
              <w:top w:w="57" w:type="dxa"/>
              <w:left w:w="28" w:type="dxa"/>
              <w:bottom w:w="57" w:type="dxa"/>
              <w:right w:w="28" w:type="dxa"/>
            </w:tcMar>
            <w:vAlign w:val="center"/>
          </w:tcPr>
          <w:p w14:paraId="59E87EDE">
            <w:pPr>
              <w:spacing w:line="360" w:lineRule="auto"/>
              <w:ind w:left="210" w:leftChars="100"/>
              <w:rPr>
                <w:rFonts w:hint="eastAsia" w:ascii="宋体" w:hAnsi="宋体" w:eastAsia="宋体" w:cs="宋体"/>
                <w:szCs w:val="24"/>
                <w:highlight w:val="none"/>
              </w:rPr>
            </w:pPr>
          </w:p>
        </w:tc>
      </w:tr>
    </w:tbl>
    <w:p w14:paraId="0440C974">
      <w:pPr>
        <w:pStyle w:val="92"/>
        <w:shd w:val="clear"/>
        <w:spacing w:line="360" w:lineRule="auto"/>
        <w:ind w:firstLine="0" w:firstLineChars="0"/>
        <w:rPr>
          <w:rFonts w:hint="eastAsia" w:ascii="宋体" w:hAnsi="宋体" w:eastAsia="宋体" w:cs="宋体"/>
          <w:b/>
          <w:sz w:val="22"/>
          <w:highlight w:val="none"/>
        </w:rPr>
      </w:pPr>
      <w:r>
        <w:rPr>
          <w:rFonts w:hint="eastAsia" w:ascii="宋体" w:hAnsi="宋体" w:eastAsia="宋体" w:cs="宋体"/>
          <w:b/>
          <w:sz w:val="22"/>
          <w:highlight w:val="none"/>
        </w:rPr>
        <w:t>注：1、</w:t>
      </w:r>
      <w:r>
        <w:rPr>
          <w:rFonts w:hint="eastAsia" w:ascii="宋体" w:hAnsi="宋体" w:eastAsia="宋体" w:cs="宋体"/>
          <w:b/>
          <w:sz w:val="22"/>
          <w:highlight w:val="none"/>
          <w:lang w:eastAsia="zh-CN"/>
        </w:rPr>
        <w:t>供应商</w:t>
      </w:r>
      <w:r>
        <w:rPr>
          <w:rFonts w:hint="eastAsia" w:ascii="宋体" w:hAnsi="宋体" w:eastAsia="宋体" w:cs="宋体"/>
          <w:b/>
          <w:sz w:val="22"/>
          <w:highlight w:val="none"/>
        </w:rPr>
        <w:t>须对技术要求逐条进行技术响应，未逐条响应的按无效</w:t>
      </w:r>
      <w:r>
        <w:rPr>
          <w:rFonts w:hint="eastAsia" w:ascii="宋体" w:hAnsi="宋体" w:eastAsia="宋体" w:cs="宋体"/>
          <w:b/>
          <w:sz w:val="22"/>
          <w:highlight w:val="none"/>
          <w:lang w:eastAsia="zh-CN"/>
        </w:rPr>
        <w:t>响应</w:t>
      </w:r>
      <w:r>
        <w:rPr>
          <w:rFonts w:hint="eastAsia" w:ascii="宋体" w:hAnsi="宋体" w:eastAsia="宋体" w:cs="宋体"/>
          <w:b/>
          <w:sz w:val="22"/>
          <w:highlight w:val="none"/>
        </w:rPr>
        <w:t>处理。</w:t>
      </w:r>
    </w:p>
    <w:p w14:paraId="4516B8A3">
      <w:pPr>
        <w:shd w:val="clear"/>
        <w:spacing w:line="360" w:lineRule="auto"/>
        <w:ind w:firstLine="442" w:firstLineChars="200"/>
        <w:rPr>
          <w:rFonts w:hint="eastAsia" w:ascii="宋体" w:hAnsi="宋体" w:eastAsia="宋体" w:cs="宋体"/>
          <w:sz w:val="22"/>
          <w:highlight w:val="none"/>
        </w:rPr>
      </w:pPr>
      <w:r>
        <w:rPr>
          <w:rFonts w:hint="eastAsia" w:ascii="宋体" w:hAnsi="宋体" w:eastAsia="宋体" w:cs="宋体"/>
          <w:b/>
          <w:sz w:val="22"/>
          <w:highlight w:val="none"/>
        </w:rPr>
        <w:t>2、凡是</w:t>
      </w:r>
      <w:r>
        <w:rPr>
          <w:rFonts w:hint="eastAsia" w:ascii="宋体" w:hAnsi="宋体" w:eastAsia="宋体" w:cs="宋体"/>
          <w:b/>
          <w:sz w:val="22"/>
          <w:highlight w:val="none"/>
          <w:lang w:eastAsia="zh-CN"/>
        </w:rPr>
        <w:t>谈判响应</w:t>
      </w:r>
      <w:r>
        <w:rPr>
          <w:rFonts w:hint="eastAsia" w:ascii="宋体" w:hAnsi="宋体" w:eastAsia="宋体" w:cs="宋体"/>
          <w:b/>
          <w:sz w:val="22"/>
          <w:highlight w:val="none"/>
        </w:rPr>
        <w:t>文件的技术</w:t>
      </w:r>
      <w:r>
        <w:rPr>
          <w:rFonts w:hint="eastAsia" w:ascii="宋体" w:hAnsi="宋体" w:eastAsia="宋体" w:cs="宋体"/>
          <w:b/>
          <w:sz w:val="22"/>
          <w:highlight w:val="none"/>
          <w:lang w:val="en-US" w:eastAsia="zh-CN"/>
        </w:rPr>
        <w:t>要求</w:t>
      </w:r>
      <w:r>
        <w:rPr>
          <w:rFonts w:hint="eastAsia" w:ascii="宋体" w:hAnsi="宋体" w:eastAsia="宋体" w:cs="宋体"/>
          <w:b/>
          <w:sz w:val="22"/>
          <w:highlight w:val="none"/>
        </w:rPr>
        <w:t>与</w:t>
      </w:r>
      <w:r>
        <w:rPr>
          <w:rFonts w:hint="eastAsia" w:ascii="宋体" w:hAnsi="宋体" w:eastAsia="宋体" w:cs="宋体"/>
          <w:b/>
          <w:sz w:val="22"/>
          <w:highlight w:val="none"/>
          <w:lang w:eastAsia="zh-CN"/>
        </w:rPr>
        <w:t>谈判</w:t>
      </w:r>
      <w:r>
        <w:rPr>
          <w:rFonts w:hint="eastAsia" w:ascii="宋体" w:hAnsi="宋体" w:eastAsia="宋体" w:cs="宋体"/>
          <w:b/>
          <w:sz w:val="22"/>
          <w:highlight w:val="none"/>
          <w:lang w:val="en-US" w:eastAsia="zh-CN"/>
        </w:rPr>
        <w:t>文</w:t>
      </w:r>
      <w:r>
        <w:rPr>
          <w:rFonts w:hint="eastAsia" w:ascii="宋体" w:hAnsi="宋体" w:eastAsia="宋体" w:cs="宋体"/>
          <w:b/>
          <w:sz w:val="22"/>
          <w:highlight w:val="none"/>
        </w:rPr>
        <w:t>件的技术</w:t>
      </w:r>
      <w:r>
        <w:rPr>
          <w:rFonts w:hint="eastAsia" w:ascii="宋体" w:hAnsi="宋体" w:eastAsia="宋体" w:cs="宋体"/>
          <w:b/>
          <w:sz w:val="22"/>
          <w:highlight w:val="none"/>
          <w:lang w:val="en-US" w:eastAsia="zh-CN"/>
        </w:rPr>
        <w:t>要求</w:t>
      </w:r>
      <w:r>
        <w:rPr>
          <w:rFonts w:hint="eastAsia" w:ascii="宋体" w:hAnsi="宋体" w:eastAsia="宋体" w:cs="宋体"/>
          <w:b/>
          <w:sz w:val="22"/>
          <w:highlight w:val="none"/>
        </w:rPr>
        <w:t>之间存在负偏离（即不能满足</w:t>
      </w:r>
      <w:r>
        <w:rPr>
          <w:rFonts w:hint="eastAsia" w:ascii="宋体" w:hAnsi="宋体" w:eastAsia="宋体" w:cs="宋体"/>
          <w:b/>
          <w:sz w:val="22"/>
          <w:highlight w:val="none"/>
          <w:lang w:eastAsia="zh-CN"/>
        </w:rPr>
        <w:t>谈判</w:t>
      </w:r>
      <w:r>
        <w:rPr>
          <w:rFonts w:hint="eastAsia" w:ascii="宋体" w:hAnsi="宋体" w:eastAsia="宋体" w:cs="宋体"/>
          <w:b/>
          <w:sz w:val="22"/>
          <w:highlight w:val="none"/>
        </w:rPr>
        <w:t>文件要求）的，按废标处理。</w:t>
      </w:r>
    </w:p>
    <w:p w14:paraId="58C4A008">
      <w:pPr>
        <w:spacing w:line="360" w:lineRule="auto"/>
        <w:ind w:left="210" w:leftChars="1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（加盖公章） </w:t>
      </w:r>
    </w:p>
    <w:p w14:paraId="6E2AE866">
      <w:pPr>
        <w:spacing w:line="360" w:lineRule="auto"/>
        <w:ind w:firstLine="240" w:firstLineChars="1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p>
    <w:p w14:paraId="3EA6FBD0">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14:paraId="6B4200E2">
      <w:pPr>
        <w:numPr>
          <w:ilvl w:val="0"/>
          <w:numId w:val="3"/>
        </w:numPr>
        <w:jc w:val="both"/>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响应方案</w:t>
      </w:r>
    </w:p>
    <w:p w14:paraId="283AF6AA">
      <w:pPr>
        <w:outlineLvl w:val="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w:t>
      </w:r>
      <w:r>
        <w:rPr>
          <w:rStyle w:val="120"/>
          <w:rFonts w:hint="eastAsia" w:ascii="宋体" w:hAnsi="宋体" w:eastAsia="宋体" w:cs="宋体"/>
          <w:b/>
          <w:bCs/>
          <w:color w:val="000000"/>
          <w:sz w:val="24"/>
          <w:szCs w:val="24"/>
          <w:highlight w:val="none"/>
        </w:rPr>
        <w:t>供应商性质及其概况</w:t>
      </w:r>
    </w:p>
    <w:tbl>
      <w:tblPr>
        <w:tblStyle w:val="30"/>
        <w:tblW w:w="8839"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488"/>
        <w:gridCol w:w="1536"/>
        <w:gridCol w:w="1925"/>
        <w:gridCol w:w="1428"/>
        <w:gridCol w:w="2462"/>
      </w:tblGrid>
      <w:tr w14:paraId="3DD5632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95" w:hRule="atLeast"/>
          <w:jc w:val="center"/>
        </w:trPr>
        <w:tc>
          <w:tcPr>
            <w:tcW w:w="1488" w:type="dxa"/>
            <w:vAlign w:val="center"/>
          </w:tcPr>
          <w:p w14:paraId="73202054">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供应商名称</w:t>
            </w:r>
          </w:p>
        </w:tc>
        <w:tc>
          <w:tcPr>
            <w:tcW w:w="7351" w:type="dxa"/>
            <w:gridSpan w:val="4"/>
            <w:vAlign w:val="center"/>
          </w:tcPr>
          <w:p w14:paraId="3DD899D4">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p>
        </w:tc>
      </w:tr>
      <w:tr w14:paraId="3A7D6C2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61" w:hRule="atLeast"/>
          <w:jc w:val="center"/>
        </w:trPr>
        <w:tc>
          <w:tcPr>
            <w:tcW w:w="1488" w:type="dxa"/>
            <w:vAlign w:val="center"/>
          </w:tcPr>
          <w:p w14:paraId="58AD4505">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注册地址</w:t>
            </w:r>
          </w:p>
        </w:tc>
        <w:tc>
          <w:tcPr>
            <w:tcW w:w="3461" w:type="dxa"/>
            <w:gridSpan w:val="2"/>
            <w:vAlign w:val="center"/>
          </w:tcPr>
          <w:p w14:paraId="1D9C0B6C">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p>
        </w:tc>
        <w:tc>
          <w:tcPr>
            <w:tcW w:w="1428" w:type="dxa"/>
            <w:vAlign w:val="center"/>
          </w:tcPr>
          <w:p w14:paraId="6AA39F58">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邮政编码</w:t>
            </w:r>
          </w:p>
        </w:tc>
        <w:tc>
          <w:tcPr>
            <w:tcW w:w="2462" w:type="dxa"/>
            <w:vAlign w:val="center"/>
          </w:tcPr>
          <w:p w14:paraId="1376F8DD">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p>
        </w:tc>
      </w:tr>
      <w:tr w14:paraId="764DE46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32" w:hRule="atLeast"/>
          <w:jc w:val="center"/>
        </w:trPr>
        <w:tc>
          <w:tcPr>
            <w:tcW w:w="1488" w:type="dxa"/>
            <w:vMerge w:val="restart"/>
            <w:vAlign w:val="center"/>
          </w:tcPr>
          <w:p w14:paraId="7F5213B0">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联系方式</w:t>
            </w:r>
          </w:p>
        </w:tc>
        <w:tc>
          <w:tcPr>
            <w:tcW w:w="1536" w:type="dxa"/>
            <w:vAlign w:val="center"/>
          </w:tcPr>
          <w:p w14:paraId="0D2BB2A7">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联系人</w:t>
            </w:r>
          </w:p>
        </w:tc>
        <w:tc>
          <w:tcPr>
            <w:tcW w:w="1925" w:type="dxa"/>
            <w:vAlign w:val="center"/>
          </w:tcPr>
          <w:p w14:paraId="44F0DDE3">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p>
        </w:tc>
        <w:tc>
          <w:tcPr>
            <w:tcW w:w="1428" w:type="dxa"/>
            <w:vAlign w:val="center"/>
          </w:tcPr>
          <w:p w14:paraId="571B67B4">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电话</w:t>
            </w:r>
          </w:p>
        </w:tc>
        <w:tc>
          <w:tcPr>
            <w:tcW w:w="2462" w:type="dxa"/>
            <w:vAlign w:val="center"/>
          </w:tcPr>
          <w:p w14:paraId="67BEE121">
            <w:pPr>
              <w:keepNext/>
              <w:keepLines/>
              <w:autoSpaceDE w:val="0"/>
              <w:autoSpaceDN w:val="0"/>
              <w:adjustRightInd w:val="0"/>
              <w:spacing w:line="400" w:lineRule="exact"/>
              <w:jc w:val="center"/>
              <w:rPr>
                <w:rFonts w:hint="eastAsia" w:ascii="宋体" w:hAnsi="宋体" w:eastAsia="宋体" w:cs="宋体"/>
                <w:kern w:val="0"/>
                <w:sz w:val="24"/>
                <w:szCs w:val="24"/>
                <w:highlight w:val="none"/>
              </w:rPr>
            </w:pPr>
          </w:p>
        </w:tc>
      </w:tr>
      <w:tr w14:paraId="04FB844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72" w:hRule="atLeast"/>
          <w:jc w:val="center"/>
        </w:trPr>
        <w:tc>
          <w:tcPr>
            <w:tcW w:w="1488" w:type="dxa"/>
            <w:vMerge w:val="continue"/>
            <w:vAlign w:val="center"/>
          </w:tcPr>
          <w:p w14:paraId="4E457C1F">
            <w:pPr>
              <w:autoSpaceDE w:val="0"/>
              <w:autoSpaceDN w:val="0"/>
              <w:adjustRightInd w:val="0"/>
              <w:spacing w:line="400" w:lineRule="exact"/>
              <w:jc w:val="center"/>
              <w:rPr>
                <w:rFonts w:hint="eastAsia" w:ascii="宋体" w:hAnsi="宋体" w:eastAsia="宋体" w:cs="宋体"/>
                <w:kern w:val="0"/>
                <w:sz w:val="24"/>
                <w:szCs w:val="24"/>
                <w:highlight w:val="none"/>
              </w:rPr>
            </w:pPr>
          </w:p>
        </w:tc>
        <w:tc>
          <w:tcPr>
            <w:tcW w:w="1536" w:type="dxa"/>
            <w:vAlign w:val="center"/>
          </w:tcPr>
          <w:p w14:paraId="476254E3">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传真</w:t>
            </w:r>
          </w:p>
        </w:tc>
        <w:tc>
          <w:tcPr>
            <w:tcW w:w="1925" w:type="dxa"/>
            <w:vAlign w:val="center"/>
          </w:tcPr>
          <w:p w14:paraId="0367B115">
            <w:pPr>
              <w:autoSpaceDE w:val="0"/>
              <w:autoSpaceDN w:val="0"/>
              <w:adjustRightInd w:val="0"/>
              <w:spacing w:line="400" w:lineRule="exact"/>
              <w:jc w:val="center"/>
              <w:rPr>
                <w:rFonts w:hint="eastAsia" w:ascii="宋体" w:hAnsi="宋体" w:eastAsia="宋体" w:cs="宋体"/>
                <w:kern w:val="0"/>
                <w:sz w:val="24"/>
                <w:szCs w:val="24"/>
                <w:highlight w:val="none"/>
              </w:rPr>
            </w:pPr>
          </w:p>
        </w:tc>
        <w:tc>
          <w:tcPr>
            <w:tcW w:w="1428" w:type="dxa"/>
            <w:vAlign w:val="center"/>
          </w:tcPr>
          <w:p w14:paraId="5E6B3016">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网址</w:t>
            </w:r>
          </w:p>
        </w:tc>
        <w:tc>
          <w:tcPr>
            <w:tcW w:w="2462" w:type="dxa"/>
            <w:vAlign w:val="center"/>
          </w:tcPr>
          <w:p w14:paraId="2E6C95BC">
            <w:pPr>
              <w:autoSpaceDE w:val="0"/>
              <w:autoSpaceDN w:val="0"/>
              <w:adjustRightInd w:val="0"/>
              <w:spacing w:line="400" w:lineRule="exact"/>
              <w:jc w:val="center"/>
              <w:rPr>
                <w:rFonts w:hint="eastAsia" w:ascii="宋体" w:hAnsi="宋体" w:eastAsia="宋体" w:cs="宋体"/>
                <w:kern w:val="0"/>
                <w:sz w:val="24"/>
                <w:szCs w:val="24"/>
                <w:highlight w:val="none"/>
              </w:rPr>
            </w:pPr>
          </w:p>
        </w:tc>
      </w:tr>
      <w:tr w14:paraId="6BBDFDF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03" w:hRule="atLeast"/>
          <w:jc w:val="center"/>
        </w:trPr>
        <w:tc>
          <w:tcPr>
            <w:tcW w:w="1488" w:type="dxa"/>
            <w:vAlign w:val="center"/>
          </w:tcPr>
          <w:p w14:paraId="320D980F">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w:t>
            </w:r>
          </w:p>
        </w:tc>
        <w:tc>
          <w:tcPr>
            <w:tcW w:w="1536" w:type="dxa"/>
            <w:vAlign w:val="center"/>
          </w:tcPr>
          <w:p w14:paraId="7912B2F6">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姓名</w:t>
            </w:r>
          </w:p>
        </w:tc>
        <w:tc>
          <w:tcPr>
            <w:tcW w:w="1925" w:type="dxa"/>
            <w:vAlign w:val="center"/>
          </w:tcPr>
          <w:p w14:paraId="3BF27F8E">
            <w:pPr>
              <w:autoSpaceDE w:val="0"/>
              <w:autoSpaceDN w:val="0"/>
              <w:adjustRightInd w:val="0"/>
              <w:spacing w:line="400" w:lineRule="exact"/>
              <w:jc w:val="center"/>
              <w:rPr>
                <w:rFonts w:hint="eastAsia" w:ascii="宋体" w:hAnsi="宋体" w:eastAsia="宋体" w:cs="宋体"/>
                <w:kern w:val="0"/>
                <w:sz w:val="24"/>
                <w:szCs w:val="24"/>
                <w:highlight w:val="none"/>
              </w:rPr>
            </w:pPr>
          </w:p>
        </w:tc>
        <w:tc>
          <w:tcPr>
            <w:tcW w:w="1428" w:type="dxa"/>
            <w:vAlign w:val="center"/>
          </w:tcPr>
          <w:p w14:paraId="576D8156">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电话</w:t>
            </w:r>
          </w:p>
        </w:tc>
        <w:tc>
          <w:tcPr>
            <w:tcW w:w="2462" w:type="dxa"/>
            <w:vAlign w:val="center"/>
          </w:tcPr>
          <w:p w14:paraId="3DFD63B8">
            <w:pPr>
              <w:autoSpaceDE w:val="0"/>
              <w:autoSpaceDN w:val="0"/>
              <w:adjustRightInd w:val="0"/>
              <w:spacing w:line="400" w:lineRule="exact"/>
              <w:jc w:val="center"/>
              <w:rPr>
                <w:rFonts w:hint="eastAsia" w:ascii="宋体" w:hAnsi="宋体" w:eastAsia="宋体" w:cs="宋体"/>
                <w:b/>
                <w:bCs/>
                <w:kern w:val="0"/>
                <w:sz w:val="24"/>
                <w:szCs w:val="24"/>
                <w:highlight w:val="none"/>
              </w:rPr>
            </w:pPr>
          </w:p>
        </w:tc>
      </w:tr>
      <w:tr w14:paraId="7A8E32C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632" w:hRule="atLeast"/>
          <w:jc w:val="center"/>
        </w:trPr>
        <w:tc>
          <w:tcPr>
            <w:tcW w:w="1488" w:type="dxa"/>
            <w:vAlign w:val="center"/>
          </w:tcPr>
          <w:p w14:paraId="20853D23">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项目负责人</w:t>
            </w:r>
          </w:p>
        </w:tc>
        <w:tc>
          <w:tcPr>
            <w:tcW w:w="1536" w:type="dxa"/>
            <w:vAlign w:val="center"/>
          </w:tcPr>
          <w:p w14:paraId="75240B5A">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姓名</w:t>
            </w:r>
          </w:p>
        </w:tc>
        <w:tc>
          <w:tcPr>
            <w:tcW w:w="1925" w:type="dxa"/>
            <w:vAlign w:val="center"/>
          </w:tcPr>
          <w:p w14:paraId="4ADFFC79">
            <w:pPr>
              <w:autoSpaceDE w:val="0"/>
              <w:autoSpaceDN w:val="0"/>
              <w:adjustRightInd w:val="0"/>
              <w:spacing w:line="400" w:lineRule="exact"/>
              <w:jc w:val="center"/>
              <w:rPr>
                <w:rFonts w:hint="eastAsia" w:ascii="宋体" w:hAnsi="宋体" w:eastAsia="宋体" w:cs="宋体"/>
                <w:kern w:val="0"/>
                <w:sz w:val="24"/>
                <w:szCs w:val="24"/>
                <w:highlight w:val="none"/>
              </w:rPr>
            </w:pPr>
          </w:p>
        </w:tc>
        <w:tc>
          <w:tcPr>
            <w:tcW w:w="1428" w:type="dxa"/>
            <w:vAlign w:val="center"/>
          </w:tcPr>
          <w:p w14:paraId="7F35AC66">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电话</w:t>
            </w:r>
          </w:p>
        </w:tc>
        <w:tc>
          <w:tcPr>
            <w:tcW w:w="2462" w:type="dxa"/>
            <w:vAlign w:val="center"/>
          </w:tcPr>
          <w:p w14:paraId="17BCE584">
            <w:pPr>
              <w:autoSpaceDE w:val="0"/>
              <w:autoSpaceDN w:val="0"/>
              <w:adjustRightInd w:val="0"/>
              <w:spacing w:line="400" w:lineRule="exact"/>
              <w:jc w:val="center"/>
              <w:rPr>
                <w:rFonts w:hint="eastAsia" w:ascii="宋体" w:hAnsi="宋体" w:eastAsia="宋体" w:cs="宋体"/>
                <w:b/>
                <w:bCs/>
                <w:kern w:val="0"/>
                <w:sz w:val="24"/>
                <w:szCs w:val="24"/>
                <w:highlight w:val="none"/>
              </w:rPr>
            </w:pPr>
          </w:p>
        </w:tc>
      </w:tr>
      <w:tr w14:paraId="326F418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61" w:hRule="atLeast"/>
          <w:jc w:val="center"/>
        </w:trPr>
        <w:tc>
          <w:tcPr>
            <w:tcW w:w="1488" w:type="dxa"/>
            <w:vAlign w:val="center"/>
          </w:tcPr>
          <w:p w14:paraId="26D9757A">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成立时间</w:t>
            </w:r>
          </w:p>
        </w:tc>
        <w:tc>
          <w:tcPr>
            <w:tcW w:w="3461" w:type="dxa"/>
            <w:gridSpan w:val="2"/>
            <w:vAlign w:val="center"/>
          </w:tcPr>
          <w:p w14:paraId="7538D5CF">
            <w:pPr>
              <w:autoSpaceDE w:val="0"/>
              <w:autoSpaceDN w:val="0"/>
              <w:adjustRightInd w:val="0"/>
              <w:spacing w:line="400" w:lineRule="exact"/>
              <w:jc w:val="center"/>
              <w:rPr>
                <w:rFonts w:hint="eastAsia" w:ascii="宋体" w:hAnsi="宋体" w:eastAsia="宋体" w:cs="宋体"/>
                <w:kern w:val="0"/>
                <w:sz w:val="24"/>
                <w:szCs w:val="24"/>
                <w:highlight w:val="none"/>
              </w:rPr>
            </w:pPr>
          </w:p>
        </w:tc>
        <w:tc>
          <w:tcPr>
            <w:tcW w:w="1428" w:type="dxa"/>
            <w:vAlign w:val="center"/>
          </w:tcPr>
          <w:p w14:paraId="3BF28271">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开户银行</w:t>
            </w:r>
          </w:p>
        </w:tc>
        <w:tc>
          <w:tcPr>
            <w:tcW w:w="2462" w:type="dxa"/>
            <w:vAlign w:val="center"/>
          </w:tcPr>
          <w:p w14:paraId="27D65368">
            <w:pPr>
              <w:autoSpaceDE w:val="0"/>
              <w:autoSpaceDN w:val="0"/>
              <w:adjustRightInd w:val="0"/>
              <w:spacing w:line="400" w:lineRule="exact"/>
              <w:jc w:val="center"/>
              <w:rPr>
                <w:rFonts w:hint="eastAsia" w:ascii="宋体" w:hAnsi="宋体" w:eastAsia="宋体" w:cs="宋体"/>
                <w:b/>
                <w:bCs/>
                <w:kern w:val="0"/>
                <w:sz w:val="24"/>
                <w:szCs w:val="24"/>
                <w:highlight w:val="none"/>
              </w:rPr>
            </w:pPr>
          </w:p>
        </w:tc>
      </w:tr>
      <w:tr w14:paraId="31C8B57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32" w:hRule="atLeast"/>
          <w:jc w:val="center"/>
        </w:trPr>
        <w:tc>
          <w:tcPr>
            <w:tcW w:w="1488" w:type="dxa"/>
            <w:vAlign w:val="center"/>
          </w:tcPr>
          <w:p w14:paraId="054B4E58">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统一社会信用代码</w:t>
            </w:r>
          </w:p>
        </w:tc>
        <w:tc>
          <w:tcPr>
            <w:tcW w:w="3461" w:type="dxa"/>
            <w:gridSpan w:val="2"/>
            <w:vAlign w:val="center"/>
          </w:tcPr>
          <w:p w14:paraId="2E9C4342">
            <w:pPr>
              <w:autoSpaceDE w:val="0"/>
              <w:autoSpaceDN w:val="0"/>
              <w:adjustRightInd w:val="0"/>
              <w:spacing w:line="400" w:lineRule="exact"/>
              <w:jc w:val="center"/>
              <w:rPr>
                <w:rFonts w:hint="eastAsia" w:ascii="宋体" w:hAnsi="宋体" w:eastAsia="宋体" w:cs="宋体"/>
                <w:kern w:val="0"/>
                <w:sz w:val="24"/>
                <w:szCs w:val="24"/>
                <w:highlight w:val="none"/>
              </w:rPr>
            </w:pPr>
          </w:p>
        </w:tc>
        <w:tc>
          <w:tcPr>
            <w:tcW w:w="1428" w:type="dxa"/>
            <w:vAlign w:val="center"/>
          </w:tcPr>
          <w:p w14:paraId="2EBA40D0">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账号</w:t>
            </w:r>
          </w:p>
        </w:tc>
        <w:tc>
          <w:tcPr>
            <w:tcW w:w="2462" w:type="dxa"/>
            <w:vAlign w:val="center"/>
          </w:tcPr>
          <w:p w14:paraId="004B2CEB">
            <w:pPr>
              <w:autoSpaceDE w:val="0"/>
              <w:autoSpaceDN w:val="0"/>
              <w:adjustRightInd w:val="0"/>
              <w:spacing w:line="400" w:lineRule="exact"/>
              <w:jc w:val="center"/>
              <w:rPr>
                <w:rFonts w:hint="eastAsia" w:ascii="宋体" w:hAnsi="宋体" w:eastAsia="宋体" w:cs="宋体"/>
                <w:b/>
                <w:bCs/>
                <w:kern w:val="0"/>
                <w:sz w:val="24"/>
                <w:szCs w:val="24"/>
                <w:highlight w:val="none"/>
              </w:rPr>
            </w:pPr>
          </w:p>
        </w:tc>
      </w:tr>
      <w:tr w14:paraId="08894EC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992" w:hRule="atLeast"/>
          <w:jc w:val="center"/>
        </w:trPr>
        <w:tc>
          <w:tcPr>
            <w:tcW w:w="1488" w:type="dxa"/>
            <w:vAlign w:val="center"/>
          </w:tcPr>
          <w:p w14:paraId="39DA45EF">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经营范围</w:t>
            </w:r>
          </w:p>
        </w:tc>
        <w:tc>
          <w:tcPr>
            <w:tcW w:w="7351" w:type="dxa"/>
            <w:gridSpan w:val="4"/>
            <w:vAlign w:val="center"/>
          </w:tcPr>
          <w:p w14:paraId="5E20B561">
            <w:pPr>
              <w:autoSpaceDE w:val="0"/>
              <w:autoSpaceDN w:val="0"/>
              <w:adjustRightInd w:val="0"/>
              <w:spacing w:line="400" w:lineRule="exact"/>
              <w:rPr>
                <w:rFonts w:hint="eastAsia" w:ascii="宋体" w:hAnsi="宋体" w:eastAsia="宋体" w:cs="宋体"/>
                <w:b/>
                <w:bCs/>
                <w:kern w:val="0"/>
                <w:sz w:val="24"/>
                <w:szCs w:val="24"/>
                <w:highlight w:val="none"/>
              </w:rPr>
            </w:pPr>
          </w:p>
        </w:tc>
      </w:tr>
      <w:tr w14:paraId="623D78C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54" w:hRule="atLeast"/>
          <w:jc w:val="center"/>
        </w:trPr>
        <w:tc>
          <w:tcPr>
            <w:tcW w:w="1488" w:type="dxa"/>
          </w:tcPr>
          <w:p w14:paraId="1B74E017">
            <w:pPr>
              <w:autoSpaceDE w:val="0"/>
              <w:autoSpaceDN w:val="0"/>
              <w:adjustRightInd w:val="0"/>
              <w:spacing w:line="400" w:lineRule="exac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备注</w:t>
            </w:r>
          </w:p>
        </w:tc>
        <w:tc>
          <w:tcPr>
            <w:tcW w:w="7351" w:type="dxa"/>
            <w:gridSpan w:val="4"/>
          </w:tcPr>
          <w:p w14:paraId="3C53B882">
            <w:pPr>
              <w:autoSpaceDE w:val="0"/>
              <w:autoSpaceDN w:val="0"/>
              <w:adjustRightInd w:val="0"/>
              <w:spacing w:line="400" w:lineRule="exact"/>
              <w:jc w:val="left"/>
              <w:rPr>
                <w:rFonts w:hint="eastAsia" w:ascii="宋体" w:hAnsi="宋体" w:eastAsia="宋体" w:cs="宋体"/>
                <w:kern w:val="0"/>
                <w:sz w:val="24"/>
                <w:szCs w:val="24"/>
                <w:highlight w:val="none"/>
              </w:rPr>
            </w:pPr>
          </w:p>
        </w:tc>
      </w:tr>
    </w:tbl>
    <w:p w14:paraId="5544472B">
      <w:pPr>
        <w:rPr>
          <w:rFonts w:hint="eastAsia" w:ascii="宋体" w:hAnsi="宋体" w:eastAsia="宋体" w:cs="宋体"/>
          <w:b/>
          <w:sz w:val="24"/>
          <w:szCs w:val="24"/>
          <w:highlight w:val="none"/>
        </w:rPr>
      </w:pPr>
    </w:p>
    <w:p w14:paraId="52AB1E0D">
      <w:pPr>
        <w:pStyle w:val="28"/>
        <w:ind w:firstLine="0" w:firstLineChars="0"/>
        <w:rPr>
          <w:rFonts w:hint="eastAsia" w:ascii="宋体" w:hAnsi="宋体" w:eastAsia="宋体" w:cs="宋体"/>
          <w:sz w:val="24"/>
          <w:szCs w:val="24"/>
          <w:highlight w:val="none"/>
        </w:rPr>
      </w:pPr>
    </w:p>
    <w:p w14:paraId="0F00E29F">
      <w:pPr>
        <w:pStyle w:val="28"/>
        <w:spacing w:line="480" w:lineRule="auto"/>
        <w:ind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（加盖公章）  </w:t>
      </w:r>
    </w:p>
    <w:p w14:paraId="2E147687">
      <w:pPr>
        <w:autoSpaceDE w:val="0"/>
        <w:autoSpaceDN w:val="0"/>
        <w:adjustRightInd w:val="0"/>
        <w:snapToGrid w:val="0"/>
        <w:spacing w:line="480" w:lineRule="auto"/>
        <w:outlineLvl w:val="9"/>
        <w:rPr>
          <w:rFonts w:hint="eastAsia" w:ascii="宋体" w:hAnsi="宋体" w:eastAsia="宋体" w:cs="宋体"/>
          <w:b/>
          <w:bCs/>
          <w:sz w:val="24"/>
          <w:szCs w:val="24"/>
          <w:highlight w:val="none"/>
        </w:rPr>
      </w:pPr>
      <w:bookmarkStart w:id="56" w:name="_Toc554"/>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期：</w:t>
      </w:r>
      <w:bookmarkEnd w:id="56"/>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p>
    <w:p w14:paraId="6A6D798A">
      <w:pPr>
        <w:pStyle w:val="46"/>
        <w:numPr>
          <w:ilvl w:val="0"/>
          <w:numId w:val="0"/>
        </w:numPr>
        <w:rPr>
          <w:rFonts w:hint="eastAsia" w:ascii="宋体" w:hAnsi="宋体" w:eastAsia="宋体" w:cs="宋体"/>
          <w:highlight w:val="none"/>
          <w:lang w:val="en-US" w:eastAsia="zh-CN"/>
        </w:rPr>
      </w:pPr>
    </w:p>
    <w:p w14:paraId="33DCE785">
      <w:pPr>
        <w:rPr>
          <w:rFonts w:hint="eastAsia" w:ascii="宋体" w:hAnsi="宋体" w:eastAsia="宋体" w:cs="宋体"/>
          <w:b/>
          <w:bCs/>
          <w:color w:val="auto"/>
          <w:spacing w:val="6"/>
          <w:kern w:val="2"/>
          <w:sz w:val="22"/>
          <w:szCs w:val="28"/>
          <w:highlight w:val="none"/>
          <w:lang w:val="en-US" w:eastAsia="zh-CN" w:bidi="ar-SA"/>
        </w:rPr>
      </w:pPr>
      <w:r>
        <w:rPr>
          <w:rFonts w:hint="eastAsia" w:ascii="宋体" w:hAnsi="宋体" w:eastAsia="宋体" w:cs="宋体"/>
          <w:b/>
          <w:bCs/>
          <w:color w:val="auto"/>
          <w:spacing w:val="6"/>
          <w:kern w:val="2"/>
          <w:sz w:val="22"/>
          <w:szCs w:val="28"/>
          <w:highlight w:val="none"/>
          <w:lang w:val="en-US" w:eastAsia="zh-CN" w:bidi="ar-SA"/>
        </w:rPr>
        <w:br w:type="page"/>
      </w:r>
    </w:p>
    <w:p w14:paraId="472B88D1">
      <w:pPr>
        <w:numPr>
          <w:ilvl w:val="0"/>
          <w:numId w:val="0"/>
        </w:numPr>
        <w:spacing w:line="360" w:lineRule="auto"/>
        <w:ind w:firstLine="466" w:firstLineChars="200"/>
        <w:jc w:val="center"/>
        <w:outlineLvl w:val="2"/>
        <w:rPr>
          <w:rFonts w:hint="eastAsia" w:ascii="宋体" w:hAnsi="宋体" w:eastAsia="宋体" w:cs="宋体"/>
          <w:b/>
          <w:bCs/>
          <w:color w:val="auto"/>
          <w:spacing w:val="6"/>
          <w:sz w:val="22"/>
          <w:szCs w:val="28"/>
          <w:highlight w:val="none"/>
          <w:lang w:val="en-US" w:eastAsia="zh-CN"/>
        </w:rPr>
      </w:pPr>
      <w:r>
        <w:rPr>
          <w:rFonts w:hint="eastAsia" w:ascii="宋体" w:hAnsi="宋体" w:eastAsia="宋体" w:cs="宋体"/>
          <w:b/>
          <w:bCs/>
          <w:color w:val="auto"/>
          <w:spacing w:val="6"/>
          <w:kern w:val="2"/>
          <w:sz w:val="22"/>
          <w:szCs w:val="28"/>
          <w:highlight w:val="none"/>
          <w:lang w:val="en-US" w:eastAsia="zh-CN" w:bidi="ar-SA"/>
        </w:rPr>
        <w:t>2、技术文件及</w:t>
      </w:r>
      <w:r>
        <w:rPr>
          <w:rFonts w:hint="eastAsia" w:ascii="宋体" w:hAnsi="宋体" w:eastAsia="宋体" w:cs="宋体"/>
          <w:b/>
          <w:bCs/>
          <w:color w:val="auto"/>
          <w:spacing w:val="6"/>
          <w:sz w:val="22"/>
          <w:szCs w:val="28"/>
          <w:highlight w:val="none"/>
          <w:lang w:val="en-US" w:eastAsia="zh-CN"/>
        </w:rPr>
        <w:t>供货方案</w:t>
      </w:r>
    </w:p>
    <w:p w14:paraId="2B3830E0">
      <w:pPr>
        <w:spacing w:line="360" w:lineRule="auto"/>
        <w:ind w:firstLine="466" w:firstLineChars="200"/>
        <w:jc w:val="center"/>
        <w:rPr>
          <w:rFonts w:hint="eastAsia" w:ascii="宋体" w:hAnsi="宋体" w:eastAsia="宋体" w:cs="宋体"/>
          <w:b/>
          <w:bCs/>
          <w:color w:val="auto"/>
          <w:spacing w:val="6"/>
          <w:sz w:val="22"/>
          <w:szCs w:val="28"/>
          <w:highlight w:val="none"/>
          <w:lang w:val="en-US" w:eastAsia="zh-CN"/>
        </w:rPr>
        <w:sectPr>
          <w:headerReference r:id="rId7" w:type="default"/>
          <w:footerReference r:id="rId8" w:type="default"/>
          <w:pgSz w:w="11905" w:h="16838"/>
          <w:pgMar w:top="1440" w:right="1083" w:bottom="1440" w:left="1083" w:header="850" w:footer="992" w:gutter="0"/>
          <w:pgBorders>
            <w:top w:val="none" w:sz="0" w:space="0"/>
            <w:left w:val="none" w:sz="0" w:space="0"/>
            <w:bottom w:val="none" w:sz="0" w:space="0"/>
            <w:right w:val="none" w:sz="0" w:space="0"/>
          </w:pgBorders>
          <w:pgNumType w:fmt="decimal"/>
          <w:cols w:space="0" w:num="1"/>
          <w:rtlGutter w:val="0"/>
          <w:docGrid w:linePitch="319" w:charSpace="0"/>
        </w:sectPr>
      </w:pPr>
      <w:r>
        <w:rPr>
          <w:rFonts w:hint="eastAsia" w:ascii="宋体" w:hAnsi="宋体" w:eastAsia="宋体" w:cs="宋体"/>
          <w:b/>
          <w:bCs/>
          <w:color w:val="auto"/>
          <w:spacing w:val="6"/>
          <w:sz w:val="22"/>
          <w:szCs w:val="28"/>
          <w:highlight w:val="none"/>
          <w:lang w:val="en-US" w:eastAsia="zh-CN"/>
        </w:rPr>
        <w:t>供应商针对本项目提供供货方案（格式自拟）</w:t>
      </w:r>
    </w:p>
    <w:p w14:paraId="7E2BA6A8">
      <w:pPr>
        <w:pStyle w:val="14"/>
        <w:numPr>
          <w:ilvl w:val="0"/>
          <w:numId w:val="0"/>
        </w:numPr>
        <w:ind w:left="0" w:leftChars="0" w:firstLine="482" w:firstLineChars="200"/>
        <w:jc w:val="center"/>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3、其他资料</w:t>
      </w:r>
      <w:r>
        <w:rPr>
          <w:rFonts w:hint="eastAsia" w:ascii="宋体" w:hAnsi="宋体" w:cs="宋体"/>
          <w:b/>
          <w:bCs/>
          <w:color w:val="auto"/>
          <w:kern w:val="2"/>
          <w:sz w:val="24"/>
          <w:szCs w:val="24"/>
          <w:highlight w:val="none"/>
          <w:lang w:val="en-US" w:eastAsia="zh-CN" w:bidi="ar-SA"/>
        </w:rPr>
        <w:t>（如有）</w:t>
      </w:r>
    </w:p>
    <w:p w14:paraId="2295F150">
      <w:pPr>
        <w:numPr>
          <w:ilvl w:val="0"/>
          <w:numId w:val="0"/>
        </w:numPr>
        <w:autoSpaceDE w:val="0"/>
        <w:autoSpaceDN w:val="0"/>
        <w:adjustRightInd w:val="0"/>
        <w:snapToGrid w:val="0"/>
        <w:spacing w:line="360" w:lineRule="auto"/>
        <w:ind w:leftChars="0"/>
        <w:jc w:val="both"/>
        <w:outlineLvl w:val="9"/>
        <w:rPr>
          <w:rFonts w:hint="eastAsia" w:ascii="宋体" w:hAnsi="宋体" w:eastAsia="宋体" w:cs="宋体"/>
          <w:b/>
          <w:bCs/>
          <w:color w:val="auto"/>
          <w:sz w:val="24"/>
          <w:szCs w:val="24"/>
          <w:highlight w:val="none"/>
          <w:lang w:val="en-US" w:eastAsia="zh-CN"/>
        </w:rPr>
      </w:pPr>
    </w:p>
    <w:p w14:paraId="309A652C">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6E8E4FB7">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0D4139B9">
      <w:pPr>
        <w:pStyle w:val="113"/>
        <w:spacing w:line="360" w:lineRule="auto"/>
        <w:ind w:firstLine="112" w:firstLineChars="62"/>
        <w:jc w:val="left"/>
        <w:outlineLvl w:val="9"/>
        <w:rPr>
          <w:rFonts w:hint="eastAsia" w:ascii="宋体" w:hAnsi="宋体" w:eastAsia="宋体" w:cs="宋体"/>
          <w:b/>
          <w:bCs/>
          <w:sz w:val="18"/>
          <w:szCs w:val="18"/>
          <w:highlight w:val="none"/>
        </w:rPr>
      </w:pPr>
      <w:bookmarkStart w:id="57" w:name="_Toc31256"/>
    </w:p>
    <w:p w14:paraId="56966110">
      <w:pPr>
        <w:pStyle w:val="113"/>
        <w:spacing w:line="360" w:lineRule="auto"/>
        <w:ind w:firstLine="112" w:firstLineChars="62"/>
        <w:jc w:val="left"/>
        <w:outlineLvl w:val="9"/>
        <w:rPr>
          <w:rFonts w:hint="eastAsia" w:ascii="宋体" w:hAnsi="宋体" w:eastAsia="宋体" w:cs="宋体"/>
          <w:b/>
          <w:bCs/>
          <w:sz w:val="18"/>
          <w:szCs w:val="18"/>
          <w:highlight w:val="none"/>
        </w:rPr>
      </w:pPr>
    </w:p>
    <w:p w14:paraId="5904BA0F">
      <w:pPr>
        <w:pStyle w:val="113"/>
        <w:spacing w:line="360" w:lineRule="auto"/>
        <w:ind w:firstLine="112" w:firstLineChars="62"/>
        <w:jc w:val="left"/>
        <w:outlineLvl w:val="9"/>
        <w:rPr>
          <w:rFonts w:hint="eastAsia" w:ascii="宋体" w:hAnsi="宋体" w:eastAsia="宋体" w:cs="宋体"/>
          <w:b/>
          <w:bCs/>
          <w:sz w:val="18"/>
          <w:szCs w:val="18"/>
          <w:highlight w:val="none"/>
        </w:rPr>
      </w:pPr>
    </w:p>
    <w:p w14:paraId="3C5C1F24">
      <w:pPr>
        <w:pStyle w:val="113"/>
        <w:spacing w:line="360" w:lineRule="auto"/>
        <w:ind w:firstLine="112" w:firstLineChars="62"/>
        <w:jc w:val="left"/>
        <w:outlineLvl w:val="9"/>
        <w:rPr>
          <w:rFonts w:hint="eastAsia" w:ascii="宋体" w:hAnsi="宋体" w:eastAsia="宋体" w:cs="宋体"/>
          <w:b/>
          <w:bCs/>
          <w:sz w:val="18"/>
          <w:szCs w:val="18"/>
          <w:highlight w:val="none"/>
        </w:rPr>
      </w:pPr>
    </w:p>
    <w:p w14:paraId="3890833A">
      <w:pPr>
        <w:pStyle w:val="113"/>
        <w:spacing w:line="360" w:lineRule="auto"/>
        <w:ind w:firstLine="112" w:firstLineChars="62"/>
        <w:jc w:val="left"/>
        <w:outlineLvl w:val="9"/>
        <w:rPr>
          <w:rFonts w:hint="eastAsia" w:ascii="宋体" w:hAnsi="宋体" w:eastAsia="宋体" w:cs="宋体"/>
          <w:b/>
          <w:bCs/>
          <w:sz w:val="18"/>
          <w:szCs w:val="18"/>
          <w:highlight w:val="none"/>
        </w:rPr>
      </w:pPr>
    </w:p>
    <w:p w14:paraId="634D8790">
      <w:pPr>
        <w:pStyle w:val="113"/>
        <w:spacing w:line="360" w:lineRule="auto"/>
        <w:ind w:firstLine="112" w:firstLineChars="62"/>
        <w:jc w:val="left"/>
        <w:outlineLvl w:val="9"/>
        <w:rPr>
          <w:rFonts w:hint="eastAsia" w:ascii="宋体" w:hAnsi="宋体" w:eastAsia="宋体" w:cs="宋体"/>
          <w:b/>
          <w:bCs/>
          <w:sz w:val="18"/>
          <w:szCs w:val="18"/>
          <w:highlight w:val="none"/>
        </w:rPr>
      </w:pPr>
    </w:p>
    <w:p w14:paraId="3AE83F4F">
      <w:pPr>
        <w:pStyle w:val="113"/>
        <w:spacing w:line="360" w:lineRule="auto"/>
        <w:ind w:firstLine="112" w:firstLineChars="62"/>
        <w:jc w:val="left"/>
        <w:outlineLvl w:val="9"/>
        <w:rPr>
          <w:rFonts w:hint="eastAsia" w:ascii="宋体" w:hAnsi="宋体" w:eastAsia="宋体" w:cs="宋体"/>
          <w:b/>
          <w:bCs/>
          <w:sz w:val="18"/>
          <w:szCs w:val="18"/>
          <w:highlight w:val="none"/>
        </w:rPr>
      </w:pPr>
    </w:p>
    <w:p w14:paraId="6790C861">
      <w:pPr>
        <w:pStyle w:val="113"/>
        <w:spacing w:line="360" w:lineRule="auto"/>
        <w:ind w:firstLine="112" w:firstLineChars="62"/>
        <w:jc w:val="left"/>
        <w:outlineLvl w:val="9"/>
        <w:rPr>
          <w:rFonts w:hint="eastAsia" w:ascii="宋体" w:hAnsi="宋体" w:eastAsia="宋体" w:cs="宋体"/>
          <w:b/>
          <w:bCs/>
          <w:sz w:val="18"/>
          <w:szCs w:val="18"/>
          <w:highlight w:val="none"/>
        </w:rPr>
      </w:pPr>
    </w:p>
    <w:p w14:paraId="427F7837">
      <w:pPr>
        <w:pStyle w:val="113"/>
        <w:spacing w:line="360" w:lineRule="auto"/>
        <w:ind w:firstLine="112" w:firstLineChars="62"/>
        <w:jc w:val="left"/>
        <w:outlineLvl w:val="9"/>
        <w:rPr>
          <w:rFonts w:hint="eastAsia" w:ascii="宋体" w:hAnsi="宋体" w:eastAsia="宋体" w:cs="宋体"/>
          <w:b/>
          <w:bCs/>
          <w:sz w:val="18"/>
          <w:szCs w:val="18"/>
          <w:highlight w:val="none"/>
        </w:rPr>
      </w:pPr>
    </w:p>
    <w:p w14:paraId="546FF4B9">
      <w:pPr>
        <w:pStyle w:val="113"/>
        <w:spacing w:line="360" w:lineRule="auto"/>
        <w:ind w:firstLine="112" w:firstLineChars="62"/>
        <w:jc w:val="left"/>
        <w:outlineLvl w:val="9"/>
        <w:rPr>
          <w:rFonts w:hint="eastAsia" w:ascii="宋体" w:hAnsi="宋体" w:eastAsia="宋体" w:cs="宋体"/>
          <w:b/>
          <w:bCs/>
          <w:sz w:val="18"/>
          <w:szCs w:val="18"/>
          <w:highlight w:val="none"/>
        </w:rPr>
      </w:pPr>
    </w:p>
    <w:p w14:paraId="005194CD">
      <w:pPr>
        <w:pStyle w:val="113"/>
        <w:spacing w:line="360" w:lineRule="auto"/>
        <w:ind w:firstLine="112" w:firstLineChars="62"/>
        <w:jc w:val="left"/>
        <w:outlineLvl w:val="9"/>
        <w:rPr>
          <w:rFonts w:hint="eastAsia" w:ascii="宋体" w:hAnsi="宋体" w:eastAsia="宋体" w:cs="宋体"/>
          <w:b/>
          <w:bCs/>
          <w:sz w:val="18"/>
          <w:szCs w:val="18"/>
          <w:highlight w:val="none"/>
        </w:rPr>
      </w:pPr>
    </w:p>
    <w:bookmarkEnd w:id="57"/>
    <w:p w14:paraId="6F5235AA">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4E4A99C8">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202C4155">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50212D8D">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7336185C">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2E05975E">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7C47EEEB">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2F73B281">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1B45794E">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51168454">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01F1D326">
      <w:pPr>
        <w:pStyle w:val="46"/>
        <w:outlineLvl w:val="9"/>
        <w:rPr>
          <w:rFonts w:hint="eastAsia" w:ascii="宋体" w:hAnsi="宋体" w:eastAsia="宋体" w:cs="宋体"/>
          <w:highlight w:val="none"/>
          <w:lang w:val="en-US" w:eastAsia="zh-CN"/>
        </w:rPr>
      </w:pPr>
    </w:p>
    <w:p w14:paraId="5628FB85">
      <w:pPr>
        <w:numPr>
          <w:ilvl w:val="0"/>
          <w:numId w:val="0"/>
        </w:numPr>
        <w:autoSpaceDE w:val="0"/>
        <w:autoSpaceDN w:val="0"/>
        <w:adjustRightInd w:val="0"/>
        <w:snapToGrid w:val="0"/>
        <w:spacing w:line="360" w:lineRule="auto"/>
        <w:ind w:leftChars="0"/>
        <w:jc w:val="center"/>
        <w:outlineLvl w:val="9"/>
        <w:rPr>
          <w:rFonts w:hint="eastAsia" w:ascii="宋体" w:hAnsi="宋体" w:eastAsia="宋体" w:cs="宋体"/>
          <w:b/>
          <w:bCs/>
          <w:color w:val="auto"/>
          <w:sz w:val="24"/>
          <w:szCs w:val="24"/>
          <w:highlight w:val="none"/>
          <w:lang w:val="en-US" w:eastAsia="zh-CN"/>
        </w:rPr>
      </w:pPr>
    </w:p>
    <w:p w14:paraId="551ED9FE">
      <w:pPr>
        <w:pStyle w:val="46"/>
        <w:rPr>
          <w:rFonts w:hint="eastAsia" w:ascii="宋体" w:hAnsi="宋体" w:eastAsia="宋体" w:cs="宋体"/>
          <w:highlight w:val="none"/>
          <w:lang w:val="en-US" w:eastAsia="zh-CN"/>
        </w:rPr>
      </w:pPr>
    </w:p>
    <w:sectPr>
      <w:pgSz w:w="11905" w:h="16838"/>
      <w:pgMar w:top="1440" w:right="1083" w:bottom="1440" w:left="1083" w:header="850" w:footer="992" w:gutter="0"/>
      <w:pgBorders>
        <w:top w:val="none" w:sz="0" w:space="0"/>
        <w:left w:val="none" w:sz="0" w:space="0"/>
        <w:bottom w:val="none" w:sz="0" w:space="0"/>
        <w:right w:val="none" w:sz="0" w:space="0"/>
      </w:pgBorders>
      <w:pgNumType w:fmt="decimal"/>
      <w:cols w:space="0" w:num="1"/>
      <w:rtlGutter w:val="0"/>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pperplate Gothic Bold">
    <w:altName w:val="Segoe Print"/>
    <w:panose1 w:val="020E07050202060204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9D28B">
    <w:pPr>
      <w:pStyle w:val="20"/>
    </w:pPr>
    <w:r>
      <w:pict>
        <v:shape id="_x0000_s1038" o:spid="_x0000_s1038" o:spt="202" type="#_x0000_t202" style="position:absolute;left:0pt;margin-left:239.15pt;margin-top:0pt;height:12.05pt;width:12.3pt;mso-position-horizontal-relative:margin;z-index:251660288;mso-width-relative:page;mso-height-relative:page;" filled="f" stroked="f" coordsize="21600,21600">
          <v:path/>
          <v:fill on="f" focussize="0,0"/>
          <v:stroke on="f" weight="0.5pt"/>
          <v:imagedata o:title=""/>
          <o:lock v:ext="edit" aspectratio="f"/>
          <v:textbox inset="0mm,0mm,0mm,0mm">
            <w:txbxContent>
              <w:p w14:paraId="6B3553CE">
                <w:pPr>
                  <w:pStyle w:val="2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C55F9">
    <w:pPr>
      <w:pStyle w:val="14"/>
      <w:spacing w:line="209" w:lineRule="auto"/>
      <w:ind w:left="7524"/>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86358">
    <w:pPr>
      <w:pStyle w:val="20"/>
      <w:rPr>
        <w:rFonts w:hint="eastAsia" w:ascii="宋体" w:hAnsi="宋体" w:eastAsia="宋体" w:cs="宋体"/>
        <w:b/>
        <w:sz w:val="18"/>
        <w:szCs w:val="18"/>
        <w:u w:val="single"/>
        <w:lang w:val="en-US" w:eastAsia="zh-CN"/>
      </w:rPr>
    </w:pPr>
    <w:r>
      <w:rPr>
        <w:sz w:val="18"/>
      </w:rPr>
      <w:pict>
        <v:shape id="文本框 33" o:spid="_x0000_s103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0.5pt"/>
          <v:imagedata o:title=""/>
          <o:lock v:ext="edit" aspectratio="f"/>
          <v:textbox inset="0mm,0mm,0mm,0mm" style="mso-fit-shape-to-text:t;">
            <w:txbxContent>
              <w:p w14:paraId="03DE0020">
                <w:pPr>
                  <w:pStyle w:val="20"/>
                </w:pPr>
                <w:r>
                  <w:fldChar w:fldCharType="begin"/>
                </w:r>
                <w:r>
                  <w:instrText xml:space="preserve"> PAGE  \* MERGEFORMAT </w:instrText>
                </w:r>
                <w:r>
                  <w:fldChar w:fldCharType="separate"/>
                </w:r>
                <w:r>
                  <w:t>62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AC404">
    <w:pPr>
      <w:pBdr>
        <w:bottom w:val="none" w:color="auto" w:sz="0" w:space="0"/>
      </w:pBdr>
      <w:tabs>
        <w:tab w:val="left" w:pos="7751"/>
      </w:tabs>
      <w:autoSpaceDE w:val="0"/>
      <w:autoSpaceDN w:val="0"/>
      <w:adjustRightInd w:val="0"/>
      <w:snapToGrid w:val="0"/>
      <w:spacing w:line="360" w:lineRule="auto"/>
      <w:jc w:val="left"/>
      <w:rPr>
        <w:rFonts w:ascii="宋体" w:hAnsi="宋体" w:cs="宋体"/>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398FA">
    <w:pPr>
      <w:pStyle w:val="14"/>
      <w:spacing w:before="48" w:line="219" w:lineRule="auto"/>
      <w:ind w:left="908"/>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7F63B">
    <w:pPr>
      <w:spacing w:line="480" w:lineRule="exact"/>
      <w:jc w:val="left"/>
      <w:rPr>
        <w:rFonts w:hint="eastAsia"/>
        <w:u w:val="no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2E190A"/>
    <w:multiLevelType w:val="singleLevel"/>
    <w:tmpl w:val="AB2E190A"/>
    <w:lvl w:ilvl="0" w:tentative="0">
      <w:start w:val="4"/>
      <w:numFmt w:val="chineseCounting"/>
      <w:suff w:val="nothing"/>
      <w:lvlText w:val="%1、"/>
      <w:lvlJc w:val="left"/>
      <w:rPr>
        <w:rFonts w:hint="eastAsia"/>
      </w:rPr>
    </w:lvl>
  </w:abstractNum>
  <w:abstractNum w:abstractNumId="1">
    <w:nsid w:val="B1210350"/>
    <w:multiLevelType w:val="singleLevel"/>
    <w:tmpl w:val="B1210350"/>
    <w:lvl w:ilvl="0" w:tentative="0">
      <w:start w:val="8"/>
      <w:numFmt w:val="decimal"/>
      <w:suff w:val="nothing"/>
      <w:lvlText w:val="%1、"/>
      <w:lvlJc w:val="left"/>
    </w:lvl>
  </w:abstractNum>
  <w:abstractNum w:abstractNumId="2">
    <w:nsid w:val="07C5D407"/>
    <w:multiLevelType w:val="singleLevel"/>
    <w:tmpl w:val="07C5D407"/>
    <w:lvl w:ilvl="0" w:tentative="0">
      <w:start w:val="4"/>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GM4ZGQ1MjJmNGM4MzBhZTVkM2UyYzdkYzIxMmYwNDcifQ=="/>
  </w:docVars>
  <w:rsids>
    <w:rsidRoot w:val="00A84440"/>
    <w:rsid w:val="0001546A"/>
    <w:rsid w:val="00022C15"/>
    <w:rsid w:val="00060C6A"/>
    <w:rsid w:val="000748B9"/>
    <w:rsid w:val="002235CA"/>
    <w:rsid w:val="002460FD"/>
    <w:rsid w:val="00285868"/>
    <w:rsid w:val="002859C7"/>
    <w:rsid w:val="002E51F6"/>
    <w:rsid w:val="003539F6"/>
    <w:rsid w:val="00356B6E"/>
    <w:rsid w:val="003E782A"/>
    <w:rsid w:val="003F51CB"/>
    <w:rsid w:val="00467F51"/>
    <w:rsid w:val="004B0F06"/>
    <w:rsid w:val="004C0991"/>
    <w:rsid w:val="004E0B29"/>
    <w:rsid w:val="005F10A7"/>
    <w:rsid w:val="00672DD3"/>
    <w:rsid w:val="00697570"/>
    <w:rsid w:val="006B1CA0"/>
    <w:rsid w:val="00745E3A"/>
    <w:rsid w:val="00786724"/>
    <w:rsid w:val="007B704A"/>
    <w:rsid w:val="00824069"/>
    <w:rsid w:val="00855330"/>
    <w:rsid w:val="009131B3"/>
    <w:rsid w:val="00947CBE"/>
    <w:rsid w:val="009511D2"/>
    <w:rsid w:val="00997D30"/>
    <w:rsid w:val="00A84440"/>
    <w:rsid w:val="00A949E5"/>
    <w:rsid w:val="00AD6F48"/>
    <w:rsid w:val="00B13373"/>
    <w:rsid w:val="00B20E4C"/>
    <w:rsid w:val="00B449D4"/>
    <w:rsid w:val="00B56E9F"/>
    <w:rsid w:val="00B57B8C"/>
    <w:rsid w:val="00B713C6"/>
    <w:rsid w:val="00BE73AA"/>
    <w:rsid w:val="00C70B10"/>
    <w:rsid w:val="00C9031E"/>
    <w:rsid w:val="00CD4559"/>
    <w:rsid w:val="00D06B7D"/>
    <w:rsid w:val="00D802D6"/>
    <w:rsid w:val="00DC51B2"/>
    <w:rsid w:val="00DD7EFC"/>
    <w:rsid w:val="00E0770D"/>
    <w:rsid w:val="00E7495D"/>
    <w:rsid w:val="00EC45FF"/>
    <w:rsid w:val="00ED0683"/>
    <w:rsid w:val="00F32194"/>
    <w:rsid w:val="00F72543"/>
    <w:rsid w:val="00F907CF"/>
    <w:rsid w:val="010D27F1"/>
    <w:rsid w:val="01480DFF"/>
    <w:rsid w:val="01586AE3"/>
    <w:rsid w:val="015A4B05"/>
    <w:rsid w:val="016E4183"/>
    <w:rsid w:val="01713A81"/>
    <w:rsid w:val="017D3FFB"/>
    <w:rsid w:val="01807D31"/>
    <w:rsid w:val="018D43B9"/>
    <w:rsid w:val="019E5774"/>
    <w:rsid w:val="01A231DE"/>
    <w:rsid w:val="01A46C1E"/>
    <w:rsid w:val="01A9617D"/>
    <w:rsid w:val="01B33705"/>
    <w:rsid w:val="01B83832"/>
    <w:rsid w:val="01C16479"/>
    <w:rsid w:val="01CF2CE7"/>
    <w:rsid w:val="01D95CD3"/>
    <w:rsid w:val="01E7253C"/>
    <w:rsid w:val="01EC5E02"/>
    <w:rsid w:val="01ED7BF4"/>
    <w:rsid w:val="01F358BB"/>
    <w:rsid w:val="01FB789C"/>
    <w:rsid w:val="021419D5"/>
    <w:rsid w:val="02197A52"/>
    <w:rsid w:val="02215F9B"/>
    <w:rsid w:val="02282528"/>
    <w:rsid w:val="023A109F"/>
    <w:rsid w:val="023E7D7D"/>
    <w:rsid w:val="02516F37"/>
    <w:rsid w:val="027116A8"/>
    <w:rsid w:val="027E086D"/>
    <w:rsid w:val="02817B2D"/>
    <w:rsid w:val="029902F9"/>
    <w:rsid w:val="02BB2121"/>
    <w:rsid w:val="02BE7483"/>
    <w:rsid w:val="02C10E79"/>
    <w:rsid w:val="02C70845"/>
    <w:rsid w:val="02D04586"/>
    <w:rsid w:val="02D8494F"/>
    <w:rsid w:val="03092093"/>
    <w:rsid w:val="03095D43"/>
    <w:rsid w:val="03186F19"/>
    <w:rsid w:val="031A3C3A"/>
    <w:rsid w:val="032837C4"/>
    <w:rsid w:val="03293F8C"/>
    <w:rsid w:val="033E1E33"/>
    <w:rsid w:val="03417C9C"/>
    <w:rsid w:val="0342050E"/>
    <w:rsid w:val="03605DB0"/>
    <w:rsid w:val="036D1364"/>
    <w:rsid w:val="036E5BC2"/>
    <w:rsid w:val="037800D1"/>
    <w:rsid w:val="037C5CEE"/>
    <w:rsid w:val="03826335"/>
    <w:rsid w:val="03936CB9"/>
    <w:rsid w:val="03AC5239"/>
    <w:rsid w:val="03AE0DCE"/>
    <w:rsid w:val="03B618D8"/>
    <w:rsid w:val="03B77FA7"/>
    <w:rsid w:val="03C150DC"/>
    <w:rsid w:val="03DA0B69"/>
    <w:rsid w:val="04003C23"/>
    <w:rsid w:val="040C6A6B"/>
    <w:rsid w:val="040D4B87"/>
    <w:rsid w:val="041D3672"/>
    <w:rsid w:val="04402271"/>
    <w:rsid w:val="044027C8"/>
    <w:rsid w:val="04470429"/>
    <w:rsid w:val="045F5D29"/>
    <w:rsid w:val="046668FA"/>
    <w:rsid w:val="0480770A"/>
    <w:rsid w:val="04896540"/>
    <w:rsid w:val="04903C3B"/>
    <w:rsid w:val="0499075E"/>
    <w:rsid w:val="04B94DDB"/>
    <w:rsid w:val="04D87D09"/>
    <w:rsid w:val="04E60015"/>
    <w:rsid w:val="04F30E8F"/>
    <w:rsid w:val="05035918"/>
    <w:rsid w:val="052B48F3"/>
    <w:rsid w:val="05345E23"/>
    <w:rsid w:val="05447617"/>
    <w:rsid w:val="055C132D"/>
    <w:rsid w:val="05612D5C"/>
    <w:rsid w:val="0568156A"/>
    <w:rsid w:val="05711FB2"/>
    <w:rsid w:val="0578208C"/>
    <w:rsid w:val="05832B7B"/>
    <w:rsid w:val="058F4D00"/>
    <w:rsid w:val="05967EC0"/>
    <w:rsid w:val="05B8119E"/>
    <w:rsid w:val="05F61781"/>
    <w:rsid w:val="05FE1243"/>
    <w:rsid w:val="060519C4"/>
    <w:rsid w:val="06086E60"/>
    <w:rsid w:val="062136F3"/>
    <w:rsid w:val="06272172"/>
    <w:rsid w:val="0631251E"/>
    <w:rsid w:val="06425DF2"/>
    <w:rsid w:val="06523E4A"/>
    <w:rsid w:val="06577274"/>
    <w:rsid w:val="065D3727"/>
    <w:rsid w:val="066E57BB"/>
    <w:rsid w:val="067D77AC"/>
    <w:rsid w:val="068F747E"/>
    <w:rsid w:val="06915006"/>
    <w:rsid w:val="06CB2C3C"/>
    <w:rsid w:val="06E02BDE"/>
    <w:rsid w:val="070A6DD4"/>
    <w:rsid w:val="070C205C"/>
    <w:rsid w:val="07527D42"/>
    <w:rsid w:val="075947D4"/>
    <w:rsid w:val="075B6041"/>
    <w:rsid w:val="077605A6"/>
    <w:rsid w:val="0784476D"/>
    <w:rsid w:val="079115BF"/>
    <w:rsid w:val="07921DD3"/>
    <w:rsid w:val="07927288"/>
    <w:rsid w:val="079C3412"/>
    <w:rsid w:val="07A37DE4"/>
    <w:rsid w:val="07B2792A"/>
    <w:rsid w:val="07B35B09"/>
    <w:rsid w:val="07DE071F"/>
    <w:rsid w:val="07F27D26"/>
    <w:rsid w:val="08051C5A"/>
    <w:rsid w:val="08163C13"/>
    <w:rsid w:val="082668CB"/>
    <w:rsid w:val="08346591"/>
    <w:rsid w:val="085064AE"/>
    <w:rsid w:val="085167FA"/>
    <w:rsid w:val="08531325"/>
    <w:rsid w:val="08537F5A"/>
    <w:rsid w:val="089606F3"/>
    <w:rsid w:val="089A2C23"/>
    <w:rsid w:val="08A07782"/>
    <w:rsid w:val="08A944E3"/>
    <w:rsid w:val="08AB6853"/>
    <w:rsid w:val="08B8381A"/>
    <w:rsid w:val="08BE54ED"/>
    <w:rsid w:val="08C109ED"/>
    <w:rsid w:val="08C6709D"/>
    <w:rsid w:val="08C90489"/>
    <w:rsid w:val="09047D11"/>
    <w:rsid w:val="090965BC"/>
    <w:rsid w:val="09546F1F"/>
    <w:rsid w:val="09581A42"/>
    <w:rsid w:val="0958312C"/>
    <w:rsid w:val="0962743E"/>
    <w:rsid w:val="09627E30"/>
    <w:rsid w:val="09987DF8"/>
    <w:rsid w:val="09A2368C"/>
    <w:rsid w:val="09B44B9E"/>
    <w:rsid w:val="09B809E6"/>
    <w:rsid w:val="09BE1293"/>
    <w:rsid w:val="09CB6A81"/>
    <w:rsid w:val="09CF4596"/>
    <w:rsid w:val="09CF5A25"/>
    <w:rsid w:val="09DD6936"/>
    <w:rsid w:val="09DE4A06"/>
    <w:rsid w:val="09DF3FF7"/>
    <w:rsid w:val="09E65669"/>
    <w:rsid w:val="09E71B0D"/>
    <w:rsid w:val="09E760F2"/>
    <w:rsid w:val="09E834A3"/>
    <w:rsid w:val="09EE5D88"/>
    <w:rsid w:val="09F37096"/>
    <w:rsid w:val="0A0E08CC"/>
    <w:rsid w:val="0A28136B"/>
    <w:rsid w:val="0A3C3AE5"/>
    <w:rsid w:val="0A436F33"/>
    <w:rsid w:val="0A4776C5"/>
    <w:rsid w:val="0A5D0207"/>
    <w:rsid w:val="0A607A63"/>
    <w:rsid w:val="0A6F1586"/>
    <w:rsid w:val="0A6F38B0"/>
    <w:rsid w:val="0A706E94"/>
    <w:rsid w:val="0A71572F"/>
    <w:rsid w:val="0ACC3F78"/>
    <w:rsid w:val="0ADC4954"/>
    <w:rsid w:val="0B161F7E"/>
    <w:rsid w:val="0B1A68A1"/>
    <w:rsid w:val="0B1D6B03"/>
    <w:rsid w:val="0B325D8C"/>
    <w:rsid w:val="0B723DF9"/>
    <w:rsid w:val="0B765CEB"/>
    <w:rsid w:val="0B8D43EA"/>
    <w:rsid w:val="0B9C6B57"/>
    <w:rsid w:val="0BCF0AAA"/>
    <w:rsid w:val="0BFD51C9"/>
    <w:rsid w:val="0C0D430E"/>
    <w:rsid w:val="0C2105F2"/>
    <w:rsid w:val="0C664E3A"/>
    <w:rsid w:val="0C6761D2"/>
    <w:rsid w:val="0C7A4018"/>
    <w:rsid w:val="0C7E7DDA"/>
    <w:rsid w:val="0C8A6DA2"/>
    <w:rsid w:val="0C8B7FE0"/>
    <w:rsid w:val="0C8E2259"/>
    <w:rsid w:val="0C955C3D"/>
    <w:rsid w:val="0CB077C6"/>
    <w:rsid w:val="0CF37CB1"/>
    <w:rsid w:val="0CF84B81"/>
    <w:rsid w:val="0D294FEE"/>
    <w:rsid w:val="0D2A6323"/>
    <w:rsid w:val="0D530C94"/>
    <w:rsid w:val="0D5610F0"/>
    <w:rsid w:val="0D631756"/>
    <w:rsid w:val="0D631E3D"/>
    <w:rsid w:val="0D64141D"/>
    <w:rsid w:val="0DB55FCD"/>
    <w:rsid w:val="0DC23F70"/>
    <w:rsid w:val="0DC3621A"/>
    <w:rsid w:val="0DD6302F"/>
    <w:rsid w:val="0DF04024"/>
    <w:rsid w:val="0DF47D92"/>
    <w:rsid w:val="0E093E3E"/>
    <w:rsid w:val="0E0D3B9C"/>
    <w:rsid w:val="0E0E2B8B"/>
    <w:rsid w:val="0E0E518E"/>
    <w:rsid w:val="0E142E75"/>
    <w:rsid w:val="0E36344C"/>
    <w:rsid w:val="0E3735F7"/>
    <w:rsid w:val="0E3B23EB"/>
    <w:rsid w:val="0E407A3D"/>
    <w:rsid w:val="0E423AA4"/>
    <w:rsid w:val="0E455054"/>
    <w:rsid w:val="0E4905C2"/>
    <w:rsid w:val="0E4A4418"/>
    <w:rsid w:val="0E5264AB"/>
    <w:rsid w:val="0E587199"/>
    <w:rsid w:val="0E5F2C9B"/>
    <w:rsid w:val="0E615B24"/>
    <w:rsid w:val="0E704DA5"/>
    <w:rsid w:val="0E7650AE"/>
    <w:rsid w:val="0E807BFA"/>
    <w:rsid w:val="0E905402"/>
    <w:rsid w:val="0E941B37"/>
    <w:rsid w:val="0EA174D3"/>
    <w:rsid w:val="0EAE25D3"/>
    <w:rsid w:val="0EB168FC"/>
    <w:rsid w:val="0ECC25F6"/>
    <w:rsid w:val="0ED67855"/>
    <w:rsid w:val="0EE23E08"/>
    <w:rsid w:val="0EF20BD2"/>
    <w:rsid w:val="0F1E69CF"/>
    <w:rsid w:val="0F4276A3"/>
    <w:rsid w:val="0F4470B9"/>
    <w:rsid w:val="0F5B603D"/>
    <w:rsid w:val="0F604C7C"/>
    <w:rsid w:val="0F660523"/>
    <w:rsid w:val="0F6C03BE"/>
    <w:rsid w:val="0F6C7BF8"/>
    <w:rsid w:val="0F715B94"/>
    <w:rsid w:val="0F8B7C9C"/>
    <w:rsid w:val="0FA236FB"/>
    <w:rsid w:val="0FA7589A"/>
    <w:rsid w:val="0FA77012"/>
    <w:rsid w:val="0FB81AA0"/>
    <w:rsid w:val="0FBB0613"/>
    <w:rsid w:val="0FCD3500"/>
    <w:rsid w:val="0FDB43BB"/>
    <w:rsid w:val="0FDD54DB"/>
    <w:rsid w:val="0FE6723A"/>
    <w:rsid w:val="0FFD62A7"/>
    <w:rsid w:val="0FFD71D9"/>
    <w:rsid w:val="10047AAA"/>
    <w:rsid w:val="10087E36"/>
    <w:rsid w:val="101F3F98"/>
    <w:rsid w:val="102101D6"/>
    <w:rsid w:val="10294501"/>
    <w:rsid w:val="10417A9D"/>
    <w:rsid w:val="1044565B"/>
    <w:rsid w:val="104672A8"/>
    <w:rsid w:val="10596055"/>
    <w:rsid w:val="107508F4"/>
    <w:rsid w:val="10761327"/>
    <w:rsid w:val="107A2E63"/>
    <w:rsid w:val="107E1B08"/>
    <w:rsid w:val="108579EA"/>
    <w:rsid w:val="108F0465"/>
    <w:rsid w:val="10991687"/>
    <w:rsid w:val="10A1053B"/>
    <w:rsid w:val="10B50844"/>
    <w:rsid w:val="10E83678"/>
    <w:rsid w:val="10EC17B7"/>
    <w:rsid w:val="10F1501F"/>
    <w:rsid w:val="10FC17D7"/>
    <w:rsid w:val="11005A08"/>
    <w:rsid w:val="11013717"/>
    <w:rsid w:val="112D042F"/>
    <w:rsid w:val="11364558"/>
    <w:rsid w:val="113C422B"/>
    <w:rsid w:val="113D6271"/>
    <w:rsid w:val="113E78C9"/>
    <w:rsid w:val="114D1D7A"/>
    <w:rsid w:val="115B4B8E"/>
    <w:rsid w:val="115E53A8"/>
    <w:rsid w:val="116247D5"/>
    <w:rsid w:val="119C0E05"/>
    <w:rsid w:val="11AA7E96"/>
    <w:rsid w:val="11AE1B67"/>
    <w:rsid w:val="11B94DC7"/>
    <w:rsid w:val="11BC24DB"/>
    <w:rsid w:val="11C67546"/>
    <w:rsid w:val="11D7197F"/>
    <w:rsid w:val="11DC18F7"/>
    <w:rsid w:val="11E82A45"/>
    <w:rsid w:val="11F8418B"/>
    <w:rsid w:val="1208568C"/>
    <w:rsid w:val="12091A1E"/>
    <w:rsid w:val="12153E86"/>
    <w:rsid w:val="12656915"/>
    <w:rsid w:val="12714A71"/>
    <w:rsid w:val="12877A7C"/>
    <w:rsid w:val="1289059B"/>
    <w:rsid w:val="12922016"/>
    <w:rsid w:val="129B2CFA"/>
    <w:rsid w:val="12A300E0"/>
    <w:rsid w:val="12BB3CEC"/>
    <w:rsid w:val="12C72243"/>
    <w:rsid w:val="12D7693E"/>
    <w:rsid w:val="12E67CF3"/>
    <w:rsid w:val="12E818E6"/>
    <w:rsid w:val="12F40E85"/>
    <w:rsid w:val="13004E02"/>
    <w:rsid w:val="13040F60"/>
    <w:rsid w:val="130C1A4F"/>
    <w:rsid w:val="13172FD4"/>
    <w:rsid w:val="131C06A6"/>
    <w:rsid w:val="131D034D"/>
    <w:rsid w:val="13247033"/>
    <w:rsid w:val="132879F5"/>
    <w:rsid w:val="133277CB"/>
    <w:rsid w:val="13633D80"/>
    <w:rsid w:val="13653AF6"/>
    <w:rsid w:val="137402A3"/>
    <w:rsid w:val="1389051A"/>
    <w:rsid w:val="13B27BFA"/>
    <w:rsid w:val="13C05A49"/>
    <w:rsid w:val="13D824C6"/>
    <w:rsid w:val="13E07A21"/>
    <w:rsid w:val="13E123A3"/>
    <w:rsid w:val="13ED103A"/>
    <w:rsid w:val="13F52F1C"/>
    <w:rsid w:val="140308C0"/>
    <w:rsid w:val="141A663B"/>
    <w:rsid w:val="142676D5"/>
    <w:rsid w:val="143A301E"/>
    <w:rsid w:val="143C2A55"/>
    <w:rsid w:val="143E61A2"/>
    <w:rsid w:val="144578B8"/>
    <w:rsid w:val="14457B6C"/>
    <w:rsid w:val="14504752"/>
    <w:rsid w:val="145F3940"/>
    <w:rsid w:val="1462767D"/>
    <w:rsid w:val="14696DEB"/>
    <w:rsid w:val="146D04CF"/>
    <w:rsid w:val="147C6ACF"/>
    <w:rsid w:val="14976AED"/>
    <w:rsid w:val="14A95C11"/>
    <w:rsid w:val="14AD0E09"/>
    <w:rsid w:val="14C333D3"/>
    <w:rsid w:val="14CF1B1B"/>
    <w:rsid w:val="14D40EDF"/>
    <w:rsid w:val="14D74695"/>
    <w:rsid w:val="14E5579B"/>
    <w:rsid w:val="14F904F2"/>
    <w:rsid w:val="15021298"/>
    <w:rsid w:val="151311B9"/>
    <w:rsid w:val="15252F6E"/>
    <w:rsid w:val="152C0155"/>
    <w:rsid w:val="15432940"/>
    <w:rsid w:val="15463D55"/>
    <w:rsid w:val="15466C5C"/>
    <w:rsid w:val="15470D98"/>
    <w:rsid w:val="15483721"/>
    <w:rsid w:val="15520146"/>
    <w:rsid w:val="15712BD2"/>
    <w:rsid w:val="157C3865"/>
    <w:rsid w:val="157E6EF5"/>
    <w:rsid w:val="15811600"/>
    <w:rsid w:val="15827A2D"/>
    <w:rsid w:val="15931171"/>
    <w:rsid w:val="159A0E95"/>
    <w:rsid w:val="159A5940"/>
    <w:rsid w:val="15A436FE"/>
    <w:rsid w:val="15C10C10"/>
    <w:rsid w:val="15C471A6"/>
    <w:rsid w:val="15C961D6"/>
    <w:rsid w:val="15D253C1"/>
    <w:rsid w:val="16180D87"/>
    <w:rsid w:val="161818C2"/>
    <w:rsid w:val="163836F0"/>
    <w:rsid w:val="164E3194"/>
    <w:rsid w:val="167239C8"/>
    <w:rsid w:val="16831504"/>
    <w:rsid w:val="16886C7E"/>
    <w:rsid w:val="168F3E59"/>
    <w:rsid w:val="169A5732"/>
    <w:rsid w:val="16A873A9"/>
    <w:rsid w:val="16A94356"/>
    <w:rsid w:val="16AD3796"/>
    <w:rsid w:val="16BD71FA"/>
    <w:rsid w:val="16CC243A"/>
    <w:rsid w:val="16D03928"/>
    <w:rsid w:val="16D868B5"/>
    <w:rsid w:val="16DB1064"/>
    <w:rsid w:val="16E40FD1"/>
    <w:rsid w:val="16E93B85"/>
    <w:rsid w:val="16FA7866"/>
    <w:rsid w:val="1703195F"/>
    <w:rsid w:val="1716448B"/>
    <w:rsid w:val="171A107D"/>
    <w:rsid w:val="172702F9"/>
    <w:rsid w:val="1736778D"/>
    <w:rsid w:val="174B1E02"/>
    <w:rsid w:val="175207E1"/>
    <w:rsid w:val="175F053F"/>
    <w:rsid w:val="176302F9"/>
    <w:rsid w:val="1773702B"/>
    <w:rsid w:val="17882A99"/>
    <w:rsid w:val="17911433"/>
    <w:rsid w:val="17942BA8"/>
    <w:rsid w:val="17966A62"/>
    <w:rsid w:val="17A76437"/>
    <w:rsid w:val="17B44FF8"/>
    <w:rsid w:val="17B45694"/>
    <w:rsid w:val="17B832FA"/>
    <w:rsid w:val="17BA42FC"/>
    <w:rsid w:val="17C22731"/>
    <w:rsid w:val="17C54C25"/>
    <w:rsid w:val="17DD14FB"/>
    <w:rsid w:val="17ED05B2"/>
    <w:rsid w:val="18091052"/>
    <w:rsid w:val="181450B1"/>
    <w:rsid w:val="181A12FF"/>
    <w:rsid w:val="1836060A"/>
    <w:rsid w:val="183A3F91"/>
    <w:rsid w:val="18443271"/>
    <w:rsid w:val="184E6AD7"/>
    <w:rsid w:val="185C38AC"/>
    <w:rsid w:val="186A6809"/>
    <w:rsid w:val="18714833"/>
    <w:rsid w:val="1872696E"/>
    <w:rsid w:val="189E2EB0"/>
    <w:rsid w:val="18E4359C"/>
    <w:rsid w:val="18EF453A"/>
    <w:rsid w:val="18F77B31"/>
    <w:rsid w:val="190220D0"/>
    <w:rsid w:val="190A7579"/>
    <w:rsid w:val="191D5754"/>
    <w:rsid w:val="1921046B"/>
    <w:rsid w:val="192114FB"/>
    <w:rsid w:val="192545AC"/>
    <w:rsid w:val="197956A8"/>
    <w:rsid w:val="197E6DD4"/>
    <w:rsid w:val="19AA43A1"/>
    <w:rsid w:val="19D0249E"/>
    <w:rsid w:val="19D54944"/>
    <w:rsid w:val="19E25463"/>
    <w:rsid w:val="19E35721"/>
    <w:rsid w:val="19EA091A"/>
    <w:rsid w:val="1A0A3536"/>
    <w:rsid w:val="1A29344F"/>
    <w:rsid w:val="1A2E3231"/>
    <w:rsid w:val="1A450189"/>
    <w:rsid w:val="1A64600A"/>
    <w:rsid w:val="1A7A7E33"/>
    <w:rsid w:val="1A7F15CF"/>
    <w:rsid w:val="1A840CB2"/>
    <w:rsid w:val="1A855759"/>
    <w:rsid w:val="1A9118E5"/>
    <w:rsid w:val="1A9D2505"/>
    <w:rsid w:val="1AA46B7C"/>
    <w:rsid w:val="1ABB70D6"/>
    <w:rsid w:val="1AC24814"/>
    <w:rsid w:val="1ACA4FC7"/>
    <w:rsid w:val="1AED21F8"/>
    <w:rsid w:val="1B0407E9"/>
    <w:rsid w:val="1B2B3E4E"/>
    <w:rsid w:val="1B59191A"/>
    <w:rsid w:val="1B5B084B"/>
    <w:rsid w:val="1B6E32E6"/>
    <w:rsid w:val="1B7E5EA7"/>
    <w:rsid w:val="1B9E2247"/>
    <w:rsid w:val="1BA937B6"/>
    <w:rsid w:val="1BB165EE"/>
    <w:rsid w:val="1BB17FC3"/>
    <w:rsid w:val="1BC37636"/>
    <w:rsid w:val="1BCA4DEA"/>
    <w:rsid w:val="1BE97768"/>
    <w:rsid w:val="1BF51F40"/>
    <w:rsid w:val="1C1E60D1"/>
    <w:rsid w:val="1C2909FB"/>
    <w:rsid w:val="1C333CEA"/>
    <w:rsid w:val="1C5648D0"/>
    <w:rsid w:val="1C651780"/>
    <w:rsid w:val="1C671E2E"/>
    <w:rsid w:val="1C7F1253"/>
    <w:rsid w:val="1C81671C"/>
    <w:rsid w:val="1C893999"/>
    <w:rsid w:val="1C8A2B1B"/>
    <w:rsid w:val="1CA636AB"/>
    <w:rsid w:val="1CA67BB3"/>
    <w:rsid w:val="1CAD0039"/>
    <w:rsid w:val="1CAF08DC"/>
    <w:rsid w:val="1CBF0FDC"/>
    <w:rsid w:val="1CE46824"/>
    <w:rsid w:val="1CF2284B"/>
    <w:rsid w:val="1CF40023"/>
    <w:rsid w:val="1D075DDA"/>
    <w:rsid w:val="1D133A4E"/>
    <w:rsid w:val="1D184A7F"/>
    <w:rsid w:val="1D2F2A91"/>
    <w:rsid w:val="1D360951"/>
    <w:rsid w:val="1D392227"/>
    <w:rsid w:val="1D3A5E1A"/>
    <w:rsid w:val="1D4517BD"/>
    <w:rsid w:val="1D52145A"/>
    <w:rsid w:val="1D6C318A"/>
    <w:rsid w:val="1D76079A"/>
    <w:rsid w:val="1DAD5B23"/>
    <w:rsid w:val="1DAD6772"/>
    <w:rsid w:val="1DB06039"/>
    <w:rsid w:val="1DD1752B"/>
    <w:rsid w:val="1DD42CF7"/>
    <w:rsid w:val="1E041B92"/>
    <w:rsid w:val="1E1203F1"/>
    <w:rsid w:val="1E234C86"/>
    <w:rsid w:val="1E3F266D"/>
    <w:rsid w:val="1E4E0CDC"/>
    <w:rsid w:val="1E4F5DA7"/>
    <w:rsid w:val="1E5B441F"/>
    <w:rsid w:val="1E666C88"/>
    <w:rsid w:val="1E68725C"/>
    <w:rsid w:val="1E731D80"/>
    <w:rsid w:val="1E8225B1"/>
    <w:rsid w:val="1E830BEE"/>
    <w:rsid w:val="1EC505C8"/>
    <w:rsid w:val="1EC77148"/>
    <w:rsid w:val="1EC952E4"/>
    <w:rsid w:val="1ED07CDE"/>
    <w:rsid w:val="1ED8052A"/>
    <w:rsid w:val="1EDD3086"/>
    <w:rsid w:val="1EED5C3E"/>
    <w:rsid w:val="1EFC02EC"/>
    <w:rsid w:val="1F0041C9"/>
    <w:rsid w:val="1F1A7EE6"/>
    <w:rsid w:val="1F1C2E7A"/>
    <w:rsid w:val="1F3235C7"/>
    <w:rsid w:val="1F340E8C"/>
    <w:rsid w:val="1F4568B4"/>
    <w:rsid w:val="1F495E2D"/>
    <w:rsid w:val="1F4F310F"/>
    <w:rsid w:val="1F5538F8"/>
    <w:rsid w:val="1F644D8F"/>
    <w:rsid w:val="1F645556"/>
    <w:rsid w:val="1F823B25"/>
    <w:rsid w:val="1F8564C1"/>
    <w:rsid w:val="1F9A6C9A"/>
    <w:rsid w:val="1FA01F35"/>
    <w:rsid w:val="1FAF1646"/>
    <w:rsid w:val="1FB3754C"/>
    <w:rsid w:val="1FB7219A"/>
    <w:rsid w:val="1FB936D8"/>
    <w:rsid w:val="1FC102B2"/>
    <w:rsid w:val="1FC15C8E"/>
    <w:rsid w:val="1FF54D23"/>
    <w:rsid w:val="200603BB"/>
    <w:rsid w:val="201523AC"/>
    <w:rsid w:val="20176124"/>
    <w:rsid w:val="202F66DE"/>
    <w:rsid w:val="20331FDE"/>
    <w:rsid w:val="203C3307"/>
    <w:rsid w:val="20503B27"/>
    <w:rsid w:val="20760DAF"/>
    <w:rsid w:val="2076109D"/>
    <w:rsid w:val="207E2A9A"/>
    <w:rsid w:val="20877A0A"/>
    <w:rsid w:val="209064A4"/>
    <w:rsid w:val="209A422E"/>
    <w:rsid w:val="209B4FA7"/>
    <w:rsid w:val="209B7D41"/>
    <w:rsid w:val="20AD18D5"/>
    <w:rsid w:val="20B35E4D"/>
    <w:rsid w:val="20B87907"/>
    <w:rsid w:val="20BD4F1E"/>
    <w:rsid w:val="20CB28D0"/>
    <w:rsid w:val="20EC261A"/>
    <w:rsid w:val="20FD78FD"/>
    <w:rsid w:val="210C3DD9"/>
    <w:rsid w:val="212B00D9"/>
    <w:rsid w:val="212F46AC"/>
    <w:rsid w:val="21486199"/>
    <w:rsid w:val="215B0A91"/>
    <w:rsid w:val="215B266A"/>
    <w:rsid w:val="215D6296"/>
    <w:rsid w:val="21675D95"/>
    <w:rsid w:val="21740A99"/>
    <w:rsid w:val="21754990"/>
    <w:rsid w:val="217F60FB"/>
    <w:rsid w:val="21B6200A"/>
    <w:rsid w:val="21BF0821"/>
    <w:rsid w:val="21CD6156"/>
    <w:rsid w:val="22056FFF"/>
    <w:rsid w:val="22301FFE"/>
    <w:rsid w:val="2234778F"/>
    <w:rsid w:val="22394A78"/>
    <w:rsid w:val="223B7A07"/>
    <w:rsid w:val="224008DF"/>
    <w:rsid w:val="22433200"/>
    <w:rsid w:val="22631234"/>
    <w:rsid w:val="22643CC6"/>
    <w:rsid w:val="22685F1F"/>
    <w:rsid w:val="22731C70"/>
    <w:rsid w:val="227E5CD6"/>
    <w:rsid w:val="22921AEA"/>
    <w:rsid w:val="229E0130"/>
    <w:rsid w:val="229F3892"/>
    <w:rsid w:val="22B57811"/>
    <w:rsid w:val="22BA7397"/>
    <w:rsid w:val="22BD6699"/>
    <w:rsid w:val="22C405FB"/>
    <w:rsid w:val="22CD66D7"/>
    <w:rsid w:val="22EF44D4"/>
    <w:rsid w:val="22FF444C"/>
    <w:rsid w:val="230918EE"/>
    <w:rsid w:val="230F0DC0"/>
    <w:rsid w:val="231876B1"/>
    <w:rsid w:val="234731C4"/>
    <w:rsid w:val="238334F1"/>
    <w:rsid w:val="2384367C"/>
    <w:rsid w:val="239F4DAE"/>
    <w:rsid w:val="23E16C45"/>
    <w:rsid w:val="23EB3B50"/>
    <w:rsid w:val="23EB5C71"/>
    <w:rsid w:val="24061C31"/>
    <w:rsid w:val="24090145"/>
    <w:rsid w:val="24092228"/>
    <w:rsid w:val="240B01B9"/>
    <w:rsid w:val="240F0A33"/>
    <w:rsid w:val="24193759"/>
    <w:rsid w:val="241C56DC"/>
    <w:rsid w:val="242B2FBB"/>
    <w:rsid w:val="242D26AE"/>
    <w:rsid w:val="24497105"/>
    <w:rsid w:val="244F3588"/>
    <w:rsid w:val="245A7BFC"/>
    <w:rsid w:val="245B6F15"/>
    <w:rsid w:val="247012BD"/>
    <w:rsid w:val="24796E1D"/>
    <w:rsid w:val="247D4D6D"/>
    <w:rsid w:val="248D2791"/>
    <w:rsid w:val="2492046F"/>
    <w:rsid w:val="24960870"/>
    <w:rsid w:val="24A91D5A"/>
    <w:rsid w:val="24AF7DEF"/>
    <w:rsid w:val="24B03FBE"/>
    <w:rsid w:val="24B86A96"/>
    <w:rsid w:val="24BF6DB7"/>
    <w:rsid w:val="24CF65BB"/>
    <w:rsid w:val="24E12F33"/>
    <w:rsid w:val="24E8116F"/>
    <w:rsid w:val="25104604"/>
    <w:rsid w:val="251B7F4A"/>
    <w:rsid w:val="25323618"/>
    <w:rsid w:val="25535226"/>
    <w:rsid w:val="25582243"/>
    <w:rsid w:val="255864EE"/>
    <w:rsid w:val="25627BD7"/>
    <w:rsid w:val="25675DCF"/>
    <w:rsid w:val="2572090E"/>
    <w:rsid w:val="2576620A"/>
    <w:rsid w:val="2580651A"/>
    <w:rsid w:val="25817AB4"/>
    <w:rsid w:val="2584691B"/>
    <w:rsid w:val="25952534"/>
    <w:rsid w:val="25B552DD"/>
    <w:rsid w:val="25D160C1"/>
    <w:rsid w:val="25F413E1"/>
    <w:rsid w:val="260570C1"/>
    <w:rsid w:val="26142550"/>
    <w:rsid w:val="261A6F40"/>
    <w:rsid w:val="262033DF"/>
    <w:rsid w:val="262703CA"/>
    <w:rsid w:val="267B6992"/>
    <w:rsid w:val="26972385"/>
    <w:rsid w:val="26AA332E"/>
    <w:rsid w:val="26B10937"/>
    <w:rsid w:val="26B351CA"/>
    <w:rsid w:val="26D3555C"/>
    <w:rsid w:val="26D36683"/>
    <w:rsid w:val="26E762C2"/>
    <w:rsid w:val="26FB0A95"/>
    <w:rsid w:val="270218DC"/>
    <w:rsid w:val="27047A95"/>
    <w:rsid w:val="271505FC"/>
    <w:rsid w:val="271C5AFF"/>
    <w:rsid w:val="271F411F"/>
    <w:rsid w:val="275E35D3"/>
    <w:rsid w:val="276F0942"/>
    <w:rsid w:val="278A01F2"/>
    <w:rsid w:val="278E3966"/>
    <w:rsid w:val="27AA747A"/>
    <w:rsid w:val="27AE03E6"/>
    <w:rsid w:val="27EE0E73"/>
    <w:rsid w:val="27F53EDA"/>
    <w:rsid w:val="282802D3"/>
    <w:rsid w:val="28280DAB"/>
    <w:rsid w:val="284D1922"/>
    <w:rsid w:val="285154BE"/>
    <w:rsid w:val="28542E7E"/>
    <w:rsid w:val="285C1665"/>
    <w:rsid w:val="28696BD5"/>
    <w:rsid w:val="286A2C28"/>
    <w:rsid w:val="286B21EF"/>
    <w:rsid w:val="286C1B8F"/>
    <w:rsid w:val="286F11F3"/>
    <w:rsid w:val="287830DC"/>
    <w:rsid w:val="288620D6"/>
    <w:rsid w:val="28915067"/>
    <w:rsid w:val="28935428"/>
    <w:rsid w:val="28A22DB0"/>
    <w:rsid w:val="28C12A86"/>
    <w:rsid w:val="28CD679E"/>
    <w:rsid w:val="28DF6033"/>
    <w:rsid w:val="28E00995"/>
    <w:rsid w:val="28E03517"/>
    <w:rsid w:val="28E57F0B"/>
    <w:rsid w:val="29181130"/>
    <w:rsid w:val="29254754"/>
    <w:rsid w:val="29345F99"/>
    <w:rsid w:val="29502EAD"/>
    <w:rsid w:val="295C77CB"/>
    <w:rsid w:val="29620AD7"/>
    <w:rsid w:val="29644102"/>
    <w:rsid w:val="297A3D32"/>
    <w:rsid w:val="297E0477"/>
    <w:rsid w:val="298019D5"/>
    <w:rsid w:val="298E03F6"/>
    <w:rsid w:val="29AA75EE"/>
    <w:rsid w:val="29D416A5"/>
    <w:rsid w:val="29D6562C"/>
    <w:rsid w:val="29E930F9"/>
    <w:rsid w:val="29F93AB7"/>
    <w:rsid w:val="2A0B619B"/>
    <w:rsid w:val="2A0F0615"/>
    <w:rsid w:val="2A114A44"/>
    <w:rsid w:val="2A2E0410"/>
    <w:rsid w:val="2A367385"/>
    <w:rsid w:val="2A445A87"/>
    <w:rsid w:val="2A5104BE"/>
    <w:rsid w:val="2A5825F5"/>
    <w:rsid w:val="2A5B2859"/>
    <w:rsid w:val="2A5C57A7"/>
    <w:rsid w:val="2A954815"/>
    <w:rsid w:val="2AAE6165"/>
    <w:rsid w:val="2ABA4037"/>
    <w:rsid w:val="2ABB31F6"/>
    <w:rsid w:val="2AC8405B"/>
    <w:rsid w:val="2ACE6F0B"/>
    <w:rsid w:val="2AD25A69"/>
    <w:rsid w:val="2ADD72DC"/>
    <w:rsid w:val="2AE41E8F"/>
    <w:rsid w:val="2AE6031D"/>
    <w:rsid w:val="2B0C3F25"/>
    <w:rsid w:val="2B273505"/>
    <w:rsid w:val="2B392BE9"/>
    <w:rsid w:val="2B44189D"/>
    <w:rsid w:val="2B563FA5"/>
    <w:rsid w:val="2B73124F"/>
    <w:rsid w:val="2B844B4D"/>
    <w:rsid w:val="2B886128"/>
    <w:rsid w:val="2B8D7F86"/>
    <w:rsid w:val="2BA0419B"/>
    <w:rsid w:val="2BAA2837"/>
    <w:rsid w:val="2BAF4B3C"/>
    <w:rsid w:val="2BC83E65"/>
    <w:rsid w:val="2BCD3CB6"/>
    <w:rsid w:val="2BD35DA8"/>
    <w:rsid w:val="2BE813F9"/>
    <w:rsid w:val="2BEF3475"/>
    <w:rsid w:val="2BFD2871"/>
    <w:rsid w:val="2C0D4BB4"/>
    <w:rsid w:val="2C103117"/>
    <w:rsid w:val="2C180F05"/>
    <w:rsid w:val="2C1E143B"/>
    <w:rsid w:val="2C251BC9"/>
    <w:rsid w:val="2C3C7780"/>
    <w:rsid w:val="2C3D643B"/>
    <w:rsid w:val="2C4C7535"/>
    <w:rsid w:val="2C625DDA"/>
    <w:rsid w:val="2C8D6C58"/>
    <w:rsid w:val="2C966BEF"/>
    <w:rsid w:val="2CA072AB"/>
    <w:rsid w:val="2CA879A9"/>
    <w:rsid w:val="2CAC4A4A"/>
    <w:rsid w:val="2CAF7B42"/>
    <w:rsid w:val="2CBF6F2F"/>
    <w:rsid w:val="2CC54998"/>
    <w:rsid w:val="2CC82C80"/>
    <w:rsid w:val="2CCC1844"/>
    <w:rsid w:val="2CD03F81"/>
    <w:rsid w:val="2CDD749C"/>
    <w:rsid w:val="2CFF3E27"/>
    <w:rsid w:val="2D0D4B37"/>
    <w:rsid w:val="2D232B76"/>
    <w:rsid w:val="2D2529EA"/>
    <w:rsid w:val="2D2C3DF5"/>
    <w:rsid w:val="2D2D20F0"/>
    <w:rsid w:val="2D42366A"/>
    <w:rsid w:val="2D444233"/>
    <w:rsid w:val="2D554E69"/>
    <w:rsid w:val="2D5804F0"/>
    <w:rsid w:val="2D6E705A"/>
    <w:rsid w:val="2D7D2598"/>
    <w:rsid w:val="2D915634"/>
    <w:rsid w:val="2D9711A8"/>
    <w:rsid w:val="2D9877EB"/>
    <w:rsid w:val="2D9A729C"/>
    <w:rsid w:val="2D9F1DA6"/>
    <w:rsid w:val="2DA47F1D"/>
    <w:rsid w:val="2DA538E3"/>
    <w:rsid w:val="2DB80619"/>
    <w:rsid w:val="2DD65B8C"/>
    <w:rsid w:val="2DE37D03"/>
    <w:rsid w:val="2DFF7FF2"/>
    <w:rsid w:val="2E05265D"/>
    <w:rsid w:val="2E074B1C"/>
    <w:rsid w:val="2E0E72E5"/>
    <w:rsid w:val="2E385BE3"/>
    <w:rsid w:val="2E387EA8"/>
    <w:rsid w:val="2E50607F"/>
    <w:rsid w:val="2E627104"/>
    <w:rsid w:val="2E6478BE"/>
    <w:rsid w:val="2E715332"/>
    <w:rsid w:val="2E8324B7"/>
    <w:rsid w:val="2EC5109D"/>
    <w:rsid w:val="2EC6718D"/>
    <w:rsid w:val="2ECA3E47"/>
    <w:rsid w:val="2ECE230C"/>
    <w:rsid w:val="2ED40002"/>
    <w:rsid w:val="2EED7D06"/>
    <w:rsid w:val="2EF1598B"/>
    <w:rsid w:val="2F1E002E"/>
    <w:rsid w:val="2F232E80"/>
    <w:rsid w:val="2F235225"/>
    <w:rsid w:val="2F502E38"/>
    <w:rsid w:val="2F52133D"/>
    <w:rsid w:val="2F575404"/>
    <w:rsid w:val="2F6E3407"/>
    <w:rsid w:val="2F6F15A0"/>
    <w:rsid w:val="2F7071A4"/>
    <w:rsid w:val="2F7B66D0"/>
    <w:rsid w:val="2F82186F"/>
    <w:rsid w:val="2F8B4A44"/>
    <w:rsid w:val="2FA0432F"/>
    <w:rsid w:val="2FA5374C"/>
    <w:rsid w:val="2FA54AC9"/>
    <w:rsid w:val="2FA95A83"/>
    <w:rsid w:val="2FCC3E5B"/>
    <w:rsid w:val="300764AD"/>
    <w:rsid w:val="30191A45"/>
    <w:rsid w:val="30227DD1"/>
    <w:rsid w:val="303845C1"/>
    <w:rsid w:val="30397810"/>
    <w:rsid w:val="305859C4"/>
    <w:rsid w:val="305B5018"/>
    <w:rsid w:val="30606932"/>
    <w:rsid w:val="30670E86"/>
    <w:rsid w:val="306C1025"/>
    <w:rsid w:val="3074374B"/>
    <w:rsid w:val="3082583C"/>
    <w:rsid w:val="30AA4755"/>
    <w:rsid w:val="30AC2FF8"/>
    <w:rsid w:val="30B60778"/>
    <w:rsid w:val="30BB483E"/>
    <w:rsid w:val="30CB7B69"/>
    <w:rsid w:val="30CF5DF1"/>
    <w:rsid w:val="30DA5678"/>
    <w:rsid w:val="30E3277E"/>
    <w:rsid w:val="31075892"/>
    <w:rsid w:val="311478E0"/>
    <w:rsid w:val="31163C09"/>
    <w:rsid w:val="31217FED"/>
    <w:rsid w:val="312C3777"/>
    <w:rsid w:val="312D7F05"/>
    <w:rsid w:val="313C77D7"/>
    <w:rsid w:val="31464ABB"/>
    <w:rsid w:val="314722A2"/>
    <w:rsid w:val="31585730"/>
    <w:rsid w:val="3159114A"/>
    <w:rsid w:val="31A94D9A"/>
    <w:rsid w:val="31AA7934"/>
    <w:rsid w:val="31AF2660"/>
    <w:rsid w:val="31BB64DB"/>
    <w:rsid w:val="31C003CA"/>
    <w:rsid w:val="31CC37D3"/>
    <w:rsid w:val="31DE5D55"/>
    <w:rsid w:val="31E63BA8"/>
    <w:rsid w:val="320807EF"/>
    <w:rsid w:val="321369F2"/>
    <w:rsid w:val="32434F6D"/>
    <w:rsid w:val="325644E3"/>
    <w:rsid w:val="32681681"/>
    <w:rsid w:val="32780CA4"/>
    <w:rsid w:val="327C7ED5"/>
    <w:rsid w:val="328C2295"/>
    <w:rsid w:val="329A6D08"/>
    <w:rsid w:val="329D3735"/>
    <w:rsid w:val="32A15ED7"/>
    <w:rsid w:val="32B61811"/>
    <w:rsid w:val="32BF0681"/>
    <w:rsid w:val="32CF23FC"/>
    <w:rsid w:val="32ED713F"/>
    <w:rsid w:val="32EE4D51"/>
    <w:rsid w:val="32F20081"/>
    <w:rsid w:val="32FA4CEB"/>
    <w:rsid w:val="32FD5E92"/>
    <w:rsid w:val="331F2E53"/>
    <w:rsid w:val="332B3F69"/>
    <w:rsid w:val="333F69BA"/>
    <w:rsid w:val="334050CC"/>
    <w:rsid w:val="334A6233"/>
    <w:rsid w:val="334E4E58"/>
    <w:rsid w:val="33623414"/>
    <w:rsid w:val="337722FE"/>
    <w:rsid w:val="33857009"/>
    <w:rsid w:val="3392223A"/>
    <w:rsid w:val="339C786D"/>
    <w:rsid w:val="339F1A15"/>
    <w:rsid w:val="33A26AB9"/>
    <w:rsid w:val="33AB50A9"/>
    <w:rsid w:val="33AD21DD"/>
    <w:rsid w:val="33AD5FF7"/>
    <w:rsid w:val="33AF65DE"/>
    <w:rsid w:val="33B51198"/>
    <w:rsid w:val="33B57F77"/>
    <w:rsid w:val="33B705E9"/>
    <w:rsid w:val="33DE3B24"/>
    <w:rsid w:val="33E30127"/>
    <w:rsid w:val="33E36ACD"/>
    <w:rsid w:val="33EA5BD2"/>
    <w:rsid w:val="33F45FF7"/>
    <w:rsid w:val="3400100C"/>
    <w:rsid w:val="34095A19"/>
    <w:rsid w:val="3419185B"/>
    <w:rsid w:val="34243D05"/>
    <w:rsid w:val="3429740B"/>
    <w:rsid w:val="344D1CE9"/>
    <w:rsid w:val="34580CD8"/>
    <w:rsid w:val="345816E7"/>
    <w:rsid w:val="345E5AEC"/>
    <w:rsid w:val="346F78D7"/>
    <w:rsid w:val="347614EE"/>
    <w:rsid w:val="347617BC"/>
    <w:rsid w:val="347F1D00"/>
    <w:rsid w:val="34854AF3"/>
    <w:rsid w:val="34986D50"/>
    <w:rsid w:val="349D0F97"/>
    <w:rsid w:val="34A418FC"/>
    <w:rsid w:val="34BB3B4E"/>
    <w:rsid w:val="34D21973"/>
    <w:rsid w:val="34D2584A"/>
    <w:rsid w:val="34D658A8"/>
    <w:rsid w:val="34D7643A"/>
    <w:rsid w:val="350F12DF"/>
    <w:rsid w:val="351A4963"/>
    <w:rsid w:val="35245FE2"/>
    <w:rsid w:val="3534009A"/>
    <w:rsid w:val="3537548D"/>
    <w:rsid w:val="35427BC1"/>
    <w:rsid w:val="354B0009"/>
    <w:rsid w:val="354D466A"/>
    <w:rsid w:val="355359F9"/>
    <w:rsid w:val="3576252D"/>
    <w:rsid w:val="358833FF"/>
    <w:rsid w:val="35885E26"/>
    <w:rsid w:val="3589007F"/>
    <w:rsid w:val="358B273F"/>
    <w:rsid w:val="358F1B5A"/>
    <w:rsid w:val="35996FE0"/>
    <w:rsid w:val="359D60CA"/>
    <w:rsid w:val="35A123CB"/>
    <w:rsid w:val="35A737DC"/>
    <w:rsid w:val="35B04BF9"/>
    <w:rsid w:val="35C51F6B"/>
    <w:rsid w:val="35C9713E"/>
    <w:rsid w:val="35E11A13"/>
    <w:rsid w:val="35EC4306"/>
    <w:rsid w:val="35EF74CF"/>
    <w:rsid w:val="35FC76B2"/>
    <w:rsid w:val="361802A8"/>
    <w:rsid w:val="361A0BEE"/>
    <w:rsid w:val="361D1634"/>
    <w:rsid w:val="362060BD"/>
    <w:rsid w:val="366E060B"/>
    <w:rsid w:val="366F1A40"/>
    <w:rsid w:val="3675064F"/>
    <w:rsid w:val="369A08D2"/>
    <w:rsid w:val="369B4617"/>
    <w:rsid w:val="36A35099"/>
    <w:rsid w:val="36AF307B"/>
    <w:rsid w:val="36AF3103"/>
    <w:rsid w:val="36AF4CBB"/>
    <w:rsid w:val="36AF7CC9"/>
    <w:rsid w:val="36B044B9"/>
    <w:rsid w:val="36B65E9E"/>
    <w:rsid w:val="36BB5028"/>
    <w:rsid w:val="36CE5F48"/>
    <w:rsid w:val="36E104DB"/>
    <w:rsid w:val="36E10554"/>
    <w:rsid w:val="36ED685F"/>
    <w:rsid w:val="36EE7D95"/>
    <w:rsid w:val="36F704F7"/>
    <w:rsid w:val="37031285"/>
    <w:rsid w:val="37040D59"/>
    <w:rsid w:val="371143C6"/>
    <w:rsid w:val="37314351"/>
    <w:rsid w:val="373F4487"/>
    <w:rsid w:val="37443110"/>
    <w:rsid w:val="374D2373"/>
    <w:rsid w:val="37575B1B"/>
    <w:rsid w:val="375A3836"/>
    <w:rsid w:val="375C6DE7"/>
    <w:rsid w:val="375D7C42"/>
    <w:rsid w:val="37806BAF"/>
    <w:rsid w:val="3783102A"/>
    <w:rsid w:val="37923665"/>
    <w:rsid w:val="37945684"/>
    <w:rsid w:val="37985945"/>
    <w:rsid w:val="37B35A1E"/>
    <w:rsid w:val="37BD054C"/>
    <w:rsid w:val="37C204DA"/>
    <w:rsid w:val="37D659B3"/>
    <w:rsid w:val="37EA2644"/>
    <w:rsid w:val="37F04EA9"/>
    <w:rsid w:val="37FD7F7E"/>
    <w:rsid w:val="37FF7772"/>
    <w:rsid w:val="38012988"/>
    <w:rsid w:val="382C69C8"/>
    <w:rsid w:val="382D3F8E"/>
    <w:rsid w:val="383F172A"/>
    <w:rsid w:val="38616AD8"/>
    <w:rsid w:val="38740EBC"/>
    <w:rsid w:val="38795776"/>
    <w:rsid w:val="38A060D4"/>
    <w:rsid w:val="38AF2F46"/>
    <w:rsid w:val="38B27F04"/>
    <w:rsid w:val="38CB160B"/>
    <w:rsid w:val="38F12C05"/>
    <w:rsid w:val="38F22650"/>
    <w:rsid w:val="38FB1783"/>
    <w:rsid w:val="38FF0D03"/>
    <w:rsid w:val="39015B50"/>
    <w:rsid w:val="39047B8B"/>
    <w:rsid w:val="39122CA2"/>
    <w:rsid w:val="39155A82"/>
    <w:rsid w:val="391D6824"/>
    <w:rsid w:val="39514ED4"/>
    <w:rsid w:val="39553AED"/>
    <w:rsid w:val="39582E77"/>
    <w:rsid w:val="395A68BF"/>
    <w:rsid w:val="39691A6F"/>
    <w:rsid w:val="396E4BF4"/>
    <w:rsid w:val="397305B0"/>
    <w:rsid w:val="3982660D"/>
    <w:rsid w:val="398853C6"/>
    <w:rsid w:val="398A0D3D"/>
    <w:rsid w:val="39A0237D"/>
    <w:rsid w:val="39AB1756"/>
    <w:rsid w:val="39B22B15"/>
    <w:rsid w:val="39CE5D4F"/>
    <w:rsid w:val="3A0177D1"/>
    <w:rsid w:val="3A125195"/>
    <w:rsid w:val="3A19560E"/>
    <w:rsid w:val="3A197DA4"/>
    <w:rsid w:val="3A477B14"/>
    <w:rsid w:val="3A4B2FEE"/>
    <w:rsid w:val="3A6D0801"/>
    <w:rsid w:val="3A874BD8"/>
    <w:rsid w:val="3ACA4467"/>
    <w:rsid w:val="3AEA0045"/>
    <w:rsid w:val="3AF867A1"/>
    <w:rsid w:val="3B0130A3"/>
    <w:rsid w:val="3B152B7A"/>
    <w:rsid w:val="3B1835E7"/>
    <w:rsid w:val="3B2339D0"/>
    <w:rsid w:val="3B2466C1"/>
    <w:rsid w:val="3B2F0C77"/>
    <w:rsid w:val="3B516D43"/>
    <w:rsid w:val="3B530501"/>
    <w:rsid w:val="3B76122C"/>
    <w:rsid w:val="3B7E1FB7"/>
    <w:rsid w:val="3B8B74F5"/>
    <w:rsid w:val="3BA75166"/>
    <w:rsid w:val="3BBB7CDC"/>
    <w:rsid w:val="3BC16BDE"/>
    <w:rsid w:val="3BC91E6A"/>
    <w:rsid w:val="3BD66BE0"/>
    <w:rsid w:val="3BEF051C"/>
    <w:rsid w:val="3BF66924"/>
    <w:rsid w:val="3C0254AE"/>
    <w:rsid w:val="3C0E464C"/>
    <w:rsid w:val="3C11596D"/>
    <w:rsid w:val="3C12542B"/>
    <w:rsid w:val="3C160455"/>
    <w:rsid w:val="3C1B08A7"/>
    <w:rsid w:val="3C1B0FF8"/>
    <w:rsid w:val="3C237B0C"/>
    <w:rsid w:val="3C504A40"/>
    <w:rsid w:val="3C62614F"/>
    <w:rsid w:val="3C6C6F94"/>
    <w:rsid w:val="3C7626F9"/>
    <w:rsid w:val="3C853D27"/>
    <w:rsid w:val="3C8B3CCA"/>
    <w:rsid w:val="3C9E57AB"/>
    <w:rsid w:val="3CBB50A1"/>
    <w:rsid w:val="3CD63665"/>
    <w:rsid w:val="3CEF06AA"/>
    <w:rsid w:val="3CF278A5"/>
    <w:rsid w:val="3CF67395"/>
    <w:rsid w:val="3CFD5904"/>
    <w:rsid w:val="3D1E7E10"/>
    <w:rsid w:val="3D3058F8"/>
    <w:rsid w:val="3D43392C"/>
    <w:rsid w:val="3D472B15"/>
    <w:rsid w:val="3D5C115A"/>
    <w:rsid w:val="3D642B81"/>
    <w:rsid w:val="3D785FFC"/>
    <w:rsid w:val="3DA4758B"/>
    <w:rsid w:val="3DAC5A8C"/>
    <w:rsid w:val="3DC45AAA"/>
    <w:rsid w:val="3DFD2B6C"/>
    <w:rsid w:val="3E006EFA"/>
    <w:rsid w:val="3E2E68B4"/>
    <w:rsid w:val="3E31512D"/>
    <w:rsid w:val="3E3C5961"/>
    <w:rsid w:val="3E410AE4"/>
    <w:rsid w:val="3E485575"/>
    <w:rsid w:val="3E507E32"/>
    <w:rsid w:val="3E524341"/>
    <w:rsid w:val="3E54362E"/>
    <w:rsid w:val="3E7569E0"/>
    <w:rsid w:val="3EA41051"/>
    <w:rsid w:val="3EAC3B0D"/>
    <w:rsid w:val="3EB619FD"/>
    <w:rsid w:val="3EB775A6"/>
    <w:rsid w:val="3EC6723B"/>
    <w:rsid w:val="3ED27799"/>
    <w:rsid w:val="3ED3275A"/>
    <w:rsid w:val="3ED65091"/>
    <w:rsid w:val="3EE93D37"/>
    <w:rsid w:val="3EEC6CA2"/>
    <w:rsid w:val="3EED1E86"/>
    <w:rsid w:val="3EF11F5B"/>
    <w:rsid w:val="3EF600E9"/>
    <w:rsid w:val="3EFB28CA"/>
    <w:rsid w:val="3F06408C"/>
    <w:rsid w:val="3F0E4FCB"/>
    <w:rsid w:val="3F295F83"/>
    <w:rsid w:val="3F475E06"/>
    <w:rsid w:val="3F49729C"/>
    <w:rsid w:val="3F4B58B0"/>
    <w:rsid w:val="3F4C7741"/>
    <w:rsid w:val="3F5A0C14"/>
    <w:rsid w:val="3F841A5F"/>
    <w:rsid w:val="3FBF2B76"/>
    <w:rsid w:val="3FFD723D"/>
    <w:rsid w:val="3FFF4770"/>
    <w:rsid w:val="400D7A07"/>
    <w:rsid w:val="401272A7"/>
    <w:rsid w:val="40132FBE"/>
    <w:rsid w:val="40240D3C"/>
    <w:rsid w:val="404C539D"/>
    <w:rsid w:val="404F05CE"/>
    <w:rsid w:val="40637F4F"/>
    <w:rsid w:val="4064715F"/>
    <w:rsid w:val="4081166C"/>
    <w:rsid w:val="4084490B"/>
    <w:rsid w:val="408D2D31"/>
    <w:rsid w:val="408D5CF0"/>
    <w:rsid w:val="408D70FA"/>
    <w:rsid w:val="408F2354"/>
    <w:rsid w:val="409253D3"/>
    <w:rsid w:val="40AB0497"/>
    <w:rsid w:val="40B227C0"/>
    <w:rsid w:val="40B31971"/>
    <w:rsid w:val="40C83BC0"/>
    <w:rsid w:val="40D978F6"/>
    <w:rsid w:val="41122240"/>
    <w:rsid w:val="411D78D1"/>
    <w:rsid w:val="412314B0"/>
    <w:rsid w:val="41267208"/>
    <w:rsid w:val="41382D42"/>
    <w:rsid w:val="41384420"/>
    <w:rsid w:val="4154564F"/>
    <w:rsid w:val="41913B31"/>
    <w:rsid w:val="41B21F7F"/>
    <w:rsid w:val="41C95079"/>
    <w:rsid w:val="41D423B6"/>
    <w:rsid w:val="41DA6798"/>
    <w:rsid w:val="41DE2D72"/>
    <w:rsid w:val="41F50065"/>
    <w:rsid w:val="42176233"/>
    <w:rsid w:val="423C79D0"/>
    <w:rsid w:val="424C57B4"/>
    <w:rsid w:val="424E60D9"/>
    <w:rsid w:val="425B2604"/>
    <w:rsid w:val="427D1476"/>
    <w:rsid w:val="42972DB7"/>
    <w:rsid w:val="42A97D5C"/>
    <w:rsid w:val="42AB2E39"/>
    <w:rsid w:val="42AF27A2"/>
    <w:rsid w:val="42BF647C"/>
    <w:rsid w:val="42C6651D"/>
    <w:rsid w:val="42D54D59"/>
    <w:rsid w:val="42DF1BDA"/>
    <w:rsid w:val="42E038FB"/>
    <w:rsid w:val="42EA71CC"/>
    <w:rsid w:val="42F5684B"/>
    <w:rsid w:val="431B5DA8"/>
    <w:rsid w:val="431D7EFC"/>
    <w:rsid w:val="433B640B"/>
    <w:rsid w:val="434263E4"/>
    <w:rsid w:val="43435942"/>
    <w:rsid w:val="436C0712"/>
    <w:rsid w:val="43763C17"/>
    <w:rsid w:val="43784EB0"/>
    <w:rsid w:val="43963680"/>
    <w:rsid w:val="439C5E0A"/>
    <w:rsid w:val="439D4CBC"/>
    <w:rsid w:val="43A535EC"/>
    <w:rsid w:val="43A54AF2"/>
    <w:rsid w:val="43A65EF0"/>
    <w:rsid w:val="43B578C6"/>
    <w:rsid w:val="43B977E2"/>
    <w:rsid w:val="43D53D43"/>
    <w:rsid w:val="43E354FC"/>
    <w:rsid w:val="43EC7564"/>
    <w:rsid w:val="43EE128A"/>
    <w:rsid w:val="43EE5691"/>
    <w:rsid w:val="43FE4E4A"/>
    <w:rsid w:val="44032B10"/>
    <w:rsid w:val="44152879"/>
    <w:rsid w:val="441B1DD7"/>
    <w:rsid w:val="443F26DA"/>
    <w:rsid w:val="444152D4"/>
    <w:rsid w:val="44551EC6"/>
    <w:rsid w:val="447A4D50"/>
    <w:rsid w:val="447D0E1B"/>
    <w:rsid w:val="447F43F5"/>
    <w:rsid w:val="44823D3B"/>
    <w:rsid w:val="44864B31"/>
    <w:rsid w:val="449776B0"/>
    <w:rsid w:val="449A62BE"/>
    <w:rsid w:val="449E657A"/>
    <w:rsid w:val="44A21BB1"/>
    <w:rsid w:val="44B85878"/>
    <w:rsid w:val="44BD176A"/>
    <w:rsid w:val="44C17083"/>
    <w:rsid w:val="44C815FA"/>
    <w:rsid w:val="44D143DE"/>
    <w:rsid w:val="44EB7BC7"/>
    <w:rsid w:val="44EE3E24"/>
    <w:rsid w:val="44F05012"/>
    <w:rsid w:val="44F3418E"/>
    <w:rsid w:val="44FA19ED"/>
    <w:rsid w:val="44FD1CBC"/>
    <w:rsid w:val="451458F7"/>
    <w:rsid w:val="451C5E07"/>
    <w:rsid w:val="45202B94"/>
    <w:rsid w:val="45282690"/>
    <w:rsid w:val="45317135"/>
    <w:rsid w:val="453A628D"/>
    <w:rsid w:val="454224AB"/>
    <w:rsid w:val="45423572"/>
    <w:rsid w:val="45437EF3"/>
    <w:rsid w:val="456606D2"/>
    <w:rsid w:val="456D49D6"/>
    <w:rsid w:val="45847ED6"/>
    <w:rsid w:val="4593184F"/>
    <w:rsid w:val="45946965"/>
    <w:rsid w:val="4598162C"/>
    <w:rsid w:val="459C0AA7"/>
    <w:rsid w:val="459D04CD"/>
    <w:rsid w:val="45F54B4A"/>
    <w:rsid w:val="4605689B"/>
    <w:rsid w:val="462527CD"/>
    <w:rsid w:val="462A3BE0"/>
    <w:rsid w:val="4630488D"/>
    <w:rsid w:val="464358D7"/>
    <w:rsid w:val="464A1F8D"/>
    <w:rsid w:val="464E17BE"/>
    <w:rsid w:val="466013BA"/>
    <w:rsid w:val="46811EBD"/>
    <w:rsid w:val="468A02FA"/>
    <w:rsid w:val="46915F18"/>
    <w:rsid w:val="46BB524D"/>
    <w:rsid w:val="46CA2361"/>
    <w:rsid w:val="46CB7EB8"/>
    <w:rsid w:val="46ED42DC"/>
    <w:rsid w:val="47091714"/>
    <w:rsid w:val="47154C50"/>
    <w:rsid w:val="47236A00"/>
    <w:rsid w:val="472E0AFC"/>
    <w:rsid w:val="473016F6"/>
    <w:rsid w:val="4732312D"/>
    <w:rsid w:val="47386211"/>
    <w:rsid w:val="47442A86"/>
    <w:rsid w:val="474552C5"/>
    <w:rsid w:val="47502586"/>
    <w:rsid w:val="475040DF"/>
    <w:rsid w:val="475744F3"/>
    <w:rsid w:val="47644650"/>
    <w:rsid w:val="47690743"/>
    <w:rsid w:val="47816ADB"/>
    <w:rsid w:val="479A68D4"/>
    <w:rsid w:val="47A87155"/>
    <w:rsid w:val="47CC5F9E"/>
    <w:rsid w:val="47EC01B6"/>
    <w:rsid w:val="47F03402"/>
    <w:rsid w:val="47F30C58"/>
    <w:rsid w:val="480718A7"/>
    <w:rsid w:val="480B07BE"/>
    <w:rsid w:val="481D6F0D"/>
    <w:rsid w:val="481D7A03"/>
    <w:rsid w:val="483F007B"/>
    <w:rsid w:val="484B5AAE"/>
    <w:rsid w:val="48524DF9"/>
    <w:rsid w:val="48627FD5"/>
    <w:rsid w:val="487F0EA0"/>
    <w:rsid w:val="488A4FC8"/>
    <w:rsid w:val="489B2024"/>
    <w:rsid w:val="48A240B4"/>
    <w:rsid w:val="48C419C7"/>
    <w:rsid w:val="48CA48FD"/>
    <w:rsid w:val="48D204E9"/>
    <w:rsid w:val="48FA0882"/>
    <w:rsid w:val="48FA645F"/>
    <w:rsid w:val="49184B37"/>
    <w:rsid w:val="493556E9"/>
    <w:rsid w:val="493C7984"/>
    <w:rsid w:val="494624B9"/>
    <w:rsid w:val="49533C61"/>
    <w:rsid w:val="4966019B"/>
    <w:rsid w:val="49780C60"/>
    <w:rsid w:val="49840882"/>
    <w:rsid w:val="49956447"/>
    <w:rsid w:val="49AA294C"/>
    <w:rsid w:val="49B303BC"/>
    <w:rsid w:val="49B75039"/>
    <w:rsid w:val="49E30594"/>
    <w:rsid w:val="4A084F30"/>
    <w:rsid w:val="4A095B20"/>
    <w:rsid w:val="4A120904"/>
    <w:rsid w:val="4A1519BC"/>
    <w:rsid w:val="4A19365E"/>
    <w:rsid w:val="4A351408"/>
    <w:rsid w:val="4A3806F3"/>
    <w:rsid w:val="4A4A1C28"/>
    <w:rsid w:val="4A5676C5"/>
    <w:rsid w:val="4A572DB6"/>
    <w:rsid w:val="4A574892"/>
    <w:rsid w:val="4A5E3963"/>
    <w:rsid w:val="4A7142E8"/>
    <w:rsid w:val="4A777988"/>
    <w:rsid w:val="4A841D47"/>
    <w:rsid w:val="4A8A0DB3"/>
    <w:rsid w:val="4A8B141A"/>
    <w:rsid w:val="4A8C30E7"/>
    <w:rsid w:val="4A9C7803"/>
    <w:rsid w:val="4A9F155C"/>
    <w:rsid w:val="4A9F64E0"/>
    <w:rsid w:val="4ADE1366"/>
    <w:rsid w:val="4AE83A9C"/>
    <w:rsid w:val="4AF87F23"/>
    <w:rsid w:val="4B2B495A"/>
    <w:rsid w:val="4B2C0088"/>
    <w:rsid w:val="4B307BB6"/>
    <w:rsid w:val="4B4B4D00"/>
    <w:rsid w:val="4B5300A9"/>
    <w:rsid w:val="4B60356A"/>
    <w:rsid w:val="4B8E62F3"/>
    <w:rsid w:val="4BB6568D"/>
    <w:rsid w:val="4BB65B03"/>
    <w:rsid w:val="4BD177A9"/>
    <w:rsid w:val="4BDF0606"/>
    <w:rsid w:val="4BE2060A"/>
    <w:rsid w:val="4BF208C0"/>
    <w:rsid w:val="4C03482F"/>
    <w:rsid w:val="4C0849EF"/>
    <w:rsid w:val="4C1B0314"/>
    <w:rsid w:val="4C2F6420"/>
    <w:rsid w:val="4C3D6D8F"/>
    <w:rsid w:val="4C3D6FCB"/>
    <w:rsid w:val="4C4104C8"/>
    <w:rsid w:val="4C426DD7"/>
    <w:rsid w:val="4C4B4A4C"/>
    <w:rsid w:val="4C650094"/>
    <w:rsid w:val="4C685B0E"/>
    <w:rsid w:val="4C7A4A15"/>
    <w:rsid w:val="4C854AF4"/>
    <w:rsid w:val="4C875C80"/>
    <w:rsid w:val="4C8C1F2D"/>
    <w:rsid w:val="4C8E3F62"/>
    <w:rsid w:val="4C8F12B1"/>
    <w:rsid w:val="4CAA3EF7"/>
    <w:rsid w:val="4CB132D9"/>
    <w:rsid w:val="4CB535D9"/>
    <w:rsid w:val="4CBF06A3"/>
    <w:rsid w:val="4CC0176E"/>
    <w:rsid w:val="4CD02FB5"/>
    <w:rsid w:val="4CD54BCC"/>
    <w:rsid w:val="4CF17B79"/>
    <w:rsid w:val="4D0B539E"/>
    <w:rsid w:val="4D1856E6"/>
    <w:rsid w:val="4D273F31"/>
    <w:rsid w:val="4D400E67"/>
    <w:rsid w:val="4D44414D"/>
    <w:rsid w:val="4D4A3CEB"/>
    <w:rsid w:val="4D862337"/>
    <w:rsid w:val="4D8B6AE7"/>
    <w:rsid w:val="4D9008CE"/>
    <w:rsid w:val="4D934588"/>
    <w:rsid w:val="4D963DD6"/>
    <w:rsid w:val="4D99610A"/>
    <w:rsid w:val="4DA846DC"/>
    <w:rsid w:val="4DAB22C8"/>
    <w:rsid w:val="4DB3660A"/>
    <w:rsid w:val="4DC76B9F"/>
    <w:rsid w:val="4DCC3230"/>
    <w:rsid w:val="4DD62596"/>
    <w:rsid w:val="4DFE5980"/>
    <w:rsid w:val="4E04212F"/>
    <w:rsid w:val="4E0A1FA4"/>
    <w:rsid w:val="4E0F787C"/>
    <w:rsid w:val="4E121E37"/>
    <w:rsid w:val="4E1B058C"/>
    <w:rsid w:val="4E2E1A18"/>
    <w:rsid w:val="4E3F66C2"/>
    <w:rsid w:val="4E4D2418"/>
    <w:rsid w:val="4E4F09A5"/>
    <w:rsid w:val="4E8862BB"/>
    <w:rsid w:val="4E8F0E78"/>
    <w:rsid w:val="4E9C58C3"/>
    <w:rsid w:val="4EAF3D11"/>
    <w:rsid w:val="4EB15812"/>
    <w:rsid w:val="4EB6003B"/>
    <w:rsid w:val="4EBA762C"/>
    <w:rsid w:val="4ECA2430"/>
    <w:rsid w:val="4ECA68D4"/>
    <w:rsid w:val="4EDA1729"/>
    <w:rsid w:val="4EDA3C15"/>
    <w:rsid w:val="4EE447E9"/>
    <w:rsid w:val="4EE61C41"/>
    <w:rsid w:val="4EEE4E71"/>
    <w:rsid w:val="4EFA628E"/>
    <w:rsid w:val="4F3E2665"/>
    <w:rsid w:val="4F3E47BF"/>
    <w:rsid w:val="4F3E6F34"/>
    <w:rsid w:val="4F462215"/>
    <w:rsid w:val="4F476FD2"/>
    <w:rsid w:val="4F4A1986"/>
    <w:rsid w:val="4F4A3333"/>
    <w:rsid w:val="4F563A76"/>
    <w:rsid w:val="4F773B1F"/>
    <w:rsid w:val="4F846683"/>
    <w:rsid w:val="4F8B6800"/>
    <w:rsid w:val="4F8F2B9B"/>
    <w:rsid w:val="4F913D00"/>
    <w:rsid w:val="4FAC513B"/>
    <w:rsid w:val="4FBC621D"/>
    <w:rsid w:val="4FC154FE"/>
    <w:rsid w:val="4FD33936"/>
    <w:rsid w:val="4FDA48F5"/>
    <w:rsid w:val="4FE5048C"/>
    <w:rsid w:val="4FE64C25"/>
    <w:rsid w:val="4FF125D3"/>
    <w:rsid w:val="4FF5172F"/>
    <w:rsid w:val="50067498"/>
    <w:rsid w:val="50256B2D"/>
    <w:rsid w:val="50370AD3"/>
    <w:rsid w:val="504141FE"/>
    <w:rsid w:val="50613A4C"/>
    <w:rsid w:val="506958FA"/>
    <w:rsid w:val="506B7C43"/>
    <w:rsid w:val="506D570B"/>
    <w:rsid w:val="509A4482"/>
    <w:rsid w:val="50A8054F"/>
    <w:rsid w:val="50AD55FF"/>
    <w:rsid w:val="50B13A11"/>
    <w:rsid w:val="50C71844"/>
    <w:rsid w:val="50D71DD8"/>
    <w:rsid w:val="50EF617E"/>
    <w:rsid w:val="510E039B"/>
    <w:rsid w:val="513B5867"/>
    <w:rsid w:val="51436072"/>
    <w:rsid w:val="514D1739"/>
    <w:rsid w:val="5159694A"/>
    <w:rsid w:val="515F670A"/>
    <w:rsid w:val="517448D5"/>
    <w:rsid w:val="51745DDE"/>
    <w:rsid w:val="51775B96"/>
    <w:rsid w:val="518E5997"/>
    <w:rsid w:val="51A52FCE"/>
    <w:rsid w:val="51AA02F7"/>
    <w:rsid w:val="51B01251"/>
    <w:rsid w:val="51BD7B0B"/>
    <w:rsid w:val="51CB395D"/>
    <w:rsid w:val="51D12833"/>
    <w:rsid w:val="51E328B2"/>
    <w:rsid w:val="51E43809"/>
    <w:rsid w:val="52057760"/>
    <w:rsid w:val="5233359C"/>
    <w:rsid w:val="52472FB7"/>
    <w:rsid w:val="5253273C"/>
    <w:rsid w:val="526500DC"/>
    <w:rsid w:val="52745AC9"/>
    <w:rsid w:val="52800089"/>
    <w:rsid w:val="52837D0B"/>
    <w:rsid w:val="529405D9"/>
    <w:rsid w:val="5294307F"/>
    <w:rsid w:val="5296303A"/>
    <w:rsid w:val="529876DF"/>
    <w:rsid w:val="529D1385"/>
    <w:rsid w:val="52AB4326"/>
    <w:rsid w:val="52B256B5"/>
    <w:rsid w:val="52C72819"/>
    <w:rsid w:val="52CB4827"/>
    <w:rsid w:val="52CC150A"/>
    <w:rsid w:val="52D31E82"/>
    <w:rsid w:val="52E37F64"/>
    <w:rsid w:val="52EB2A9F"/>
    <w:rsid w:val="5304686C"/>
    <w:rsid w:val="53064384"/>
    <w:rsid w:val="530F0D59"/>
    <w:rsid w:val="5320142E"/>
    <w:rsid w:val="53332617"/>
    <w:rsid w:val="53422EDD"/>
    <w:rsid w:val="5375485D"/>
    <w:rsid w:val="537631B3"/>
    <w:rsid w:val="53793D34"/>
    <w:rsid w:val="53881E19"/>
    <w:rsid w:val="538B39B9"/>
    <w:rsid w:val="538B7D9D"/>
    <w:rsid w:val="538C0647"/>
    <w:rsid w:val="539C4281"/>
    <w:rsid w:val="53AC7C04"/>
    <w:rsid w:val="53AD5BE3"/>
    <w:rsid w:val="53B8319F"/>
    <w:rsid w:val="53BA6F17"/>
    <w:rsid w:val="53CD14D1"/>
    <w:rsid w:val="53D436DA"/>
    <w:rsid w:val="53D960F1"/>
    <w:rsid w:val="53F141BA"/>
    <w:rsid w:val="53FC06FA"/>
    <w:rsid w:val="53FE6EEA"/>
    <w:rsid w:val="5402273B"/>
    <w:rsid w:val="54060BCD"/>
    <w:rsid w:val="54135AF7"/>
    <w:rsid w:val="541944C0"/>
    <w:rsid w:val="541D5366"/>
    <w:rsid w:val="541F321E"/>
    <w:rsid w:val="54240600"/>
    <w:rsid w:val="54297341"/>
    <w:rsid w:val="542D593B"/>
    <w:rsid w:val="54414E36"/>
    <w:rsid w:val="5444781F"/>
    <w:rsid w:val="545127E9"/>
    <w:rsid w:val="545306B5"/>
    <w:rsid w:val="545B1580"/>
    <w:rsid w:val="54757E1C"/>
    <w:rsid w:val="5477559F"/>
    <w:rsid w:val="547C544A"/>
    <w:rsid w:val="54905EE6"/>
    <w:rsid w:val="549534E0"/>
    <w:rsid w:val="54A20229"/>
    <w:rsid w:val="54A71D34"/>
    <w:rsid w:val="54B12B19"/>
    <w:rsid w:val="54BB074A"/>
    <w:rsid w:val="54BE644D"/>
    <w:rsid w:val="54C2670C"/>
    <w:rsid w:val="54CE4D59"/>
    <w:rsid w:val="54E523AC"/>
    <w:rsid w:val="54EE4DCD"/>
    <w:rsid w:val="54F938AE"/>
    <w:rsid w:val="55002F47"/>
    <w:rsid w:val="550F0639"/>
    <w:rsid w:val="5519410F"/>
    <w:rsid w:val="55210257"/>
    <w:rsid w:val="5527238A"/>
    <w:rsid w:val="552A30C1"/>
    <w:rsid w:val="552E12C2"/>
    <w:rsid w:val="556C4BC6"/>
    <w:rsid w:val="558E71FE"/>
    <w:rsid w:val="55907C9B"/>
    <w:rsid w:val="55A16F08"/>
    <w:rsid w:val="55A97243"/>
    <w:rsid w:val="55C37162"/>
    <w:rsid w:val="55C53775"/>
    <w:rsid w:val="55D84123"/>
    <w:rsid w:val="55DA2737"/>
    <w:rsid w:val="56017A33"/>
    <w:rsid w:val="56024BA5"/>
    <w:rsid w:val="560F7656"/>
    <w:rsid w:val="561072C2"/>
    <w:rsid w:val="561B1527"/>
    <w:rsid w:val="56201B32"/>
    <w:rsid w:val="56213898"/>
    <w:rsid w:val="56237C5E"/>
    <w:rsid w:val="56324FCB"/>
    <w:rsid w:val="56517C41"/>
    <w:rsid w:val="566B2458"/>
    <w:rsid w:val="56711177"/>
    <w:rsid w:val="567B28D7"/>
    <w:rsid w:val="567D010B"/>
    <w:rsid w:val="56965936"/>
    <w:rsid w:val="56995B7F"/>
    <w:rsid w:val="56BE1977"/>
    <w:rsid w:val="56D97DA5"/>
    <w:rsid w:val="56DE4CCA"/>
    <w:rsid w:val="56E24D3C"/>
    <w:rsid w:val="56EE0C86"/>
    <w:rsid w:val="570E76FA"/>
    <w:rsid w:val="57186C86"/>
    <w:rsid w:val="5719668F"/>
    <w:rsid w:val="571E7ECD"/>
    <w:rsid w:val="574C2616"/>
    <w:rsid w:val="57540CD2"/>
    <w:rsid w:val="576026E0"/>
    <w:rsid w:val="57667E88"/>
    <w:rsid w:val="576D059A"/>
    <w:rsid w:val="57792D8B"/>
    <w:rsid w:val="57AE004D"/>
    <w:rsid w:val="57B533A7"/>
    <w:rsid w:val="57C23F93"/>
    <w:rsid w:val="57C52D2D"/>
    <w:rsid w:val="57D04F5B"/>
    <w:rsid w:val="57F24CAD"/>
    <w:rsid w:val="57F62C91"/>
    <w:rsid w:val="5800371E"/>
    <w:rsid w:val="580A1AEF"/>
    <w:rsid w:val="580D09BD"/>
    <w:rsid w:val="582157B7"/>
    <w:rsid w:val="582B1D68"/>
    <w:rsid w:val="582D4567"/>
    <w:rsid w:val="582D60FA"/>
    <w:rsid w:val="5846458E"/>
    <w:rsid w:val="58554FE6"/>
    <w:rsid w:val="586209FD"/>
    <w:rsid w:val="586B6A32"/>
    <w:rsid w:val="58914299"/>
    <w:rsid w:val="58966493"/>
    <w:rsid w:val="58A14024"/>
    <w:rsid w:val="58B00BF6"/>
    <w:rsid w:val="58B07B38"/>
    <w:rsid w:val="58B31525"/>
    <w:rsid w:val="58BA1767"/>
    <w:rsid w:val="58BD2525"/>
    <w:rsid w:val="58C644DA"/>
    <w:rsid w:val="58C948B9"/>
    <w:rsid w:val="58CB127E"/>
    <w:rsid w:val="58E31FA4"/>
    <w:rsid w:val="58ED7447"/>
    <w:rsid w:val="58F12AF3"/>
    <w:rsid w:val="58F61C5D"/>
    <w:rsid w:val="58F670FB"/>
    <w:rsid w:val="58FE1654"/>
    <w:rsid w:val="59123351"/>
    <w:rsid w:val="59232E69"/>
    <w:rsid w:val="592D018B"/>
    <w:rsid w:val="594B45BF"/>
    <w:rsid w:val="59557971"/>
    <w:rsid w:val="59767C7D"/>
    <w:rsid w:val="597D26C7"/>
    <w:rsid w:val="598778A9"/>
    <w:rsid w:val="5996171C"/>
    <w:rsid w:val="59A541C5"/>
    <w:rsid w:val="59B14918"/>
    <w:rsid w:val="59BB4D74"/>
    <w:rsid w:val="59F5001E"/>
    <w:rsid w:val="59FB778B"/>
    <w:rsid w:val="5A2F6BF7"/>
    <w:rsid w:val="5A3F645B"/>
    <w:rsid w:val="5A4F17CB"/>
    <w:rsid w:val="5A51796F"/>
    <w:rsid w:val="5A5D5495"/>
    <w:rsid w:val="5A7517F8"/>
    <w:rsid w:val="5A7616BE"/>
    <w:rsid w:val="5A7F141B"/>
    <w:rsid w:val="5A851FBC"/>
    <w:rsid w:val="5A9344E8"/>
    <w:rsid w:val="5AA0626F"/>
    <w:rsid w:val="5AAA7EC0"/>
    <w:rsid w:val="5AAD45B8"/>
    <w:rsid w:val="5AB36A99"/>
    <w:rsid w:val="5AD6067F"/>
    <w:rsid w:val="5AD82551"/>
    <w:rsid w:val="5AE14D89"/>
    <w:rsid w:val="5B0B1E06"/>
    <w:rsid w:val="5B0B46E2"/>
    <w:rsid w:val="5B1070BC"/>
    <w:rsid w:val="5B1B148A"/>
    <w:rsid w:val="5B1C1D12"/>
    <w:rsid w:val="5B263A5F"/>
    <w:rsid w:val="5B2A306C"/>
    <w:rsid w:val="5B317D81"/>
    <w:rsid w:val="5B3E199C"/>
    <w:rsid w:val="5B4B183B"/>
    <w:rsid w:val="5B533FEE"/>
    <w:rsid w:val="5B700D3B"/>
    <w:rsid w:val="5B747041"/>
    <w:rsid w:val="5B8F42A7"/>
    <w:rsid w:val="5B9F7563"/>
    <w:rsid w:val="5BA648D3"/>
    <w:rsid w:val="5BAA7A7E"/>
    <w:rsid w:val="5BDA5A12"/>
    <w:rsid w:val="5BE218DC"/>
    <w:rsid w:val="5BE54713"/>
    <w:rsid w:val="5BF57549"/>
    <w:rsid w:val="5BF979DE"/>
    <w:rsid w:val="5C026E5D"/>
    <w:rsid w:val="5C155D15"/>
    <w:rsid w:val="5C1F7971"/>
    <w:rsid w:val="5C201551"/>
    <w:rsid w:val="5C2A57D9"/>
    <w:rsid w:val="5C2C5305"/>
    <w:rsid w:val="5C2F169E"/>
    <w:rsid w:val="5C3D3467"/>
    <w:rsid w:val="5C3F52C1"/>
    <w:rsid w:val="5C4C7F59"/>
    <w:rsid w:val="5C565A0A"/>
    <w:rsid w:val="5C5F2A99"/>
    <w:rsid w:val="5C627E3F"/>
    <w:rsid w:val="5C8D3C92"/>
    <w:rsid w:val="5CEA3717"/>
    <w:rsid w:val="5D045A5B"/>
    <w:rsid w:val="5D0C00B7"/>
    <w:rsid w:val="5D0E5759"/>
    <w:rsid w:val="5D0F2FFD"/>
    <w:rsid w:val="5D177188"/>
    <w:rsid w:val="5D192F00"/>
    <w:rsid w:val="5D392179"/>
    <w:rsid w:val="5D41676A"/>
    <w:rsid w:val="5D506F3F"/>
    <w:rsid w:val="5D525586"/>
    <w:rsid w:val="5D54510A"/>
    <w:rsid w:val="5D700646"/>
    <w:rsid w:val="5D865E06"/>
    <w:rsid w:val="5D8A59E8"/>
    <w:rsid w:val="5D9B2A64"/>
    <w:rsid w:val="5D9F52CC"/>
    <w:rsid w:val="5DBF27ED"/>
    <w:rsid w:val="5DC07A86"/>
    <w:rsid w:val="5E0C544C"/>
    <w:rsid w:val="5E356B07"/>
    <w:rsid w:val="5E4145C8"/>
    <w:rsid w:val="5E4166E4"/>
    <w:rsid w:val="5E4915C3"/>
    <w:rsid w:val="5E56783C"/>
    <w:rsid w:val="5E586542"/>
    <w:rsid w:val="5E861D2D"/>
    <w:rsid w:val="5EA234A5"/>
    <w:rsid w:val="5EA560D4"/>
    <w:rsid w:val="5EC8005B"/>
    <w:rsid w:val="5EC95ECB"/>
    <w:rsid w:val="5ED11D46"/>
    <w:rsid w:val="5ED16277"/>
    <w:rsid w:val="5EDC5C4F"/>
    <w:rsid w:val="5EE7661B"/>
    <w:rsid w:val="5EFF2E7B"/>
    <w:rsid w:val="5F0A02F2"/>
    <w:rsid w:val="5F0E5595"/>
    <w:rsid w:val="5F1B450F"/>
    <w:rsid w:val="5F262625"/>
    <w:rsid w:val="5F2E0D4C"/>
    <w:rsid w:val="5F305875"/>
    <w:rsid w:val="5F3B3B03"/>
    <w:rsid w:val="5F6F045B"/>
    <w:rsid w:val="5F716249"/>
    <w:rsid w:val="5F744B56"/>
    <w:rsid w:val="5F8B394C"/>
    <w:rsid w:val="5F986EB4"/>
    <w:rsid w:val="5F99135A"/>
    <w:rsid w:val="5FE33352"/>
    <w:rsid w:val="5FE714FB"/>
    <w:rsid w:val="5FFB60E9"/>
    <w:rsid w:val="6006590B"/>
    <w:rsid w:val="6025396A"/>
    <w:rsid w:val="603C2084"/>
    <w:rsid w:val="606203AB"/>
    <w:rsid w:val="60621895"/>
    <w:rsid w:val="607E751E"/>
    <w:rsid w:val="60800054"/>
    <w:rsid w:val="60811567"/>
    <w:rsid w:val="608D79C1"/>
    <w:rsid w:val="609A7628"/>
    <w:rsid w:val="609B3E19"/>
    <w:rsid w:val="609B74A6"/>
    <w:rsid w:val="60A72C04"/>
    <w:rsid w:val="60B560AA"/>
    <w:rsid w:val="60C32D53"/>
    <w:rsid w:val="60D4527F"/>
    <w:rsid w:val="60D84369"/>
    <w:rsid w:val="60DF66DB"/>
    <w:rsid w:val="60EC092C"/>
    <w:rsid w:val="61047A23"/>
    <w:rsid w:val="610E67C7"/>
    <w:rsid w:val="612E4690"/>
    <w:rsid w:val="613C186D"/>
    <w:rsid w:val="613D1EFD"/>
    <w:rsid w:val="617952BF"/>
    <w:rsid w:val="6191014C"/>
    <w:rsid w:val="61980D8D"/>
    <w:rsid w:val="61A71538"/>
    <w:rsid w:val="61AC14A1"/>
    <w:rsid w:val="61DA2AD2"/>
    <w:rsid w:val="61EF0738"/>
    <w:rsid w:val="61FF369E"/>
    <w:rsid w:val="6204631C"/>
    <w:rsid w:val="620A5E37"/>
    <w:rsid w:val="62150C3D"/>
    <w:rsid w:val="621614C6"/>
    <w:rsid w:val="621875DB"/>
    <w:rsid w:val="621C6FEF"/>
    <w:rsid w:val="623909D2"/>
    <w:rsid w:val="623946D8"/>
    <w:rsid w:val="62464F41"/>
    <w:rsid w:val="62497B36"/>
    <w:rsid w:val="624A590A"/>
    <w:rsid w:val="624C1682"/>
    <w:rsid w:val="62537D63"/>
    <w:rsid w:val="6269377D"/>
    <w:rsid w:val="628359C5"/>
    <w:rsid w:val="62846A8B"/>
    <w:rsid w:val="629B15BB"/>
    <w:rsid w:val="62A34BD8"/>
    <w:rsid w:val="62BE6358"/>
    <w:rsid w:val="62C05C9D"/>
    <w:rsid w:val="62C5189C"/>
    <w:rsid w:val="62E14665"/>
    <w:rsid w:val="62EF7D0A"/>
    <w:rsid w:val="62FD3442"/>
    <w:rsid w:val="631D6B7A"/>
    <w:rsid w:val="631E56D2"/>
    <w:rsid w:val="6322680D"/>
    <w:rsid w:val="63283557"/>
    <w:rsid w:val="633358F8"/>
    <w:rsid w:val="6358410F"/>
    <w:rsid w:val="635A439B"/>
    <w:rsid w:val="636A5C8C"/>
    <w:rsid w:val="63805E14"/>
    <w:rsid w:val="638A7648"/>
    <w:rsid w:val="638D6BC5"/>
    <w:rsid w:val="639153A6"/>
    <w:rsid w:val="63927568"/>
    <w:rsid w:val="63A61BE3"/>
    <w:rsid w:val="63B03E93"/>
    <w:rsid w:val="63B76E55"/>
    <w:rsid w:val="63BA086D"/>
    <w:rsid w:val="63D2404B"/>
    <w:rsid w:val="63D91B68"/>
    <w:rsid w:val="63E27C85"/>
    <w:rsid w:val="63EA0E6C"/>
    <w:rsid w:val="63ED6A7F"/>
    <w:rsid w:val="63FD7354"/>
    <w:rsid w:val="64115E57"/>
    <w:rsid w:val="6413019C"/>
    <w:rsid w:val="641B06C3"/>
    <w:rsid w:val="641C10F6"/>
    <w:rsid w:val="64303142"/>
    <w:rsid w:val="64460E1A"/>
    <w:rsid w:val="64527974"/>
    <w:rsid w:val="64572570"/>
    <w:rsid w:val="647A1203"/>
    <w:rsid w:val="64AA6B34"/>
    <w:rsid w:val="64B7265D"/>
    <w:rsid w:val="64C51198"/>
    <w:rsid w:val="64CA1D30"/>
    <w:rsid w:val="64E2007C"/>
    <w:rsid w:val="64F1148A"/>
    <w:rsid w:val="64F32289"/>
    <w:rsid w:val="64F70122"/>
    <w:rsid w:val="650934B5"/>
    <w:rsid w:val="650A2586"/>
    <w:rsid w:val="650D4A11"/>
    <w:rsid w:val="6517642A"/>
    <w:rsid w:val="653603C7"/>
    <w:rsid w:val="653F41DE"/>
    <w:rsid w:val="65455F31"/>
    <w:rsid w:val="65477F35"/>
    <w:rsid w:val="65575090"/>
    <w:rsid w:val="655F38D6"/>
    <w:rsid w:val="65651C27"/>
    <w:rsid w:val="656D2F26"/>
    <w:rsid w:val="657C003F"/>
    <w:rsid w:val="65860632"/>
    <w:rsid w:val="65930A3F"/>
    <w:rsid w:val="65A002BD"/>
    <w:rsid w:val="65A066AD"/>
    <w:rsid w:val="65B955F7"/>
    <w:rsid w:val="65BA3B17"/>
    <w:rsid w:val="65C508F3"/>
    <w:rsid w:val="65C55442"/>
    <w:rsid w:val="65DC5A15"/>
    <w:rsid w:val="66036A25"/>
    <w:rsid w:val="662B2BD8"/>
    <w:rsid w:val="662D17CA"/>
    <w:rsid w:val="66541A76"/>
    <w:rsid w:val="665B016B"/>
    <w:rsid w:val="665C66CA"/>
    <w:rsid w:val="66717B89"/>
    <w:rsid w:val="66756982"/>
    <w:rsid w:val="667857AE"/>
    <w:rsid w:val="667C1FAF"/>
    <w:rsid w:val="667E5B82"/>
    <w:rsid w:val="66874D3C"/>
    <w:rsid w:val="668E5628"/>
    <w:rsid w:val="66986533"/>
    <w:rsid w:val="66A406C5"/>
    <w:rsid w:val="66C92530"/>
    <w:rsid w:val="66F10E88"/>
    <w:rsid w:val="672316CC"/>
    <w:rsid w:val="67243947"/>
    <w:rsid w:val="672B58F8"/>
    <w:rsid w:val="67826A5E"/>
    <w:rsid w:val="67981B20"/>
    <w:rsid w:val="67A23AF2"/>
    <w:rsid w:val="67BF4782"/>
    <w:rsid w:val="67C6710C"/>
    <w:rsid w:val="67CB1A04"/>
    <w:rsid w:val="67CC5054"/>
    <w:rsid w:val="67DA285A"/>
    <w:rsid w:val="67DA7730"/>
    <w:rsid w:val="67ED29AA"/>
    <w:rsid w:val="68075DBC"/>
    <w:rsid w:val="680C194C"/>
    <w:rsid w:val="68240C38"/>
    <w:rsid w:val="683E28DC"/>
    <w:rsid w:val="68577302"/>
    <w:rsid w:val="685D07C9"/>
    <w:rsid w:val="685F765F"/>
    <w:rsid w:val="68604047"/>
    <w:rsid w:val="68604B4B"/>
    <w:rsid w:val="686321D8"/>
    <w:rsid w:val="68771D11"/>
    <w:rsid w:val="687919E5"/>
    <w:rsid w:val="68B23C7E"/>
    <w:rsid w:val="68B95597"/>
    <w:rsid w:val="68BA78C9"/>
    <w:rsid w:val="68D133F8"/>
    <w:rsid w:val="68DD74D8"/>
    <w:rsid w:val="68E94689"/>
    <w:rsid w:val="690579C5"/>
    <w:rsid w:val="69344991"/>
    <w:rsid w:val="693966D8"/>
    <w:rsid w:val="693E3CEF"/>
    <w:rsid w:val="69550220"/>
    <w:rsid w:val="69564B94"/>
    <w:rsid w:val="695D480A"/>
    <w:rsid w:val="696C5BEA"/>
    <w:rsid w:val="696D7AA1"/>
    <w:rsid w:val="69916371"/>
    <w:rsid w:val="69AC2A06"/>
    <w:rsid w:val="69D64CED"/>
    <w:rsid w:val="69D654D2"/>
    <w:rsid w:val="69FC5123"/>
    <w:rsid w:val="69FF0066"/>
    <w:rsid w:val="6A1612D3"/>
    <w:rsid w:val="6A18755F"/>
    <w:rsid w:val="6A2700E8"/>
    <w:rsid w:val="6A297AAB"/>
    <w:rsid w:val="6A38080B"/>
    <w:rsid w:val="6A3F1ACC"/>
    <w:rsid w:val="6A402F0F"/>
    <w:rsid w:val="6A44336D"/>
    <w:rsid w:val="6A46509F"/>
    <w:rsid w:val="6A4D0661"/>
    <w:rsid w:val="6A5868A1"/>
    <w:rsid w:val="6A784B69"/>
    <w:rsid w:val="6A7E0317"/>
    <w:rsid w:val="6AA5539B"/>
    <w:rsid w:val="6AB34034"/>
    <w:rsid w:val="6AC07DBA"/>
    <w:rsid w:val="6ACB2C12"/>
    <w:rsid w:val="6AD46D09"/>
    <w:rsid w:val="6AE368FC"/>
    <w:rsid w:val="6AEA41B3"/>
    <w:rsid w:val="6AEB712D"/>
    <w:rsid w:val="6B164CA3"/>
    <w:rsid w:val="6B395E99"/>
    <w:rsid w:val="6B3C3888"/>
    <w:rsid w:val="6B417EC2"/>
    <w:rsid w:val="6B480E55"/>
    <w:rsid w:val="6B5C220A"/>
    <w:rsid w:val="6B77269E"/>
    <w:rsid w:val="6B7E5C45"/>
    <w:rsid w:val="6B842521"/>
    <w:rsid w:val="6B92136F"/>
    <w:rsid w:val="6BB61C22"/>
    <w:rsid w:val="6BDC25D5"/>
    <w:rsid w:val="6BE91C1E"/>
    <w:rsid w:val="6BEC4054"/>
    <w:rsid w:val="6C020DB9"/>
    <w:rsid w:val="6C0B6E8B"/>
    <w:rsid w:val="6C107B82"/>
    <w:rsid w:val="6C1A7E0D"/>
    <w:rsid w:val="6C270A6A"/>
    <w:rsid w:val="6C31187C"/>
    <w:rsid w:val="6C545491"/>
    <w:rsid w:val="6C5C6586"/>
    <w:rsid w:val="6C6121CE"/>
    <w:rsid w:val="6C783074"/>
    <w:rsid w:val="6C831372"/>
    <w:rsid w:val="6C85073B"/>
    <w:rsid w:val="6CA34F9D"/>
    <w:rsid w:val="6CAC05CA"/>
    <w:rsid w:val="6CAD1790"/>
    <w:rsid w:val="6CAE1A6F"/>
    <w:rsid w:val="6CC87E50"/>
    <w:rsid w:val="6CD72B36"/>
    <w:rsid w:val="6CF60135"/>
    <w:rsid w:val="6D00132F"/>
    <w:rsid w:val="6D00631C"/>
    <w:rsid w:val="6D12271B"/>
    <w:rsid w:val="6D406C7C"/>
    <w:rsid w:val="6D5C50F9"/>
    <w:rsid w:val="6D69044C"/>
    <w:rsid w:val="6D7946F7"/>
    <w:rsid w:val="6D8B5BD9"/>
    <w:rsid w:val="6D964423"/>
    <w:rsid w:val="6DA76E94"/>
    <w:rsid w:val="6DAB50EA"/>
    <w:rsid w:val="6DBF3D49"/>
    <w:rsid w:val="6DE22E9A"/>
    <w:rsid w:val="6DE73B19"/>
    <w:rsid w:val="6DEA05CF"/>
    <w:rsid w:val="6DEA1D4F"/>
    <w:rsid w:val="6DF6170F"/>
    <w:rsid w:val="6DFC5765"/>
    <w:rsid w:val="6E010C78"/>
    <w:rsid w:val="6E0D1A95"/>
    <w:rsid w:val="6E1A2ADA"/>
    <w:rsid w:val="6E233738"/>
    <w:rsid w:val="6E331948"/>
    <w:rsid w:val="6E417D40"/>
    <w:rsid w:val="6E4F4914"/>
    <w:rsid w:val="6E645FA5"/>
    <w:rsid w:val="6E7450D4"/>
    <w:rsid w:val="6EBE1382"/>
    <w:rsid w:val="6ECE3BAC"/>
    <w:rsid w:val="6ECF68F9"/>
    <w:rsid w:val="6EF955C2"/>
    <w:rsid w:val="6F004F40"/>
    <w:rsid w:val="6F0B027A"/>
    <w:rsid w:val="6F174DC6"/>
    <w:rsid w:val="6F1C7AE1"/>
    <w:rsid w:val="6F282B2F"/>
    <w:rsid w:val="6F2D24EF"/>
    <w:rsid w:val="6F4017D0"/>
    <w:rsid w:val="6F406C41"/>
    <w:rsid w:val="6F5643B0"/>
    <w:rsid w:val="6F572320"/>
    <w:rsid w:val="6F5E4E78"/>
    <w:rsid w:val="6F6F4C02"/>
    <w:rsid w:val="6F725298"/>
    <w:rsid w:val="6F77449A"/>
    <w:rsid w:val="6F7D3544"/>
    <w:rsid w:val="6F7E0F8B"/>
    <w:rsid w:val="6F860ABF"/>
    <w:rsid w:val="6F9B592A"/>
    <w:rsid w:val="6FA520F6"/>
    <w:rsid w:val="6FC646EE"/>
    <w:rsid w:val="6FCE2842"/>
    <w:rsid w:val="6FD13DF1"/>
    <w:rsid w:val="6FE54EC4"/>
    <w:rsid w:val="700E3693"/>
    <w:rsid w:val="70481A69"/>
    <w:rsid w:val="7059053E"/>
    <w:rsid w:val="705D76DF"/>
    <w:rsid w:val="70702772"/>
    <w:rsid w:val="70795F09"/>
    <w:rsid w:val="707D5D93"/>
    <w:rsid w:val="70825D61"/>
    <w:rsid w:val="708446DD"/>
    <w:rsid w:val="708F2123"/>
    <w:rsid w:val="70A944A8"/>
    <w:rsid w:val="70B50EAE"/>
    <w:rsid w:val="70BC71F2"/>
    <w:rsid w:val="70BD6440"/>
    <w:rsid w:val="70C073A4"/>
    <w:rsid w:val="70C46F7C"/>
    <w:rsid w:val="70D811A6"/>
    <w:rsid w:val="70FD0D00"/>
    <w:rsid w:val="717674EE"/>
    <w:rsid w:val="71933FE3"/>
    <w:rsid w:val="71B412EA"/>
    <w:rsid w:val="71CB3667"/>
    <w:rsid w:val="71CC1BB7"/>
    <w:rsid w:val="71D47009"/>
    <w:rsid w:val="71EA67C2"/>
    <w:rsid w:val="71F413EE"/>
    <w:rsid w:val="72267B6E"/>
    <w:rsid w:val="723D42C9"/>
    <w:rsid w:val="7243784A"/>
    <w:rsid w:val="727044D5"/>
    <w:rsid w:val="72774474"/>
    <w:rsid w:val="727F33AE"/>
    <w:rsid w:val="728409C4"/>
    <w:rsid w:val="728F2BF4"/>
    <w:rsid w:val="72CB3962"/>
    <w:rsid w:val="72D30D68"/>
    <w:rsid w:val="72E33DD9"/>
    <w:rsid w:val="72EA19CA"/>
    <w:rsid w:val="72F21738"/>
    <w:rsid w:val="72F411F2"/>
    <w:rsid w:val="72FA034B"/>
    <w:rsid w:val="72FA6030"/>
    <w:rsid w:val="73052CC1"/>
    <w:rsid w:val="73054601"/>
    <w:rsid w:val="73071D6F"/>
    <w:rsid w:val="730A7F00"/>
    <w:rsid w:val="731A22C9"/>
    <w:rsid w:val="73345EE5"/>
    <w:rsid w:val="735F409E"/>
    <w:rsid w:val="737130E0"/>
    <w:rsid w:val="737344C9"/>
    <w:rsid w:val="737604A5"/>
    <w:rsid w:val="737B63EF"/>
    <w:rsid w:val="737D7B92"/>
    <w:rsid w:val="73801CA6"/>
    <w:rsid w:val="738B0B65"/>
    <w:rsid w:val="73970C10"/>
    <w:rsid w:val="739C490D"/>
    <w:rsid w:val="73C50AB2"/>
    <w:rsid w:val="73CE22DD"/>
    <w:rsid w:val="73CE79C1"/>
    <w:rsid w:val="73E01C2A"/>
    <w:rsid w:val="73E4229A"/>
    <w:rsid w:val="74012A01"/>
    <w:rsid w:val="7406121F"/>
    <w:rsid w:val="740D06A3"/>
    <w:rsid w:val="742445A1"/>
    <w:rsid w:val="74316B60"/>
    <w:rsid w:val="74326D17"/>
    <w:rsid w:val="743B4F10"/>
    <w:rsid w:val="744621A9"/>
    <w:rsid w:val="744E440A"/>
    <w:rsid w:val="745B39A7"/>
    <w:rsid w:val="745C2CF6"/>
    <w:rsid w:val="74694583"/>
    <w:rsid w:val="747A12DD"/>
    <w:rsid w:val="74816B5C"/>
    <w:rsid w:val="748D3A2D"/>
    <w:rsid w:val="748D53D7"/>
    <w:rsid w:val="749252CA"/>
    <w:rsid w:val="74AF07AA"/>
    <w:rsid w:val="74CB6BF3"/>
    <w:rsid w:val="74D054A5"/>
    <w:rsid w:val="74DE5269"/>
    <w:rsid w:val="74EF66C8"/>
    <w:rsid w:val="74F95D61"/>
    <w:rsid w:val="75085515"/>
    <w:rsid w:val="75463EAA"/>
    <w:rsid w:val="755772EB"/>
    <w:rsid w:val="757F74E0"/>
    <w:rsid w:val="75840CDB"/>
    <w:rsid w:val="758B0585"/>
    <w:rsid w:val="75916DAF"/>
    <w:rsid w:val="75945CDE"/>
    <w:rsid w:val="759D1E72"/>
    <w:rsid w:val="75A43007"/>
    <w:rsid w:val="75A85A27"/>
    <w:rsid w:val="75D51C12"/>
    <w:rsid w:val="75ED1B5F"/>
    <w:rsid w:val="75F74CB3"/>
    <w:rsid w:val="75FA427F"/>
    <w:rsid w:val="75FB6B2E"/>
    <w:rsid w:val="76082E74"/>
    <w:rsid w:val="76084ABA"/>
    <w:rsid w:val="761B33ED"/>
    <w:rsid w:val="76263861"/>
    <w:rsid w:val="76385E3C"/>
    <w:rsid w:val="76500BBD"/>
    <w:rsid w:val="765B08DA"/>
    <w:rsid w:val="76951D18"/>
    <w:rsid w:val="769D3EE1"/>
    <w:rsid w:val="76AC3957"/>
    <w:rsid w:val="76AD31C9"/>
    <w:rsid w:val="76AD4D94"/>
    <w:rsid w:val="76C577FD"/>
    <w:rsid w:val="76C83984"/>
    <w:rsid w:val="76E2215D"/>
    <w:rsid w:val="76E673F1"/>
    <w:rsid w:val="76F32E4F"/>
    <w:rsid w:val="770A3BC6"/>
    <w:rsid w:val="772C3A34"/>
    <w:rsid w:val="773F0623"/>
    <w:rsid w:val="774A7DA9"/>
    <w:rsid w:val="77680849"/>
    <w:rsid w:val="77683D67"/>
    <w:rsid w:val="77817EE7"/>
    <w:rsid w:val="7789487C"/>
    <w:rsid w:val="778F7418"/>
    <w:rsid w:val="77AB3F16"/>
    <w:rsid w:val="77B16B6F"/>
    <w:rsid w:val="77D4620F"/>
    <w:rsid w:val="77E55DB7"/>
    <w:rsid w:val="77E95165"/>
    <w:rsid w:val="77EA56F4"/>
    <w:rsid w:val="77FA4DC0"/>
    <w:rsid w:val="77FB5FEC"/>
    <w:rsid w:val="78156EF8"/>
    <w:rsid w:val="78166EBF"/>
    <w:rsid w:val="783D3496"/>
    <w:rsid w:val="78471D7B"/>
    <w:rsid w:val="785A5BE0"/>
    <w:rsid w:val="786A5453"/>
    <w:rsid w:val="787A50A4"/>
    <w:rsid w:val="78842665"/>
    <w:rsid w:val="788636C2"/>
    <w:rsid w:val="789726E8"/>
    <w:rsid w:val="789A1E3F"/>
    <w:rsid w:val="789C410E"/>
    <w:rsid w:val="78A07BDA"/>
    <w:rsid w:val="78AF10B2"/>
    <w:rsid w:val="78C44C49"/>
    <w:rsid w:val="78DA57B6"/>
    <w:rsid w:val="78DD1CEC"/>
    <w:rsid w:val="78E21FA1"/>
    <w:rsid w:val="78EA7FD0"/>
    <w:rsid w:val="790805D0"/>
    <w:rsid w:val="79126562"/>
    <w:rsid w:val="79176A2C"/>
    <w:rsid w:val="7922383B"/>
    <w:rsid w:val="79254583"/>
    <w:rsid w:val="792B239B"/>
    <w:rsid w:val="79364458"/>
    <w:rsid w:val="7944021C"/>
    <w:rsid w:val="795B09D4"/>
    <w:rsid w:val="79721893"/>
    <w:rsid w:val="79787FAC"/>
    <w:rsid w:val="797E6473"/>
    <w:rsid w:val="799F60E4"/>
    <w:rsid w:val="79D26241"/>
    <w:rsid w:val="79F71BFC"/>
    <w:rsid w:val="79F93A46"/>
    <w:rsid w:val="7A116E02"/>
    <w:rsid w:val="7A1B37DB"/>
    <w:rsid w:val="7A215555"/>
    <w:rsid w:val="7A2B5199"/>
    <w:rsid w:val="7A567C6E"/>
    <w:rsid w:val="7A645D7D"/>
    <w:rsid w:val="7A821A65"/>
    <w:rsid w:val="7A827542"/>
    <w:rsid w:val="7A921D1A"/>
    <w:rsid w:val="7ACA0298"/>
    <w:rsid w:val="7AD811B7"/>
    <w:rsid w:val="7ADD3746"/>
    <w:rsid w:val="7AEC35AA"/>
    <w:rsid w:val="7AF56795"/>
    <w:rsid w:val="7AF93F64"/>
    <w:rsid w:val="7B082A3B"/>
    <w:rsid w:val="7B315461"/>
    <w:rsid w:val="7B3755EF"/>
    <w:rsid w:val="7B5C0285"/>
    <w:rsid w:val="7B9D1331"/>
    <w:rsid w:val="7BA80E84"/>
    <w:rsid w:val="7BAE46A2"/>
    <w:rsid w:val="7BDC170C"/>
    <w:rsid w:val="7BDD75EC"/>
    <w:rsid w:val="7BED4178"/>
    <w:rsid w:val="7C0410B5"/>
    <w:rsid w:val="7C0E2829"/>
    <w:rsid w:val="7C1728A9"/>
    <w:rsid w:val="7C22116C"/>
    <w:rsid w:val="7C413C26"/>
    <w:rsid w:val="7C423FD1"/>
    <w:rsid w:val="7C4F7023"/>
    <w:rsid w:val="7C634031"/>
    <w:rsid w:val="7C6E1ACD"/>
    <w:rsid w:val="7C706C34"/>
    <w:rsid w:val="7C7239E1"/>
    <w:rsid w:val="7C84284F"/>
    <w:rsid w:val="7C8B79CD"/>
    <w:rsid w:val="7CA1753A"/>
    <w:rsid w:val="7CA51600"/>
    <w:rsid w:val="7CA90E98"/>
    <w:rsid w:val="7CAA2C12"/>
    <w:rsid w:val="7CE7353F"/>
    <w:rsid w:val="7CF93C6C"/>
    <w:rsid w:val="7D024E79"/>
    <w:rsid w:val="7D0948D5"/>
    <w:rsid w:val="7D0E5A5A"/>
    <w:rsid w:val="7D1B1934"/>
    <w:rsid w:val="7D380147"/>
    <w:rsid w:val="7D3A6854"/>
    <w:rsid w:val="7D792676"/>
    <w:rsid w:val="7D7D4A4D"/>
    <w:rsid w:val="7D8729BF"/>
    <w:rsid w:val="7D882C08"/>
    <w:rsid w:val="7D953981"/>
    <w:rsid w:val="7DA34AD6"/>
    <w:rsid w:val="7DA403B7"/>
    <w:rsid w:val="7DA57A41"/>
    <w:rsid w:val="7DB172E3"/>
    <w:rsid w:val="7DC404B9"/>
    <w:rsid w:val="7DD16A88"/>
    <w:rsid w:val="7DDB2E73"/>
    <w:rsid w:val="7E3B083A"/>
    <w:rsid w:val="7E62733D"/>
    <w:rsid w:val="7E6E04A7"/>
    <w:rsid w:val="7E7410A6"/>
    <w:rsid w:val="7E775D03"/>
    <w:rsid w:val="7E804863"/>
    <w:rsid w:val="7E8104AE"/>
    <w:rsid w:val="7E8445D9"/>
    <w:rsid w:val="7E9B60FC"/>
    <w:rsid w:val="7EA40EB6"/>
    <w:rsid w:val="7EAC3950"/>
    <w:rsid w:val="7ED15D42"/>
    <w:rsid w:val="7ED22E62"/>
    <w:rsid w:val="7ED65C08"/>
    <w:rsid w:val="7ED7536C"/>
    <w:rsid w:val="7EE34CC4"/>
    <w:rsid w:val="7EFF3610"/>
    <w:rsid w:val="7F146792"/>
    <w:rsid w:val="7F1F62F5"/>
    <w:rsid w:val="7F205418"/>
    <w:rsid w:val="7F244FEB"/>
    <w:rsid w:val="7F364DF4"/>
    <w:rsid w:val="7F4A4426"/>
    <w:rsid w:val="7F4A60CC"/>
    <w:rsid w:val="7F500028"/>
    <w:rsid w:val="7F5A3C96"/>
    <w:rsid w:val="7F5E2FEF"/>
    <w:rsid w:val="7F5F3852"/>
    <w:rsid w:val="7F670585"/>
    <w:rsid w:val="7F7606E4"/>
    <w:rsid w:val="7F7C38D5"/>
    <w:rsid w:val="7F7C66AD"/>
    <w:rsid w:val="7F7E6D66"/>
    <w:rsid w:val="7F8671D9"/>
    <w:rsid w:val="7F891F56"/>
    <w:rsid w:val="7F8F4A92"/>
    <w:rsid w:val="7F910AD8"/>
    <w:rsid w:val="7F96487D"/>
    <w:rsid w:val="7FA36202"/>
    <w:rsid w:val="7FA93818"/>
    <w:rsid w:val="7FAA6A57"/>
    <w:rsid w:val="7FAB2350"/>
    <w:rsid w:val="7FB964D1"/>
    <w:rsid w:val="7FCF3DEC"/>
    <w:rsid w:val="7FD85EAB"/>
    <w:rsid w:val="7FE85CF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uiPriority="99" w:name="page number"/>
    <w:lsdException w:uiPriority="99" w:name="endnote reference"/>
    <w:lsdException w:uiPriority="99" w:name="endnote text"/>
    <w:lsdException w:qFormat="1" w:uiPriority="0" w:semiHidden="0"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iPriority="99" w:semiHidden="0"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0" w:semiHidden="0" w:name="Emphasis"/>
    <w:lsdException w:qFormat="1" w:uiPriority="99" w:name="Document Map"/>
    <w:lsdException w:qFormat="1"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0"/>
    <w:qFormat/>
    <w:uiPriority w:val="0"/>
    <w:pPr>
      <w:keepNext/>
      <w:jc w:val="center"/>
      <w:outlineLvl w:val="0"/>
    </w:pPr>
    <w:rPr>
      <w:rFonts w:ascii="黑体" w:eastAsia="黑体"/>
      <w:sz w:val="28"/>
    </w:rPr>
  </w:style>
  <w:style w:type="paragraph" w:styleId="3">
    <w:name w:val="heading 2"/>
    <w:basedOn w:val="1"/>
    <w:next w:val="1"/>
    <w:link w:val="51"/>
    <w:unhideWhenUsed/>
    <w:qFormat/>
    <w:uiPriority w:val="0"/>
    <w:pPr>
      <w:keepNext/>
      <w:spacing w:line="720" w:lineRule="exact"/>
      <w:outlineLvl w:val="1"/>
    </w:pPr>
    <w:rPr>
      <w:rFonts w:ascii="黑体" w:hAnsi="Copperplate Gothic Bold" w:eastAsia="楷体_GB2312"/>
      <w:sz w:val="28"/>
    </w:rPr>
  </w:style>
  <w:style w:type="paragraph" w:styleId="4">
    <w:name w:val="heading 3"/>
    <w:basedOn w:val="1"/>
    <w:next w:val="5"/>
    <w:link w:val="52"/>
    <w:semiHidden/>
    <w:unhideWhenUsed/>
    <w:qFormat/>
    <w:uiPriority w:val="0"/>
    <w:pPr>
      <w:keepNext/>
      <w:spacing w:line="320" w:lineRule="exact"/>
      <w:outlineLvl w:val="2"/>
    </w:pPr>
    <w:rPr>
      <w:rFonts w:ascii="楷体_GB2312" w:eastAsia="楷体_GB2312"/>
      <w:sz w:val="32"/>
    </w:rPr>
  </w:style>
  <w:style w:type="paragraph" w:styleId="7">
    <w:name w:val="heading 4"/>
    <w:basedOn w:val="1"/>
    <w:next w:val="1"/>
    <w:link w:val="53"/>
    <w:semiHidden/>
    <w:unhideWhenUsed/>
    <w:qFormat/>
    <w:uiPriority w:val="0"/>
    <w:pPr>
      <w:keepNext/>
      <w:spacing w:line="600" w:lineRule="exact"/>
      <w:jc w:val="center"/>
      <w:outlineLvl w:val="3"/>
    </w:pPr>
    <w:rPr>
      <w:rFonts w:ascii="楷体_GB2312" w:eastAsia="楷体_GB2312"/>
      <w:sz w:val="32"/>
    </w:rPr>
  </w:style>
  <w:style w:type="paragraph" w:styleId="8">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link w:val="54"/>
    <w:semiHidden/>
    <w:unhideWhenUsed/>
    <w:qFormat/>
    <w:uiPriority w:val="99"/>
    <w:pPr>
      <w:ind w:firstLine="420"/>
    </w:pPr>
  </w:style>
  <w:style w:type="paragraph" w:styleId="6">
    <w:name w:val="toc 4"/>
    <w:basedOn w:val="1"/>
    <w:next w:val="1"/>
    <w:qFormat/>
    <w:uiPriority w:val="39"/>
    <w:pPr>
      <w:ind w:left="630"/>
      <w:jc w:val="left"/>
    </w:pPr>
    <w:rPr>
      <w:rFonts w:ascii="Calibri" w:hAnsi="Calibri" w:cs="Calibri"/>
      <w:sz w:val="18"/>
      <w:szCs w:val="18"/>
    </w:rPr>
  </w:style>
  <w:style w:type="paragraph" w:styleId="9">
    <w:name w:val="table of authorities"/>
    <w:basedOn w:val="1"/>
    <w:next w:val="1"/>
    <w:unhideWhenUsed/>
    <w:qFormat/>
    <w:uiPriority w:val="0"/>
    <w:pPr>
      <w:ind w:left="420" w:leftChars="200"/>
    </w:pPr>
  </w:style>
  <w:style w:type="paragraph" w:styleId="10">
    <w:name w:val="Document Map"/>
    <w:basedOn w:val="1"/>
    <w:link w:val="63"/>
    <w:semiHidden/>
    <w:unhideWhenUsed/>
    <w:qFormat/>
    <w:uiPriority w:val="99"/>
    <w:pPr>
      <w:shd w:val="clear" w:color="auto" w:fill="000080"/>
    </w:pPr>
  </w:style>
  <w:style w:type="paragraph" w:styleId="11">
    <w:name w:val="toa heading"/>
    <w:basedOn w:val="1"/>
    <w:next w:val="1"/>
    <w:qFormat/>
    <w:uiPriority w:val="0"/>
    <w:pPr>
      <w:spacing w:before="120" w:beforeLines="0" w:beforeAutospacing="0"/>
    </w:pPr>
    <w:rPr>
      <w:rFonts w:ascii="Arial" w:hAnsi="Arial"/>
      <w:sz w:val="24"/>
    </w:rPr>
  </w:style>
  <w:style w:type="paragraph" w:styleId="12">
    <w:name w:val="annotation text"/>
    <w:basedOn w:val="1"/>
    <w:link w:val="55"/>
    <w:semiHidden/>
    <w:unhideWhenUsed/>
    <w:qFormat/>
    <w:uiPriority w:val="99"/>
    <w:pPr>
      <w:jc w:val="left"/>
    </w:pPr>
  </w:style>
  <w:style w:type="paragraph" w:styleId="13">
    <w:name w:val="Body Text 3"/>
    <w:basedOn w:val="1"/>
    <w:link w:val="60"/>
    <w:semiHidden/>
    <w:unhideWhenUsed/>
    <w:qFormat/>
    <w:uiPriority w:val="99"/>
    <w:pPr>
      <w:jc w:val="center"/>
    </w:pPr>
    <w:rPr>
      <w:b/>
      <w:spacing w:val="-20"/>
      <w:w w:val="110"/>
      <w:sz w:val="52"/>
    </w:rPr>
  </w:style>
  <w:style w:type="paragraph" w:styleId="14">
    <w:name w:val="Body Text"/>
    <w:basedOn w:val="1"/>
    <w:link w:val="56"/>
    <w:unhideWhenUsed/>
    <w:qFormat/>
    <w:uiPriority w:val="99"/>
    <w:pPr>
      <w:jc w:val="left"/>
    </w:pPr>
    <w:rPr>
      <w:rFonts w:ascii="Copperplate Gothic Bold" w:hAnsi="Copperplate Gothic Bold"/>
      <w:sz w:val="28"/>
    </w:rPr>
  </w:style>
  <w:style w:type="paragraph" w:styleId="15">
    <w:name w:val="Body Text Indent"/>
    <w:basedOn w:val="1"/>
    <w:link w:val="57"/>
    <w:semiHidden/>
    <w:unhideWhenUsed/>
    <w:qFormat/>
    <w:uiPriority w:val="99"/>
    <w:pPr>
      <w:spacing w:line="640" w:lineRule="exact"/>
      <w:ind w:firstLine="585"/>
    </w:pPr>
    <w:rPr>
      <w:rFonts w:ascii="楷体_GB2312" w:eastAsia="楷体_GB2312"/>
      <w:sz w:val="32"/>
    </w:rPr>
  </w:style>
  <w:style w:type="paragraph" w:styleId="16">
    <w:name w:val="Plain Text"/>
    <w:basedOn w:val="1"/>
    <w:link w:val="64"/>
    <w:semiHidden/>
    <w:unhideWhenUsed/>
    <w:qFormat/>
    <w:uiPriority w:val="99"/>
    <w:rPr>
      <w:rFonts w:ascii="宋体" w:hAnsi="Courier New"/>
    </w:rPr>
  </w:style>
  <w:style w:type="paragraph" w:styleId="17">
    <w:name w:val="Date"/>
    <w:basedOn w:val="1"/>
    <w:next w:val="1"/>
    <w:link w:val="58"/>
    <w:semiHidden/>
    <w:unhideWhenUsed/>
    <w:qFormat/>
    <w:uiPriority w:val="99"/>
    <w:rPr>
      <w:rFonts w:ascii="Copperplate Gothic Bold" w:hAnsi="Copperplate Gothic Bold"/>
      <w:sz w:val="32"/>
    </w:rPr>
  </w:style>
  <w:style w:type="paragraph" w:styleId="18">
    <w:name w:val="Body Text Indent 2"/>
    <w:basedOn w:val="1"/>
    <w:link w:val="61"/>
    <w:semiHidden/>
    <w:unhideWhenUsed/>
    <w:qFormat/>
    <w:uiPriority w:val="99"/>
    <w:pPr>
      <w:spacing w:line="640" w:lineRule="exact"/>
      <w:ind w:firstLine="645"/>
    </w:pPr>
    <w:rPr>
      <w:rFonts w:ascii="楷体_GB2312" w:eastAsia="楷体_GB2312"/>
      <w:sz w:val="32"/>
    </w:rPr>
  </w:style>
  <w:style w:type="paragraph" w:styleId="19">
    <w:name w:val="Balloon Text"/>
    <w:basedOn w:val="1"/>
    <w:link w:val="65"/>
    <w:semiHidden/>
    <w:unhideWhenUsed/>
    <w:qFormat/>
    <w:uiPriority w:val="99"/>
    <w:rPr>
      <w:sz w:val="18"/>
      <w:szCs w:val="18"/>
    </w:rPr>
  </w:style>
  <w:style w:type="paragraph" w:styleId="20">
    <w:name w:val="footer"/>
    <w:basedOn w:val="1"/>
    <w:link w:val="49"/>
    <w:unhideWhenUsed/>
    <w:qFormat/>
    <w:uiPriority w:val="99"/>
    <w:pPr>
      <w:tabs>
        <w:tab w:val="center" w:pos="4153"/>
        <w:tab w:val="right" w:pos="8306"/>
      </w:tabs>
      <w:snapToGrid w:val="0"/>
      <w:jc w:val="left"/>
    </w:pPr>
    <w:rPr>
      <w:sz w:val="18"/>
      <w:szCs w:val="18"/>
    </w:rPr>
  </w:style>
  <w:style w:type="paragraph" w:styleId="21">
    <w:name w:val="header"/>
    <w:basedOn w:val="1"/>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0"/>
    <w:pPr>
      <w:tabs>
        <w:tab w:val="left" w:pos="1260"/>
        <w:tab w:val="left" w:pos="1685"/>
        <w:tab w:val="right" w:leader="dot" w:pos="8400"/>
      </w:tabs>
      <w:ind w:firstLine="280" w:firstLineChars="100"/>
    </w:pPr>
    <w:rPr>
      <w:sz w:val="28"/>
    </w:rPr>
  </w:style>
  <w:style w:type="paragraph" w:styleId="23">
    <w:name w:val="Body Text Indent 3"/>
    <w:basedOn w:val="1"/>
    <w:link w:val="62"/>
    <w:semiHidden/>
    <w:unhideWhenUsed/>
    <w:qFormat/>
    <w:uiPriority w:val="99"/>
    <w:pPr>
      <w:ind w:firstLine="645"/>
    </w:pPr>
    <w:rPr>
      <w:rFonts w:ascii="宋体" w:hAnsi="Copperplate Gothic Bold"/>
      <w:sz w:val="28"/>
    </w:rPr>
  </w:style>
  <w:style w:type="paragraph" w:styleId="24">
    <w:name w:val="toc 2"/>
    <w:basedOn w:val="1"/>
    <w:next w:val="1"/>
    <w:semiHidden/>
    <w:unhideWhenUsed/>
    <w:qFormat/>
    <w:uiPriority w:val="39"/>
    <w:pPr>
      <w:ind w:left="420" w:leftChars="200"/>
    </w:pPr>
  </w:style>
  <w:style w:type="paragraph" w:styleId="25">
    <w:name w:val="Body Text 2"/>
    <w:basedOn w:val="1"/>
    <w:link w:val="59"/>
    <w:unhideWhenUsed/>
    <w:qFormat/>
    <w:uiPriority w:val="99"/>
    <w:rPr>
      <w:rFonts w:ascii="楷体_GB2312" w:hAnsi="Copperplate Gothic Bold" w:eastAsia="楷体_GB2312"/>
      <w:sz w:val="28"/>
    </w:rPr>
  </w:style>
  <w:style w:type="paragraph" w:styleId="26">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7">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28">
    <w:name w:val="Body Text First Indent"/>
    <w:basedOn w:val="14"/>
    <w:next w:val="14"/>
    <w:qFormat/>
    <w:uiPriority w:val="0"/>
    <w:pPr>
      <w:ind w:firstLine="420" w:firstLineChars="100"/>
    </w:pPr>
    <w:rPr>
      <w:rFonts w:eastAsia="仿宋_GB2312"/>
    </w:rPr>
  </w:style>
  <w:style w:type="paragraph" w:styleId="29">
    <w:name w:val="Body Text First Indent 2"/>
    <w:basedOn w:val="15"/>
    <w:qFormat/>
    <w:uiPriority w:val="0"/>
    <w:pPr>
      <w:ind w:firstLine="420" w:firstLineChars="200"/>
    </w:p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rFonts w:ascii="微软雅黑" w:hAnsi="微软雅黑" w:eastAsia="微软雅黑" w:cs="微软雅黑"/>
      <w:b/>
      <w:bCs/>
      <w:sz w:val="15"/>
      <w:szCs w:val="15"/>
    </w:rPr>
  </w:style>
  <w:style w:type="character" w:styleId="34">
    <w:name w:val="FollowedHyperlink"/>
    <w:basedOn w:val="32"/>
    <w:semiHidden/>
    <w:unhideWhenUsed/>
    <w:qFormat/>
    <w:uiPriority w:val="99"/>
    <w:rPr>
      <w:color w:val="800080" w:themeColor="followedHyperlink"/>
      <w:u w:val="single"/>
    </w:rPr>
  </w:style>
  <w:style w:type="character" w:styleId="35">
    <w:name w:val="Emphasis"/>
    <w:basedOn w:val="32"/>
    <w:qFormat/>
    <w:uiPriority w:val="0"/>
  </w:style>
  <w:style w:type="character" w:styleId="36">
    <w:name w:val="HTML Definition"/>
    <w:basedOn w:val="32"/>
    <w:semiHidden/>
    <w:unhideWhenUsed/>
    <w:qFormat/>
    <w:uiPriority w:val="99"/>
  </w:style>
  <w:style w:type="character" w:styleId="37">
    <w:name w:val="HTML Typewriter"/>
    <w:basedOn w:val="32"/>
    <w:semiHidden/>
    <w:unhideWhenUsed/>
    <w:qFormat/>
    <w:uiPriority w:val="99"/>
    <w:rPr>
      <w:rFonts w:hint="default" w:ascii="monospace" w:hAnsi="monospace" w:eastAsia="monospace" w:cs="monospace"/>
      <w:sz w:val="20"/>
    </w:rPr>
  </w:style>
  <w:style w:type="character" w:styleId="38">
    <w:name w:val="HTML Acronym"/>
    <w:basedOn w:val="32"/>
    <w:semiHidden/>
    <w:unhideWhenUsed/>
    <w:qFormat/>
    <w:uiPriority w:val="99"/>
  </w:style>
  <w:style w:type="character" w:styleId="39">
    <w:name w:val="HTML Variable"/>
    <w:basedOn w:val="32"/>
    <w:semiHidden/>
    <w:unhideWhenUsed/>
    <w:qFormat/>
    <w:uiPriority w:val="99"/>
  </w:style>
  <w:style w:type="character" w:styleId="40">
    <w:name w:val="Hyperlink"/>
    <w:basedOn w:val="32"/>
    <w:semiHidden/>
    <w:unhideWhenUsed/>
    <w:qFormat/>
    <w:uiPriority w:val="99"/>
    <w:rPr>
      <w:color w:val="0000FF"/>
      <w:u w:val="none"/>
    </w:rPr>
  </w:style>
  <w:style w:type="character" w:styleId="41">
    <w:name w:val="HTML Code"/>
    <w:basedOn w:val="32"/>
    <w:semiHidden/>
    <w:unhideWhenUsed/>
    <w:qFormat/>
    <w:uiPriority w:val="99"/>
    <w:rPr>
      <w:rFonts w:hint="default" w:ascii="monospace" w:hAnsi="monospace" w:eastAsia="monospace" w:cs="monospace"/>
      <w:sz w:val="20"/>
    </w:rPr>
  </w:style>
  <w:style w:type="character" w:styleId="42">
    <w:name w:val="annotation reference"/>
    <w:semiHidden/>
    <w:unhideWhenUsed/>
    <w:qFormat/>
    <w:uiPriority w:val="0"/>
    <w:rPr>
      <w:sz w:val="21"/>
    </w:rPr>
  </w:style>
  <w:style w:type="character" w:styleId="43">
    <w:name w:val="HTML Cite"/>
    <w:basedOn w:val="32"/>
    <w:semiHidden/>
    <w:unhideWhenUsed/>
    <w:qFormat/>
    <w:uiPriority w:val="99"/>
  </w:style>
  <w:style w:type="character" w:styleId="44">
    <w:name w:val="HTML Keyboard"/>
    <w:basedOn w:val="32"/>
    <w:semiHidden/>
    <w:unhideWhenUsed/>
    <w:qFormat/>
    <w:uiPriority w:val="99"/>
    <w:rPr>
      <w:rFonts w:ascii="monospace" w:hAnsi="monospace" w:eastAsia="monospace" w:cs="monospace"/>
      <w:sz w:val="20"/>
    </w:rPr>
  </w:style>
  <w:style w:type="character" w:styleId="45">
    <w:name w:val="HTML Sample"/>
    <w:basedOn w:val="32"/>
    <w:semiHidden/>
    <w:unhideWhenUsed/>
    <w:qFormat/>
    <w:uiPriority w:val="99"/>
    <w:rPr>
      <w:rFonts w:hint="default" w:ascii="monospace" w:hAnsi="monospace" w:eastAsia="monospace" w:cs="monospace"/>
    </w:rPr>
  </w:style>
  <w:style w:type="paragraph" w:customStyle="1" w:styleId="46">
    <w:name w:val="正文缩进1"/>
    <w:basedOn w:val="1"/>
    <w:qFormat/>
    <w:uiPriority w:val="0"/>
    <w:pPr>
      <w:ind w:firstLine="420" w:firstLineChars="200"/>
    </w:pPr>
  </w:style>
  <w:style w:type="paragraph" w:customStyle="1" w:styleId="47">
    <w:name w:val="默认段落字体 Para Char Char Char Char"/>
    <w:basedOn w:val="1"/>
    <w:qFormat/>
    <w:uiPriority w:val="0"/>
  </w:style>
  <w:style w:type="character" w:customStyle="1" w:styleId="48">
    <w:name w:val="页眉 Char"/>
    <w:basedOn w:val="32"/>
    <w:link w:val="21"/>
    <w:qFormat/>
    <w:uiPriority w:val="99"/>
    <w:rPr>
      <w:kern w:val="2"/>
      <w:sz w:val="18"/>
      <w:szCs w:val="18"/>
    </w:rPr>
  </w:style>
  <w:style w:type="character" w:customStyle="1" w:styleId="49">
    <w:name w:val="页脚 Char"/>
    <w:basedOn w:val="32"/>
    <w:link w:val="20"/>
    <w:qFormat/>
    <w:uiPriority w:val="99"/>
    <w:rPr>
      <w:kern w:val="2"/>
      <w:sz w:val="18"/>
      <w:szCs w:val="18"/>
    </w:rPr>
  </w:style>
  <w:style w:type="character" w:customStyle="1" w:styleId="50">
    <w:name w:val="标题 1 Char"/>
    <w:basedOn w:val="32"/>
    <w:link w:val="2"/>
    <w:qFormat/>
    <w:uiPriority w:val="0"/>
    <w:rPr>
      <w:rFonts w:ascii="黑体" w:eastAsia="黑体"/>
      <w:kern w:val="2"/>
      <w:sz w:val="28"/>
    </w:rPr>
  </w:style>
  <w:style w:type="character" w:customStyle="1" w:styleId="51">
    <w:name w:val="标题 2 Char"/>
    <w:basedOn w:val="32"/>
    <w:link w:val="3"/>
    <w:qFormat/>
    <w:uiPriority w:val="0"/>
    <w:rPr>
      <w:rFonts w:ascii="黑体" w:hAnsi="Copperplate Gothic Bold" w:eastAsia="楷体_GB2312"/>
      <w:kern w:val="2"/>
      <w:sz w:val="28"/>
    </w:rPr>
  </w:style>
  <w:style w:type="character" w:customStyle="1" w:styleId="52">
    <w:name w:val="标题 3 Char"/>
    <w:basedOn w:val="32"/>
    <w:link w:val="4"/>
    <w:semiHidden/>
    <w:qFormat/>
    <w:uiPriority w:val="0"/>
    <w:rPr>
      <w:rFonts w:ascii="楷体_GB2312" w:eastAsia="楷体_GB2312"/>
      <w:kern w:val="2"/>
      <w:sz w:val="32"/>
    </w:rPr>
  </w:style>
  <w:style w:type="character" w:customStyle="1" w:styleId="53">
    <w:name w:val="标题 4 Char"/>
    <w:basedOn w:val="32"/>
    <w:link w:val="7"/>
    <w:semiHidden/>
    <w:qFormat/>
    <w:uiPriority w:val="0"/>
    <w:rPr>
      <w:rFonts w:ascii="楷体_GB2312" w:eastAsia="楷体_GB2312"/>
      <w:kern w:val="2"/>
      <w:sz w:val="32"/>
    </w:rPr>
  </w:style>
  <w:style w:type="character" w:customStyle="1" w:styleId="54">
    <w:name w:val="正文缩进 Char"/>
    <w:link w:val="5"/>
    <w:semiHidden/>
    <w:qFormat/>
    <w:locked/>
    <w:uiPriority w:val="99"/>
    <w:rPr>
      <w:kern w:val="2"/>
      <w:sz w:val="21"/>
    </w:rPr>
  </w:style>
  <w:style w:type="character" w:customStyle="1" w:styleId="55">
    <w:name w:val="批注文字 Char"/>
    <w:basedOn w:val="32"/>
    <w:link w:val="12"/>
    <w:semiHidden/>
    <w:qFormat/>
    <w:uiPriority w:val="99"/>
    <w:rPr>
      <w:kern w:val="2"/>
      <w:sz w:val="21"/>
    </w:rPr>
  </w:style>
  <w:style w:type="character" w:customStyle="1" w:styleId="56">
    <w:name w:val="正文文本 Char"/>
    <w:basedOn w:val="32"/>
    <w:link w:val="14"/>
    <w:qFormat/>
    <w:uiPriority w:val="99"/>
    <w:rPr>
      <w:rFonts w:ascii="Copperplate Gothic Bold" w:hAnsi="Copperplate Gothic Bold"/>
      <w:kern w:val="2"/>
      <w:sz w:val="28"/>
    </w:rPr>
  </w:style>
  <w:style w:type="character" w:customStyle="1" w:styleId="57">
    <w:name w:val="正文文本缩进 Char"/>
    <w:basedOn w:val="32"/>
    <w:link w:val="15"/>
    <w:semiHidden/>
    <w:qFormat/>
    <w:uiPriority w:val="99"/>
    <w:rPr>
      <w:rFonts w:ascii="楷体_GB2312" w:eastAsia="楷体_GB2312"/>
      <w:kern w:val="2"/>
      <w:sz w:val="32"/>
    </w:rPr>
  </w:style>
  <w:style w:type="character" w:customStyle="1" w:styleId="58">
    <w:name w:val="日期 Char"/>
    <w:basedOn w:val="32"/>
    <w:link w:val="17"/>
    <w:semiHidden/>
    <w:qFormat/>
    <w:uiPriority w:val="99"/>
    <w:rPr>
      <w:rFonts w:ascii="Copperplate Gothic Bold" w:hAnsi="Copperplate Gothic Bold"/>
      <w:kern w:val="2"/>
      <w:sz w:val="32"/>
    </w:rPr>
  </w:style>
  <w:style w:type="character" w:customStyle="1" w:styleId="59">
    <w:name w:val="正文文本 2 Char"/>
    <w:basedOn w:val="32"/>
    <w:link w:val="25"/>
    <w:qFormat/>
    <w:uiPriority w:val="99"/>
    <w:rPr>
      <w:rFonts w:ascii="楷体_GB2312" w:hAnsi="Copperplate Gothic Bold" w:eastAsia="楷体_GB2312"/>
      <w:kern w:val="2"/>
      <w:sz w:val="28"/>
    </w:rPr>
  </w:style>
  <w:style w:type="character" w:customStyle="1" w:styleId="60">
    <w:name w:val="正文文本 3 Char"/>
    <w:basedOn w:val="32"/>
    <w:link w:val="13"/>
    <w:semiHidden/>
    <w:qFormat/>
    <w:uiPriority w:val="99"/>
    <w:rPr>
      <w:b/>
      <w:spacing w:val="-20"/>
      <w:w w:val="110"/>
      <w:kern w:val="2"/>
      <w:sz w:val="52"/>
    </w:rPr>
  </w:style>
  <w:style w:type="character" w:customStyle="1" w:styleId="61">
    <w:name w:val="正文文本缩进 2 Char"/>
    <w:basedOn w:val="32"/>
    <w:link w:val="18"/>
    <w:semiHidden/>
    <w:qFormat/>
    <w:uiPriority w:val="99"/>
    <w:rPr>
      <w:rFonts w:ascii="楷体_GB2312" w:eastAsia="楷体_GB2312"/>
      <w:kern w:val="2"/>
      <w:sz w:val="32"/>
    </w:rPr>
  </w:style>
  <w:style w:type="character" w:customStyle="1" w:styleId="62">
    <w:name w:val="正文文本缩进 3 Char"/>
    <w:basedOn w:val="32"/>
    <w:link w:val="23"/>
    <w:semiHidden/>
    <w:qFormat/>
    <w:uiPriority w:val="99"/>
    <w:rPr>
      <w:rFonts w:ascii="宋体" w:hAnsi="Copperplate Gothic Bold"/>
      <w:kern w:val="2"/>
      <w:sz w:val="28"/>
    </w:rPr>
  </w:style>
  <w:style w:type="character" w:customStyle="1" w:styleId="63">
    <w:name w:val="文档结构图 Char"/>
    <w:basedOn w:val="32"/>
    <w:link w:val="10"/>
    <w:semiHidden/>
    <w:qFormat/>
    <w:uiPriority w:val="99"/>
    <w:rPr>
      <w:kern w:val="2"/>
      <w:sz w:val="21"/>
      <w:shd w:val="clear" w:color="auto" w:fill="000080"/>
    </w:rPr>
  </w:style>
  <w:style w:type="character" w:customStyle="1" w:styleId="64">
    <w:name w:val="纯文本 Char"/>
    <w:basedOn w:val="32"/>
    <w:link w:val="16"/>
    <w:semiHidden/>
    <w:qFormat/>
    <w:uiPriority w:val="99"/>
    <w:rPr>
      <w:rFonts w:ascii="宋体" w:hAnsi="Courier New"/>
      <w:kern w:val="2"/>
      <w:sz w:val="21"/>
    </w:rPr>
  </w:style>
  <w:style w:type="character" w:customStyle="1" w:styleId="65">
    <w:name w:val="批注框文本 Char"/>
    <w:basedOn w:val="32"/>
    <w:link w:val="19"/>
    <w:semiHidden/>
    <w:qFormat/>
    <w:uiPriority w:val="99"/>
    <w:rPr>
      <w:kern w:val="2"/>
      <w:sz w:val="18"/>
      <w:szCs w:val="18"/>
    </w:rPr>
  </w:style>
  <w:style w:type="paragraph" w:customStyle="1" w:styleId="66">
    <w:name w:val="TOC 标题1"/>
    <w:basedOn w:val="2"/>
    <w:next w:val="1"/>
    <w:semiHidden/>
    <w:unhideWhenUsed/>
    <w:qFormat/>
    <w:uiPriority w:val="39"/>
    <w:pPr>
      <w:keepLines/>
      <w:widowControl/>
      <w:spacing w:before="480" w:line="276" w:lineRule="auto"/>
      <w:jc w:val="left"/>
      <w:outlineLvl w:val="9"/>
    </w:pPr>
    <w:rPr>
      <w:rFonts w:ascii="Cambria" w:hAnsi="Cambria" w:eastAsia="宋体"/>
      <w:b/>
      <w:bCs/>
      <w:color w:val="365F91"/>
      <w:kern w:val="0"/>
      <w:szCs w:val="28"/>
    </w:rPr>
  </w:style>
  <w:style w:type="paragraph" w:customStyle="1" w:styleId="67">
    <w:name w:val="普通正文"/>
    <w:basedOn w:val="1"/>
    <w:qFormat/>
    <w:uiPriority w:val="99"/>
    <w:pPr>
      <w:adjustRightInd w:val="0"/>
      <w:spacing w:before="120" w:after="120" w:line="360" w:lineRule="auto"/>
      <w:ind w:firstLine="480"/>
      <w:jc w:val="left"/>
    </w:pPr>
    <w:rPr>
      <w:rFonts w:ascii="Arial" w:hAnsi="Arial"/>
      <w:kern w:val="0"/>
      <w:sz w:val="24"/>
      <w:szCs w:val="24"/>
    </w:rPr>
  </w:style>
  <w:style w:type="paragraph" w:customStyle="1" w:styleId="68">
    <w:name w:val="正文基本样式"/>
    <w:basedOn w:val="1"/>
    <w:qFormat/>
    <w:uiPriority w:val="99"/>
    <w:pPr>
      <w:spacing w:line="336" w:lineRule="auto"/>
      <w:ind w:firstLine="580"/>
    </w:pPr>
    <w:rPr>
      <w:rFonts w:eastAsia="仿宋_GB2312" w:cs="宋体"/>
      <w:sz w:val="28"/>
    </w:rPr>
  </w:style>
  <w:style w:type="paragraph" w:customStyle="1" w:styleId="69">
    <w:name w:val="1册标题2"/>
    <w:basedOn w:val="1"/>
    <w:next w:val="1"/>
    <w:qFormat/>
    <w:uiPriority w:val="99"/>
    <w:pPr>
      <w:adjustRightInd w:val="0"/>
      <w:spacing w:beforeLines="50" w:afterLines="50" w:line="300" w:lineRule="auto"/>
      <w:jc w:val="center"/>
      <w:outlineLvl w:val="1"/>
    </w:pPr>
    <w:rPr>
      <w:rFonts w:ascii="Arial" w:hAnsi="Arial" w:eastAsia="黑体"/>
      <w:bCs/>
      <w:kern w:val="0"/>
      <w:sz w:val="32"/>
      <w:szCs w:val="24"/>
    </w:rPr>
  </w:style>
  <w:style w:type="paragraph" w:customStyle="1" w:styleId="70">
    <w:name w:val="文档正文"/>
    <w:basedOn w:val="1"/>
    <w:qFormat/>
    <w:uiPriority w:val="99"/>
    <w:pPr>
      <w:adjustRightInd w:val="0"/>
      <w:snapToGrid w:val="0"/>
      <w:spacing w:line="440" w:lineRule="exact"/>
      <w:ind w:firstLine="567"/>
    </w:pPr>
    <w:rPr>
      <w:rFonts w:ascii="Arial Narrow" w:hAnsi="Arial Narrow"/>
      <w:kern w:val="0"/>
      <w:sz w:val="24"/>
    </w:rPr>
  </w:style>
  <w:style w:type="paragraph" w:customStyle="1" w:styleId="71">
    <w:name w:val="??¨???¨????ì?¨¨??¨?o??????ì?¨¨?"/>
    <w:basedOn w:val="1"/>
    <w:qFormat/>
    <w:uiPriority w:val="99"/>
    <w:pPr>
      <w:autoSpaceDE w:val="0"/>
      <w:autoSpaceDN w:val="0"/>
      <w:adjustRightInd w:val="0"/>
      <w:jc w:val="left"/>
    </w:pPr>
    <w:rPr>
      <w:kern w:val="0"/>
      <w:sz w:val="24"/>
    </w:rPr>
  </w:style>
  <w:style w:type="paragraph" w:customStyle="1" w:styleId="72">
    <w:name w:val="Char1 Char Char Char"/>
    <w:basedOn w:val="1"/>
    <w:qFormat/>
    <w:uiPriority w:val="99"/>
    <w:rPr>
      <w:rFonts w:ascii="Tahoma" w:hAnsi="Tahoma"/>
      <w:szCs w:val="24"/>
    </w:rPr>
  </w:style>
  <w:style w:type="paragraph" w:customStyle="1" w:styleId="73">
    <w:name w:val="?§?§?¨¤?§o????¨¤?"/>
    <w:basedOn w:val="1"/>
    <w:qFormat/>
    <w:uiPriority w:val="99"/>
    <w:pPr>
      <w:autoSpaceDE w:val="0"/>
      <w:autoSpaceDN w:val="0"/>
      <w:adjustRightInd w:val="0"/>
      <w:jc w:val="left"/>
    </w:pPr>
    <w:rPr>
      <w:kern w:val="0"/>
      <w:sz w:val="24"/>
    </w:rPr>
  </w:style>
  <w:style w:type="paragraph" w:customStyle="1" w:styleId="74">
    <w:name w:val="缺省文本"/>
    <w:basedOn w:val="1"/>
    <w:qFormat/>
    <w:uiPriority w:val="99"/>
    <w:pPr>
      <w:autoSpaceDE w:val="0"/>
      <w:autoSpaceDN w:val="0"/>
      <w:adjustRightInd w:val="0"/>
      <w:jc w:val="left"/>
    </w:pPr>
    <w:rPr>
      <w:kern w:val="0"/>
      <w:sz w:val="24"/>
    </w:rPr>
  </w:style>
  <w:style w:type="paragraph" w:customStyle="1" w:styleId="75">
    <w:name w:val="Char Char Char Char"/>
    <w:basedOn w:val="1"/>
    <w:qFormat/>
    <w:uiPriority w:val="99"/>
    <w:pPr>
      <w:tabs>
        <w:tab w:val="left" w:pos="360"/>
      </w:tabs>
    </w:pPr>
    <w:rPr>
      <w:sz w:val="24"/>
      <w:szCs w:val="24"/>
    </w:rPr>
  </w:style>
  <w:style w:type="paragraph" w:customStyle="1" w:styleId="76">
    <w:name w:val="图"/>
    <w:basedOn w:val="1"/>
    <w:next w:val="70"/>
    <w:qFormat/>
    <w:uiPriority w:val="99"/>
    <w:pPr>
      <w:tabs>
        <w:tab w:val="left" w:pos="1755"/>
      </w:tabs>
      <w:adjustRightInd w:val="0"/>
      <w:spacing w:before="60" w:after="60" w:line="360" w:lineRule="atLeast"/>
      <w:ind w:left="1755" w:hanging="1125"/>
      <w:jc w:val="center"/>
    </w:pPr>
    <w:rPr>
      <w:rFonts w:eastAsia="黑体"/>
      <w:b/>
      <w:kern w:val="0"/>
      <w:sz w:val="24"/>
    </w:rPr>
  </w:style>
  <w:style w:type="paragraph" w:customStyle="1" w:styleId="77">
    <w:name w:val="Char Char Char"/>
    <w:basedOn w:val="1"/>
    <w:qFormat/>
    <w:uiPriority w:val="99"/>
  </w:style>
  <w:style w:type="paragraph" w:customStyle="1" w:styleId="78">
    <w:name w:val="正文段"/>
    <w:basedOn w:val="1"/>
    <w:qFormat/>
    <w:uiPriority w:val="99"/>
    <w:pPr>
      <w:adjustRightInd w:val="0"/>
      <w:snapToGrid w:val="0"/>
      <w:spacing w:line="360" w:lineRule="auto"/>
    </w:pPr>
    <w:rPr>
      <w:rFonts w:eastAsia="仿宋_GB2312"/>
      <w:spacing w:val="-8"/>
      <w:sz w:val="24"/>
    </w:rPr>
  </w:style>
  <w:style w:type="paragraph" w:customStyle="1" w:styleId="79">
    <w:name w:val="Char Char Char Char Char Char"/>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80">
    <w:name w:val="Char"/>
    <w:basedOn w:val="1"/>
    <w:qFormat/>
    <w:uiPriority w:val="99"/>
    <w:rPr>
      <w:rFonts w:ascii="Tahoma" w:hAnsi="Tahoma"/>
      <w:sz w:val="24"/>
    </w:rPr>
  </w:style>
  <w:style w:type="paragraph" w:customStyle="1" w:styleId="81">
    <w:name w:val="_Style 53"/>
    <w:basedOn w:val="1"/>
    <w:qFormat/>
    <w:uiPriority w:val="99"/>
    <w:pPr>
      <w:widowControl/>
      <w:spacing w:after="160" w:line="240" w:lineRule="exact"/>
      <w:jc w:val="left"/>
    </w:pPr>
  </w:style>
  <w:style w:type="paragraph" w:customStyle="1" w:styleId="82">
    <w:name w:val="Char1"/>
    <w:basedOn w:val="1"/>
    <w:qFormat/>
    <w:uiPriority w:val="99"/>
    <w:pPr>
      <w:tabs>
        <w:tab w:val="left" w:pos="360"/>
      </w:tabs>
    </w:pPr>
    <w:rPr>
      <w:sz w:val="24"/>
      <w:szCs w:val="24"/>
    </w:rPr>
  </w:style>
  <w:style w:type="character" w:customStyle="1" w:styleId="83">
    <w:name w:val="base"/>
    <w:basedOn w:val="32"/>
    <w:qFormat/>
    <w:uiPriority w:val="0"/>
  </w:style>
  <w:style w:type="character" w:customStyle="1" w:styleId="84">
    <w:name w:val="unnamed11"/>
    <w:basedOn w:val="32"/>
    <w:qFormat/>
    <w:uiPriority w:val="0"/>
  </w:style>
  <w:style w:type="character" w:customStyle="1" w:styleId="85">
    <w:name w:val="Char Char9"/>
    <w:qFormat/>
    <w:uiPriority w:val="0"/>
    <w:rPr>
      <w:rFonts w:hint="eastAsia" w:ascii="宋体" w:hAnsi="宋体" w:eastAsia="宋体"/>
      <w:kern w:val="2"/>
      <w:sz w:val="18"/>
      <w:lang w:val="en-US" w:eastAsia="zh-CN"/>
    </w:rPr>
  </w:style>
  <w:style w:type="character" w:customStyle="1" w:styleId="86">
    <w:name w:val="style4"/>
    <w:qFormat/>
    <w:uiPriority w:val="0"/>
    <w:rPr>
      <w:rFonts w:hint="default" w:ascii="Arial" w:hAnsi="Arial" w:cs="Arial"/>
      <w:sz w:val="20"/>
      <w:szCs w:val="20"/>
    </w:rPr>
  </w:style>
  <w:style w:type="character" w:customStyle="1" w:styleId="87">
    <w:name w:val="Char Char3"/>
    <w:qFormat/>
    <w:uiPriority w:val="0"/>
    <w:rPr>
      <w:rFonts w:hint="eastAsia" w:ascii="宋体" w:hAnsi="宋体" w:eastAsia="宋体"/>
      <w:kern w:val="2"/>
      <w:sz w:val="18"/>
      <w:lang w:val="en-US" w:eastAsia="zh-CN" w:bidi="ar-SA"/>
    </w:rPr>
  </w:style>
  <w:style w:type="character" w:customStyle="1" w:styleId="88">
    <w:name w:val="页脚 Char1"/>
    <w:basedOn w:val="32"/>
    <w:semiHidden/>
    <w:qFormat/>
    <w:uiPriority w:val="99"/>
    <w:rPr>
      <w:kern w:val="2"/>
      <w:sz w:val="18"/>
      <w:szCs w:val="18"/>
    </w:rPr>
  </w:style>
  <w:style w:type="character" w:customStyle="1" w:styleId="89">
    <w:name w:val="页眉 Char1"/>
    <w:basedOn w:val="32"/>
    <w:semiHidden/>
    <w:qFormat/>
    <w:uiPriority w:val="99"/>
    <w:rPr>
      <w:kern w:val="2"/>
      <w:sz w:val="18"/>
      <w:szCs w:val="18"/>
    </w:rPr>
  </w:style>
  <w:style w:type="character" w:customStyle="1" w:styleId="90">
    <w:name w:val="纯文本 Char1"/>
    <w:basedOn w:val="32"/>
    <w:semiHidden/>
    <w:qFormat/>
    <w:uiPriority w:val="99"/>
    <w:rPr>
      <w:rFonts w:hint="eastAsia" w:ascii="宋体" w:hAnsi="Courier New" w:eastAsia="宋体" w:cs="Courier New"/>
      <w:kern w:val="2"/>
      <w:sz w:val="21"/>
      <w:szCs w:val="21"/>
    </w:rPr>
  </w:style>
  <w:style w:type="paragraph" w:styleId="91">
    <w:name w:val="List Paragraph"/>
    <w:basedOn w:val="1"/>
    <w:unhideWhenUsed/>
    <w:qFormat/>
    <w:uiPriority w:val="99"/>
    <w:pPr>
      <w:ind w:firstLine="420" w:firstLineChars="200"/>
    </w:pPr>
  </w:style>
  <w:style w:type="paragraph" w:customStyle="1" w:styleId="92">
    <w:name w:val="09正文_wh"/>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paragraph" w:customStyle="1" w:styleId="93">
    <w:name w:val="(符号)三标题1."/>
    <w:basedOn w:val="1"/>
    <w:qFormat/>
    <w:uiPriority w:val="0"/>
    <w:pPr>
      <w:tabs>
        <w:tab w:val="left" w:pos="420"/>
      </w:tabs>
      <w:spacing w:line="500" w:lineRule="atLeast"/>
      <w:ind w:left="430" w:hanging="430"/>
      <w:outlineLvl w:val="2"/>
    </w:pPr>
    <w:rPr>
      <w:rFonts w:ascii="楷体_GB2312" w:hAnsi="宋体" w:eastAsia="楷体_GB2312"/>
      <w:b/>
      <w:bCs/>
    </w:rPr>
  </w:style>
  <w:style w:type="paragraph" w:customStyle="1" w:styleId="94">
    <w:name w:val="title1"/>
    <w:basedOn w:val="1"/>
    <w:qFormat/>
    <w:uiPriority w:val="0"/>
    <w:pPr>
      <w:spacing w:before="150"/>
      <w:jc w:val="left"/>
    </w:pPr>
    <w:rPr>
      <w:b/>
      <w:kern w:val="0"/>
      <w:sz w:val="22"/>
      <w:szCs w:val="22"/>
    </w:rPr>
  </w:style>
  <w:style w:type="character" w:customStyle="1" w:styleId="95">
    <w:name w:val="phone"/>
    <w:basedOn w:val="32"/>
    <w:qFormat/>
    <w:uiPriority w:val="0"/>
    <w:rPr>
      <w:color w:val="FF8833"/>
      <w:sz w:val="18"/>
      <w:szCs w:val="18"/>
    </w:rPr>
  </w:style>
  <w:style w:type="character" w:customStyle="1" w:styleId="96">
    <w:name w:val="number"/>
    <w:basedOn w:val="32"/>
    <w:qFormat/>
    <w:uiPriority w:val="0"/>
    <w:rPr>
      <w:color w:val="FF8833"/>
      <w:sz w:val="18"/>
      <w:szCs w:val="18"/>
    </w:rPr>
  </w:style>
  <w:style w:type="character" w:customStyle="1" w:styleId="97">
    <w:name w:val="beforeinfotext"/>
    <w:basedOn w:val="32"/>
    <w:qFormat/>
    <w:uiPriority w:val="0"/>
    <w:rPr>
      <w:color w:val="666666"/>
    </w:rPr>
  </w:style>
  <w:style w:type="character" w:customStyle="1" w:styleId="98">
    <w:name w:val="stclosebtn"/>
    <w:basedOn w:val="32"/>
    <w:qFormat/>
    <w:uiPriority w:val="0"/>
  </w:style>
  <w:style w:type="character" w:customStyle="1" w:styleId="99">
    <w:name w:val="proollist"/>
    <w:basedOn w:val="32"/>
    <w:qFormat/>
    <w:uiPriority w:val="0"/>
  </w:style>
  <w:style w:type="paragraph" w:customStyle="1" w:styleId="100">
    <w:name w:val="title11"/>
    <w:basedOn w:val="1"/>
    <w:qFormat/>
    <w:uiPriority w:val="0"/>
    <w:pPr>
      <w:spacing w:before="150"/>
      <w:jc w:val="left"/>
    </w:pPr>
    <w:rPr>
      <w:b/>
      <w:kern w:val="0"/>
      <w:sz w:val="22"/>
      <w:szCs w:val="22"/>
    </w:rPr>
  </w:style>
  <w:style w:type="paragraph" w:customStyle="1" w:styleId="101">
    <w:name w:val="WPSOffice手动目录 1"/>
    <w:qFormat/>
    <w:uiPriority w:val="0"/>
    <w:rPr>
      <w:rFonts w:ascii="Times New Roman" w:hAnsi="Times New Roman" w:eastAsia="宋体" w:cs="Times New Roman"/>
      <w:lang w:val="en-US" w:eastAsia="zh-CN" w:bidi="ar-SA"/>
    </w:rPr>
  </w:style>
  <w:style w:type="paragraph" w:customStyle="1" w:styleId="102">
    <w:name w:val="title12"/>
    <w:basedOn w:val="1"/>
    <w:qFormat/>
    <w:uiPriority w:val="0"/>
    <w:pPr>
      <w:spacing w:before="120"/>
      <w:jc w:val="left"/>
    </w:pPr>
    <w:rPr>
      <w:b/>
      <w:kern w:val="0"/>
      <w:sz w:val="18"/>
      <w:szCs w:val="18"/>
    </w:rPr>
  </w:style>
  <w:style w:type="character" w:customStyle="1" w:styleId="103">
    <w:name w:val="span-long"/>
    <w:basedOn w:val="32"/>
    <w:qFormat/>
    <w:uiPriority w:val="0"/>
  </w:style>
  <w:style w:type="character" w:customStyle="1" w:styleId="104">
    <w:name w:val="input-direction"/>
    <w:basedOn w:val="32"/>
    <w:qFormat/>
    <w:uiPriority w:val="0"/>
    <w:rPr>
      <w:color w:val="FF6600"/>
    </w:rPr>
  </w:style>
  <w:style w:type="character" w:customStyle="1" w:styleId="105">
    <w:name w:val="button"/>
    <w:basedOn w:val="32"/>
    <w:qFormat/>
    <w:uiPriority w:val="0"/>
  </w:style>
  <w:style w:type="character" w:customStyle="1" w:styleId="106">
    <w:name w:val="tmpztreemove_arrow"/>
    <w:basedOn w:val="32"/>
    <w:qFormat/>
    <w:uiPriority w:val="0"/>
  </w:style>
  <w:style w:type="character" w:customStyle="1" w:styleId="107">
    <w:name w:val="hilite6"/>
    <w:basedOn w:val="32"/>
    <w:qFormat/>
    <w:uiPriority w:val="0"/>
    <w:rPr>
      <w:color w:val="FFFFFF"/>
      <w:shd w:val="clear" w:color="auto" w:fill="666677"/>
    </w:rPr>
  </w:style>
  <w:style w:type="character" w:customStyle="1" w:styleId="108">
    <w:name w:val="active6"/>
    <w:basedOn w:val="32"/>
    <w:qFormat/>
    <w:uiPriority w:val="0"/>
    <w:rPr>
      <w:color w:val="00FF00"/>
      <w:shd w:val="clear" w:color="auto" w:fill="000000"/>
    </w:rPr>
  </w:style>
  <w:style w:type="paragraph" w:customStyle="1" w:styleId="109">
    <w:name w:val="列出段落1"/>
    <w:basedOn w:val="1"/>
    <w:qFormat/>
    <w:uiPriority w:val="34"/>
    <w:pPr>
      <w:ind w:firstLine="420" w:firstLineChars="200"/>
    </w:pPr>
  </w:style>
  <w:style w:type="paragraph" w:customStyle="1" w:styleId="110">
    <w:name w:val="列出段落11"/>
    <w:basedOn w:val="1"/>
    <w:qFormat/>
    <w:uiPriority w:val="0"/>
    <w:pPr>
      <w:widowControl/>
      <w:spacing w:before="156" w:afterLines="50" w:line="360" w:lineRule="auto"/>
      <w:ind w:firstLine="200" w:firstLineChars="200"/>
      <w:jc w:val="left"/>
    </w:pPr>
    <w:rPr>
      <w:rFonts w:ascii="Calibri" w:hAnsi="Calibri"/>
      <w:kern w:val="0"/>
      <w:sz w:val="24"/>
    </w:rPr>
  </w:style>
  <w:style w:type="character" w:customStyle="1" w:styleId="111">
    <w:name w:val="font11"/>
    <w:basedOn w:val="32"/>
    <w:qFormat/>
    <w:uiPriority w:val="0"/>
    <w:rPr>
      <w:rFonts w:ascii="仿宋_GB2312" w:eastAsia="仿宋_GB2312" w:cs="仿宋_GB2312"/>
      <w:color w:val="000000"/>
      <w:sz w:val="24"/>
      <w:szCs w:val="24"/>
      <w:u w:val="none"/>
    </w:rPr>
  </w:style>
  <w:style w:type="character" w:customStyle="1" w:styleId="112">
    <w:name w:val="mini-outputtext1"/>
    <w:basedOn w:val="32"/>
    <w:qFormat/>
    <w:uiPriority w:val="0"/>
  </w:style>
  <w:style w:type="paragraph" w:customStyle="1" w:styleId="113">
    <w:name w:val="正文 New"/>
    <w:autoRedefine/>
    <w:qFormat/>
    <w:uiPriority w:val="99"/>
    <w:pPr>
      <w:widowControl w:val="0"/>
      <w:jc w:val="both"/>
    </w:pPr>
    <w:rPr>
      <w:rFonts w:ascii="Calibri" w:hAnsi="Calibri" w:eastAsiaTheme="minorEastAsia" w:cstheme="minorBidi"/>
      <w:sz w:val="21"/>
      <w:szCs w:val="22"/>
      <w:lang w:val="en-US" w:eastAsia="zh-CN" w:bidi="ar-SA"/>
    </w:rPr>
  </w:style>
  <w:style w:type="paragraph" w:customStyle="1" w:styleId="114">
    <w:name w:val="p15"/>
    <w:basedOn w:val="1"/>
    <w:autoRedefine/>
    <w:qFormat/>
    <w:uiPriority w:val="99"/>
    <w:pPr>
      <w:widowControl/>
    </w:pPr>
    <w:rPr>
      <w:kern w:val="0"/>
      <w:szCs w:val="21"/>
    </w:rPr>
  </w:style>
  <w:style w:type="paragraph" w:customStyle="1" w:styleId="115">
    <w:name w:val="First Paragraph"/>
    <w:basedOn w:val="14"/>
    <w:next w:val="14"/>
    <w:qFormat/>
    <w:uiPriority w:val="0"/>
  </w:style>
  <w:style w:type="paragraph" w:customStyle="1" w:styleId="116">
    <w:name w:val="目录"/>
    <w:basedOn w:val="1"/>
    <w:autoRedefine/>
    <w:qFormat/>
    <w:uiPriority w:val="0"/>
    <w:pPr>
      <w:widowControl/>
      <w:jc w:val="center"/>
    </w:pPr>
    <w:rPr>
      <w:rFonts w:ascii="宋体"/>
      <w:b/>
      <w:kern w:val="0"/>
      <w:sz w:val="36"/>
      <w:szCs w:val="20"/>
    </w:rPr>
  </w:style>
  <w:style w:type="paragraph" w:customStyle="1" w:styleId="117">
    <w:name w:val="Table Text"/>
    <w:basedOn w:val="1"/>
    <w:semiHidden/>
    <w:qFormat/>
    <w:uiPriority w:val="0"/>
    <w:rPr>
      <w:rFonts w:ascii="宋体" w:hAnsi="宋体" w:eastAsia="宋体" w:cs="宋体"/>
      <w:sz w:val="22"/>
      <w:szCs w:val="22"/>
      <w:lang w:val="en-US" w:eastAsia="en-US" w:bidi="ar-SA"/>
    </w:rPr>
  </w:style>
  <w:style w:type="table" w:customStyle="1" w:styleId="118">
    <w:name w:val="Table Normal"/>
    <w:semiHidden/>
    <w:unhideWhenUsed/>
    <w:qFormat/>
    <w:uiPriority w:val="0"/>
    <w:tblPr>
      <w:tblCellMar>
        <w:top w:w="0" w:type="dxa"/>
        <w:left w:w="0" w:type="dxa"/>
        <w:bottom w:w="0" w:type="dxa"/>
        <w:right w:w="0" w:type="dxa"/>
      </w:tblCellMar>
    </w:tblPr>
  </w:style>
  <w:style w:type="paragraph" w:customStyle="1" w:styleId="119">
    <w:name w:val="Table Paragraph"/>
    <w:basedOn w:val="1"/>
    <w:qFormat/>
    <w:uiPriority w:val="1"/>
    <w:rPr>
      <w:rFonts w:ascii="宋体" w:hAnsi="宋体" w:eastAsia="宋体" w:cs="宋体"/>
      <w:lang w:val="zh-CN" w:eastAsia="zh-CN" w:bidi="zh-CN"/>
    </w:rPr>
  </w:style>
  <w:style w:type="character" w:customStyle="1" w:styleId="120">
    <w:name w:val="mini-tree-nodetext3"/>
    <w:basedOn w:val="32"/>
    <w:qFormat/>
    <w:uiPriority w:val="0"/>
  </w:style>
  <w:style w:type="paragraph" w:customStyle="1" w:styleId="121">
    <w:name w:val="null3"/>
    <w:hidden/>
    <w:qFormat/>
    <w:uiPriority w:val="0"/>
    <w:rPr>
      <w:rFonts w:hint="eastAsia" w:asciiTheme="minorHAnsi" w:hAnsiTheme="minorHAnsi" w:eastAsiaTheme="minorEastAsia" w:cstheme="minorBidi"/>
      <w:lang w:val="en-US" w:eastAsia="zh-Hans"/>
    </w:rPr>
  </w:style>
  <w:style w:type="character" w:customStyle="1" w:styleId="122">
    <w:name w:val="font71"/>
    <w:basedOn w:val="32"/>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38"/>
    <customShpInfo spid="_x0000_s103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72</Pages>
  <Words>10196</Words>
  <Characters>11002</Characters>
  <Lines>228</Lines>
  <Paragraphs>64</Paragraphs>
  <TotalTime>0</TotalTime>
  <ScaleCrop>false</ScaleCrop>
  <LinksUpToDate>false</LinksUpToDate>
  <CharactersWithSpaces>11037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2021-02-26T10:10:00Z</dcterms:created>
  <dc:creator>白国锋</dc:creator>
  <cp:lastModifiedBy>大药瓶子</cp:lastModifiedBy>
  <cp:lastPrinted>2025-10-21T02:07:00Z</cp:lastPrinted>
  <dcterms:modified xsi:type="dcterms:W3CDTF">2026-07-23T05:25:39Z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8C57C1C5A28C418EA0FF60BCB45B5F4C</vt:lpwstr>
  </property>
  <property fmtid="{D5CDD505-2E9C-101B-9397-08002B2CF9AE}" pid="4" name="KSOTemplateDocerSaveRecord">
    <vt:lpwstr>eyJoZGlkIjoiMzlhNjBmYzE2N2M2NjI4ZmQxZGQ4NWFjOGE0NWZlYzUiLCJ1c2VySWQiOiI1MzA2NTc5NjcifQ==</vt:lpwstr>
  </property>
</Properties>
</file>