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版本号：2026-HXCT-16520260716001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2026年义务教育薄弱环节改善与能力提升（东区操场及教室改造项目）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2026-HXCT-165</w:t>
      </w:r>
      <w:r>
        <w:br/>
      </w:r>
      <w:r>
        <w:br/>
      </w:r>
      <w:r>
        <w:br/>
      </w:r>
    </w:p>
    <w:p>
      <w:pPr>
        <w:pStyle w:val="null3"/>
        <w:jc w:val="center"/>
        <w:outlineLvl w:val="2"/>
      </w:pPr>
      <w:r>
        <w:rPr>
          <w:rFonts w:ascii="仿宋_GB2312" w:hAnsi="仿宋_GB2312" w:cs="仿宋_GB2312" w:eastAsia="仿宋_GB2312"/>
          <w:sz w:val="28"/>
          <w:b/>
        </w:rPr>
        <w:t>西安市雁塔区航天二一〇小学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西安市雁塔区航天二一〇小学</w:t>
      </w:r>
      <w:r>
        <w:rPr>
          <w:rFonts w:ascii="仿宋_GB2312" w:hAnsi="仿宋_GB2312" w:cs="仿宋_GB2312" w:eastAsia="仿宋_GB2312"/>
        </w:rPr>
        <w:t>委托，拟对</w:t>
      </w:r>
      <w:r>
        <w:rPr>
          <w:rFonts w:ascii="仿宋_GB2312" w:hAnsi="仿宋_GB2312" w:cs="仿宋_GB2312" w:eastAsia="仿宋_GB2312"/>
        </w:rPr>
        <w:t>2026年义务教育薄弱环节改善与能力提升（东区操场及教室改造项目）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2026年义务教育薄弱环节改善与能力提升（东区操场及教室改造项目）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2026年义务教育薄弱环节改善与能力提升（东区操场及教室改造项目）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采购包1（2026年义务教育薄弱环节改善与能力提升（东区操场及教室改造项目））：属于专门面向中小企业采购。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西安市雁塔区航天二一〇小学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西安市雁塔区电子城电子东街56号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029-88782156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13201780511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采购包1：481,868.41元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代理服务费收费标准：1、参照《国家发展改⾰委关于进⼀步放开建设项⽬专业服务价格的通知》（发改价格〔2015〕299号）的有关规定执⾏。 2、成交单位在领取成交通知书前，须向采购代理机构⼀次性⽀付采购代理服务费， 代理费缴存账⼾： 开⼾名称：华夏城投项⽬管理有限公司 开⼾银⾏：招商银⾏股份有限公司西安城北⽀⾏ 账号：129914077110901（备注：项⽬名称+代理服务费）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西安市雁塔区航天二一〇小学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西安市雁塔区航天二一〇小学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西安市雁塔区航天二一〇小学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符合采购文件、投标（响应）文件、合同约定的技术、服务、安全标准以及履约期限、交付方式、售后服务条款等要求，同时符合国家强制性标准。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联系人：陈晨</w:t>
      </w:r>
    </w:p>
    <w:p>
      <w:pPr>
        <w:pStyle w:val="null3"/>
      </w:pPr>
      <w:r>
        <w:rPr>
          <w:rFonts w:ascii="仿宋_GB2312" w:hAnsi="仿宋_GB2312" w:cs="仿宋_GB2312" w:eastAsia="仿宋_GB2312"/>
        </w:rPr>
        <w:t>联系电话：13201780511</w:t>
      </w:r>
    </w:p>
    <w:p>
      <w:pPr>
        <w:pStyle w:val="null3"/>
      </w:pPr>
      <w:r>
        <w:rPr>
          <w:rFonts w:ascii="仿宋_GB2312" w:hAnsi="仿宋_GB2312" w:cs="仿宋_GB2312" w:eastAsia="仿宋_GB2312"/>
        </w:rPr>
        <w:t>地址：西安市未央区凤城七路⻓和国际D座26层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481,868.41</w:t>
      </w:r>
    </w:p>
    <w:p>
      <w:pPr>
        <w:pStyle w:val="null3"/>
      </w:pPr>
      <w:r>
        <w:rPr>
          <w:rFonts w:ascii="仿宋_GB2312" w:hAnsi="仿宋_GB2312" w:cs="仿宋_GB2312" w:eastAsia="仿宋_GB2312"/>
        </w:rPr>
        <w:t>采购包最高限价（元）: 481,868.41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操场及教室改造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481,868.41</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标的名称：操场及教室改造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一、工程概况</w:t>
            </w:r>
          </w:p>
          <w:p>
            <w:pPr>
              <w:pStyle w:val="null3"/>
              <w:ind w:left="1965"/>
              <w:jc w:val="both"/>
            </w:pPr>
            <w:r>
              <w:rPr>
                <w:rFonts w:ascii="仿宋_GB2312" w:hAnsi="仿宋_GB2312" w:cs="仿宋_GB2312" w:eastAsia="仿宋_GB2312"/>
                <w:sz w:val="28"/>
              </w:rPr>
              <w:t>工程名称：2026年义务教育薄弱环节改善与能力提升（东区操场及教室改造项目）</w:t>
            </w:r>
          </w:p>
          <w:p>
            <w:pPr>
              <w:pStyle w:val="null3"/>
              <w:ind w:firstLine="560"/>
              <w:jc w:val="both"/>
            </w:pPr>
            <w:r>
              <w:rPr>
                <w:rFonts w:ascii="仿宋_GB2312" w:hAnsi="仿宋_GB2312" w:cs="仿宋_GB2312" w:eastAsia="仿宋_GB2312"/>
                <w:sz w:val="28"/>
              </w:rPr>
              <w:t>建设单位：西安市雁塔区航天二一O小学</w:t>
            </w:r>
          </w:p>
          <w:p>
            <w:pPr>
              <w:pStyle w:val="null3"/>
              <w:ind w:firstLine="560"/>
              <w:jc w:val="both"/>
            </w:pPr>
            <w:r>
              <w:rPr>
                <w:rFonts w:ascii="仿宋_GB2312" w:hAnsi="仿宋_GB2312" w:cs="仿宋_GB2312" w:eastAsia="仿宋_GB2312"/>
                <w:sz w:val="28"/>
              </w:rPr>
              <w:t>工程内容：操场改造、教室改造等，具体详见工程量清单。</w:t>
            </w:r>
          </w:p>
          <w:p>
            <w:pPr>
              <w:pStyle w:val="null3"/>
              <w:ind w:firstLine="562"/>
              <w:jc w:val="both"/>
            </w:pPr>
            <w:r>
              <w:rPr>
                <w:rFonts w:ascii="仿宋_GB2312" w:hAnsi="仿宋_GB2312" w:cs="仿宋_GB2312" w:eastAsia="仿宋_GB2312"/>
                <w:sz w:val="28"/>
                <w:b/>
              </w:rPr>
              <w:t>二、编制范围</w:t>
            </w:r>
          </w:p>
          <w:p>
            <w:pPr>
              <w:pStyle w:val="null3"/>
              <w:ind w:left="1965"/>
              <w:jc w:val="both"/>
            </w:pPr>
            <w:r>
              <w:rPr>
                <w:rFonts w:ascii="仿宋_GB2312" w:hAnsi="仿宋_GB2312" w:cs="仿宋_GB2312" w:eastAsia="仿宋_GB2312"/>
                <w:sz w:val="28"/>
              </w:rPr>
              <w:t>2026</w:t>
            </w:r>
            <w:r>
              <w:rPr>
                <w:rFonts w:ascii="仿宋_GB2312" w:hAnsi="仿宋_GB2312" w:cs="仿宋_GB2312" w:eastAsia="仿宋_GB2312"/>
                <w:sz w:val="28"/>
              </w:rPr>
              <w:t>年义务教育薄弱环节改善与能力提升（东区操场及教室改造项目）</w:t>
            </w:r>
          </w:p>
          <w:p>
            <w:pPr>
              <w:pStyle w:val="null3"/>
              <w:ind w:firstLine="560"/>
              <w:jc w:val="both"/>
            </w:pPr>
            <w:r>
              <w:rPr>
                <w:rFonts w:ascii="仿宋_GB2312" w:hAnsi="仿宋_GB2312" w:cs="仿宋_GB2312" w:eastAsia="仿宋_GB2312"/>
                <w:sz w:val="28"/>
              </w:rPr>
              <w:t>图纸范围所有内容。</w:t>
            </w:r>
          </w:p>
          <w:p>
            <w:pPr>
              <w:pStyle w:val="null3"/>
              <w:ind w:firstLine="562"/>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color w:val="000000"/>
              </w:rPr>
              <w:t>陕西省建设工程工程量清单计价标准及计算标准（2025）</w:t>
            </w:r>
            <w:r>
              <w:rPr>
                <w:rFonts w:ascii="仿宋_GB2312" w:hAnsi="仿宋_GB2312" w:cs="仿宋_GB2312" w:eastAsia="仿宋_GB2312"/>
                <w:sz w:val="28"/>
              </w:rPr>
              <w:t>；</w:t>
            </w:r>
          </w:p>
          <w:p>
            <w:pPr>
              <w:pStyle w:val="null3"/>
              <w:ind w:left="1965"/>
              <w:jc w:val="both"/>
            </w:pPr>
            <w:r>
              <w:rPr>
                <w:rFonts w:ascii="仿宋_GB2312" w:hAnsi="仿宋_GB2312" w:cs="仿宋_GB2312" w:eastAsia="仿宋_GB2312"/>
                <w:sz w:val="28"/>
              </w:rPr>
              <w:t>2.2026</w:t>
            </w:r>
            <w:r>
              <w:rPr>
                <w:rFonts w:ascii="仿宋_GB2312" w:hAnsi="仿宋_GB2312" w:cs="仿宋_GB2312" w:eastAsia="仿宋_GB2312"/>
                <w:sz w:val="28"/>
              </w:rPr>
              <w:t>年义务教育薄弱环节改善与能力提升（东区操场及教室改造项目）</w:t>
            </w:r>
          </w:p>
          <w:p>
            <w:pPr>
              <w:pStyle w:val="null3"/>
              <w:ind w:firstLine="560"/>
              <w:jc w:val="both"/>
            </w:pPr>
            <w:r>
              <w:rPr>
                <w:rFonts w:ascii="仿宋_GB2312" w:hAnsi="仿宋_GB2312" w:cs="仿宋_GB2312" w:eastAsia="仿宋_GB2312"/>
                <w:sz w:val="28"/>
              </w:rPr>
              <w:t>设计施工图；</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与建设工程项目有关的标准、规范、图集、技术资料；</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施工现场情况、工程特点及常规施工方案；</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其他相关资料。</w:t>
            </w:r>
          </w:p>
          <w:p>
            <w:pPr>
              <w:pStyle w:val="null3"/>
              <w:ind w:firstLine="562"/>
              <w:jc w:val="both"/>
            </w:pPr>
            <w:r>
              <w:rPr>
                <w:rFonts w:ascii="仿宋_GB2312" w:hAnsi="仿宋_GB2312" w:cs="仿宋_GB2312" w:eastAsia="仿宋_GB2312"/>
                <w:sz w:val="28"/>
                <w:b/>
              </w:rPr>
              <w:t>四、有关说明</w:t>
            </w:r>
          </w:p>
          <w:p>
            <w:pPr>
              <w:pStyle w:val="null3"/>
            </w:pPr>
            <w:r>
              <w:rPr>
                <w:rFonts w:ascii="仿宋_GB2312" w:hAnsi="仿宋_GB2312" w:cs="仿宋_GB2312" w:eastAsia="仿宋_GB2312"/>
                <w:sz w:val="28"/>
              </w:rPr>
              <w:t xml:space="preserve">   1</w:t>
            </w:r>
            <w:r>
              <w:rPr>
                <w:rFonts w:ascii="仿宋_GB2312" w:hAnsi="仿宋_GB2312" w:cs="仿宋_GB2312" w:eastAsia="仿宋_GB2312"/>
                <w:sz w:val="28"/>
              </w:rPr>
              <w:t>．编制软件采用广联达云计价平台GCCP7.0软件，版本号7.5000.23.3。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1、工期：25天； 2、付款方式：工程验收合格且出具正式项目竣工结算审计报告后，一次性支付审定造价的97%，留审定造价3%作为质保金，质保期满后无质量问题一次性无息退还； 3、质保期：2年。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一、评审内容：①文明施工与环保管理体系；②施工现场环保技术措施等；二、评审标准：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一、评审内容：①科学合理的施工进度计划（含横道图或网络图）；②各关键节点的控制措施；③劳动力及材料的投入与调配计划等；二、评审标准：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施工机械配备及布置</w:t>
            </w:r>
          </w:p>
        </w:tc>
        <w:tc>
          <w:tcPr>
            <w:tcW w:type="dxa" w:w="2492"/>
          </w:tcPr>
          <w:p>
            <w:pPr>
              <w:pStyle w:val="null3"/>
            </w:pPr>
            <w:r>
              <w:rPr>
                <w:rFonts w:ascii="仿宋_GB2312" w:hAnsi="仿宋_GB2312" w:cs="仿宋_GB2312" w:eastAsia="仿宋_GB2312"/>
              </w:rPr>
              <w:t>一、评审内容：①施工现场机械布置方案；②拟投入的主要施工机械设备表等；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一、评审内容：①项目管理组织机构设置；②主要管理人员配备（岗位设置、专业种类、能力及相关专业技术职称等）；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项目实施过程中周边关系协调方案和保证措施合理</w:t>
            </w:r>
          </w:p>
        </w:tc>
        <w:tc>
          <w:tcPr>
            <w:tcW w:type="dxa" w:w="2492"/>
          </w:tcPr>
          <w:p>
            <w:pPr>
              <w:pStyle w:val="null3"/>
            </w:pPr>
            <w:r>
              <w:rPr>
                <w:rFonts w:ascii="仿宋_GB2312" w:hAnsi="仿宋_GB2312" w:cs="仿宋_GB2312" w:eastAsia="仿宋_GB2312"/>
              </w:rPr>
              <w:t>一、评审内容：①周边关系协调的组织管理体系；②具体协调措施与保障机制等；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突发事件的应急措施和解决方案</w:t>
            </w:r>
          </w:p>
        </w:tc>
        <w:tc>
          <w:tcPr>
            <w:tcW w:type="dxa" w:w="2492"/>
          </w:tcPr>
          <w:p>
            <w:pPr>
              <w:pStyle w:val="null3"/>
            </w:pPr>
            <w:r>
              <w:rPr>
                <w:rFonts w:ascii="仿宋_GB2312" w:hAnsi="仿宋_GB2312" w:cs="仿宋_GB2312" w:eastAsia="仿宋_GB2312"/>
              </w:rPr>
              <w:t>一、评审内容：①应急管理体系与响应机制；②各类突发事件（如生产安全事故、消防火灾、自然灾害、公共卫生事件等）专项应急预案等；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2023年7月至今（时间以合同签订时间为准）承接过类似项目的业绩证明，每提供一个得2分，满分10分。（以合同复印件为准；弄虚作假者取消其成交资格）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