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版本号：ZCSP-潼关县-2026-00086.1B120260720002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潼关县2026年度省级林业草原发展改革资金“三化一片林”森林乡村建设项目(二次)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ZCSP-潼关县-2026-00086.1B1</w:t>
      </w:r>
      <w:r>
        <w:br/>
      </w:r>
      <w:r>
        <w:br/>
      </w:r>
      <w:r>
        <w:br/>
      </w:r>
    </w:p>
    <w:p>
      <w:pPr>
        <w:pStyle w:val="null3"/>
        <w:jc w:val="center"/>
        <w:outlineLvl w:val="2"/>
      </w:pPr>
      <w:r>
        <w:rPr>
          <w:rFonts w:ascii="仿宋_GB2312" w:hAnsi="仿宋_GB2312" w:cs="仿宋_GB2312" w:eastAsia="仿宋_GB2312"/>
          <w:sz w:val="28"/>
          <w:b/>
        </w:rPr>
        <w:t>潼关县林业局</w:t>
      </w:r>
    </w:p>
    <w:p>
      <w:pPr>
        <w:pStyle w:val="null3"/>
        <w:jc w:val="center"/>
        <w:outlineLvl w:val="2"/>
      </w:pPr>
      <w:r>
        <w:rPr>
          <w:rFonts w:ascii="仿宋_GB2312" w:hAnsi="仿宋_GB2312" w:cs="仿宋_GB2312" w:eastAsia="仿宋_GB2312"/>
          <w:sz w:val="28"/>
          <w:b/>
        </w:rPr>
        <w:t>陕西三公泽利项目管理有限公司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陕西三公泽利项目管理有限公司</w:t>
      </w:r>
      <w:r>
        <w:rPr>
          <w:rFonts w:ascii="仿宋_GB2312" w:hAnsi="仿宋_GB2312" w:cs="仿宋_GB2312" w:eastAsia="仿宋_GB2312"/>
        </w:rPr>
        <w:t>（以下简称“代理机构”）受</w:t>
      </w:r>
      <w:r>
        <w:rPr>
          <w:rFonts w:ascii="仿宋_GB2312" w:hAnsi="仿宋_GB2312" w:cs="仿宋_GB2312" w:eastAsia="仿宋_GB2312"/>
        </w:rPr>
        <w:t>潼关县林业局</w:t>
      </w:r>
      <w:r>
        <w:rPr>
          <w:rFonts w:ascii="仿宋_GB2312" w:hAnsi="仿宋_GB2312" w:cs="仿宋_GB2312" w:eastAsia="仿宋_GB2312"/>
        </w:rPr>
        <w:t>委托，拟对</w:t>
      </w:r>
      <w:r>
        <w:rPr>
          <w:rFonts w:ascii="仿宋_GB2312" w:hAnsi="仿宋_GB2312" w:cs="仿宋_GB2312" w:eastAsia="仿宋_GB2312"/>
        </w:rPr>
        <w:t>潼关县2026年度省级林业草原发展改革资金“三化一片林”森林乡村建设项目(二次)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ZCSP-潼关县-2026-00086.1B1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潼关县2026年度省级林业草原发展改革资金“三化一片林”森林乡村建设项目(二次)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实施地点位于秦东镇苏家村、寺角营村，主要实施巷道绿化、道路绿化和公共绿地绿化，巷道绿化430米，道路绿化900米，公共绿地绿化100亩。其中苏家村道路绿化230米，巷道绿化430米，公共绿地绿化50亩;寺角营村道路绿化670米，公共绿地绿化50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采购包1（潼关县2026年度省级林业草原发展改革资金“三化一片林”森林乡村建设项目）：属于专门面向中小企业采购。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1、法定代表人授权：法定代表人或负责人参与磋商时需提供法定代表人或负责人资格证明书（附法定代表人或负责人身份证复印件）；（法定代表人或负责人须提供身份证原件，身份证原件可由本人持有）</w:t>
      </w:r>
    </w:p>
    <w:p>
      <w:pPr>
        <w:pStyle w:val="null3"/>
      </w:pPr>
      <w:r>
        <w:rPr>
          <w:rFonts w:ascii="仿宋_GB2312" w:hAnsi="仿宋_GB2312" w:cs="仿宋_GB2312" w:eastAsia="仿宋_GB2312"/>
        </w:rPr>
        <w:t>2、磋商保证金：供应商提供磋商保证金缴纳凭证</w:t>
      </w:r>
    </w:p>
    <w:p>
      <w:pPr>
        <w:pStyle w:val="null3"/>
      </w:pPr>
      <w:r>
        <w:rPr>
          <w:rFonts w:ascii="仿宋_GB2312" w:hAnsi="仿宋_GB2312" w:cs="仿宋_GB2312" w:eastAsia="仿宋_GB2312"/>
        </w:rPr>
        <w:t>3、信誉：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4、联合体磋商：本项目不接受联合体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潼关县中心街西段198号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0913-3822165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陕西三公泽利项目管理有限公司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陕西省西安市新城区建华路511号白桦林明天北区21号楼二单元2601室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17382622486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开户名称：中国农业银行股份有限公司西安莲湖区支行</w:t>
            </w:r>
          </w:p>
          <w:p>
            <w:pPr>
              <w:pStyle w:val="null3"/>
            </w:pPr>
            <w:r>
              <w:rPr>
                <w:rFonts w:ascii="仿宋_GB2312" w:hAnsi="仿宋_GB2312" w:cs="仿宋_GB2312" w:eastAsia="仿宋_GB2312"/>
              </w:rPr>
              <w:t>开户银行：陕西三公泽利项目管理有限公司</w:t>
            </w:r>
          </w:p>
          <w:p>
            <w:pPr>
              <w:pStyle w:val="null3"/>
            </w:pPr>
            <w:r>
              <w:rPr>
                <w:rFonts w:ascii="仿宋_GB2312" w:hAnsi="仿宋_GB2312" w:cs="仿宋_GB2312" w:eastAsia="仿宋_GB2312"/>
              </w:rPr>
              <w:t>银行账号：26142601040022646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按照《国家发展改革委关于进一步放开建设项目专业服务价格的通知》（发改价格﹝2015﹞299号）的要求，参照计价格﹝2002﹞1980号、发改价格﹝2011﹞534号文件的计费标准，以成交（成交）价为基数计算，按照标准收取，由成交供应 商在领取成交通知书前一次性付清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潼关县林业局</w:t>
      </w:r>
      <w:r>
        <w:rPr>
          <w:rFonts w:ascii="仿宋_GB2312" w:hAnsi="仿宋_GB2312" w:cs="仿宋_GB2312" w:eastAsia="仿宋_GB2312"/>
        </w:rPr>
        <w:t>和</w:t>
      </w:r>
      <w:r>
        <w:rPr>
          <w:rFonts w:ascii="仿宋_GB2312" w:hAnsi="仿宋_GB2312" w:cs="仿宋_GB2312" w:eastAsia="仿宋_GB2312"/>
        </w:rPr>
        <w:t>陕西三公泽利项目管理有限公司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陕西三公泽利项目管理有限公司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陕西三公泽利项目管理有限公司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联系人：李磊</w:t>
      </w:r>
    </w:p>
    <w:p>
      <w:pPr>
        <w:pStyle w:val="null3"/>
      </w:pPr>
      <w:r>
        <w:rPr>
          <w:rFonts w:ascii="仿宋_GB2312" w:hAnsi="仿宋_GB2312" w:cs="仿宋_GB2312" w:eastAsia="仿宋_GB2312"/>
        </w:rPr>
        <w:t>联系电话：17382622486</w:t>
      </w:r>
    </w:p>
    <w:p>
      <w:pPr>
        <w:pStyle w:val="null3"/>
      </w:pPr>
      <w:r>
        <w:rPr>
          <w:rFonts w:ascii="仿宋_GB2312" w:hAnsi="仿宋_GB2312" w:cs="仿宋_GB2312" w:eastAsia="仿宋_GB2312"/>
        </w:rPr>
        <w:t>地址：陕西省西安市新城区建华路511号白桦林明天北区21号楼二单元2601室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实施地点位于秦东镇苏家村、寺角营村，主要实施巷道绿化、道路绿化和公共绿地绿化，巷道绿化430米，道路绿化900米，公共绿地绿化100亩。其中苏家村道路绿化230米，巷道绿化430米，公共绿地绿化50亩;寺角营村道路绿化670米，公共绿地绿化50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“三化一片林”森林乡村建设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标的名称：“三化一片林”森林乡村建设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一、作业规模</w:t>
            </w:r>
          </w:p>
          <w:p>
            <w:pPr>
              <w:pStyle w:val="null3"/>
            </w:pPr>
            <w:r>
              <w:rPr>
                <w:rFonts w:ascii="仿宋_GB2312" w:hAnsi="仿宋_GB2312" w:cs="仿宋_GB2312" w:eastAsia="仿宋_GB2312"/>
              </w:rPr>
              <w:t>项目实施地点位于秦东镇苏家村、寺角营村，主要实施巷道绿化、道路绿化和公共绿地绿化，巷道绿化430米，道路绿化900米，公共绿地绿化100亩。其中苏家村道路绿化230米，巷道绿化430米，公共绿地绿化50亩;寺角营村道路绿化670米，公共绿地绿化50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二、树种选择</w:t>
            </w:r>
          </w:p>
          <w:p>
            <w:pPr>
              <w:pStyle w:val="null3"/>
            </w:pPr>
            <w:r>
              <w:rPr>
                <w:rFonts w:ascii="仿宋_GB2312" w:hAnsi="仿宋_GB2312" w:cs="仿宋_GB2312" w:eastAsia="仿宋_GB2312"/>
              </w:rPr>
              <w:t>树种确定为：白皮松、中槐、柳树、银杏、红枫、桂花、红梅、造型小叶女贞、小叶女贞）、独干月季、黄杨球、剑兰、连翘、石楠球。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三、苗木标准</w:t>
            </w:r>
          </w:p>
          <w:p>
            <w:pPr>
              <w:pStyle w:val="null3"/>
            </w:pPr>
            <w:r>
              <w:rPr>
                <w:rFonts w:ascii="仿宋_GB2312" w:hAnsi="仿宋_GB2312" w:cs="仿宋_GB2312" w:eastAsia="仿宋_GB2312"/>
              </w:rPr>
              <w:t>苗木调拨时必须严格执行GB6000-1999《主要造林树种苗木质量分级》，坚决制止人情苗、关系苗，确保苗木使用程序化、规范化、标准化。</w:t>
            </w:r>
          </w:p>
          <w:p>
            <w:pPr>
              <w:pStyle w:val="null3"/>
              <w:jc w:val="center"/>
            </w:pPr>
            <w:r>
              <w:rPr>
                <w:rFonts w:ascii="仿宋_GB2312" w:hAnsi="仿宋_GB2312" w:cs="仿宋_GB2312" w:eastAsia="仿宋_GB2312"/>
              </w:rPr>
              <w:t>各绿化树种苗木标准</w:t>
            </w:r>
          </w:p>
          <w:p>
            <w:pPr>
              <w:pStyle w:val="null3"/>
              <w:jc w:val="center"/>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695"/>
              <w:gridCol w:w="498"/>
              <w:gridCol w:w="443"/>
              <w:gridCol w:w="405"/>
              <w:gridCol w:w="498"/>
            </w:tblGrid>
            <w:tr>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树种</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胸径(cm)</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地径(cm)</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冠幅（m）</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苗高（m）</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白皮松大苗</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3.5-4.0</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白皮松小苗</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1.5-2.0</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独干月季</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3.0-4.0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中槐</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5.0-6.0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柳树</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3.0-4.0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2.8-3.0</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银杏</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4.0-5.0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桂花</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10-12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≥350</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红枫</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6.0-8.0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红梅</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10-12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造型女贞</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5.0-6.0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黄杨球</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剑兰花</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连翘</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80-100</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石楠球</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100-120</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小叶女贞</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80-100</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四、技术措施</w:t>
            </w:r>
          </w:p>
          <w:p>
            <w:pPr>
              <w:pStyle w:val="null3"/>
              <w:jc w:val="left"/>
              <w:outlineLvl w:val="2"/>
            </w:pPr>
            <w:r>
              <w:rPr>
                <w:rFonts w:ascii="仿宋_GB2312" w:hAnsi="仿宋_GB2312" w:cs="仿宋_GB2312" w:eastAsia="仿宋_GB2312"/>
                <w:sz w:val="28"/>
                <w:b/>
              </w:rPr>
              <w:t>1.整地</w:t>
            </w:r>
          </w:p>
          <w:p>
            <w:pPr>
              <w:pStyle w:val="null3"/>
            </w:pPr>
            <w:r>
              <w:rPr>
                <w:rFonts w:ascii="仿宋_GB2312" w:hAnsi="仿宋_GB2312" w:cs="仿宋_GB2312" w:eastAsia="仿宋_GB2312"/>
              </w:rPr>
              <w:t>根据项目区自然条件和多年造林绿化经验,整地方式遵照因地制宜的原则，以不破坏绿化地上的原生植被和蓄水保墒为目的，巷道和道路绿化采取局部坑状整地方式，按设计布设绿化栽植点，以栽植点为中心挖栽植坑，规格根据不同树种分别为60×60×50cm、50×50×40cm、40×40×30cm。苏家村公共绿地绿化首先对绿化地块进行清林，清除生长不良的灌木杂草，清理垃圾、石块砖块，然后按设计布设栽植带、栽植点，在此基础上以栽植点为中心挖坑栽植。寺角营村公共绿地地形平坦规整，按3.0×4.0m株行距布设栽植点，长方形配置，栽植坑规格60×60×50cm。</w:t>
            </w:r>
          </w:p>
          <w:p>
            <w:pPr>
              <w:pStyle w:val="null3"/>
              <w:jc w:val="left"/>
              <w:outlineLvl w:val="2"/>
            </w:pPr>
            <w:r>
              <w:rPr>
                <w:rFonts w:ascii="仿宋_GB2312" w:hAnsi="仿宋_GB2312" w:cs="仿宋_GB2312" w:eastAsia="仿宋_GB2312"/>
                <w:sz w:val="28"/>
                <w:b/>
              </w:rPr>
              <w:t>2.栽植技术</w:t>
            </w:r>
          </w:p>
          <w:p>
            <w:pPr>
              <w:pStyle w:val="null3"/>
            </w:pPr>
            <w:r>
              <w:rPr>
                <w:rFonts w:ascii="仿宋_GB2312" w:hAnsi="仿宋_GB2312" w:cs="仿宋_GB2312" w:eastAsia="仿宋_GB2312"/>
              </w:rPr>
              <w:t>本次绿化全部采用植苗进行造林绿化。把握季节、适时精细栽植是保证造林成功的关键环节之一。</w:t>
            </w:r>
          </w:p>
          <w:p>
            <w:pPr>
              <w:pStyle w:val="null3"/>
            </w:pPr>
            <w:r>
              <w:rPr>
                <w:rFonts w:ascii="仿宋_GB2312" w:hAnsi="仿宋_GB2312" w:cs="仿宋_GB2312" w:eastAsia="仿宋_GB2312"/>
              </w:rPr>
              <w:t>植苗造林时间为2026年秋季，2027年春季根据成活率进行补植。项目秋季栽植在10月下旬至11月上旬进行，至土壤封冻前停止。春季补植在土壤解冻后3月份进行，至四月下旬树木展叶结束。</w:t>
            </w:r>
          </w:p>
          <w:p>
            <w:pPr>
              <w:pStyle w:val="null3"/>
            </w:pPr>
            <w:r>
              <w:rPr>
                <w:rFonts w:ascii="仿宋_GB2312" w:hAnsi="仿宋_GB2312" w:cs="仿宋_GB2312" w:eastAsia="仿宋_GB2312"/>
              </w:rPr>
              <w:t>树种进行栽植时，对于带土球的树种苗木应保持母土完整，苗木随到随栽，先把苗木放入挖好的坑穴内，土球放置的位置要低于地面20cm，树根包装的草绳不解除与土球一并植入树穴,扶正苗木后开始填土，先把放置在坑侧一边地表层熟土填入坑内，每填入20cm厚踩踏一次，表土填完后再填入另一侧的生土，直至填入距地面20cm处为止。要层层填土踏实,使苗木所带土坨和回填土密切接触，不留空隙，填平后在树坑周边做20cm高的围堰,以便于蓄水保墒。</w:t>
            </w:r>
          </w:p>
          <w:p>
            <w:pPr>
              <w:pStyle w:val="null3"/>
            </w:pPr>
            <w:r>
              <w:rPr>
                <w:rFonts w:ascii="仿宋_GB2312" w:hAnsi="仿宋_GB2312" w:cs="仿宋_GB2312" w:eastAsia="仿宋_GB2312"/>
              </w:rPr>
              <w:t>对于道路乔木树种，苗木栽植结束后，需要3根较长的木根或者竹杆呈三角架住树干2/3的部位，其中一根要在移植树木的下风处，接触树皮处也需要垫上东西防止树皮蹭破，支柱摆放好之后在支柱顶部交接点使用东西捆绑固定。</w:t>
            </w:r>
          </w:p>
          <w:p>
            <w:pPr>
              <w:pStyle w:val="null3"/>
              <w:jc w:val="left"/>
              <w:outlineLvl w:val="2"/>
            </w:pPr>
            <w:r>
              <w:rPr>
                <w:rFonts w:ascii="仿宋_GB2312" w:hAnsi="仿宋_GB2312" w:cs="仿宋_GB2312" w:eastAsia="仿宋_GB2312"/>
                <w:sz w:val="28"/>
                <w:b/>
              </w:rPr>
              <w:t>3.成活率调查与人工补植</w:t>
            </w:r>
          </w:p>
          <w:p>
            <w:pPr>
              <w:pStyle w:val="null3"/>
            </w:pPr>
            <w:r>
              <w:rPr>
                <w:rFonts w:ascii="仿宋_GB2312" w:hAnsi="仿宋_GB2312" w:cs="仿宋_GB2312" w:eastAsia="仿宋_GB2312"/>
              </w:rPr>
              <w:t>成活率调查一般在新造林经过一个生长季节后进行。本次成活率调查时间为2027年3—4月进行，调查方法是全面调查，对所有的绿化苗木逐株调查成活情况，并按巷道、道路、绿地分树种统计成活、死亡株数。对于死亡的苗木要全面的进行补植。</w:t>
            </w:r>
          </w:p>
          <w:p>
            <w:pPr>
              <w:pStyle w:val="null3"/>
            </w:pPr>
            <w:r>
              <w:rPr>
                <w:rFonts w:ascii="仿宋_GB2312" w:hAnsi="仿宋_GB2312" w:cs="仿宋_GB2312" w:eastAsia="仿宋_GB2312"/>
              </w:rPr>
              <w:t>补植按原设计的株行距进行，要求用同树种同规格苗木，补植时间为2027年春季。</w:t>
            </w:r>
          </w:p>
          <w:p>
            <w:pPr>
              <w:pStyle w:val="null3"/>
              <w:jc w:val="left"/>
              <w:outlineLvl w:val="2"/>
            </w:pPr>
            <w:r>
              <w:rPr>
                <w:rFonts w:ascii="仿宋_GB2312" w:hAnsi="仿宋_GB2312" w:cs="仿宋_GB2312" w:eastAsia="仿宋_GB2312"/>
                <w:sz w:val="28"/>
                <w:b/>
              </w:rPr>
              <w:t>4.幼林抚育</w:t>
            </w:r>
          </w:p>
          <w:p>
            <w:pPr>
              <w:pStyle w:val="null3"/>
            </w:pPr>
            <w:r>
              <w:rPr>
                <w:rFonts w:ascii="仿宋_GB2312" w:hAnsi="仿宋_GB2312" w:cs="仿宋_GB2312" w:eastAsia="仿宋_GB2312"/>
              </w:rPr>
              <w:t>幼林抚育是指在造林后至郁闭前这一段时间里所进行的各种技术措施。新造幼林一般要经历缓苗、扎根、生长并逐步进入速生的过程，这是个关键的转折阶段，对以后林木快速生长影响极大。幼林抚育的根本任务在于创造优越的生长环境，满足幼树对水、肥、气、光、热的要求。通过松土、除草、扩穴等来改善土壤理化性质，排除杂草、杂灌对幼树水、肥、光的竞争。另一方面对林木本身进行必要的调节，如除孽、平茬、修树等，使之迅速健康的生长成林。造林后抚育5次，要求做到松土除草不伤根、不伤皮、不伤树梢，把锄松的土壤培到根际，清锄杂草，并将其覆盖在根部，以减少水份蒸发和增加有机质。松土时要里浅外深，深度适当。造林第一年浅，以后逐年加深。除草时只清除树杆周围的杂草，并及时抹芽,保留2/3的主干。在有条件的地方，要针对苗木生长情况适时灌水、施肥、精心抚育。</w:t>
            </w:r>
          </w:p>
          <w:p>
            <w:pPr>
              <w:pStyle w:val="null3"/>
            </w:pPr>
            <w:r>
              <w:rPr>
                <w:rFonts w:ascii="仿宋_GB2312" w:hAnsi="仿宋_GB2312" w:cs="仿宋_GB2312" w:eastAsia="仿宋_GB2312"/>
              </w:rPr>
              <w:t>抚育的主要内容有培土、除草、平茬、病虫鼠害防治等，依墒情及天气干旱情况及时的对苗木进行浇水灌溉。</w:t>
            </w:r>
          </w:p>
          <w:p>
            <w:pPr>
              <w:pStyle w:val="null3"/>
              <w:jc w:val="left"/>
              <w:outlineLvl w:val="2"/>
            </w:pPr>
            <w:r>
              <w:rPr>
                <w:rFonts w:ascii="仿宋_GB2312" w:hAnsi="仿宋_GB2312" w:cs="仿宋_GB2312" w:eastAsia="仿宋_GB2312"/>
                <w:sz w:val="28"/>
                <w:b/>
              </w:rPr>
              <w:t>5.修枝、割草、除萌</w:t>
            </w:r>
          </w:p>
          <w:p>
            <w:pPr>
              <w:pStyle w:val="null3"/>
            </w:pPr>
            <w:r>
              <w:rPr>
                <w:rFonts w:ascii="仿宋_GB2312" w:hAnsi="仿宋_GB2312" w:cs="仿宋_GB2312" w:eastAsia="仿宋_GB2312"/>
              </w:rPr>
              <w:t>树木整形修剪、割草、除萌对于美化树形、协调比例、调整树势、减少病虫害等有极其重要的作用。通过整形修剪整理树形、纠正倾斜度、改善通风透光条件，形成优美的树姿，以达到优美的绿化景观效果。树木修剪的程度，应根据主、侧枝间的生长习性、树龄及树种的特性决定。在整形时，为使主枝间的生长势平衡且保持树冠均匀，应采用“强主枝重剪，弱主枝轻剪”的原则；如要调节侧枝的生长势，则采取“强主枝轻剪，弱主枝重剪”的原则。在修剪、除萌的过程中要注意：</w:t>
            </w:r>
          </w:p>
          <w:p>
            <w:pPr>
              <w:pStyle w:val="null3"/>
            </w:pPr>
            <w:r>
              <w:rPr>
                <w:rFonts w:ascii="仿宋_GB2312" w:hAnsi="仿宋_GB2312" w:cs="仿宋_GB2312" w:eastAsia="仿宋_GB2312"/>
              </w:rPr>
              <w:t>1、切口处齐整靠节，且位于剪口芽呈45°的反侧。</w:t>
            </w:r>
          </w:p>
          <w:p>
            <w:pPr>
              <w:pStyle w:val="null3"/>
            </w:pPr>
            <w:r>
              <w:rPr>
                <w:rFonts w:ascii="仿宋_GB2312" w:hAnsi="仿宋_GB2312" w:cs="仿宋_GB2312" w:eastAsia="仿宋_GB2312"/>
              </w:rPr>
              <w:t>2、 枝条夹角类型：U型枝可保留两个分枝，V型枝则适当选留其一。</w:t>
            </w:r>
          </w:p>
          <w:p>
            <w:pPr>
              <w:pStyle w:val="null3"/>
            </w:pPr>
            <w:r>
              <w:rPr>
                <w:rFonts w:ascii="仿宋_GB2312" w:hAnsi="仿宋_GB2312" w:cs="仿宋_GB2312" w:eastAsia="仿宋_GB2312"/>
              </w:rPr>
              <w:t>3、 簇生枝和轮生枝需彻底剪切的，分清层次，防止切口数量太多，不利于树木正常生长。</w:t>
            </w:r>
          </w:p>
          <w:p>
            <w:pPr>
              <w:pStyle w:val="null3"/>
            </w:pPr>
            <w:r>
              <w:rPr>
                <w:rFonts w:ascii="仿宋_GB2312" w:hAnsi="仿宋_GB2312" w:cs="仿宋_GB2312" w:eastAsia="仿宋_GB2312"/>
              </w:rPr>
              <w:t>4、白皮松、银杏生长比较缓慢，发枝能力较弱，如生长条件良好，空间充裕，通常可不修剪。</w:t>
            </w:r>
          </w:p>
          <w:p>
            <w:pPr>
              <w:pStyle w:val="null3"/>
              <w:jc w:val="left"/>
              <w:outlineLvl w:val="2"/>
            </w:pPr>
            <w:r>
              <w:rPr>
                <w:rFonts w:ascii="仿宋_GB2312" w:hAnsi="仿宋_GB2312" w:cs="仿宋_GB2312" w:eastAsia="仿宋_GB2312"/>
                <w:sz w:val="28"/>
                <w:b/>
              </w:rPr>
              <w:t>6.病虫害防治技术</w:t>
            </w:r>
          </w:p>
          <w:p>
            <w:pPr>
              <w:pStyle w:val="null3"/>
            </w:pPr>
            <w:r>
              <w:rPr>
                <w:rFonts w:ascii="仿宋_GB2312" w:hAnsi="仿宋_GB2312" w:cs="仿宋_GB2312" w:eastAsia="仿宋_GB2312"/>
              </w:rPr>
              <w:t>根据病虫的发生、发展动态提出预报和最佳防治时间，采取农业措施与生物、化学防治相结合的综合防治措施，同时注意保护和利用天敌，以及调整施药期和施药量等。</w:t>
            </w:r>
          </w:p>
          <w:p>
            <w:pPr>
              <w:pStyle w:val="null3"/>
            </w:pPr>
            <w:r>
              <w:rPr>
                <w:rFonts w:ascii="仿宋_GB2312" w:hAnsi="仿宋_GB2312" w:cs="仿宋_GB2312" w:eastAsia="仿宋_GB2312"/>
              </w:rPr>
              <w:t>可供选择的防治措施如下：</w:t>
            </w:r>
          </w:p>
          <w:p>
            <w:pPr>
              <w:pStyle w:val="null3"/>
            </w:pPr>
            <w:r>
              <w:rPr>
                <w:rFonts w:ascii="仿宋_GB2312" w:hAnsi="仿宋_GB2312" w:cs="仿宋_GB2312" w:eastAsia="仿宋_GB2312"/>
              </w:rPr>
              <w:t>1）加强抚育管理，改善卫生条件，增强林木抗性。针对病虫害的发生规律和特点，在幼树抚育过程中集中清理幼树下剩余物，改善幼树生长环境卫生条件。</w:t>
            </w:r>
          </w:p>
          <w:p>
            <w:pPr>
              <w:pStyle w:val="null3"/>
            </w:pPr>
            <w:r>
              <w:rPr>
                <w:rFonts w:ascii="仿宋_GB2312" w:hAnsi="仿宋_GB2312" w:cs="仿宋_GB2312" w:eastAsia="仿宋_GB2312"/>
              </w:rPr>
              <w:t>2）灯光诱杀：在开阔的地段设置高压电网黑光灯，根据害虫成虫出现的时间确定设灯诱杀时间，一般为5－9月，设置高度2—3米。</w:t>
            </w:r>
          </w:p>
          <w:p>
            <w:pPr>
              <w:pStyle w:val="null3"/>
            </w:pPr>
            <w:r>
              <w:rPr>
                <w:rFonts w:ascii="仿宋_GB2312" w:hAnsi="仿宋_GB2312" w:cs="仿宋_GB2312" w:eastAsia="仿宋_GB2312"/>
              </w:rPr>
              <w:t>3）生物防治：利于天敌昆虫（如赤眼蜂、平腹小蜂）、病原微生物（如白僵菌）和食虫鸟类来控制虫害的发生。</w:t>
            </w:r>
          </w:p>
          <w:p>
            <w:pPr>
              <w:pStyle w:val="null3"/>
            </w:pPr>
            <w:r>
              <w:rPr>
                <w:rFonts w:ascii="仿宋_GB2312" w:hAnsi="仿宋_GB2312" w:cs="仿宋_GB2312" w:eastAsia="仿宋_GB2312"/>
              </w:rPr>
              <w:t>4）化学防治：在搞好测报的基础上，根据害虫的特性，适时突击开展化学防治。</w:t>
            </w:r>
          </w:p>
          <w:p>
            <w:pPr>
              <w:pStyle w:val="null3"/>
            </w:pPr>
            <w:r>
              <w:rPr>
                <w:rFonts w:ascii="仿宋_GB2312" w:hAnsi="仿宋_GB2312" w:cs="仿宋_GB2312" w:eastAsia="仿宋_GB2312"/>
              </w:rPr>
              <w:t>5）人工防治：成虫产卵后，经常检查，发现有产卵破口刻槽，用锤敲击，可消灭虫卵和初孵幼虫。当幼虫蛀入树干后，可以虫粪为标志，用尖端为小钩的细铁丝从虫孔插入，钩杀幼虫。</w:t>
            </w:r>
          </w:p>
          <w:p>
            <w:pPr>
              <w:pStyle w:val="null3"/>
              <w:jc w:val="left"/>
              <w:outlineLvl w:val="1"/>
            </w:pPr>
            <w:r>
              <w:rPr>
                <w:rFonts w:ascii="仿宋_GB2312" w:hAnsi="仿宋_GB2312" w:cs="仿宋_GB2312" w:eastAsia="仿宋_GB2312"/>
                <w:sz w:val="21"/>
                <w:b/>
              </w:rPr>
              <w:t>7.抗旱造林技术应用</w:t>
            </w:r>
          </w:p>
          <w:p>
            <w:pPr>
              <w:pStyle w:val="null3"/>
            </w:pPr>
            <w:r>
              <w:rPr>
                <w:rFonts w:ascii="仿宋_GB2312" w:hAnsi="仿宋_GB2312" w:cs="仿宋_GB2312" w:eastAsia="仿宋_GB2312"/>
              </w:rPr>
              <w:t>为确保造林成活率，提高造林质量，造林时要积极应用保水剂、生根粉等实用技术抗旱整地技术。栽植时尽量用保水剂、生根粉等对苗木根系进行蘸浆处理。造林所需要的苗木要做到随起随运随栽，确需要调运的苗木应采取相应的保护措施，以减少运输途中苗木的损伤和水分的丧失，以提高造林成活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项目实施地点位于秦东镇苏家村、寺角营村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1、验收主体：潼关县林业局。 2、验收方法：一次性验收。 3、验收程序：供应商提出验收7日起，我单位组织相关技术人员、专业人员（必要时组织相关专家）对本项目进行验收。 4、验收内容：磋商文件所涉及的全部内容。 5、验收标准：达到国家及行业相关标准。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进度款，项目完成验收合格后，达到付款条件起14个工作日内，支付合同总金额的60.0%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农、林、牧、渔业（营业收入20000万元以下的为中小微型企业。其中，营业收入500万元及以上的为中型企业，营业收入50万元及以上的为小型企业，营业收入50万元以下的为微型企业）。2、成交供应商在领取成交通知书后三个工作日，须向采购代理机构提供一正一副纸质响应文件及电子版1份（U盘存储），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供应商须提供合法有效，具有独立承担民事责任能力的证明资料</w:t>
            </w:r>
          </w:p>
        </w:tc>
        <w:tc>
          <w:tcPr>
            <w:tcW w:type="dxa" w:w="1661"/>
          </w:tcPr>
          <w:p>
            <w:pPr>
              <w:pStyle w:val="null3"/>
            </w:pPr>
            <w:r>
              <w:rPr>
                <w:rFonts w:ascii="仿宋_GB2312" w:hAnsi="仿宋_GB2312" w:cs="仿宋_GB2312" w:eastAsia="仿宋_GB2312"/>
              </w:rPr>
              <w:t>供应商应提交的资格证明材料.pdf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3）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采购文件格式要求出具承诺函（详见附件1），成交供应商的承诺函同成交结果一并公示。</w:t>
            </w:r>
          </w:p>
        </w:tc>
        <w:tc>
          <w:tcPr>
            <w:tcW w:type="dxa" w:w="1661"/>
          </w:tcPr>
          <w:p>
            <w:pPr>
              <w:pStyle w:val="null3"/>
            </w:pPr>
            <w:r>
              <w:rPr>
                <w:rFonts w:ascii="仿宋_GB2312" w:hAnsi="仿宋_GB2312" w:cs="仿宋_GB2312" w:eastAsia="仿宋_GB2312"/>
              </w:rPr>
              <w:t>供应商应提交的资格证明材料.pdf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供应商应提交的资格证明材料.pdf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法定代表人或负责人参与磋商时需提供法定代表人或负责人资格证明书（附法定代表人或负责人身份证复印件）；（法定代表人或负责人须提供身份证原件，身份证原件可由本人持有）</w:t>
            </w:r>
          </w:p>
        </w:tc>
        <w:tc>
          <w:tcPr>
            <w:tcW w:type="dxa" w:w="1661"/>
          </w:tcPr>
          <w:p>
            <w:pPr>
              <w:pStyle w:val="null3"/>
            </w:pPr>
            <w:r>
              <w:rPr>
                <w:rFonts w:ascii="仿宋_GB2312" w:hAnsi="仿宋_GB2312" w:cs="仿宋_GB2312" w:eastAsia="仿宋_GB2312"/>
              </w:rPr>
              <w:t>法定代表人身份证明书与法定代表人授权书.docx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供应商提供磋商保证金缴纳凭证</w:t>
            </w:r>
          </w:p>
        </w:tc>
        <w:tc>
          <w:tcPr>
            <w:tcW w:type="dxa" w:w="1661"/>
          </w:tcPr>
          <w:p>
            <w:pPr>
              <w:pStyle w:val="null3"/>
            </w:pPr>
            <w:r>
              <w:rPr>
                <w:rFonts w:ascii="仿宋_GB2312" w:hAnsi="仿宋_GB2312" w:cs="仿宋_GB2312" w:eastAsia="仿宋_GB2312"/>
              </w:rPr>
              <w:t>供应商应提交的资格证明材料.pdf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1、报价货币符合磋商文件要求 ; 2、未超出采购预算或磋商文件规定的最高限价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业绩.docx 服务保障与履约能力.docx 法定代表人身份证明书与法定代表人授权书.docx 中小企业声明函 承诺书.docx 商务应答表.docx 服务条款响应偏离表.docx 项目负责人及项目团队人员配备.docx 响应文件封面 分项报价表.docx 残疾人福利性单位声明函 设备配备情况表.docx 标的清单 响应函 监狱企业的证明文件 供应商应提交的资格证明材料.pdf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商务应答表.docx 服务条款响应偏离表.docx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1、服务方案（包括但不限于（1）造林地清理及整地方案；（2）施肥、栽植、浇水方案；（3）未成林抚育方案；（4）幼林管护方案；（5）服务团队管理方案；（6）服务团队职责划分。）；2、质量保障方案（包括但不限于（1）质量保障措施；（2）成活率调查与补植方案）；3、生物多样性及环境保护方案（包括但不限于（1）生物多样性保护方案（即野生动植物保护）；（2）环境保护方案）；4、安全保障方案（包括但不限于（1）安全管理方案；（2）森林防火预防方案）；5、应急保障方案（包括但不限于（1）紧急或突发情况的应急保障方案； （2）应急人员及设施设备安排计划）。 二、评审标准： 1、服务方案：（1）每项评审内容完整无缺陷得3分；满分得18分，未提供得0分；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 2、质量保障方案：（1）每项评审内容完整无缺陷得3分；满分得6分，未提供得0分；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 3、生物多样性及环境保护方案：（1）每项评审内容完整无缺陷得3分；满分得6分，未提供得0分；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 4、安全保障方案：（1）每项评审内容完整无缺陷得3分；满分得6分，未提供得0分；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 5、应急保障方案：（1）每项评审内容完整无缺陷得2分；满分得4分，未提供得0分；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 注：为落实政府采购节约能源、保护环境、绿色低碳、节能减排政策要求，践行资源节约、降低平台存储能耗、减少纸张耗材消耗，限制冗余篇幅，提升评审工作效率。根据财政部 87 号令《政府采购货物和服务招标投标管理办法》第二十条的要求。本项目总体服务方案正文总页数不得超过200页（不含封面、目录、附表、附件），双面打印按2页计算；供应商总体服务方案超出200页的，磋商小组仅评审前200页内容，超出页面不予阅读、不予计分；供应商须在限定篇幅内编制本项目总体服务方案全部条款，页数内未响应的评审项不予计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供应商近三年（2023年1月至今）具有类似项目业绩，每个计2分，最多计10分。(业绩时间以合同签订日期为准，供应商须提供合同扫描件)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项目负责人要求</w:t>
            </w:r>
          </w:p>
        </w:tc>
        <w:tc>
          <w:tcPr>
            <w:tcW w:type="dxa" w:w="2492"/>
          </w:tcPr>
          <w:p>
            <w:pPr>
              <w:pStyle w:val="null3"/>
            </w:pPr>
            <w:r>
              <w:rPr>
                <w:rFonts w:ascii="仿宋_GB2312" w:hAnsi="仿宋_GB2312" w:cs="仿宋_GB2312" w:eastAsia="仿宋_GB2312"/>
              </w:rPr>
              <w:t>1、项目负责人：配备的项目负责人具有园林类或林业类中级及以上职称得3分，不提供不得分；2、项目负责人类似业绩：提供项目负责人2023年1月1日至今(以合同签订日期为准)类似项目业绩合同，每份计2.5分，满分5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项目负责人及项目团队人员配备.docx</w:t>
            </w:r>
          </w:p>
        </w:tc>
      </w:tr>
      <w:tr>
        <w:tc>
          <w:tcPr>
            <w:tcW w:type="dxa" w:w="831"/>
            <w:vMerge/>
          </w:tcPr>
          <w:p/>
        </w:tc>
        <w:tc>
          <w:tcPr>
            <w:tcW w:type="dxa" w:w="1661"/>
          </w:tcPr>
          <w:p>
            <w:pPr>
              <w:pStyle w:val="null3"/>
            </w:pPr>
            <w:r>
              <w:rPr>
                <w:rFonts w:ascii="仿宋_GB2312" w:hAnsi="仿宋_GB2312" w:cs="仿宋_GB2312" w:eastAsia="仿宋_GB2312"/>
              </w:rPr>
              <w:t>服务团队人员配备</w:t>
            </w:r>
          </w:p>
        </w:tc>
        <w:tc>
          <w:tcPr>
            <w:tcW w:type="dxa" w:w="2492"/>
          </w:tcPr>
          <w:p>
            <w:pPr>
              <w:pStyle w:val="null3"/>
            </w:pPr>
            <w:r>
              <w:rPr>
                <w:rFonts w:ascii="仿宋_GB2312" w:hAnsi="仿宋_GB2312" w:cs="仿宋_GB2312" w:eastAsia="仿宋_GB2312"/>
              </w:rPr>
              <w:t>（1）配备的技术负责人具有相关专业中级及以上职称得3分。 （2）服务团队每配备一名其他服务人员（例如：质量、材料、资料、安全、财务等）得1分，最多得5分。 注：须提供相关证明材料，未提供得0分。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项目负责人及项目团队人员配备.docx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每配备一项本次服务所需相关设施设备（例如：整地、栽植、浇水、抚育、运输、防火、灭火等）得1分，最多得10分。 注：须提供相关证明材料，未提供得0分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设备配备情况表.docx</w:t>
            </w:r>
          </w:p>
        </w:tc>
      </w:tr>
      <w:tr>
        <w:tc>
          <w:tcPr>
            <w:tcW w:type="dxa" w:w="831"/>
            <w:vMerge/>
          </w:tcPr>
          <w:p/>
        </w:tc>
        <w:tc>
          <w:tcPr>
            <w:tcW w:type="dxa" w:w="1661"/>
          </w:tcPr>
          <w:p>
            <w:pPr>
              <w:pStyle w:val="null3"/>
            </w:pPr>
            <w:r>
              <w:rPr>
                <w:rFonts w:ascii="仿宋_GB2312" w:hAnsi="仿宋_GB2312" w:cs="仿宋_GB2312" w:eastAsia="仿宋_GB2312"/>
              </w:rPr>
              <w:t>服务保障与履约能力</w:t>
            </w:r>
          </w:p>
        </w:tc>
        <w:tc>
          <w:tcPr>
            <w:tcW w:type="dxa" w:w="2492"/>
          </w:tcPr>
          <w:p>
            <w:pPr>
              <w:pStyle w:val="null3"/>
            </w:pPr>
            <w:r>
              <w:rPr>
                <w:rFonts w:ascii="仿宋_GB2312" w:hAnsi="仿宋_GB2312" w:cs="仿宋_GB2312" w:eastAsia="仿宋_GB2312"/>
              </w:rPr>
              <w:t>为保障服务质量，依据供应商履约保障计分：1.提供专人驻场对接承诺，得2分；2.提供完整的质量保障书面承诺的，得2分。本项满分4分，无正式书面承诺、无加盖公章材料不予计分。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服务保障与履约能力.docx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满足磋商文件要求且最后报价最低的供应商价格为磋商基准价得20分； 其他供应商的价格分按下列公式计算： 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详见附件：供应商应提交的资格证明材料.pdf</w:t>
      </w:r>
    </w:p>
    <w:p>
      <w:pPr>
        <w:pStyle w:val="null3"/>
        <w:ind w:firstLine="960"/>
      </w:pPr>
      <w:r>
        <w:rPr>
          <w:rFonts w:ascii="仿宋_GB2312" w:hAnsi="仿宋_GB2312" w:cs="仿宋_GB2312" w:eastAsia="仿宋_GB2312"/>
        </w:rPr>
        <w:t>详见附件：法定代表人身份证明书与法定代表人授权书.docx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详见附件：项目负责人及项目团队人员配备.docx</w:t>
      </w:r>
    </w:p>
    <w:p>
      <w:pPr>
        <w:pStyle w:val="null3"/>
        <w:ind w:firstLine="960"/>
      </w:pPr>
      <w:r>
        <w:rPr>
          <w:rFonts w:ascii="仿宋_GB2312" w:hAnsi="仿宋_GB2312" w:cs="仿宋_GB2312" w:eastAsia="仿宋_GB2312"/>
        </w:rPr>
        <w:t>详见附件：服务保障与履约能力.docx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详见附件：设备配备情况表.docx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详见附件：8.合同文本.docx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