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版本号：SXLY-2026-00620260528001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2026年残疾人职业技能和实用技术培训项目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SXLY-2026-006</w:t>
      </w:r>
      <w:r>
        <w:br/>
      </w:r>
      <w:r>
        <w:br/>
      </w:r>
      <w:r>
        <w:br/>
      </w:r>
    </w:p>
    <w:p>
      <w:pPr>
        <w:pStyle w:val="null3"/>
        <w:jc w:val="center"/>
        <w:outlineLvl w:val="2"/>
      </w:pPr>
      <w:r>
        <w:rPr>
          <w:rFonts w:ascii="仿宋_GB2312" w:hAnsi="仿宋_GB2312" w:cs="仿宋_GB2312" w:eastAsia="仿宋_GB2312"/>
          <w:sz w:val="28"/>
          <w:b/>
        </w:rPr>
        <w:t>西安市长安区残疾人联合会</w:t>
      </w:r>
    </w:p>
    <w:p>
      <w:pPr>
        <w:pStyle w:val="null3"/>
        <w:jc w:val="center"/>
        <w:outlineLvl w:val="2"/>
      </w:pPr>
      <w:r>
        <w:rPr>
          <w:rFonts w:ascii="仿宋_GB2312" w:hAnsi="仿宋_GB2312" w:cs="仿宋_GB2312" w:eastAsia="仿宋_GB2312"/>
          <w:sz w:val="28"/>
          <w:b/>
        </w:rPr>
        <w:t>陕西乐烨项目管理有限公司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陕西乐烨项目管理有限公司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西安市长安区残疾人联合会</w:t>
      </w:r>
      <w:r>
        <w:rPr>
          <w:rFonts w:ascii="仿宋_GB2312" w:hAnsi="仿宋_GB2312" w:cs="仿宋_GB2312" w:eastAsia="仿宋_GB2312"/>
        </w:rPr>
        <w:t>委托，拟对</w:t>
      </w:r>
      <w:r>
        <w:rPr>
          <w:rFonts w:ascii="仿宋_GB2312" w:hAnsi="仿宋_GB2312" w:cs="仿宋_GB2312" w:eastAsia="仿宋_GB2312"/>
        </w:rPr>
        <w:t>2026年残疾人职业技能和实用技术培训项目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SXLY-2026-006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2026年残疾人职业技能和实用技术培训项目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残疾人职业技能和实用技术培训;主要功能或目标:提高残疾人生产生活技能及职业技能，提高残疾人创业就业竞争力;需满足的要求;符合国家标准与采购单位要求。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2、法定代表人授权委托书：法定代表人授权委托书（附法定代表人、被授权人身份证复印件并加盖公章）。（法定代表人参加磋商只须提供法定代表人身份证明书及身份证复印件并加盖公章）；</w:t>
      </w:r>
    </w:p>
    <w:p>
      <w:pPr>
        <w:pStyle w:val="null3"/>
      </w:pPr>
      <w:r>
        <w:rPr>
          <w:rFonts w:ascii="仿宋_GB2312" w:hAnsi="仿宋_GB2312" w:cs="仿宋_GB2312" w:eastAsia="仿宋_GB2312"/>
        </w:rPr>
        <w:t>3、财务审计报告：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p>
      <w:pPr>
        <w:pStyle w:val="null3"/>
      </w:pPr>
      <w:r>
        <w:rPr>
          <w:rFonts w:ascii="仿宋_GB2312" w:hAnsi="仿宋_GB2312" w:cs="仿宋_GB2312" w:eastAsia="仿宋_GB2312"/>
        </w:rPr>
        <w:t>4、完税证明：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p>
      <w:pPr>
        <w:pStyle w:val="null3"/>
      </w:pPr>
      <w:r>
        <w:rPr>
          <w:rFonts w:ascii="仿宋_GB2312" w:hAnsi="仿宋_GB2312" w:cs="仿宋_GB2312" w:eastAsia="仿宋_GB2312"/>
        </w:rPr>
        <w:t>5、社会保障证明：供首次磋商响应文件递交截止时间前1年内任意时段的社会保障资金缴存单据或社保机构开具的社会保险参保缴费情况证明，依法不需要缴纳社会保障资金的单位应提供相关证明材料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6、重大违法记录：供参加政府采购活动前三年内在经营活动中没有重大违法记录的书面声明；</w:t>
      </w:r>
    </w:p>
    <w:p>
      <w:pPr>
        <w:pStyle w:val="null3"/>
      </w:pPr>
      <w:r>
        <w:rPr>
          <w:rFonts w:ascii="仿宋_GB2312" w:hAnsi="仿宋_GB2312" w:cs="仿宋_GB2312" w:eastAsia="仿宋_GB2312"/>
        </w:rPr>
        <w:t>7、控股关系：供应商在本项目磋商中，不存在与其它供应商负责人为同一人，有控股、管理等关联关系（提供承诺书）；</w:t>
      </w:r>
    </w:p>
    <w:p>
      <w:pPr>
        <w:pStyle w:val="null3"/>
      </w:pPr>
      <w:r>
        <w:rPr>
          <w:rFonts w:ascii="仿宋_GB2312" w:hAnsi="仿宋_GB2312" w:cs="仿宋_GB2312" w:eastAsia="仿宋_GB2312"/>
        </w:rPr>
        <w:t>8、信用中国：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p>
      <w:pPr>
        <w:pStyle w:val="null3"/>
      </w:pPr>
      <w:r>
        <w:rPr>
          <w:rFonts w:ascii="仿宋_GB2312" w:hAnsi="仿宋_GB2312" w:cs="仿宋_GB2312" w:eastAsia="仿宋_GB2312"/>
        </w:rPr>
        <w:t>9、联合体：不接受联合体招标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西安市长安区残疾人联合会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西安市长安区韦曲南长安街321号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13679220330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陕西乐烨项目管理有限公司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陕西省西安市市辖区陕西省西安市未央区凤城五路德宜国际中心（MAX未来）A座2001A1室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杨新旺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17829275833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2002年颁发的《招标代理服务收费管理暂行办法》(计价格〔2002〕1980号)及国家发改委2011年颁布的《国家发展改革委关于降低部分建设项目收费标准规范收费行为等有关问题的通知 》（发改价格[2011]534号）计算。</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西安市长安区残疾人联合会</w:t>
      </w:r>
      <w:r>
        <w:rPr>
          <w:rFonts w:ascii="仿宋_GB2312" w:hAnsi="仿宋_GB2312" w:cs="仿宋_GB2312" w:eastAsia="仿宋_GB2312"/>
        </w:rPr>
        <w:t>和</w:t>
      </w:r>
      <w:r>
        <w:rPr>
          <w:rFonts w:ascii="仿宋_GB2312" w:hAnsi="仿宋_GB2312" w:cs="仿宋_GB2312" w:eastAsia="仿宋_GB2312"/>
        </w:rPr>
        <w:t>陕西乐烨项目管理有限公司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西安市长安区残疾人联合会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陕西乐烨项目管理有限公司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西安市长安区残疾人联合会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陕西乐烨项目管理有限公司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符合国家及行业现行质量标准要求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陕西乐烨项目管理有限公司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联系人：杨新旺</w:t>
      </w:r>
    </w:p>
    <w:p>
      <w:pPr>
        <w:pStyle w:val="null3"/>
      </w:pPr>
      <w:r>
        <w:rPr>
          <w:rFonts w:ascii="仿宋_GB2312" w:hAnsi="仿宋_GB2312" w:cs="仿宋_GB2312" w:eastAsia="仿宋_GB2312"/>
        </w:rPr>
        <w:t>联系电话：17829275833</w:t>
      </w:r>
    </w:p>
    <w:p>
      <w:pPr>
        <w:pStyle w:val="null3"/>
      </w:pPr>
      <w:r>
        <w:rPr>
          <w:rFonts w:ascii="仿宋_GB2312" w:hAnsi="仿宋_GB2312" w:cs="仿宋_GB2312" w:eastAsia="仿宋_GB2312"/>
        </w:rPr>
        <w:t>地址：陕西省西安市经济技术开发区常青二路德宜国际中心（MAX未来）A座2001A1室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残疾人职业技能和实用技术培训;主要功能或目标:提高残疾人生产生活技能及职业技能，提高残疾人创业就业竞争力;需满足的要求;符合国家标准与采购单位要求。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2026年残疾人职业技能和实用技术培训项目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标的名称：2026年残疾人职业技能和实用技术培训项目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44"/>
                <w:b/>
              </w:rPr>
              <w:t xml:space="preserve"> </w:t>
            </w:r>
            <w:r>
              <w:rPr>
                <w:rFonts w:ascii="仿宋_GB2312" w:hAnsi="仿宋_GB2312" w:cs="仿宋_GB2312" w:eastAsia="仿宋_GB2312"/>
                <w:sz w:val="44"/>
                <w:b/>
              </w:rPr>
              <w:t>采购内容及要求</w:t>
            </w:r>
          </w:p>
          <w:p>
            <w:pPr>
              <w:pStyle w:val="null3"/>
              <w:spacing w:before="255" w:after="255"/>
              <w:jc w:val="left"/>
              <w:outlineLvl w:val="1"/>
            </w:pPr>
            <w:r>
              <w:rPr>
                <w:rFonts w:ascii="仿宋_GB2312" w:hAnsi="仿宋_GB2312" w:cs="仿宋_GB2312" w:eastAsia="仿宋_GB2312"/>
                <w:sz w:val="32"/>
                <w:b/>
              </w:rPr>
              <w:t>一、</w:t>
            </w:r>
            <w:r>
              <w:rPr>
                <w:rFonts w:ascii="仿宋_GB2312" w:hAnsi="仿宋_GB2312" w:cs="仿宋_GB2312" w:eastAsia="仿宋_GB2312"/>
                <w:sz w:val="32"/>
                <w:b/>
              </w:rPr>
              <w:t>采购项目概况</w:t>
            </w:r>
          </w:p>
          <w:p>
            <w:pPr>
              <w:pStyle w:val="null3"/>
              <w:ind w:firstLine="480"/>
              <w:jc w:val="both"/>
            </w:pPr>
            <w:r>
              <w:rPr>
                <w:rFonts w:ascii="仿宋_GB2312" w:hAnsi="仿宋_GB2312" w:cs="仿宋_GB2312" w:eastAsia="仿宋_GB2312"/>
                <w:sz w:val="24"/>
                <w:color w:val="000000"/>
              </w:rPr>
              <w:t>残疾人职业技能和实用技术培训</w:t>
            </w:r>
            <w:r>
              <w:rPr>
                <w:rFonts w:ascii="仿宋_GB2312" w:hAnsi="仿宋_GB2312" w:cs="仿宋_GB2312" w:eastAsia="仿宋_GB2312"/>
                <w:sz w:val="24"/>
                <w:color w:val="000000"/>
              </w:rPr>
              <w:t>;主要功能或目标:提高残疾人生产生活技能及职业技能，提高残疾人创业就业竞争力;需满足的要求;符合国家标准与采购单位要求。</w:t>
            </w:r>
          </w:p>
          <w:p>
            <w:pPr>
              <w:pStyle w:val="null3"/>
              <w:spacing w:before="255" w:after="255"/>
              <w:jc w:val="left"/>
              <w:outlineLvl w:val="1"/>
            </w:pPr>
            <w:r>
              <w:rPr>
                <w:rFonts w:ascii="仿宋_GB2312" w:hAnsi="仿宋_GB2312" w:cs="仿宋_GB2312" w:eastAsia="仿宋_GB2312"/>
                <w:sz w:val="32"/>
                <w:b/>
              </w:rPr>
              <w:t>二、</w:t>
            </w:r>
            <w:r>
              <w:rPr>
                <w:rFonts w:ascii="仿宋_GB2312" w:hAnsi="仿宋_GB2312" w:cs="仿宋_GB2312" w:eastAsia="仿宋_GB2312"/>
                <w:sz w:val="32"/>
                <w:b/>
              </w:rPr>
              <w:t>服务内容及服务要求</w:t>
            </w:r>
          </w:p>
          <w:p>
            <w:pPr>
              <w:pStyle w:val="null3"/>
              <w:spacing w:before="255" w:after="255"/>
              <w:jc w:val="left"/>
              <w:outlineLvl w:val="1"/>
            </w:pPr>
            <w:r>
              <w:rPr>
                <w:rFonts w:ascii="仿宋_GB2312" w:hAnsi="仿宋_GB2312" w:cs="仿宋_GB2312" w:eastAsia="仿宋_GB2312"/>
                <w:sz w:val="24"/>
                <w:b/>
                <w:color w:val="000000"/>
              </w:rPr>
              <w:t>采购内容及要求</w:t>
            </w:r>
            <w:r>
              <w:rPr>
                <w:rFonts w:ascii="仿宋_GB2312" w:hAnsi="仿宋_GB2312" w:cs="仿宋_GB2312" w:eastAsia="仿宋_GB2312"/>
                <w:sz w:val="24"/>
                <w:b/>
                <w:color w:val="000000"/>
              </w:rPr>
              <w:t>:根据市场、残疾人需求各街道实际情况举办不同类的残疾人职业培训（不低于200人）。</w:t>
            </w:r>
          </w:p>
          <w:p>
            <w:pPr>
              <w:pStyle w:val="null3"/>
              <w:spacing w:before="255" w:after="255"/>
              <w:jc w:val="left"/>
              <w:outlineLvl w:val="1"/>
            </w:pPr>
            <w:r>
              <w:rPr>
                <w:rFonts w:ascii="仿宋_GB2312" w:hAnsi="仿宋_GB2312" w:cs="仿宋_GB2312" w:eastAsia="仿宋_GB2312"/>
                <w:sz w:val="32"/>
                <w:b/>
              </w:rPr>
              <w:t>三、</w:t>
            </w:r>
            <w:r>
              <w:rPr>
                <w:rFonts w:ascii="仿宋_GB2312" w:hAnsi="仿宋_GB2312" w:cs="仿宋_GB2312" w:eastAsia="仿宋_GB2312"/>
                <w:sz w:val="32"/>
                <w:b/>
              </w:rPr>
              <w:t>商务要求</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服务期限</w:t>
            </w:r>
          </w:p>
          <w:p>
            <w:pPr>
              <w:pStyle w:val="null3"/>
              <w:ind w:firstLine="480"/>
              <w:jc w:val="left"/>
            </w:pPr>
            <w:r>
              <w:rPr>
                <w:rFonts w:ascii="仿宋_GB2312" w:hAnsi="仿宋_GB2312" w:cs="仿宋_GB2312" w:eastAsia="仿宋_GB2312"/>
                <w:sz w:val="24"/>
              </w:rPr>
              <w:t>服务期自合同签订后半年内。</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服务地点</w:t>
            </w:r>
          </w:p>
          <w:p>
            <w:pPr>
              <w:pStyle w:val="null3"/>
              <w:ind w:firstLine="480"/>
              <w:jc w:val="left"/>
            </w:pPr>
            <w:r>
              <w:rPr>
                <w:rFonts w:ascii="仿宋_GB2312" w:hAnsi="仿宋_GB2312" w:cs="仿宋_GB2312" w:eastAsia="仿宋_GB2312"/>
                <w:sz w:val="24"/>
              </w:rPr>
              <w:t>采购人指定地点。</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支付方式</w:t>
            </w:r>
          </w:p>
          <w:p>
            <w:pPr>
              <w:pStyle w:val="null3"/>
              <w:spacing w:before="30"/>
              <w:ind w:left="480"/>
              <w:jc w:val="both"/>
            </w:pPr>
            <w:r>
              <w:rPr>
                <w:rFonts w:ascii="仿宋_GB2312" w:hAnsi="仿宋_GB2312" w:cs="仿宋_GB2312" w:eastAsia="仿宋_GB2312"/>
                <w:sz w:val="24"/>
              </w:rPr>
              <w:t>银行转账</w:t>
            </w:r>
          </w:p>
          <w:p>
            <w:pPr>
              <w:pStyle w:val="null3"/>
              <w:ind w:firstLine="480"/>
              <w:jc w:val="left"/>
            </w:pPr>
            <w:r>
              <w:rPr>
                <w:rFonts w:ascii="仿宋_GB2312" w:hAnsi="仿宋_GB2312" w:cs="仿宋_GB2312" w:eastAsia="仿宋_GB2312"/>
                <w:sz w:val="24"/>
              </w:rPr>
              <w:t>3.</w:t>
            </w:r>
            <w:r>
              <w:rPr>
                <w:rFonts w:ascii="仿宋_GB2312" w:hAnsi="仿宋_GB2312" w:cs="仿宋_GB2312" w:eastAsia="仿宋_GB2312"/>
                <w:sz w:val="24"/>
              </w:rPr>
              <w:t>4</w:t>
            </w:r>
            <w:r>
              <w:rPr>
                <w:rFonts w:ascii="仿宋_GB2312" w:hAnsi="仿宋_GB2312" w:cs="仿宋_GB2312" w:eastAsia="仿宋_GB2312"/>
                <w:sz w:val="24"/>
              </w:rPr>
              <w:t>支付约定</w:t>
            </w:r>
          </w:p>
          <w:p>
            <w:pPr>
              <w:pStyle w:val="null3"/>
              <w:ind w:firstLine="480"/>
              <w:jc w:val="left"/>
            </w:pPr>
            <w:r>
              <w:rPr>
                <w:rFonts w:ascii="仿宋_GB2312" w:hAnsi="仿宋_GB2312" w:cs="仿宋_GB2312" w:eastAsia="仿宋_GB2312"/>
                <w:sz w:val="24"/>
              </w:rPr>
              <w:t>涉及</w:t>
            </w:r>
            <w:r>
              <w:rPr>
                <w:rFonts w:ascii="仿宋_GB2312" w:hAnsi="仿宋_GB2312" w:cs="仿宋_GB2312" w:eastAsia="仿宋_GB2312"/>
                <w:sz w:val="24"/>
              </w:rPr>
              <w:t>耗材的培训可以双</w:t>
            </w:r>
            <w:r>
              <w:rPr>
                <w:rFonts w:ascii="仿宋_GB2312" w:hAnsi="仿宋_GB2312" w:cs="仿宋_GB2312" w:eastAsia="仿宋_GB2312"/>
                <w:sz w:val="24"/>
              </w:rPr>
              <w:t>方</w:t>
            </w:r>
            <w:r>
              <w:rPr>
                <w:rFonts w:ascii="仿宋_GB2312" w:hAnsi="仿宋_GB2312" w:cs="仿宋_GB2312" w:eastAsia="仿宋_GB2312"/>
                <w:sz w:val="24"/>
              </w:rPr>
              <w:t>协定拨付预付资金，</w:t>
            </w:r>
            <w:r>
              <w:rPr>
                <w:rFonts w:ascii="仿宋_GB2312" w:hAnsi="仿宋_GB2312" w:cs="仿宋_GB2312" w:eastAsia="仿宋_GB2312"/>
                <w:sz w:val="24"/>
              </w:rPr>
              <w:t>其它项目实施结束后，经甲方验收合格一次性付清全部服务费。</w:t>
            </w:r>
          </w:p>
          <w:p>
            <w:pPr>
              <w:pStyle w:val="null3"/>
              <w:ind w:firstLine="480"/>
              <w:jc w:val="left"/>
            </w:pPr>
            <w:r>
              <w:rPr>
                <w:rFonts w:ascii="仿宋_GB2312" w:hAnsi="仿宋_GB2312" w:cs="仿宋_GB2312" w:eastAsia="仿宋_GB2312"/>
                <w:sz w:val="24"/>
              </w:rPr>
              <w:t>乙方向甲方开具正式发票。</w:t>
            </w:r>
          </w:p>
          <w:p>
            <w:pPr>
              <w:pStyle w:val="null3"/>
              <w:ind w:firstLine="482"/>
              <w:jc w:val="left"/>
            </w:pPr>
            <w:r>
              <w:rPr>
                <w:rFonts w:ascii="仿宋_GB2312" w:hAnsi="仿宋_GB2312" w:cs="仿宋_GB2312" w:eastAsia="仿宋_GB2312"/>
                <w:sz w:val="24"/>
                <w:b/>
              </w:rPr>
              <w:t>四、</w:t>
            </w:r>
            <w:r>
              <w:rPr>
                <w:rFonts w:ascii="仿宋_GB2312" w:hAnsi="仿宋_GB2312" w:cs="仿宋_GB2312" w:eastAsia="仿宋_GB2312"/>
                <w:sz w:val="24"/>
                <w:b/>
              </w:rPr>
              <w:t>其他要求</w:t>
            </w:r>
          </w:p>
          <w:p>
            <w:pPr>
              <w:pStyle w:val="null3"/>
              <w:jc w:val="both"/>
            </w:pPr>
            <w:r>
              <w:rPr>
                <w:rFonts w:ascii="仿宋_GB2312" w:hAnsi="仿宋_GB2312" w:cs="仿宋_GB2312" w:eastAsia="仿宋_GB2312"/>
                <w:sz w:val="24"/>
              </w:rPr>
              <w:t>（一）对服务商的业绩要求</w:t>
            </w:r>
          </w:p>
          <w:p>
            <w:pPr>
              <w:pStyle w:val="null3"/>
              <w:jc w:val="both"/>
            </w:pPr>
            <w:r>
              <w:rPr>
                <w:rFonts w:ascii="仿宋_GB2312" w:hAnsi="仿宋_GB2312" w:cs="仿宋_GB2312" w:eastAsia="仿宋_GB2312"/>
                <w:sz w:val="24"/>
              </w:rPr>
              <w:t>202</w:t>
            </w:r>
            <w:r>
              <w:rPr>
                <w:rFonts w:ascii="仿宋_GB2312" w:hAnsi="仿宋_GB2312" w:cs="仿宋_GB2312" w:eastAsia="仿宋_GB2312"/>
                <w:sz w:val="24"/>
              </w:rPr>
              <w:t>3</w:t>
            </w:r>
            <w:r>
              <w:rPr>
                <w:rFonts w:ascii="仿宋_GB2312" w:hAnsi="仿宋_GB2312" w:cs="仿宋_GB2312" w:eastAsia="仿宋_GB2312"/>
                <w:sz w:val="24"/>
              </w:rPr>
              <w:t>年</w:t>
            </w:r>
            <w:r>
              <w:rPr>
                <w:rFonts w:ascii="仿宋_GB2312" w:hAnsi="仿宋_GB2312" w:cs="仿宋_GB2312" w:eastAsia="仿宋_GB2312"/>
                <w:sz w:val="24"/>
              </w:rPr>
              <w:t>1</w:t>
            </w:r>
            <w:r>
              <w:rPr>
                <w:rFonts w:ascii="仿宋_GB2312" w:hAnsi="仿宋_GB2312" w:cs="仿宋_GB2312" w:eastAsia="仿宋_GB2312"/>
                <w:sz w:val="24"/>
              </w:rPr>
              <w:t>月起至今，供应商承接类似服务项目的业绩（合同扫描件或</w:t>
            </w:r>
            <w:r>
              <w:rPr>
                <w:rFonts w:ascii="仿宋_GB2312" w:hAnsi="仿宋_GB2312" w:cs="仿宋_GB2312" w:eastAsia="仿宋_GB2312"/>
                <w:sz w:val="24"/>
              </w:rPr>
              <w:t>成交通知书</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（二）进度要求</w:t>
            </w:r>
          </w:p>
          <w:p>
            <w:pPr>
              <w:pStyle w:val="null3"/>
              <w:jc w:val="both"/>
            </w:pPr>
            <w:r>
              <w:rPr>
                <w:rFonts w:ascii="仿宋_GB2312" w:hAnsi="仿宋_GB2312" w:cs="仿宋_GB2312" w:eastAsia="仿宋_GB2312"/>
                <w:sz w:val="24"/>
              </w:rPr>
              <w:t>在规定时间内完成服务。</w:t>
            </w:r>
          </w:p>
          <w:p>
            <w:pPr>
              <w:pStyle w:val="null3"/>
              <w:jc w:val="both"/>
            </w:pPr>
            <w:r>
              <w:rPr>
                <w:rFonts w:ascii="仿宋_GB2312" w:hAnsi="仿宋_GB2312" w:cs="仿宋_GB2312" w:eastAsia="仿宋_GB2312"/>
                <w:sz w:val="24"/>
              </w:rPr>
              <w:t>（三）成果交付要求</w:t>
            </w:r>
          </w:p>
          <w:p>
            <w:pPr>
              <w:pStyle w:val="null3"/>
              <w:jc w:val="both"/>
            </w:pPr>
            <w:r>
              <w:rPr>
                <w:rFonts w:ascii="仿宋_GB2312" w:hAnsi="仿宋_GB2312" w:cs="仿宋_GB2312" w:eastAsia="仿宋_GB2312"/>
                <w:sz w:val="24"/>
              </w:rPr>
              <w:t>达到国家、省、市相关行业规范要求的</w:t>
            </w:r>
            <w:r>
              <w:rPr>
                <w:rFonts w:ascii="仿宋_GB2312" w:hAnsi="仿宋_GB2312" w:cs="仿宋_GB2312" w:eastAsia="仿宋_GB2312"/>
                <w:sz w:val="24"/>
              </w:rPr>
              <w:t>“合格”标准，符合采购人的要求。</w:t>
            </w:r>
          </w:p>
          <w:p>
            <w:pPr>
              <w:pStyle w:val="null3"/>
              <w:jc w:val="both"/>
            </w:pPr>
            <w:r>
              <w:rPr>
                <w:rFonts w:ascii="仿宋_GB2312" w:hAnsi="仿宋_GB2312" w:cs="仿宋_GB2312" w:eastAsia="仿宋_GB2312"/>
                <w:sz w:val="24"/>
              </w:rPr>
              <w:t>（四）质量验收标准或规范</w:t>
            </w:r>
          </w:p>
          <w:p>
            <w:pPr>
              <w:pStyle w:val="null3"/>
              <w:jc w:val="both"/>
            </w:pPr>
            <w:r>
              <w:rPr>
                <w:rFonts w:ascii="仿宋_GB2312" w:hAnsi="仿宋_GB2312" w:cs="仿宋_GB2312" w:eastAsia="仿宋_GB2312"/>
                <w:sz w:val="24"/>
              </w:rPr>
              <w:t>残疾人服务行业验收标准。</w:t>
            </w:r>
          </w:p>
          <w:p>
            <w:pPr>
              <w:pStyle w:val="null3"/>
              <w:jc w:val="both"/>
            </w:pPr>
            <w:r>
              <w:rPr>
                <w:rFonts w:ascii="仿宋_GB2312" w:hAnsi="仿宋_GB2312" w:cs="仿宋_GB2312" w:eastAsia="仿宋_GB2312"/>
                <w:sz w:val="24"/>
              </w:rPr>
              <w:t>（五）违约责任</w:t>
            </w:r>
          </w:p>
          <w:p>
            <w:pPr>
              <w:pStyle w:val="null3"/>
              <w:jc w:val="both"/>
            </w:pPr>
            <w:r>
              <w:rPr>
                <w:rFonts w:ascii="仿宋_GB2312" w:hAnsi="仿宋_GB2312" w:cs="仿宋_GB2312" w:eastAsia="仿宋_GB2312"/>
                <w:sz w:val="24"/>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自合同签订后半年内。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达到国家、省、市相关行业规范要求的“合格”标准，符合采购人的要求。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进度款，涉及耗材的培训可以双方协定拨付预付资金，其它项目实施结束后，经甲方验收合格一次性付清全部服务费。乙方向甲方开具正式发票，达到付款条件起15个工作日内，支付合同总金额的100.0%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中华人民共和国政府采购法》第七十三条、《中华人民共和国民法典》第五百七十七条中的相关条款执行。未按合同或磋商文件要求提供的产品或者服务，质量不能满足采购人技术要求，采购单位有权终止合同，甚至对供应商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残疾人福利性单位声明函 服务内容及服务要求应答表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中小企业声明函 残疾人福利性单位声明函 供应商应提交的相关资格证明材料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残疾人福利性单位声明函 服务内容及服务要求应答表 响应函 监狱企业的证明文件</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法定代表人授权委托书（附法定代表人、被授权人身份证复印件并加盖公章）。（法定代表人参加磋商只须提供法定代表人身份证明书及身份证复印件并加盖公章）；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财务审计报告</w:t>
            </w:r>
          </w:p>
        </w:tc>
        <w:tc>
          <w:tcPr>
            <w:tcW w:type="dxa" w:w="3322"/>
          </w:tcPr>
          <w:p>
            <w:pPr>
              <w:pStyle w:val="null3"/>
            </w:pPr>
            <w:r>
              <w:rPr>
                <w:rFonts w:ascii="仿宋_GB2312" w:hAnsi="仿宋_GB2312" w:cs="仿宋_GB2312" w:eastAsia="仿宋_GB2312"/>
              </w:rPr>
              <w:t>提供具有经审计资质单位出具的2024年度或2025年度的财务审计报告，成立时间至提交竞争性磋商响应文件截止时间不足一年的可提供成立后任意时段的资产负债表；或其开标前六个月内基本存款账户开户银行出具的资信证明。（以上两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完税证明</w:t>
            </w:r>
          </w:p>
        </w:tc>
        <w:tc>
          <w:tcPr>
            <w:tcW w:type="dxa" w:w="3322"/>
          </w:tcPr>
          <w:p>
            <w:pPr>
              <w:pStyle w:val="null3"/>
            </w:pPr>
            <w:r>
              <w:rPr>
                <w:rFonts w:ascii="仿宋_GB2312" w:hAnsi="仿宋_GB2312" w:cs="仿宋_GB2312" w:eastAsia="仿宋_GB2312"/>
              </w:rPr>
              <w:t>提供首次磋商响应文件递交截止时间前1年内已缴纳至少一个月的纳税证明或完税证明（除印花税外任意税种），纳税证明或完税证明上应有代收机构或税务机关的公章或业务专用章。依法免税的供应商应提供相关文件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社会保障证明</w:t>
            </w:r>
          </w:p>
        </w:tc>
        <w:tc>
          <w:tcPr>
            <w:tcW w:type="dxa" w:w="3322"/>
          </w:tcPr>
          <w:p>
            <w:pPr>
              <w:pStyle w:val="null3"/>
            </w:pPr>
            <w:r>
              <w:rPr>
                <w:rFonts w:ascii="仿宋_GB2312" w:hAnsi="仿宋_GB2312" w:cs="仿宋_GB2312" w:eastAsia="仿宋_GB2312"/>
              </w:rPr>
              <w:t>供首次磋商响应文件递交截止时间前1年内任意时段的社会保障资金缴存单据或社保机构开具的社会保险参保缴费情况证明，依法不需要缴纳社会保障资金的单位应提供相关证明材料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重大违法记录</w:t>
            </w:r>
          </w:p>
        </w:tc>
        <w:tc>
          <w:tcPr>
            <w:tcW w:type="dxa" w:w="3322"/>
          </w:tcPr>
          <w:p>
            <w:pPr>
              <w:pStyle w:val="null3"/>
            </w:pPr>
            <w:r>
              <w:rPr>
                <w:rFonts w:ascii="仿宋_GB2312" w:hAnsi="仿宋_GB2312" w:cs="仿宋_GB2312" w:eastAsia="仿宋_GB2312"/>
              </w:rPr>
              <w:t>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供应商在本项目磋商中，不存在与其它供应商负责人为同一人，有控股、管理等关联关系（提供承诺书）；</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列入失信被执行人（页面跳转至“中国执行信息公开网”http://zxgk.court.gov.cn/shixin/）和重大税收违法失信主体的供应商，不得为中国政府采购网（www.ccgp.gov.cn）政府采购严重违法失信行为记录名单中被财政部门禁止参加政府采购活动的供应商；以开标后代理公司网站查询结果为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不接受联合体招标</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响应文件上法定代表人或其授权代表人的签字齐全并加盖公章</w:t>
            </w:r>
          </w:p>
        </w:tc>
        <w:tc>
          <w:tcPr>
            <w:tcW w:type="dxa" w:w="1661"/>
          </w:tcPr>
          <w:p>
            <w:pPr>
              <w:pStyle w:val="null3"/>
            </w:pPr>
            <w:r>
              <w:rPr>
                <w:rFonts w:ascii="仿宋_GB2312" w:hAnsi="仿宋_GB2312" w:cs="仿宋_GB2312" w:eastAsia="仿宋_GB2312"/>
              </w:rPr>
              <w:t>响应文件封面 中小企业声明函 残疾人福利性单位声明函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响应文件封面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响应文件份数</w:t>
            </w:r>
          </w:p>
        </w:tc>
        <w:tc>
          <w:tcPr>
            <w:tcW w:type="dxa" w:w="3322"/>
          </w:tcPr>
          <w:p>
            <w:pPr>
              <w:pStyle w:val="null3"/>
            </w:pPr>
            <w:r>
              <w:rPr>
                <w:rFonts w:ascii="仿宋_GB2312" w:hAnsi="仿宋_GB2312" w:cs="仿宋_GB2312" w:eastAsia="仿宋_GB2312"/>
              </w:rPr>
              <w:t>应符合“供应商须知前附表”规定的正本、副本、电子文件数量</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响应文件封面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应满足磋商响应文件中要求的服务期</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应满足磋商响应文件中要求的服务地点</w:t>
            </w:r>
          </w:p>
        </w:tc>
        <w:tc>
          <w:tcPr>
            <w:tcW w:type="dxa" w:w="1661"/>
          </w:tcPr>
          <w:p>
            <w:pPr>
              <w:pStyle w:val="null3"/>
            </w:pPr>
            <w:r>
              <w:rPr>
                <w:rFonts w:ascii="仿宋_GB2312" w:hAnsi="仿宋_GB2312" w:cs="仿宋_GB2312" w:eastAsia="仿宋_GB2312"/>
              </w:rPr>
              <w:t>响应文件封面 服务内容及服务要求应答表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应满足磋商响应文件中的规定</w:t>
            </w:r>
          </w:p>
        </w:tc>
        <w:tc>
          <w:tcPr>
            <w:tcW w:type="dxa" w:w="1661"/>
          </w:tcPr>
          <w:p>
            <w:pPr>
              <w:pStyle w:val="null3"/>
            </w:pPr>
            <w:r>
              <w:rPr>
                <w:rFonts w:ascii="仿宋_GB2312" w:hAnsi="仿宋_GB2312" w:cs="仿宋_GB2312" w:eastAsia="仿宋_GB2312"/>
              </w:rPr>
              <w:t>响应文件封面 商务应答表 服务内容及服务要求应答表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评价实施方案</w:t>
            </w:r>
          </w:p>
        </w:tc>
        <w:tc>
          <w:tcPr>
            <w:tcW w:type="dxa" w:w="2492"/>
          </w:tcPr>
          <w:p>
            <w:pPr>
              <w:pStyle w:val="null3"/>
            </w:pPr>
            <w:r>
              <w:rPr>
                <w:rFonts w:ascii="仿宋_GB2312" w:hAnsi="仿宋_GB2312" w:cs="仿宋_GB2312" w:eastAsia="仿宋_GB2312"/>
              </w:rPr>
              <w:t>评审内容：①针对本项目的评价工作内容；②服务目的③服务理念④服务范围。 评审依据：每一项内容描述详细、内容全面，得4分，①～④项合计得16分。内容①～④项任意一项缺项扣4分，扣完为止；内容①～④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评审内容：①针对本项目提供组织框架；②人员保障措施 。 评审依据：每一项内容描述详细、内容全面，得4分，①～②项合计得8分。 内容①～②项任意一项缺项扣4分，扣完为止；内容①～②项里有一项内容缺陷（缺陷是指：内容描述过于简单、条理不清晰、与项目内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进度保证措施</w:t>
            </w:r>
          </w:p>
        </w:tc>
        <w:tc>
          <w:tcPr>
            <w:tcW w:type="dxa" w:w="2492"/>
          </w:tcPr>
          <w:p>
            <w:pPr>
              <w:pStyle w:val="null3"/>
            </w:pPr>
            <w:r>
              <w:rPr>
                <w:rFonts w:ascii="仿宋_GB2312" w:hAnsi="仿宋_GB2312" w:cs="仿宋_GB2312" w:eastAsia="仿宋_GB2312"/>
              </w:rPr>
              <w:t>评审内容：①提供针对本项目的对评价工作及评价报告的进度保证措施。②人员安排措施 评审依据：每一项内容描述详细，内容切实可行符合项目实际内容得4分，①～②项合计得8分。内容①～②项任意一项缺项扣4分，扣完为止；内容①～②项里有一项内容缺陷（缺陷是指：内容不详细具体、条理不清晰、描述过于简单、与项目特点不匹配、凭空编造、出现常识性错误、不可能实现的夸大情形、存在不适用项目实际情况的情形等）扣0.5-3.5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供应商须提供本项目评价工作中的重点和难点分析</w:t>
            </w:r>
          </w:p>
        </w:tc>
        <w:tc>
          <w:tcPr>
            <w:tcW w:type="dxa" w:w="2492"/>
          </w:tcPr>
          <w:p>
            <w:pPr>
              <w:pStyle w:val="null3"/>
            </w:pPr>
            <w:r>
              <w:rPr>
                <w:rFonts w:ascii="仿宋_GB2312" w:hAnsi="仿宋_GB2312" w:cs="仿宋_GB2312" w:eastAsia="仿宋_GB2312"/>
              </w:rPr>
              <w:t>评审内容：①重点和难点分析。②解决措施或办法。 评审依据：每一项内容描述详细，内容切实可行符合项目实际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评审内容：①本项目服务的考核、监督及管理承诺②提供上岗人员固定性，不随意更换承诺③提供确保服务期限及进度的承诺④针对服务工作中的常见问题进行梳理，向采购人提供良好的解决方案及优化方案。 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评审内容：①评价工作质量控制方案②评价工作质量保障具体措施。 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评审内容：①根据拟投入的其他服务人员数量②根据拟投入的其他人员年龄、专业经验、资格/职称等情况。 评审标准：每一项内容描述详细内容全面，得3分，①～②项合计得6分。 内容①～②项任意一项缺项扣3分，扣完为止；内容①～②项里有一项内容缺陷（缺陷是指：内容描述过于简单、条理不清晰、与项目内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评审内容：①因特殊紧急情况评价工作时限响应方案②有特殊的应急服务方案及补救措施。 评审依据：每一项内容描述详细，内容切实可行符合项目内容得3分，①～②项合计得6分。内容①～②项任意一项缺项扣3分，扣完为止；内容①～②项里有一项内容缺陷（缺陷是指：内容不详细具体、条理不清晰、描述过于简单、与项目特点不匹配、凭空编造、出现常识性错误、不可能实现的夸大情形、存在不适用项目实际情况的情形等）0.5-2.5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保密措施、廉洁从业措施</w:t>
            </w:r>
          </w:p>
        </w:tc>
        <w:tc>
          <w:tcPr>
            <w:tcW w:type="dxa" w:w="2492"/>
          </w:tcPr>
          <w:p>
            <w:pPr>
              <w:pStyle w:val="null3"/>
            </w:pPr>
            <w:r>
              <w:rPr>
                <w:rFonts w:ascii="仿宋_GB2312" w:hAnsi="仿宋_GB2312" w:cs="仿宋_GB2312" w:eastAsia="仿宋_GB2312"/>
              </w:rPr>
              <w:t>评审内容：①保密管理制度②具体保密措施③廉洁从业措施④廉洁从业准则。 评审依据：每一项内容描述详细，内容切实可行符合项目实际内容得3分，①～④项合计得12分。内容①～④项任意一项缺项扣3分，扣完为止；内容①～④项里有一项内容缺陷（缺陷是指：内容不详细具体、条理不清晰、描述过于简单、与项目特点不匹配、凭空编造、出现常识性错误、不可能实现的夸大情形、存在不适用项目实际情况的情形等）扣0.5-2.5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2023年4月1日起至今，供应商承 接类似服务项目的业绩，每提供一 份有效业绩得2.5分 ，最多得10分。（ 合同扫描件或成交通知书）。</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并满足相关条件的供应商按采购文件约定的扣除比例计算扣除后的价格，以其中最低扣除价格作为评标基准价，其价格分为满分。其他供应商的价格分统一按照下列公式计算：磋商报价得分=（评标基准价/扣除后报价）×价格权值×100。（若不满足价格扣除条件的供应商扣除报价为其最后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