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版本号：ZCLH--202606820260717002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留坝中学实验楼维修改造项目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ZCLH--2026068</w:t>
      </w:r>
      <w:r>
        <w:br/>
      </w:r>
      <w:r>
        <w:br/>
      </w:r>
      <w:r>
        <w:br/>
      </w:r>
    </w:p>
    <w:p>
      <w:pPr>
        <w:pStyle w:val="null3"/>
        <w:jc w:val="center"/>
        <w:outlineLvl w:val="2"/>
      </w:pPr>
      <w:r>
        <w:rPr>
          <w:rFonts w:ascii="仿宋_GB2312" w:hAnsi="仿宋_GB2312" w:cs="仿宋_GB2312" w:eastAsia="仿宋_GB2312"/>
          <w:sz w:val="28"/>
          <w:b/>
        </w:rPr>
        <w:t>留坝县中学</w:t>
      </w:r>
    </w:p>
    <w:p>
      <w:pPr>
        <w:pStyle w:val="null3"/>
        <w:jc w:val="center"/>
        <w:outlineLvl w:val="2"/>
      </w:pPr>
      <w:r>
        <w:rPr>
          <w:rFonts w:ascii="仿宋_GB2312" w:hAnsi="仿宋_GB2312" w:cs="仿宋_GB2312" w:eastAsia="仿宋_GB2312"/>
          <w:sz w:val="28"/>
          <w:b/>
        </w:rPr>
        <w:t>力华项目管理有限公司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力华项目管理有限公司</w:t>
      </w:r>
      <w:r>
        <w:rPr>
          <w:rFonts w:ascii="仿宋_GB2312" w:hAnsi="仿宋_GB2312" w:cs="仿宋_GB2312" w:eastAsia="仿宋_GB2312"/>
        </w:rPr>
        <w:t>（以下简称“代理机构”）受</w:t>
      </w:r>
      <w:r>
        <w:rPr>
          <w:rFonts w:ascii="仿宋_GB2312" w:hAnsi="仿宋_GB2312" w:cs="仿宋_GB2312" w:eastAsia="仿宋_GB2312"/>
        </w:rPr>
        <w:t>留坝县中学</w:t>
      </w:r>
      <w:r>
        <w:rPr>
          <w:rFonts w:ascii="仿宋_GB2312" w:hAnsi="仿宋_GB2312" w:cs="仿宋_GB2312" w:eastAsia="仿宋_GB2312"/>
        </w:rPr>
        <w:t>委托，拟对</w:t>
      </w:r>
      <w:r>
        <w:rPr>
          <w:rFonts w:ascii="仿宋_GB2312" w:hAnsi="仿宋_GB2312" w:cs="仿宋_GB2312" w:eastAsia="仿宋_GB2312"/>
        </w:rPr>
        <w:t>留坝中学实验楼维修改造项目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ZCLH--2026068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留坝中学实验楼维修改造项目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留坝县中学实验楼维修改造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采购包1（实验楼维修改造）：属于专门面向中小企业采购。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供应商须具备建筑工程施工总承包三级及以上资质，并提供有效的安全生产许可证;拟派项目经理具备建筑工程二级(含二级)以上注册建造师资格，并具有相关主管部门颁发的B类安全生产考核合格证书，且未担任其他在建工程的项目经理，无不良记录。：供应商须具备建筑工程施工总承包三级及以上资质，并提供有效的安全生产许可证;拟派项目经理具备建筑工程二级(含二级)以上注册建造师资格，并具有相关主管部门颁发的B类安全生产考核合格证书，且未担任其他在建工程的项目经理，无不良记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留坝县紫柏路199号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0916-3921984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力华项目管理有限公司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成都市青羊区西货站路6号南塔7层703号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15129692629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0916-3921596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采购包1：1,094,000.00元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开户名称：力华项目管理有限公司汉中分公司</w:t>
            </w:r>
          </w:p>
          <w:p>
            <w:pPr>
              <w:pStyle w:val="null3"/>
            </w:pPr>
            <w:r>
              <w:rPr>
                <w:rFonts w:ascii="仿宋_GB2312" w:hAnsi="仿宋_GB2312" w:cs="仿宋_GB2312" w:eastAsia="仿宋_GB2312"/>
              </w:rPr>
              <w:t>开户银行：中国银行股份有限公司汉中椰岛广场支行</w:t>
            </w:r>
          </w:p>
          <w:p>
            <w:pPr>
              <w:pStyle w:val="null3"/>
            </w:pPr>
            <w:r>
              <w:rPr>
                <w:rFonts w:ascii="仿宋_GB2312" w:hAnsi="仿宋_GB2312" w:cs="仿宋_GB2312" w:eastAsia="仿宋_GB2312"/>
              </w:rPr>
              <w:t>银行账号：1033 0764 0284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代理服务费收费标准：1、按合同约定执行。 2、采购代理服务费的缴纳方式：在领取《成交通知书》时向采购代理机构一次性全额缴纳采购代理服务费。 3、采购代理服务费以转账形式缴纳至以下账户： 开户名称：力华项目管理有限公司汉中分公司 开户银行：中国银行股份有限公司汉中椰岛广场支行 银行账号：1033 0764 0284</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留坝县中学</w:t>
      </w:r>
      <w:r>
        <w:rPr>
          <w:rFonts w:ascii="仿宋_GB2312" w:hAnsi="仿宋_GB2312" w:cs="仿宋_GB2312" w:eastAsia="仿宋_GB2312"/>
        </w:rPr>
        <w:t>和</w:t>
      </w:r>
      <w:r>
        <w:rPr>
          <w:rFonts w:ascii="仿宋_GB2312" w:hAnsi="仿宋_GB2312" w:cs="仿宋_GB2312" w:eastAsia="仿宋_GB2312"/>
        </w:rPr>
        <w:t>力华项目管理有限公司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留坝县中学</w:t>
      </w:r>
      <w:r>
        <w:rPr>
          <w:rFonts w:ascii="仿宋_GB2312" w:hAnsi="仿宋_GB2312" w:cs="仿宋_GB2312" w:eastAsia="仿宋_GB2312"/>
        </w:rPr>
        <w:t>负责解释。除上述磋商文件内容，其他内容由</w:t>
      </w:r>
      <w:r>
        <w:rPr>
          <w:rFonts w:ascii="仿宋_GB2312" w:hAnsi="仿宋_GB2312" w:cs="仿宋_GB2312" w:eastAsia="仿宋_GB2312"/>
        </w:rPr>
        <w:t>力华项目管理有限公司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力华项目管理有限公司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力华项目管理有限公司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力华项目管理有限公司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力华项目管理有限公司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联系电话：15129692629</w:t>
      </w:r>
    </w:p>
    <w:p>
      <w:pPr>
        <w:pStyle w:val="null3"/>
      </w:pPr>
      <w:r>
        <w:rPr>
          <w:rFonts w:ascii="仿宋_GB2312" w:hAnsi="仿宋_GB2312" w:cs="仿宋_GB2312" w:eastAsia="仿宋_GB2312"/>
        </w:rPr>
        <w:t>地址：汉中市汉台区竹园天玺办公楼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1,094,000.00</w:t>
      </w:r>
    </w:p>
    <w:p>
      <w:pPr>
        <w:pStyle w:val="null3"/>
      </w:pPr>
      <w:r>
        <w:rPr>
          <w:rFonts w:ascii="仿宋_GB2312" w:hAnsi="仿宋_GB2312" w:cs="仿宋_GB2312" w:eastAsia="仿宋_GB2312"/>
        </w:rPr>
        <w:t>采购包最高限价（元）: 1,093,792.37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维修改造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1,094,000.00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标的名称：维修改造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具体详见工程量清单。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建筑工程施工质量验收规范合格标准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1、特别注意:为顺利推进政府采购电子化交易平台应用工作，投标人需要在线提交所有通过电子化交易平台实施的政府采购项目的投标文件。 2、中标人在采购结果发布后 3 个工作日内向代理机构提交纸质版投标文件以便于存档，投标文件正本 1 份，副本 2 份，电子版文件 2 份（以 U 盘为载体，电子版内容包括 Word 版本、签字盖章扫描后的 PDF 版本响应文件）。纸质投标文件均须 A4 纸打印，分别各自装订成册并编制目录和页码。线下递交投标文件地点：汉中市汉台区竹园天玺办公楼 11 楼。 3、如竞争性磋商文件中融资相关内容与新政策要求有出入，按照最新要求执行。 4、采用转账支票或银行电汇形式提交的投标保证金必须从其基本账户转出。采用保函形式提交投标保证金的，应在换取保函收据时，将保函加盖单位公章递交给代理公司。注:1.投标供应商在缴纳保证金时应注明项目名称 2.须携带转账凭证或携带保函原件于投标截止时间前换取保证金或保函收据。为避免因保证金未到账或延迟到账，建议至少投标截止时间前个工作日内交至代理机构财务处换取保证金收据。 3、其他说明：工程量清单 (见附件)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控股承诺.docx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法定代表人证明书或授权委托书.docx 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须具备建筑工程施工总承包三级及以上资质，并提供有效的安全生产许可证;拟派项目经理具备建筑工程二级(含二级)以上注册建造师资格，并具有相关主管部门颁发的B类安全生产考核合格证书，且未担任其他在建工程的项目经理，无不良记录。</w:t>
            </w:r>
          </w:p>
        </w:tc>
        <w:tc>
          <w:tcPr>
            <w:tcW w:type="dxa" w:w="3322"/>
          </w:tcPr>
          <w:p>
            <w:pPr>
              <w:pStyle w:val="null3"/>
            </w:pPr>
            <w:r>
              <w:rPr>
                <w:rFonts w:ascii="仿宋_GB2312" w:hAnsi="仿宋_GB2312" w:cs="仿宋_GB2312" w:eastAsia="仿宋_GB2312"/>
              </w:rPr>
              <w:t>供应商须具备建筑工程施工总承包三级及以上资质，并提供有效的安全生产许可证;拟派项目经理具备建筑工程二级(含二级)以上注册建造师资格，并具有相关主管部门颁发的B类安全生产考核合格证书，且未担任其他在建工程的项目经理，无不良记录。</w:t>
            </w:r>
          </w:p>
        </w:tc>
        <w:tc>
          <w:tcPr>
            <w:tcW w:type="dxa" w:w="1661"/>
          </w:tcPr>
          <w:p>
            <w:pPr>
              <w:pStyle w:val="null3"/>
            </w:pPr>
            <w:r>
              <w:rPr>
                <w:rFonts w:ascii="仿宋_GB2312" w:hAnsi="仿宋_GB2312" w:cs="仿宋_GB2312" w:eastAsia="仿宋_GB2312"/>
              </w:rPr>
              <w:t>供应商应提交的相关资格证明材料.docx 项目管理机构组成表 主要人员简历表 供应商认为需要说明的其他内容.docx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应按要求提供保证金交纳凭证复印件</w:t>
            </w:r>
          </w:p>
        </w:tc>
        <w:tc>
          <w:tcPr>
            <w:tcW w:type="dxa" w:w="1661"/>
          </w:tcPr>
          <w:p>
            <w:pPr>
              <w:pStyle w:val="null3"/>
            </w:pPr>
            <w:r>
              <w:rPr>
                <w:rFonts w:ascii="仿宋_GB2312" w:hAnsi="仿宋_GB2312" w:cs="仿宋_GB2312" w:eastAsia="仿宋_GB2312"/>
              </w:rPr>
              <w:t>保证金.pdf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响应文件是否按竞争性磋商文件要求签署、盖章</w:t>
            </w:r>
          </w:p>
        </w:tc>
        <w:tc>
          <w:tcPr>
            <w:tcW w:type="dxa" w:w="3322"/>
          </w:tcPr>
          <w:p>
            <w:pPr>
              <w:pStyle w:val="null3"/>
            </w:pPr>
            <w:r>
              <w:rPr>
                <w:rFonts w:ascii="仿宋_GB2312" w:hAnsi="仿宋_GB2312" w:cs="仿宋_GB2312" w:eastAsia="仿宋_GB2312"/>
              </w:rPr>
              <w:t>应按照竞争性磋商文件要求签署、盖章</w:t>
            </w:r>
          </w:p>
        </w:tc>
        <w:tc>
          <w:tcPr>
            <w:tcW w:type="dxa" w:w="1661"/>
          </w:tcPr>
          <w:p>
            <w:pPr>
              <w:pStyle w:val="null3"/>
            </w:pPr>
            <w:r>
              <w:rPr>
                <w:rFonts w:ascii="仿宋_GB2312" w:hAnsi="仿宋_GB2312" w:cs="仿宋_GB2312" w:eastAsia="仿宋_GB2312"/>
              </w:rPr>
              <w:t>响应文件封面 报价函 技术服务合同条款及其他商务要求应答表 标的清单 响应函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一、评审内容：针对本项目编制完善的施工方案，内容包含但不限于：①施工准备；②施工平面布置与安排；③关键工序的施工方法及实施要点；④应急方案；二、评审标准：1.完整性：方案必须全面，对评审内容中的各项要求有详细描述；2.可实施性：切合本项目实际情况，提出步骤清晰、合理的方案；3.针对性：方案能够紧扣项目实际情况，内容科学合理。三、赋分标准（满分12分）： ①施工准备：每完全满足一个评审标准得1分，满分3分；②施工平面布置与安排：每完全满足一个评审标准得1分，满分3分；③关键工序的施工方法及实施要点：每完全满足一个评审标准得1分，满分3分；④应急方案：每完全满足一个评审标准得1分，满分3分；四、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项目施工方案.docx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一、评审内容：针对本项目编制完善的施工进度计划，内容包含但不限于： ①进度控制体系；②施工进度计划横道图；③进度计划保证措施； 二、评审标准： 1.完整性：方案必须全面，对评审内容中的各项要求有详细描述； 2.可实施性： 切合本项目实际情况，提出步骤清晰、合理的方案； 3.针对性：方案能够紧扣项目实际情况，内容科学合理。 三、赋分标准（满分9分）：①进度控制体系：每完全满足一个评审标准得1分，满分3分；②施工进度计划横道图：每完全满足一个评审标准得1分，满分3分； ③进度计划保证措施：每完全满足一个评审标准得1分，满分3分；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施工进度计划.docx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一、评审内容：供应商针对本项目编制完善的质量保证措施，内容包含但不限于：①工程质量管理体系；②施工质量的检验制度；③质量管理措施。 二、评审标准： 1.完整性：方案必须全面，对评审内容中的各项要求有详细描述； 2.可实施性：切合本项目实际情况，提出步骤清晰、合理的方案； 3.针对性：方案能够紧扣项目实际情况，内容科学合理。 三、赋分标准 （满分9分）：①工程质量管理体系：每完全满足一个评审标准得1分，满分3分；②施工质量的检验制度：每完全满足一个评审标准得1分，满分3分；③质量管理措施：每完全满足一个评审标准得1分，满分3分；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一、评审内容：供应商针对本项目编制完善的资源配置计划，内容包含但不限于：①劳动力资源配置计划；②施工机械设备投入计划；③主要施工材料供应计划。 二、评审标准： 1.完整性：方案必须全面，对评审内容中的各项要求有详细描述； 2.可实施性：切合本项目实际情况 , 提出步骤清晰、合理的方案； 3.针对性：方案能够紧扣项目实际情况，内容科学合理。 三、赋分标准（满分9分）：①劳动力资源配置计划：每完全满足一个评审标准得1分，满分3分；②施工机械设备投入计划：每完全满足一个评审标准得1分，满分3分；③主要施工材料供应计划：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资源配置计划.docx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一、评审内容：供应商针对本项目编制完整的安全施工措施，内容包含但不限于： ①安全生产管理制度； ②安全施工措施； ③安全应急预案。 二、评审标准： 1.完整性：方案必须全面，对评审内容中的各项要求有详细描述； 2.可实施性：切合本项目实际情况，提出步骤清晰、合理的方案； 3.针对性：方案能够紧扣项目实际情况，内容科学合理。 三、赋分标准（满分9分）：①安全生产管理制度：每完全满足一个评审标准得1分，满分3分；②安全施工措施：每完全满足一个评审标准得1分,满分3分；③安全应急预案：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安全施工措施.docx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一、评审内容：供应商针对本项目编制完整的文明施工措施，内容包含但不限于： ①文明施工管理目标及技术措施；②文明施工现场管理；③环境保护措施。 二、评审标准： 1.完整性：方案必须全面，对评审内容中的各项要求有详细描述； 2.可实施性：切合本项目实际情况，提出步骤清晰、合理的方案； 3.针对性：方案能够紧扣项目实际情况，内容科学合理。 三、赋分标准（满分6分）：①文明施工管理目标及技术措施：每完全满足一个评审标准得1分，满分3分；②文明施工现场管理：每完全满足一个评审标准得0.5分，满分1.5分；③环境保护措施：每完全满足一个评审标准得0.5分，满分1.5分。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确保文明施工的技术措施及环境保护措施.docx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一、评审内容：供应商针对本项目编制完善的项目经理部组织机构，内容包含但不限于：①项目组配备人员的专业素质、人员结构；②项目成员的主要职责及工作内容。 二、评审标准： 1.完整性：项目组成人员搭配合理、全面，对评审内容中的各项要求有详细描述并提供证书证件； 2.可实施性：切合本项目实际情况，人员分工清晰，职责明确； 3.针对性：方案能够紧扣项目实际情况，内容科学合理。 三、赋分标准（满分6分）①项目组配备人员的专业素质、人员结构：每完全满足一个评审标准得1分，满分3分； ②项目成员的主要职责及工作内容：每完全满足一个评审标准得1分，满分3分；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项目经理部组织机构.docx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一、评审内容：结合本项目的实际，供应商应依据国家相关规定对工程质量编制保修方案，内容包含但不限于：①维修措施；②保修责任；③保修承诺。 二、评审标准 ： 1.完整性：内容必须全面，对评审内容中的各项要求有详细描述； 2.落实性：切合项目具体情况，提出责任明确、要求具体的方案； 3.针对性：内容能够紧扣项目实际情况，内容科学合理。 三、赋分标准（满分6 分）：①维修措施：每完全满足一个评审标准得0.5分，满分1.5分；②保修责任：每完全满足一个评审标准得0.5分，满分1.5分；③保修承诺：每完全满足一个评审标准得1分，满分3分；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保修方案.docx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供应商具有2023年5月1日至今（以合同签订时间为准）类似项目业绩，以成交通知书或协议书（合同）原件或复印件为准，每提供一个得2分，最高得4分。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2、满足磋商文件要求且最后报价最低的报价为评标基准价，其价格分为满分。报价得分=（评标基准价／最后报价）×价格权值×100。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详见附件：安全施工措施.docx</w:t>
      </w:r>
    </w:p>
    <w:p>
      <w:pPr>
        <w:pStyle w:val="null3"/>
        <w:ind w:firstLine="960"/>
      </w:pPr>
      <w:r>
        <w:rPr>
          <w:rFonts w:ascii="仿宋_GB2312" w:hAnsi="仿宋_GB2312" w:cs="仿宋_GB2312" w:eastAsia="仿宋_GB2312"/>
        </w:rPr>
        <w:t>详见附件：保修方案.docx</w:t>
      </w:r>
    </w:p>
    <w:p>
      <w:pPr>
        <w:pStyle w:val="null3"/>
        <w:ind w:firstLine="960"/>
      </w:pPr>
      <w:r>
        <w:rPr>
          <w:rFonts w:ascii="仿宋_GB2312" w:hAnsi="仿宋_GB2312" w:cs="仿宋_GB2312" w:eastAsia="仿宋_GB2312"/>
        </w:rPr>
        <w:t>详见附件：保证金.pdf</w:t>
      </w:r>
    </w:p>
    <w:p>
      <w:pPr>
        <w:pStyle w:val="null3"/>
        <w:ind w:firstLine="960"/>
      </w:pPr>
      <w:r>
        <w:rPr>
          <w:rFonts w:ascii="仿宋_GB2312" w:hAnsi="仿宋_GB2312" w:cs="仿宋_GB2312" w:eastAsia="仿宋_GB2312"/>
        </w:rPr>
        <w:t>详见附件：法定代表人证明书或授权委托书.docx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详见附件：确保文明施工的技术措施及环境保护措施.docx</w:t>
      </w:r>
    </w:p>
    <w:p>
      <w:pPr>
        <w:pStyle w:val="null3"/>
        <w:ind w:firstLine="960"/>
      </w:pPr>
      <w:r>
        <w:rPr>
          <w:rFonts w:ascii="仿宋_GB2312" w:hAnsi="仿宋_GB2312" w:cs="仿宋_GB2312" w:eastAsia="仿宋_GB2312"/>
        </w:rPr>
        <w:t>详见附件：施工进度计划.docx</w:t>
      </w:r>
    </w:p>
    <w:p>
      <w:pPr>
        <w:pStyle w:val="null3"/>
        <w:ind w:firstLine="960"/>
      </w:pPr>
      <w:r>
        <w:rPr>
          <w:rFonts w:ascii="仿宋_GB2312" w:hAnsi="仿宋_GB2312" w:cs="仿宋_GB2312" w:eastAsia="仿宋_GB2312"/>
        </w:rPr>
        <w:t>详见附件：项目经理部组织机构.docx</w:t>
      </w:r>
    </w:p>
    <w:p>
      <w:pPr>
        <w:pStyle w:val="null3"/>
        <w:ind w:firstLine="960"/>
      </w:pPr>
      <w:r>
        <w:rPr>
          <w:rFonts w:ascii="仿宋_GB2312" w:hAnsi="仿宋_GB2312" w:cs="仿宋_GB2312" w:eastAsia="仿宋_GB2312"/>
        </w:rPr>
        <w:t>详见附件：项目施工方案.docx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详见附件：资源配置计划.docx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