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版本号：HJCS2601-02720260607001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2026年陕西省突发网络安全事件调查处置项目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HJCS2601-027</w:t>
      </w:r>
      <w:r>
        <w:br/>
      </w:r>
      <w:r>
        <w:br/>
      </w:r>
      <w:r>
        <w:br/>
      </w:r>
    </w:p>
    <w:p>
      <w:pPr>
        <w:pStyle w:val="null3"/>
        <w:jc w:val="center"/>
        <w:outlineLvl w:val="2"/>
      </w:pPr>
      <w:r>
        <w:rPr>
          <w:rFonts w:ascii="仿宋_GB2312" w:hAnsi="仿宋_GB2312" w:cs="仿宋_GB2312" w:eastAsia="仿宋_GB2312"/>
          <w:sz w:val="28"/>
          <w:b/>
        </w:rPr>
        <w:t>陕西省互联网信息办公室</w:t>
      </w:r>
    </w:p>
    <w:p>
      <w:pPr>
        <w:pStyle w:val="null3"/>
        <w:jc w:val="center"/>
        <w:outlineLvl w:val="2"/>
      </w:pPr>
      <w:r>
        <w:rPr>
          <w:rFonts w:ascii="仿宋_GB2312" w:hAnsi="仿宋_GB2312" w:cs="仿宋_GB2312" w:eastAsia="仿宋_GB2312"/>
          <w:sz w:val="28"/>
          <w:b/>
        </w:rPr>
        <w:t>陕西海佳项目管理有限公司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陕西省互联网信息办公室</w:t>
      </w:r>
      <w:r>
        <w:rPr>
          <w:rFonts w:ascii="仿宋_GB2312" w:hAnsi="仿宋_GB2312" w:cs="仿宋_GB2312" w:eastAsia="仿宋_GB2312"/>
        </w:rPr>
        <w:t>委托，拟对</w:t>
      </w:r>
      <w:r>
        <w:rPr>
          <w:rFonts w:ascii="仿宋_GB2312" w:hAnsi="仿宋_GB2312" w:cs="仿宋_GB2312" w:eastAsia="仿宋_GB2312"/>
        </w:rPr>
        <w:t>2026年陕西省突发网络安全事件调查处置项目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HJCS2601-027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2026年陕西省突发网络安全事件调查处置项目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要求对陕西省互联网信息办公室需要开展现场技术调查取证的网络数据安全事件开展现场调查取证，开展人员访谈、技术核查、日志分析、恶意程序分析、数据提取、攻击路径还原、溯源等技术工作，编制《网络数据安全调查取证技术报告》等采购人需求的技术报告，提供整改建议，并按照整改情况开展技术复测，配合采购人完成调查取证工作所有环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本次采购采取书面推荐邀请磋商的供应商。</w:t>
      </w:r>
    </w:p>
    <w:p>
      <w:pPr>
        <w:pStyle w:val="null3"/>
      </w:pPr>
      <w:r>
        <w:rPr>
          <w:rFonts w:ascii="仿宋_GB2312" w:hAnsi="仿宋_GB2312" w:cs="仿宋_GB2312" w:eastAsia="仿宋_GB2312"/>
        </w:rPr>
        <w:t xml:space="preserve"> 书面推荐：通过采购人和评审专家各自出具书面推荐意见，推荐符合相应资格条件的供应商参与本次采购活动；</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代理服务费收费标准：（1）采购代理服务费参照国家计委《招标代理服务收费管理暂行办法》（计价格[2002]1980号）规定的收费标准收取。（2）采购代理服务费缴纳账户： 开户名称：陕西海佳项目管理有限公司 开户银行： 招商银行股份有限公司西安城西支行 账 号： 129911759510401。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陕西省互联网信息办公室</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陕西省互联网信息办公室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联系人：雷鹏飞</w:t>
      </w:r>
    </w:p>
    <w:p>
      <w:pPr>
        <w:pStyle w:val="null3"/>
      </w:pPr>
      <w:r>
        <w:rPr>
          <w:rFonts w:ascii="仿宋_GB2312" w:hAnsi="仿宋_GB2312" w:cs="仿宋_GB2312" w:eastAsia="仿宋_GB2312"/>
        </w:rPr>
        <w:t>联系电话：029-88765319</w:t>
      </w:r>
    </w:p>
    <w:p>
      <w:pPr>
        <w:pStyle w:val="null3"/>
      </w:pPr>
      <w:r>
        <w:rPr>
          <w:rFonts w:ascii="仿宋_GB2312" w:hAnsi="仿宋_GB2312" w:cs="仿宋_GB2312" w:eastAsia="仿宋_GB2312"/>
        </w:rPr>
        <w:t>地址：陕西省西安市高新区唐延路35号旺座现代城C座2604室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省互联网信息办公室需要开展现场技术调查取证的网络数据安全事件开展现场调查取证，开展人员访谈、技术核查、日志分析、恶意程序分析、数据提取、攻击路径还原、溯源等技术工作，编制《网络数据安全调查取证技术报告》等采购人需求的技术报告，提供整改建议，并按照整改情况开展技术复测，配合采购人完成调查取证工作所有环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2026年陕西省突发网络安全事件调查处置项目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标的名称：2026年陕西省突发网络安全事件调查处置项目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一、项目概况与服务</w:t>
            </w:r>
            <w:r>
              <w:rPr>
                <w:rFonts w:ascii="仿宋_GB2312" w:hAnsi="仿宋_GB2312" w:cs="仿宋_GB2312" w:eastAsia="仿宋_GB2312"/>
                <w:sz w:val="21"/>
              </w:rPr>
              <w:t>范围</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项目名称：</w:t>
            </w:r>
            <w:r>
              <w:rPr>
                <w:rFonts w:ascii="仿宋_GB2312" w:hAnsi="仿宋_GB2312" w:cs="仿宋_GB2312" w:eastAsia="仿宋_GB2312"/>
                <w:sz w:val="21"/>
              </w:rPr>
              <w:t>2026</w:t>
            </w:r>
            <w:r>
              <w:rPr>
                <w:rFonts w:ascii="仿宋_GB2312" w:hAnsi="仿宋_GB2312" w:cs="仿宋_GB2312" w:eastAsia="仿宋_GB2312"/>
                <w:sz w:val="21"/>
              </w:rPr>
              <w:t>年陕西省突发网络安全事件调查处置项目</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服务地点：采购人指定</w:t>
            </w:r>
            <w:r>
              <w:rPr>
                <w:rFonts w:ascii="仿宋_GB2312" w:hAnsi="仿宋_GB2312" w:cs="仿宋_GB2312" w:eastAsia="仿宋_GB2312"/>
                <w:sz w:val="21"/>
              </w:rPr>
              <w:t>地点</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服务周期：</w:t>
            </w:r>
            <w:r>
              <w:rPr>
                <w:rFonts w:ascii="仿宋_GB2312" w:hAnsi="仿宋_GB2312" w:cs="仿宋_GB2312" w:eastAsia="仿宋_GB2312"/>
                <w:sz w:val="21"/>
              </w:rPr>
              <w:t>1</w:t>
            </w:r>
            <w:r>
              <w:rPr>
                <w:rFonts w:ascii="仿宋_GB2312" w:hAnsi="仿宋_GB2312" w:cs="仿宋_GB2312" w:eastAsia="仿宋_GB2312"/>
                <w:sz w:val="21"/>
              </w:rPr>
              <w:t>年，自合同生效之日起计算，含交接过渡期保障</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资金性质：财政资金，本项目不接受违法转包、分包</w:t>
            </w:r>
          </w:p>
          <w:p>
            <w:pPr>
              <w:pStyle w:val="null3"/>
              <w:ind w:firstLine="560"/>
              <w:jc w:val="both"/>
            </w:pPr>
            <w:r>
              <w:rPr>
                <w:rFonts w:ascii="仿宋_GB2312" w:hAnsi="仿宋_GB2312" w:cs="仿宋_GB2312" w:eastAsia="仿宋_GB2312"/>
                <w:sz w:val="21"/>
              </w:rPr>
              <w:t>5.</w:t>
            </w:r>
            <w:r>
              <w:rPr>
                <w:rFonts w:ascii="仿宋_GB2312" w:hAnsi="仿宋_GB2312" w:cs="仿宋_GB2312" w:eastAsia="仿宋_GB2312"/>
                <w:sz w:val="21"/>
              </w:rPr>
              <w:t>服务范围</w:t>
            </w:r>
            <w:r>
              <w:rPr>
                <w:rFonts w:ascii="仿宋_GB2312" w:hAnsi="仿宋_GB2312" w:cs="仿宋_GB2312" w:eastAsia="仿宋_GB2312"/>
                <w:sz w:val="21"/>
              </w:rPr>
              <w:t>：</w:t>
            </w:r>
            <w:r>
              <w:rPr>
                <w:rFonts w:ascii="仿宋_GB2312" w:hAnsi="仿宋_GB2312" w:cs="仿宋_GB2312" w:eastAsia="仿宋_GB2312"/>
                <w:sz w:val="21"/>
              </w:rPr>
              <w:t>对</w:t>
            </w:r>
            <w:r>
              <w:rPr>
                <w:rFonts w:ascii="仿宋_GB2312" w:hAnsi="仿宋_GB2312" w:cs="仿宋_GB2312" w:eastAsia="仿宋_GB2312"/>
                <w:sz w:val="21"/>
              </w:rPr>
              <w:t>陕西省互联网信息办公室</w:t>
            </w:r>
            <w:r>
              <w:rPr>
                <w:rFonts w:ascii="仿宋_GB2312" w:hAnsi="仿宋_GB2312" w:cs="仿宋_GB2312" w:eastAsia="仿宋_GB2312"/>
                <w:sz w:val="21"/>
              </w:rPr>
              <w:t>需要开展现场技术调查取证的网络数据安全事件开展现场调查取证，开展人员访谈、技术核查、日志分析、恶意程序分析、数据提取、攻击路径还原、溯源等技术工作，编制《网络数据安全调查取证技术报告》等甲方需求的技术报告，提供整改建议，并按照整改情况开展技术复测，配合甲方完成调查取证工作所有环节。</w:t>
            </w:r>
          </w:p>
          <w:p>
            <w:pPr>
              <w:pStyle w:val="null3"/>
              <w:ind w:firstLine="560"/>
              <w:jc w:val="both"/>
            </w:pPr>
            <w:r>
              <w:rPr>
                <w:rFonts w:ascii="仿宋_GB2312" w:hAnsi="仿宋_GB2312" w:cs="仿宋_GB2312" w:eastAsia="仿宋_GB2312"/>
                <w:sz w:val="21"/>
              </w:rPr>
              <w:t>二、人员配置与服务方式</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供应商须设立项目负责人</w:t>
            </w:r>
            <w:r>
              <w:rPr>
                <w:rFonts w:ascii="仿宋_GB2312" w:hAnsi="仿宋_GB2312" w:cs="仿宋_GB2312" w:eastAsia="仿宋_GB2312"/>
                <w:sz w:val="21"/>
              </w:rPr>
              <w:t>1</w:t>
            </w:r>
            <w:r>
              <w:rPr>
                <w:rFonts w:ascii="仿宋_GB2312" w:hAnsi="仿宋_GB2312" w:cs="仿宋_GB2312" w:eastAsia="仿宋_GB2312"/>
                <w:sz w:val="21"/>
              </w:rPr>
              <w:t>名，全程对接采购人日常需求与应急事项</w:t>
            </w:r>
            <w:r>
              <w:rPr>
                <w:rFonts w:ascii="仿宋_GB2312" w:hAnsi="仿宋_GB2312" w:cs="仿宋_GB2312" w:eastAsia="仿宋_GB2312"/>
                <w:sz w:val="21"/>
              </w:rPr>
              <w:t>，</w:t>
            </w:r>
            <w:r>
              <w:rPr>
                <w:rFonts w:ascii="仿宋_GB2312" w:hAnsi="仿宋_GB2312" w:cs="仿宋_GB2312" w:eastAsia="仿宋_GB2312"/>
                <w:sz w:val="21"/>
              </w:rPr>
              <w:t>负责人要求从事网络安全和数据安全工作</w:t>
            </w:r>
            <w:r>
              <w:rPr>
                <w:rFonts w:ascii="仿宋_GB2312" w:hAnsi="仿宋_GB2312" w:cs="仿宋_GB2312" w:eastAsia="仿宋_GB2312"/>
                <w:sz w:val="21"/>
              </w:rPr>
              <w:t>5</w:t>
            </w:r>
            <w:r>
              <w:rPr>
                <w:rFonts w:ascii="仿宋_GB2312" w:hAnsi="仿宋_GB2312" w:cs="仿宋_GB2312" w:eastAsia="仿宋_GB2312"/>
                <w:sz w:val="21"/>
              </w:rPr>
              <w:t>年以上，具备相关工作技术资格或职称，工作地点在西安。</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提供</w:t>
            </w:r>
            <w:r>
              <w:rPr>
                <w:rFonts w:ascii="仿宋_GB2312" w:hAnsi="仿宋_GB2312" w:cs="仿宋_GB2312" w:eastAsia="仿宋_GB2312"/>
                <w:sz w:val="21"/>
              </w:rPr>
              <w:t>现场调查取证专业人员现场服务，每次调查取证现场不少于</w:t>
            </w:r>
            <w:r>
              <w:rPr>
                <w:rFonts w:ascii="仿宋_GB2312" w:hAnsi="仿宋_GB2312" w:cs="仿宋_GB2312" w:eastAsia="仿宋_GB2312"/>
                <w:sz w:val="21"/>
              </w:rPr>
              <w:t>3</w:t>
            </w:r>
            <w:r>
              <w:rPr>
                <w:rFonts w:ascii="仿宋_GB2312" w:hAnsi="仿宋_GB2312" w:cs="仿宋_GB2312" w:eastAsia="仿宋_GB2312"/>
                <w:sz w:val="21"/>
              </w:rPr>
              <w:t>人。</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所有</w:t>
            </w:r>
            <w:r>
              <w:rPr>
                <w:rFonts w:ascii="仿宋_GB2312" w:hAnsi="仿宋_GB2312" w:cs="仿宋_GB2312" w:eastAsia="仿宋_GB2312"/>
                <w:sz w:val="21"/>
              </w:rPr>
              <w:t>取证调查</w:t>
            </w:r>
            <w:r>
              <w:rPr>
                <w:rFonts w:ascii="仿宋_GB2312" w:hAnsi="仿宋_GB2312" w:cs="仿宋_GB2312" w:eastAsia="仿宋_GB2312"/>
                <w:sz w:val="21"/>
              </w:rPr>
              <w:t>人员具备计算机信息化相关从业能力，</w:t>
            </w:r>
            <w:r>
              <w:rPr>
                <w:rFonts w:ascii="仿宋_GB2312" w:hAnsi="仿宋_GB2312" w:cs="仿宋_GB2312" w:eastAsia="仿宋_GB2312"/>
                <w:sz w:val="21"/>
              </w:rPr>
              <w:t>从事网络安全和数据安全工作不少于</w:t>
            </w:r>
            <w:r>
              <w:rPr>
                <w:rFonts w:ascii="仿宋_GB2312" w:hAnsi="仿宋_GB2312" w:cs="仿宋_GB2312" w:eastAsia="仿宋_GB2312"/>
                <w:sz w:val="21"/>
              </w:rPr>
              <w:t>3</w:t>
            </w:r>
            <w:r>
              <w:rPr>
                <w:rFonts w:ascii="仿宋_GB2312" w:hAnsi="仿宋_GB2312" w:cs="仿宋_GB2312" w:eastAsia="仿宋_GB2312"/>
                <w:sz w:val="21"/>
              </w:rPr>
              <w:t>年，</w:t>
            </w:r>
            <w:r>
              <w:rPr>
                <w:rFonts w:ascii="仿宋_GB2312" w:hAnsi="仿宋_GB2312" w:cs="仿宋_GB2312" w:eastAsia="仿宋_GB2312"/>
                <w:sz w:val="21"/>
              </w:rPr>
              <w:t>具备相关工作技术资格或职称，</w:t>
            </w:r>
            <w:r>
              <w:rPr>
                <w:rFonts w:ascii="仿宋_GB2312" w:hAnsi="仿宋_GB2312" w:cs="仿宋_GB2312" w:eastAsia="仿宋_GB2312"/>
                <w:sz w:val="21"/>
              </w:rPr>
              <w:t>上岗前提交人员名单、联系方式备案</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提供</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小时固定值班电话、</w:t>
            </w:r>
            <w:r>
              <w:rPr>
                <w:rFonts w:ascii="仿宋_GB2312" w:hAnsi="仿宋_GB2312" w:cs="仿宋_GB2312" w:eastAsia="仿宋_GB2312"/>
                <w:sz w:val="21"/>
              </w:rPr>
              <w:t>联系人电话</w:t>
            </w:r>
            <w:r>
              <w:rPr>
                <w:rFonts w:ascii="仿宋_GB2312" w:hAnsi="仿宋_GB2312" w:cs="仿宋_GB2312" w:eastAsia="仿宋_GB2312"/>
                <w:sz w:val="21"/>
              </w:rPr>
              <w:t>，保障节假日、突发</w:t>
            </w:r>
            <w:r>
              <w:rPr>
                <w:rFonts w:ascii="仿宋_GB2312" w:hAnsi="仿宋_GB2312" w:cs="仿宋_GB2312" w:eastAsia="仿宋_GB2312"/>
                <w:sz w:val="21"/>
              </w:rPr>
              <w:t>性网络安全事件调查取证</w:t>
            </w:r>
            <w:r>
              <w:rPr>
                <w:rFonts w:ascii="仿宋_GB2312" w:hAnsi="仿宋_GB2312" w:cs="仿宋_GB2312" w:eastAsia="仿宋_GB2312"/>
                <w:sz w:val="21"/>
              </w:rPr>
              <w:t>应急联络畅通</w:t>
            </w:r>
            <w:r>
              <w:rPr>
                <w:rFonts w:ascii="仿宋_GB2312" w:hAnsi="仿宋_GB2312" w:cs="仿宋_GB2312" w:eastAsia="仿宋_GB2312"/>
                <w:sz w:val="21"/>
              </w:rPr>
              <w:t>，</w:t>
            </w:r>
            <w:r>
              <w:rPr>
                <w:rFonts w:ascii="仿宋_GB2312" w:hAnsi="仿宋_GB2312" w:cs="仿宋_GB2312" w:eastAsia="仿宋_GB2312"/>
                <w:sz w:val="21"/>
              </w:rPr>
              <w:t>应急保障人员不少于</w:t>
            </w:r>
            <w:r>
              <w:rPr>
                <w:rFonts w:ascii="仿宋_GB2312" w:hAnsi="仿宋_GB2312" w:cs="仿宋_GB2312" w:eastAsia="仿宋_GB2312"/>
                <w:sz w:val="21"/>
              </w:rPr>
              <w:t>3</w:t>
            </w:r>
            <w:r>
              <w:rPr>
                <w:rFonts w:ascii="仿宋_GB2312" w:hAnsi="仿宋_GB2312" w:cs="仿宋_GB2312" w:eastAsia="仿宋_GB2312"/>
                <w:sz w:val="21"/>
              </w:rPr>
              <w:t>人。</w:t>
            </w:r>
          </w:p>
          <w:p>
            <w:pPr>
              <w:pStyle w:val="null3"/>
              <w:ind w:firstLine="560"/>
              <w:jc w:val="both"/>
            </w:pPr>
            <w:r>
              <w:rPr>
                <w:rFonts w:ascii="仿宋_GB2312" w:hAnsi="仿宋_GB2312" w:cs="仿宋_GB2312" w:eastAsia="仿宋_GB2312"/>
                <w:sz w:val="21"/>
              </w:rPr>
              <w:t>三、服务内容</w:t>
            </w:r>
            <w:r>
              <w:rPr>
                <w:rFonts w:ascii="仿宋_GB2312" w:hAnsi="仿宋_GB2312" w:cs="仿宋_GB2312" w:eastAsia="仿宋_GB2312"/>
                <w:sz w:val="21"/>
              </w:rPr>
              <w:t>+</w:t>
            </w:r>
            <w:r>
              <w:rPr>
                <w:rFonts w:ascii="仿宋_GB2312" w:hAnsi="仿宋_GB2312" w:cs="仿宋_GB2312" w:eastAsia="仿宋_GB2312"/>
                <w:sz w:val="21"/>
              </w:rPr>
              <w:t>量化标准</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服务目标</w:t>
            </w:r>
          </w:p>
          <w:p>
            <w:pPr>
              <w:pStyle w:val="null3"/>
              <w:ind w:firstLine="560"/>
              <w:jc w:val="both"/>
            </w:pPr>
            <w:r>
              <w:rPr>
                <w:rFonts w:ascii="仿宋_GB2312" w:hAnsi="仿宋_GB2312" w:cs="仿宋_GB2312" w:eastAsia="仿宋_GB2312"/>
                <w:sz w:val="21"/>
              </w:rPr>
              <w:t>1.1</w:t>
            </w:r>
            <w:r>
              <w:rPr>
                <w:rFonts w:ascii="仿宋_GB2312" w:hAnsi="仿宋_GB2312" w:cs="仿宋_GB2312" w:eastAsia="仿宋_GB2312"/>
                <w:sz w:val="21"/>
              </w:rPr>
              <w:t>明确网络数据安全事件涉及的数据种类、规模、分布及处理活动基本情况，涉及的网络安全漏洞和攻击路径情况，涉及的境外攻击者溯源情况。</w:t>
            </w:r>
          </w:p>
          <w:p>
            <w:pPr>
              <w:pStyle w:val="null3"/>
              <w:ind w:firstLine="560"/>
              <w:jc w:val="both"/>
            </w:pPr>
            <w:r>
              <w:rPr>
                <w:rFonts w:ascii="仿宋_GB2312" w:hAnsi="仿宋_GB2312" w:cs="仿宋_GB2312" w:eastAsia="仿宋_GB2312"/>
                <w:sz w:val="21"/>
              </w:rPr>
              <w:t>1.2</w:t>
            </w:r>
            <w:r>
              <w:rPr>
                <w:rFonts w:ascii="仿宋_GB2312" w:hAnsi="仿宋_GB2312" w:cs="仿宋_GB2312" w:eastAsia="仿宋_GB2312"/>
                <w:sz w:val="21"/>
              </w:rPr>
              <w:t>发现可能影响国家安全、公共利益或个人</w:t>
            </w:r>
            <w:r>
              <w:rPr>
                <w:rFonts w:ascii="仿宋_GB2312" w:hAnsi="仿宋_GB2312" w:cs="仿宋_GB2312" w:eastAsia="仿宋_GB2312"/>
                <w:sz w:val="21"/>
              </w:rPr>
              <w:t>/</w:t>
            </w:r>
            <w:r>
              <w:rPr>
                <w:rFonts w:ascii="仿宋_GB2312" w:hAnsi="仿宋_GB2312" w:cs="仿宋_GB2312" w:eastAsia="仿宋_GB2312"/>
                <w:sz w:val="21"/>
              </w:rPr>
              <w:t>组织合法权益的数据安全问题和风险</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1.3</w:t>
            </w:r>
            <w:r>
              <w:rPr>
                <w:rFonts w:ascii="仿宋_GB2312" w:hAnsi="仿宋_GB2312" w:cs="仿宋_GB2312" w:eastAsia="仿宋_GB2312"/>
                <w:sz w:val="21"/>
              </w:rPr>
              <w:t>促进完善网络数据安全保护措施，提升网络数据安全保护能力</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调查取证技术手段</w:t>
            </w:r>
          </w:p>
          <w:p>
            <w:pPr>
              <w:pStyle w:val="null3"/>
              <w:ind w:firstLine="560"/>
              <w:jc w:val="both"/>
            </w:pPr>
            <w:r>
              <w:rPr>
                <w:rFonts w:ascii="仿宋_GB2312" w:hAnsi="仿宋_GB2312" w:cs="仿宋_GB2312" w:eastAsia="仿宋_GB2312"/>
                <w:sz w:val="21"/>
              </w:rPr>
              <w:t>2.1</w:t>
            </w:r>
            <w:r>
              <w:rPr>
                <w:rFonts w:ascii="仿宋_GB2312" w:hAnsi="仿宋_GB2312" w:cs="仿宋_GB2312" w:eastAsia="仿宋_GB2312"/>
                <w:sz w:val="21"/>
              </w:rPr>
              <w:t>人员访谈 对相关人员访谈，核查制度规章、防护措施、安全责任落实情况</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 xml:space="preserve">2.2 </w:t>
            </w:r>
            <w:r>
              <w:rPr>
                <w:rFonts w:ascii="仿宋_GB2312" w:hAnsi="仿宋_GB2312" w:cs="仿宋_GB2312" w:eastAsia="仿宋_GB2312"/>
                <w:sz w:val="21"/>
              </w:rPr>
              <w:t>文档查验 查验安全管理制度、合同协议、应急演练报告、等保测评报告等材料</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 xml:space="preserve">2.3 </w:t>
            </w:r>
            <w:r>
              <w:rPr>
                <w:rFonts w:ascii="仿宋_GB2312" w:hAnsi="仿宋_GB2312" w:cs="仿宋_GB2312" w:eastAsia="仿宋_GB2312"/>
                <w:sz w:val="21"/>
              </w:rPr>
              <w:t>现场核查 核查网络环境、信息系统、云平台、数据库、大数据平台等系统设备的安全策略、配置、防护措施</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 xml:space="preserve">2.4 </w:t>
            </w:r>
            <w:r>
              <w:rPr>
                <w:rFonts w:ascii="仿宋_GB2312" w:hAnsi="仿宋_GB2312" w:cs="仿宋_GB2312" w:eastAsia="仿宋_GB2312"/>
                <w:sz w:val="21"/>
              </w:rPr>
              <w:t>技术调查 使用技术工具、渗透测试等手段查看数据资产，检测防护措施有效性，发现网络安全漏洞和攻击情况。</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现场调查取证服务内容</w:t>
            </w:r>
          </w:p>
          <w:p>
            <w:pPr>
              <w:pStyle w:val="null3"/>
              <w:ind w:firstLine="560"/>
              <w:jc w:val="both"/>
            </w:pPr>
            <w:r>
              <w:rPr>
                <w:rFonts w:ascii="仿宋_GB2312" w:hAnsi="仿宋_GB2312" w:cs="仿宋_GB2312" w:eastAsia="仿宋_GB2312"/>
                <w:sz w:val="21"/>
              </w:rPr>
              <w:t>3.1</w:t>
            </w:r>
            <w:r>
              <w:rPr>
                <w:rFonts w:ascii="仿宋_GB2312" w:hAnsi="仿宋_GB2312" w:cs="仿宋_GB2312" w:eastAsia="仿宋_GB2312"/>
                <w:sz w:val="21"/>
              </w:rPr>
              <w:t>事件检测与初步研判</w:t>
            </w:r>
          </w:p>
          <w:tbl>
            <w:tblPr>
              <w:tblBorders>
                <w:top w:val="none" w:color="000000" w:sz="4"/>
                <w:left w:val="none" w:color="000000" w:sz="4"/>
                <w:bottom w:val="none" w:color="000000" w:sz="4"/>
                <w:right w:val="none" w:color="000000" w:sz="4"/>
                <w:insideH w:val="none"/>
                <w:insideV w:val="none"/>
              </w:tblBorders>
            </w:tblPr>
            <w:tblGrid>
              <w:gridCol w:w="378"/>
              <w:gridCol w:w="442"/>
              <w:gridCol w:w="1723"/>
            </w:tblGrid>
            <w:tr>
              <w:tc>
                <w:tcPr>
                  <w:tcW w:type="dxa" w:w="378"/>
                  <w:tcBorders>
                    <w:top w:val="single" w:color="000000" w:sz="8"/>
                    <w:left w:val="single" w:color="000000" w:sz="8"/>
                    <w:bottom w:val="none" w:color="000000" w:sz="4"/>
                    <w:right w:val="none" w:color="000000" w:sz="4"/>
                  </w:tcBorders>
                  <w:shd w:fill="4472C4"/>
                  <w:tcMar>
                    <w:top w:type="dxa" w:w="0"/>
                    <w:left w:type="dxa" w:w="0"/>
                    <w:bottom w:type="dxa" w:w="0"/>
                    <w:right w:type="dxa" w:w="0"/>
                  </w:tcMar>
                  <w:vAlign w:val="top"/>
                </w:tcPr>
                <w:p>
                  <w:pPr>
                    <w:pStyle w:val="null3"/>
                    <w:jc w:val="both"/>
                  </w:pPr>
                  <w:r>
                    <w:rPr>
                      <w:rFonts w:ascii="仿宋_GB2312" w:hAnsi="仿宋_GB2312" w:cs="仿宋_GB2312" w:eastAsia="仿宋_GB2312"/>
                      <w:sz w:val="21"/>
                    </w:rPr>
                    <w:t>序号</w:t>
                  </w:r>
                </w:p>
              </w:tc>
              <w:tc>
                <w:tcPr>
                  <w:tcW w:type="dxa" w:w="442"/>
                  <w:tcBorders>
                    <w:top w:val="single" w:color="000000" w:sz="8"/>
                    <w:left w:val="single" w:color="000000" w:sz="4"/>
                    <w:bottom w:val="none" w:color="000000" w:sz="4"/>
                    <w:right w:val="none" w:color="000000" w:sz="4"/>
                  </w:tcBorders>
                  <w:shd w:fill="4472C4"/>
                  <w:tcMar>
                    <w:top w:type="dxa" w:w="0"/>
                    <w:left w:type="dxa" w:w="0"/>
                    <w:bottom w:type="dxa" w:w="0"/>
                    <w:right w:type="dxa" w:w="0"/>
                  </w:tcMar>
                  <w:vAlign w:val="top"/>
                </w:tcPr>
                <w:p>
                  <w:pPr>
                    <w:pStyle w:val="null3"/>
                    <w:jc w:val="both"/>
                  </w:pPr>
                  <w:r>
                    <w:rPr>
                      <w:rFonts w:ascii="仿宋_GB2312" w:hAnsi="仿宋_GB2312" w:cs="仿宋_GB2312" w:eastAsia="仿宋_GB2312"/>
                      <w:sz w:val="21"/>
                    </w:rPr>
                    <w:t>检查项</w:t>
                  </w:r>
                </w:p>
              </w:tc>
              <w:tc>
                <w:tcPr>
                  <w:tcW w:type="dxa" w:w="1723"/>
                  <w:tcBorders>
                    <w:top w:val="single" w:color="000000" w:sz="8"/>
                    <w:left w:val="single" w:color="000000" w:sz="4"/>
                    <w:bottom w:val="none" w:color="000000" w:sz="4"/>
                    <w:right w:val="single" w:color="000000" w:sz="8"/>
                  </w:tcBorders>
                  <w:shd w:fill="4472C4"/>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服务内容</w:t>
                  </w:r>
                </w:p>
              </w:tc>
            </w:tr>
            <w:tr>
              <w:tc>
                <w:tcPr>
                  <w:tcW w:type="dxa" w:w="378"/>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1</w:t>
                  </w:r>
                </w:p>
              </w:tc>
              <w:tc>
                <w:tcPr>
                  <w:tcW w:type="dxa" w:w="4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事件发现渠道</w:t>
                  </w:r>
                </w:p>
              </w:tc>
              <w:tc>
                <w:tcPr>
                  <w:tcW w:type="dxa" w:w="1723"/>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核查监控告警、用户报告、情报共享、日志审计等多渠道发现机制</w:t>
                  </w:r>
                </w:p>
              </w:tc>
            </w:tr>
            <w:tr>
              <w:tc>
                <w:tcPr>
                  <w:tcW w:type="dxa" w:w="378"/>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2</w:t>
                  </w:r>
                </w:p>
              </w:tc>
              <w:tc>
                <w:tcPr>
                  <w:tcW w:type="dxa" w:w="4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事件初步分类</w:t>
                  </w:r>
                </w:p>
              </w:tc>
              <w:tc>
                <w:tcPr>
                  <w:tcW w:type="dxa" w:w="1723"/>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依据</w:t>
                  </w:r>
                  <w:r>
                    <w:rPr>
                      <w:rFonts w:ascii="仿宋_GB2312" w:hAnsi="仿宋_GB2312" w:cs="仿宋_GB2312" w:eastAsia="仿宋_GB2312"/>
                      <w:sz w:val="21"/>
                    </w:rPr>
                    <w:t>GB/T 20986-2023</w:t>
                  </w:r>
                  <w:r>
                    <w:rPr>
                      <w:rFonts w:ascii="仿宋_GB2312" w:hAnsi="仿宋_GB2312" w:cs="仿宋_GB2312" w:eastAsia="仿宋_GB2312"/>
                      <w:sz w:val="21"/>
                    </w:rPr>
                    <w:t>判定事件类型（恶意程序</w:t>
                  </w:r>
                  <w:r>
                    <w:rPr>
                      <w:rFonts w:ascii="仿宋_GB2312" w:hAnsi="仿宋_GB2312" w:cs="仿宋_GB2312" w:eastAsia="仿宋_GB2312"/>
                      <w:sz w:val="21"/>
                    </w:rPr>
                    <w:t>/</w:t>
                  </w:r>
                  <w:r>
                    <w:rPr>
                      <w:rFonts w:ascii="仿宋_GB2312" w:hAnsi="仿宋_GB2312" w:cs="仿宋_GB2312" w:eastAsia="仿宋_GB2312"/>
                      <w:sz w:val="21"/>
                    </w:rPr>
                    <w:t>网络攻击</w:t>
                  </w:r>
                  <w:r>
                    <w:rPr>
                      <w:rFonts w:ascii="仿宋_GB2312" w:hAnsi="仿宋_GB2312" w:cs="仿宋_GB2312" w:eastAsia="仿宋_GB2312"/>
                      <w:sz w:val="21"/>
                    </w:rPr>
                    <w:t>/</w:t>
                  </w:r>
                  <w:r>
                    <w:rPr>
                      <w:rFonts w:ascii="仿宋_GB2312" w:hAnsi="仿宋_GB2312" w:cs="仿宋_GB2312" w:eastAsia="仿宋_GB2312"/>
                      <w:sz w:val="21"/>
                    </w:rPr>
                    <w:t>信息破坏</w:t>
                  </w:r>
                  <w:r>
                    <w:rPr>
                      <w:rFonts w:ascii="仿宋_GB2312" w:hAnsi="仿宋_GB2312" w:cs="仿宋_GB2312" w:eastAsia="仿宋_GB2312"/>
                      <w:sz w:val="21"/>
                    </w:rPr>
                    <w:t>/</w:t>
                  </w:r>
                  <w:r>
                    <w:rPr>
                      <w:rFonts w:ascii="仿宋_GB2312" w:hAnsi="仿宋_GB2312" w:cs="仿宋_GB2312" w:eastAsia="仿宋_GB2312"/>
                      <w:sz w:val="21"/>
                    </w:rPr>
                    <w:t>信息内容安全</w:t>
                  </w:r>
                  <w:r>
                    <w:rPr>
                      <w:rFonts w:ascii="仿宋_GB2312" w:hAnsi="仿宋_GB2312" w:cs="仿宋_GB2312" w:eastAsia="仿宋_GB2312"/>
                      <w:sz w:val="21"/>
                    </w:rPr>
                    <w:t>/</w:t>
                  </w:r>
                  <w:r>
                    <w:rPr>
                      <w:rFonts w:ascii="仿宋_GB2312" w:hAnsi="仿宋_GB2312" w:cs="仿宋_GB2312" w:eastAsia="仿宋_GB2312"/>
                      <w:sz w:val="21"/>
                    </w:rPr>
                    <w:t>设备设施故障</w:t>
                  </w:r>
                  <w:r>
                    <w:rPr>
                      <w:rFonts w:ascii="仿宋_GB2312" w:hAnsi="仿宋_GB2312" w:cs="仿宋_GB2312" w:eastAsia="仿宋_GB2312"/>
                      <w:sz w:val="21"/>
                    </w:rPr>
                    <w:t>/</w:t>
                  </w:r>
                  <w:r>
                    <w:rPr>
                      <w:rFonts w:ascii="仿宋_GB2312" w:hAnsi="仿宋_GB2312" w:cs="仿宋_GB2312" w:eastAsia="仿宋_GB2312"/>
                      <w:sz w:val="21"/>
                    </w:rPr>
                    <w:t>灾害性事件</w:t>
                  </w:r>
                  <w:r>
                    <w:rPr>
                      <w:rFonts w:ascii="仿宋_GB2312" w:hAnsi="仿宋_GB2312" w:cs="仿宋_GB2312" w:eastAsia="仿宋_GB2312"/>
                      <w:sz w:val="21"/>
                    </w:rPr>
                    <w:t>/</w:t>
                  </w:r>
                  <w:r>
                    <w:rPr>
                      <w:rFonts w:ascii="仿宋_GB2312" w:hAnsi="仿宋_GB2312" w:cs="仿宋_GB2312" w:eastAsia="仿宋_GB2312"/>
                      <w:sz w:val="21"/>
                    </w:rPr>
                    <w:t>其他）</w:t>
                  </w:r>
                </w:p>
              </w:tc>
            </w:tr>
            <w:tr>
              <w:tc>
                <w:tcPr>
                  <w:tcW w:type="dxa" w:w="378"/>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w:t>
                  </w:r>
                </w:p>
              </w:tc>
              <w:tc>
                <w:tcPr>
                  <w:tcW w:type="dxa" w:w="4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事件分级评估</w:t>
                  </w:r>
                </w:p>
              </w:tc>
              <w:tc>
                <w:tcPr>
                  <w:tcW w:type="dxa" w:w="1723"/>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评估影响范围、危害程度、损失情况，确定事件等级</w:t>
                  </w:r>
                </w:p>
              </w:tc>
            </w:tr>
            <w:tr>
              <w:tc>
                <w:tcPr>
                  <w:tcW w:type="dxa" w:w="378"/>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4</w:t>
                  </w:r>
                </w:p>
              </w:tc>
              <w:tc>
                <w:tcPr>
                  <w:tcW w:type="dxa" w:w="4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影响范围判定</w:t>
                  </w:r>
                </w:p>
              </w:tc>
              <w:tc>
                <w:tcPr>
                  <w:tcW w:type="dxa" w:w="1723"/>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确定受影响的系统、数据、用户、业务及网络区域</w:t>
                  </w:r>
                </w:p>
              </w:tc>
            </w:tr>
            <w:tr>
              <w:tc>
                <w:tcPr>
                  <w:tcW w:type="dxa" w:w="378"/>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5</w:t>
                  </w:r>
                </w:p>
              </w:tc>
              <w:tc>
                <w:tcPr>
                  <w:tcW w:type="dxa" w:w="4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攻击时间窗口</w:t>
                  </w:r>
                </w:p>
              </w:tc>
              <w:tc>
                <w:tcPr>
                  <w:tcW w:type="dxa" w:w="1723"/>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通过日志回溯确定攻击发起时间、持续时长、关键时间节点</w:t>
                  </w:r>
                </w:p>
              </w:tc>
            </w:tr>
            <w:tr>
              <w:tc>
                <w:tcPr>
                  <w:tcW w:type="dxa" w:w="378"/>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6</w:t>
                  </w:r>
                </w:p>
              </w:tc>
              <w:tc>
                <w:tcPr>
                  <w:tcW w:type="dxa" w:w="4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初步威胁情报</w:t>
                  </w:r>
                </w:p>
              </w:tc>
              <w:tc>
                <w:tcPr>
                  <w:tcW w:type="dxa" w:w="1723"/>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关联威胁情报库，识别已知</w:t>
                  </w:r>
                  <w:r>
                    <w:rPr>
                      <w:rFonts w:ascii="仿宋_GB2312" w:hAnsi="仿宋_GB2312" w:cs="仿宋_GB2312" w:eastAsia="仿宋_GB2312"/>
                      <w:sz w:val="21"/>
                    </w:rPr>
                    <w:t>APT</w:t>
                  </w:r>
                  <w:r>
                    <w:rPr>
                      <w:rFonts w:ascii="仿宋_GB2312" w:hAnsi="仿宋_GB2312" w:cs="仿宋_GB2312" w:eastAsia="仿宋_GB2312"/>
                      <w:sz w:val="21"/>
                    </w:rPr>
                    <w:t>组织、漏洞利用特征、</w:t>
                  </w:r>
                  <w:r>
                    <w:rPr>
                      <w:rFonts w:ascii="仿宋_GB2312" w:hAnsi="仿宋_GB2312" w:cs="仿宋_GB2312" w:eastAsia="仿宋_GB2312"/>
                      <w:sz w:val="21"/>
                    </w:rPr>
                    <w:t>IOC</w:t>
                  </w:r>
                  <w:r>
                    <w:rPr>
                      <w:rFonts w:ascii="仿宋_GB2312" w:hAnsi="仿宋_GB2312" w:cs="仿宋_GB2312" w:eastAsia="仿宋_GB2312"/>
                      <w:sz w:val="21"/>
                    </w:rPr>
                    <w:t>指标</w:t>
                  </w:r>
                </w:p>
              </w:tc>
            </w:tr>
            <w:tr>
              <w:tc>
                <w:tcPr>
                  <w:tcW w:type="dxa" w:w="378"/>
                  <w:tcBorders>
                    <w:top w:val="single" w:color="000000" w:sz="4"/>
                    <w:left w:val="single" w:color="000000" w:sz="8"/>
                    <w:bottom w:val="single" w:color="000000" w:sz="8"/>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7</w:t>
                  </w:r>
                </w:p>
              </w:tc>
              <w:tc>
                <w:tcPr>
                  <w:tcW w:type="dxa" w:w="442"/>
                  <w:tcBorders>
                    <w:top w:val="single" w:color="000000" w:sz="4"/>
                    <w:left w:val="single" w:color="000000" w:sz="4"/>
                    <w:bottom w:val="single" w:color="000000" w:sz="8"/>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紧急上报机制</w:t>
                  </w:r>
                </w:p>
              </w:tc>
              <w:tc>
                <w:tcPr>
                  <w:tcW w:type="dxa" w:w="1723"/>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按规定向监管部门、上级单位、公安机关报告</w:t>
                  </w:r>
                </w:p>
              </w:tc>
            </w:tr>
          </w:tbl>
          <w:p>
            <w:pPr>
              <w:pStyle w:val="null3"/>
              <w:ind w:firstLine="560"/>
              <w:jc w:val="both"/>
            </w:pPr>
            <w:r>
              <w:rPr>
                <w:rFonts w:ascii="仿宋_GB2312" w:hAnsi="仿宋_GB2312" w:cs="仿宋_GB2312" w:eastAsia="仿宋_GB2312"/>
                <w:sz w:val="21"/>
              </w:rPr>
              <w:t xml:space="preserve">3.2 </w:t>
            </w:r>
            <w:r>
              <w:rPr>
                <w:rFonts w:ascii="仿宋_GB2312" w:hAnsi="仿宋_GB2312" w:cs="仿宋_GB2312" w:eastAsia="仿宋_GB2312"/>
                <w:sz w:val="21"/>
              </w:rPr>
              <w:t>现场应急处置与抑制</w:t>
            </w:r>
          </w:p>
          <w:tbl>
            <w:tblPr>
              <w:tblBorders>
                <w:top w:val="none" w:color="000000" w:sz="4"/>
                <w:left w:val="none" w:color="000000" w:sz="4"/>
                <w:bottom w:val="none" w:color="000000" w:sz="4"/>
                <w:right w:val="none" w:color="000000" w:sz="4"/>
                <w:insideH w:val="none"/>
                <w:insideV w:val="none"/>
              </w:tblBorders>
            </w:tblPr>
            <w:tblGrid>
              <w:gridCol w:w="388"/>
              <w:gridCol w:w="501"/>
              <w:gridCol w:w="1664"/>
            </w:tblGrid>
            <w:tr>
              <w:tc>
                <w:tcPr>
                  <w:tcW w:type="dxa" w:w="388"/>
                  <w:tcBorders>
                    <w:top w:val="single" w:color="000000" w:sz="4"/>
                    <w:left w:val="single" w:color="000000" w:sz="4"/>
                    <w:bottom w:val="single" w:color="000000" w:sz="4"/>
                    <w:right w:val="single" w:color="000000" w:sz="4"/>
                  </w:tcBorders>
                  <w:shd w:fill="4472C4"/>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501"/>
                  <w:tcBorders>
                    <w:top w:val="single" w:color="000000" w:sz="4"/>
                    <w:left w:val="single" w:color="000000" w:sz="4"/>
                    <w:bottom w:val="single" w:color="000000" w:sz="4"/>
                    <w:right w:val="single" w:color="000000" w:sz="4"/>
                  </w:tcBorders>
                  <w:shd w:fill="4472C4"/>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检查项</w:t>
                  </w:r>
                </w:p>
              </w:tc>
              <w:tc>
                <w:tcPr>
                  <w:tcW w:type="dxa" w:w="1664"/>
                  <w:tcBorders>
                    <w:top w:val="single" w:color="000000" w:sz="4"/>
                    <w:left w:val="single" w:color="000000" w:sz="4"/>
                    <w:bottom w:val="single" w:color="000000" w:sz="4"/>
                    <w:right w:val="single" w:color="000000" w:sz="4"/>
                  </w:tcBorders>
                  <w:shd w:fill="4472C4"/>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rFonts w:ascii="仿宋_GB2312" w:hAnsi="仿宋_GB2312" w:cs="仿宋_GB2312" w:eastAsia="仿宋_GB2312"/>
                      <w:sz w:val="21"/>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攻击源封禁</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封禁恶意</w:t>
                  </w:r>
                  <w:r>
                    <w:rPr>
                      <w:rFonts w:ascii="仿宋_GB2312" w:hAnsi="仿宋_GB2312" w:cs="仿宋_GB2312" w:eastAsia="仿宋_GB2312"/>
                      <w:sz w:val="21"/>
                    </w:rPr>
                    <w:t>IP</w:t>
                  </w:r>
                  <w:r>
                    <w:rPr>
                      <w:rFonts w:ascii="仿宋_GB2312" w:hAnsi="仿宋_GB2312" w:cs="仿宋_GB2312" w:eastAsia="仿宋_GB2312"/>
                      <w:sz w:val="21"/>
                    </w:rPr>
                    <w:t>、域名、</w:t>
                  </w:r>
                  <w:r>
                    <w:rPr>
                      <w:rFonts w:ascii="仿宋_GB2312" w:hAnsi="仿宋_GB2312" w:cs="仿宋_GB2312" w:eastAsia="仿宋_GB2312"/>
                      <w:sz w:val="21"/>
                    </w:rPr>
                    <w:t>URL</w:t>
                  </w:r>
                  <w:r>
                    <w:rPr>
                      <w:rFonts w:ascii="仿宋_GB2312" w:hAnsi="仿宋_GB2312" w:cs="仿宋_GB2312" w:eastAsia="仿宋_GB2312"/>
                      <w:sz w:val="21"/>
                    </w:rPr>
                    <w:t>，阻断</w:t>
                  </w:r>
                  <w:r>
                    <w:rPr>
                      <w:rFonts w:ascii="仿宋_GB2312" w:hAnsi="仿宋_GB2312" w:cs="仿宋_GB2312" w:eastAsia="仿宋_GB2312"/>
                      <w:sz w:val="21"/>
                    </w:rPr>
                    <w:t>C2</w:t>
                  </w:r>
                  <w:r>
                    <w:rPr>
                      <w:rFonts w:ascii="仿宋_GB2312" w:hAnsi="仿宋_GB2312" w:cs="仿宋_GB2312" w:eastAsia="仿宋_GB2312"/>
                      <w:sz w:val="21"/>
                    </w:rPr>
                    <w:t>通信通道</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rFonts w:ascii="仿宋_GB2312" w:hAnsi="仿宋_GB2312" w:cs="仿宋_GB2312" w:eastAsia="仿宋_GB2312"/>
                      <w:sz w:val="21"/>
                    </w:rPr>
                    <w:t>2</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账户权限管控</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冻结可疑账户、重置泄露凭证、撤销异常权限</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rFonts w:ascii="仿宋_GB2312" w:hAnsi="仿宋_GB2312" w:cs="仿宋_GB2312" w:eastAsia="仿宋_GB2312"/>
                      <w:sz w:val="21"/>
                    </w:rPr>
                    <w:t>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恶意进程终止</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终止恶意进程、服务、计划任务，阻止持续渗透</w:t>
                  </w:r>
                </w:p>
              </w:tc>
            </w:tr>
            <w:tr>
              <w:tc>
                <w:tcPr>
                  <w:tcW w:type="dxa" w:w="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left"/>
                  </w:pPr>
                  <w:r>
                    <w:rPr>
                      <w:rFonts w:ascii="仿宋_GB2312" w:hAnsi="仿宋_GB2312" w:cs="仿宋_GB2312" w:eastAsia="仿宋_GB2312"/>
                      <w:sz w:val="21"/>
                    </w:rPr>
                    <w:t>4</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证据保全措施</w:t>
                  </w:r>
                </w:p>
              </w:tc>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对关键系统内存、磁盘、网络流量进行镜像保全，防止证据灭失</w:t>
                  </w:r>
                </w:p>
              </w:tc>
            </w:tr>
          </w:tbl>
          <w:p>
            <w:pPr>
              <w:pStyle w:val="null3"/>
              <w:ind w:firstLine="560"/>
              <w:jc w:val="both"/>
            </w:pPr>
            <w:r>
              <w:rPr>
                <w:rFonts w:ascii="仿宋_GB2312" w:hAnsi="仿宋_GB2312" w:cs="仿宋_GB2312" w:eastAsia="仿宋_GB2312"/>
                <w:sz w:val="21"/>
              </w:rPr>
              <w:t>3.3</w:t>
            </w:r>
            <w:r>
              <w:rPr>
                <w:rFonts w:ascii="仿宋_GB2312" w:hAnsi="仿宋_GB2312" w:cs="仿宋_GB2312" w:eastAsia="仿宋_GB2312"/>
                <w:sz w:val="21"/>
              </w:rPr>
              <w:t>溯源与取证分析</w:t>
            </w:r>
          </w:p>
          <w:p>
            <w:pPr>
              <w:pStyle w:val="null3"/>
              <w:ind w:firstLine="560"/>
              <w:jc w:val="both"/>
            </w:pPr>
            <w:r>
              <w:rPr>
                <w:rFonts w:ascii="仿宋_GB2312" w:hAnsi="仿宋_GB2312" w:cs="仿宋_GB2312" w:eastAsia="仿宋_GB2312"/>
                <w:sz w:val="21"/>
              </w:rPr>
              <w:t>攻击入口溯源</w:t>
            </w:r>
          </w:p>
          <w:p>
            <w:pPr>
              <w:pStyle w:val="null3"/>
              <w:ind w:firstLine="560"/>
              <w:jc w:val="both"/>
            </w:pPr>
            <w:r>
              <w:rPr>
                <w:rFonts w:ascii="仿宋_GB2312" w:hAnsi="仿宋_GB2312" w:cs="仿宋_GB2312" w:eastAsia="仿宋_GB2312"/>
                <w:sz w:val="21"/>
              </w:rPr>
              <w:t>确定攻击入口：钓鱼邮件、漏洞利用、供应链攻击、弱口令、物理接触等</w:t>
            </w:r>
            <w:r>
              <w:rPr>
                <w:rFonts w:ascii="仿宋_GB2312" w:hAnsi="仿宋_GB2312" w:cs="仿宋_GB2312" w:eastAsia="仿宋_GB2312"/>
                <w:sz w:val="21"/>
              </w:rPr>
              <w:t>，</w:t>
            </w:r>
            <w:r>
              <w:rPr>
                <w:rFonts w:ascii="仿宋_GB2312" w:hAnsi="仿宋_GB2312" w:cs="仿宋_GB2312" w:eastAsia="仿宋_GB2312"/>
                <w:sz w:val="21"/>
              </w:rPr>
              <w:t>分析利用的</w:t>
            </w:r>
            <w:r>
              <w:rPr>
                <w:rFonts w:ascii="仿宋_GB2312" w:hAnsi="仿宋_GB2312" w:cs="仿宋_GB2312" w:eastAsia="仿宋_GB2312"/>
                <w:sz w:val="21"/>
              </w:rPr>
              <w:t>CVE</w:t>
            </w:r>
            <w:r>
              <w:rPr>
                <w:rFonts w:ascii="仿宋_GB2312" w:hAnsi="仿宋_GB2312" w:cs="仿宋_GB2312" w:eastAsia="仿宋_GB2312"/>
                <w:sz w:val="21"/>
              </w:rPr>
              <w:t>漏洞、</w:t>
            </w:r>
            <w:r>
              <w:rPr>
                <w:rFonts w:ascii="仿宋_GB2312" w:hAnsi="仿宋_GB2312" w:cs="仿宋_GB2312" w:eastAsia="仿宋_GB2312"/>
                <w:sz w:val="21"/>
              </w:rPr>
              <w:t>0day</w:t>
            </w:r>
            <w:r>
              <w:rPr>
                <w:rFonts w:ascii="仿宋_GB2312" w:hAnsi="仿宋_GB2312" w:cs="仿宋_GB2312" w:eastAsia="仿宋_GB2312"/>
                <w:sz w:val="21"/>
              </w:rPr>
              <w:t>、</w:t>
            </w:r>
            <w:r>
              <w:rPr>
                <w:rFonts w:ascii="仿宋_GB2312" w:hAnsi="仿宋_GB2312" w:cs="仿宋_GB2312" w:eastAsia="仿宋_GB2312"/>
                <w:sz w:val="21"/>
              </w:rPr>
              <w:t>Nday</w:t>
            </w:r>
            <w:r>
              <w:rPr>
                <w:rFonts w:ascii="仿宋_GB2312" w:hAnsi="仿宋_GB2312" w:cs="仿宋_GB2312" w:eastAsia="仿宋_GB2312"/>
                <w:sz w:val="21"/>
              </w:rPr>
              <w:t>，验证漏洞存在性及利用链</w:t>
            </w:r>
            <w:r>
              <w:rPr>
                <w:rFonts w:ascii="仿宋_GB2312" w:hAnsi="仿宋_GB2312" w:cs="仿宋_GB2312" w:eastAsia="仿宋_GB2312"/>
                <w:sz w:val="21"/>
              </w:rPr>
              <w:t>，</w:t>
            </w:r>
            <w:r>
              <w:rPr>
                <w:rFonts w:ascii="仿宋_GB2312" w:hAnsi="仿宋_GB2312" w:cs="仿宋_GB2312" w:eastAsia="仿宋_GB2312"/>
                <w:sz w:val="21"/>
              </w:rPr>
              <w:t>还原钓鱼话术、伪造界面、诱导路径，提取恶意附件</w:t>
            </w:r>
            <w:r>
              <w:rPr>
                <w:rFonts w:ascii="仿宋_GB2312" w:hAnsi="仿宋_GB2312" w:cs="仿宋_GB2312" w:eastAsia="仿宋_GB2312"/>
                <w:sz w:val="21"/>
              </w:rPr>
              <w:t>/</w:t>
            </w:r>
            <w:r>
              <w:rPr>
                <w:rFonts w:ascii="仿宋_GB2312" w:hAnsi="仿宋_GB2312" w:cs="仿宋_GB2312" w:eastAsia="仿宋_GB2312"/>
                <w:sz w:val="21"/>
              </w:rPr>
              <w:t>链接</w:t>
            </w:r>
            <w:r>
              <w:rPr>
                <w:rFonts w:ascii="仿宋_GB2312" w:hAnsi="仿宋_GB2312" w:cs="仿宋_GB2312" w:eastAsia="仿宋_GB2312"/>
                <w:sz w:val="21"/>
              </w:rPr>
              <w:t>，</w:t>
            </w:r>
            <w:r>
              <w:rPr>
                <w:rFonts w:ascii="仿宋_GB2312" w:hAnsi="仿宋_GB2312" w:cs="仿宋_GB2312" w:eastAsia="仿宋_GB2312"/>
                <w:sz w:val="21"/>
              </w:rPr>
              <w:t>验证防火墙、</w:t>
            </w:r>
            <w:r>
              <w:rPr>
                <w:rFonts w:ascii="仿宋_GB2312" w:hAnsi="仿宋_GB2312" w:cs="仿宋_GB2312" w:eastAsia="仿宋_GB2312"/>
                <w:sz w:val="21"/>
              </w:rPr>
              <w:t>WAF</w:t>
            </w:r>
            <w:r>
              <w:rPr>
                <w:rFonts w:ascii="仿宋_GB2312" w:hAnsi="仿宋_GB2312" w:cs="仿宋_GB2312" w:eastAsia="仿宋_GB2312"/>
                <w:sz w:val="21"/>
              </w:rPr>
              <w:t>、</w:t>
            </w:r>
            <w:r>
              <w:rPr>
                <w:rFonts w:ascii="仿宋_GB2312" w:hAnsi="仿宋_GB2312" w:cs="仿宋_GB2312" w:eastAsia="仿宋_GB2312"/>
                <w:sz w:val="21"/>
              </w:rPr>
              <w:t>IDS/IPS</w:t>
            </w:r>
            <w:r>
              <w:rPr>
                <w:rFonts w:ascii="仿宋_GB2312" w:hAnsi="仿宋_GB2312" w:cs="仿宋_GB2312" w:eastAsia="仿宋_GB2312"/>
                <w:sz w:val="21"/>
              </w:rPr>
              <w:t>等边界防护失效原因</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攻击路径重建</w:t>
            </w:r>
          </w:p>
          <w:p>
            <w:pPr>
              <w:pStyle w:val="null3"/>
              <w:ind w:firstLine="560"/>
              <w:jc w:val="both"/>
            </w:pPr>
            <w:r>
              <w:rPr>
                <w:rFonts w:ascii="仿宋_GB2312" w:hAnsi="仿宋_GB2312" w:cs="仿宋_GB2312" w:eastAsia="仿宋_GB2312"/>
                <w:sz w:val="21"/>
              </w:rPr>
              <w:t>绘制攻击者在内网的横向移动路径、使用的工具和技术（</w:t>
            </w:r>
            <w:r>
              <w:rPr>
                <w:rFonts w:ascii="仿宋_GB2312" w:hAnsi="仿宋_GB2312" w:cs="仿宋_GB2312" w:eastAsia="仿宋_GB2312"/>
                <w:sz w:val="21"/>
              </w:rPr>
              <w:t>Pass-the-Hash</w:t>
            </w:r>
            <w:r>
              <w:rPr>
                <w:rFonts w:ascii="仿宋_GB2312" w:hAnsi="仿宋_GB2312" w:cs="仿宋_GB2312" w:eastAsia="仿宋_GB2312"/>
                <w:sz w:val="21"/>
              </w:rPr>
              <w:t>、远程桌面、</w:t>
            </w:r>
            <w:r>
              <w:rPr>
                <w:rFonts w:ascii="仿宋_GB2312" w:hAnsi="仿宋_GB2312" w:cs="仿宋_GB2312" w:eastAsia="仿宋_GB2312"/>
                <w:sz w:val="21"/>
              </w:rPr>
              <w:t>WMI</w:t>
            </w:r>
            <w:r>
              <w:rPr>
                <w:rFonts w:ascii="仿宋_GB2312" w:hAnsi="仿宋_GB2312" w:cs="仿宋_GB2312" w:eastAsia="仿宋_GB2312"/>
                <w:sz w:val="21"/>
              </w:rPr>
              <w:t>等）</w:t>
            </w:r>
            <w:r>
              <w:rPr>
                <w:rFonts w:ascii="仿宋_GB2312" w:hAnsi="仿宋_GB2312" w:cs="仿宋_GB2312" w:eastAsia="仿宋_GB2312"/>
                <w:sz w:val="21"/>
              </w:rPr>
              <w:t>，</w:t>
            </w:r>
            <w:r>
              <w:rPr>
                <w:rFonts w:ascii="仿宋_GB2312" w:hAnsi="仿宋_GB2312" w:cs="仿宋_GB2312" w:eastAsia="仿宋_GB2312"/>
                <w:sz w:val="21"/>
              </w:rPr>
              <w:t>分析权限提升手段：内核漏洞、配置错误、凭证窃取等</w:t>
            </w:r>
            <w:r>
              <w:rPr>
                <w:rFonts w:ascii="仿宋_GB2312" w:hAnsi="仿宋_GB2312" w:cs="仿宋_GB2312" w:eastAsia="仿宋_GB2312"/>
                <w:sz w:val="21"/>
              </w:rPr>
              <w:t>，</w:t>
            </w:r>
            <w:r>
              <w:rPr>
                <w:rFonts w:ascii="仿宋_GB2312" w:hAnsi="仿宋_GB2312" w:cs="仿宋_GB2312" w:eastAsia="仿宋_GB2312"/>
                <w:sz w:val="21"/>
              </w:rPr>
              <w:t>分析命令控制通道协议、加密方式、心跳频率、数据回传内容</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恶意代码取证</w:t>
            </w:r>
          </w:p>
          <w:p>
            <w:pPr>
              <w:pStyle w:val="null3"/>
              <w:ind w:firstLine="560"/>
              <w:jc w:val="both"/>
            </w:pPr>
            <w:r>
              <w:rPr>
                <w:rFonts w:ascii="仿宋_GB2312" w:hAnsi="仿宋_GB2312" w:cs="仿宋_GB2312" w:eastAsia="仿宋_GB2312"/>
                <w:sz w:val="21"/>
              </w:rPr>
              <w:t>提取恶意可执行文件、脚本、宏、</w:t>
            </w:r>
            <w:r>
              <w:rPr>
                <w:rFonts w:ascii="仿宋_GB2312" w:hAnsi="仿宋_GB2312" w:cs="仿宋_GB2312" w:eastAsia="仿宋_GB2312"/>
                <w:sz w:val="21"/>
              </w:rPr>
              <w:t>DLL</w:t>
            </w:r>
            <w:r>
              <w:rPr>
                <w:rFonts w:ascii="仿宋_GB2312" w:hAnsi="仿宋_GB2312" w:cs="仿宋_GB2312" w:eastAsia="仿宋_GB2312"/>
                <w:sz w:val="21"/>
              </w:rPr>
              <w:t>、驱动等样本</w:t>
            </w:r>
            <w:r>
              <w:rPr>
                <w:rFonts w:ascii="仿宋_GB2312" w:hAnsi="仿宋_GB2312" w:cs="仿宋_GB2312" w:eastAsia="仿宋_GB2312"/>
                <w:sz w:val="21"/>
              </w:rPr>
              <w:t>，</w:t>
            </w:r>
            <w:r>
              <w:rPr>
                <w:rFonts w:ascii="仿宋_GB2312" w:hAnsi="仿宋_GB2312" w:cs="仿宋_GB2312" w:eastAsia="仿宋_GB2312"/>
                <w:sz w:val="21"/>
              </w:rPr>
              <w:t>文件哈希、字符串提取、导入表分析、加壳检测、</w:t>
            </w:r>
            <w:r>
              <w:rPr>
                <w:rFonts w:ascii="仿宋_GB2312" w:hAnsi="仿宋_GB2312" w:cs="仿宋_GB2312" w:eastAsia="仿宋_GB2312"/>
                <w:sz w:val="21"/>
              </w:rPr>
              <w:t>YARA</w:t>
            </w:r>
            <w:r>
              <w:rPr>
                <w:rFonts w:ascii="仿宋_GB2312" w:hAnsi="仿宋_GB2312" w:cs="仿宋_GB2312" w:eastAsia="仿宋_GB2312"/>
                <w:sz w:val="21"/>
              </w:rPr>
              <w:t>规则匹配</w:t>
            </w:r>
            <w:r>
              <w:rPr>
                <w:rFonts w:ascii="仿宋_GB2312" w:hAnsi="仿宋_GB2312" w:cs="仿宋_GB2312" w:eastAsia="仿宋_GB2312"/>
                <w:sz w:val="21"/>
              </w:rPr>
              <w:t>，</w:t>
            </w:r>
            <w:r>
              <w:rPr>
                <w:rFonts w:ascii="仿宋_GB2312" w:hAnsi="仿宋_GB2312" w:cs="仿宋_GB2312" w:eastAsia="仿宋_GB2312"/>
                <w:sz w:val="21"/>
              </w:rPr>
              <w:t>沙箱行为分析、网络行为、文件操作、注册表修改、</w:t>
            </w:r>
            <w:r>
              <w:rPr>
                <w:rFonts w:ascii="仿宋_GB2312" w:hAnsi="仿宋_GB2312" w:cs="仿宋_GB2312" w:eastAsia="仿宋_GB2312"/>
                <w:sz w:val="21"/>
              </w:rPr>
              <w:t>API</w:t>
            </w:r>
            <w:r>
              <w:rPr>
                <w:rFonts w:ascii="仿宋_GB2312" w:hAnsi="仿宋_GB2312" w:cs="仿宋_GB2312" w:eastAsia="仿宋_GB2312"/>
                <w:sz w:val="21"/>
              </w:rPr>
              <w:t>调用序列</w:t>
            </w:r>
            <w:r>
              <w:rPr>
                <w:rFonts w:ascii="仿宋_GB2312" w:hAnsi="仿宋_GB2312" w:cs="仿宋_GB2312" w:eastAsia="仿宋_GB2312"/>
                <w:sz w:val="21"/>
              </w:rPr>
              <w:t>，</w:t>
            </w:r>
            <w:r>
              <w:rPr>
                <w:rFonts w:ascii="仿宋_GB2312" w:hAnsi="仿宋_GB2312" w:cs="仿宋_GB2312" w:eastAsia="仿宋_GB2312"/>
                <w:sz w:val="21"/>
              </w:rPr>
              <w:t>反汇编、反编译、协议逆向、加密算法还原、</w:t>
            </w:r>
            <w:r>
              <w:rPr>
                <w:rFonts w:ascii="仿宋_GB2312" w:hAnsi="仿宋_GB2312" w:cs="仿宋_GB2312" w:eastAsia="仿宋_GB2312"/>
                <w:sz w:val="21"/>
              </w:rPr>
              <w:t>C2</w:t>
            </w:r>
            <w:r>
              <w:rPr>
                <w:rFonts w:ascii="仿宋_GB2312" w:hAnsi="仿宋_GB2312" w:cs="仿宋_GB2312" w:eastAsia="仿宋_GB2312"/>
                <w:sz w:val="21"/>
              </w:rPr>
              <w:t>配置提取</w:t>
            </w:r>
            <w:r>
              <w:rPr>
                <w:rFonts w:ascii="仿宋_GB2312" w:hAnsi="仿宋_GB2312" w:cs="仿宋_GB2312" w:eastAsia="仿宋_GB2312"/>
                <w:sz w:val="21"/>
              </w:rPr>
              <w:t>，</w:t>
            </w:r>
            <w:r>
              <w:rPr>
                <w:rFonts w:ascii="仿宋_GB2312" w:hAnsi="仿宋_GB2312" w:cs="仿宋_GB2312" w:eastAsia="仿宋_GB2312"/>
                <w:sz w:val="21"/>
              </w:rPr>
              <w:t>关联已知</w:t>
            </w:r>
            <w:r>
              <w:rPr>
                <w:rFonts w:ascii="仿宋_GB2312" w:hAnsi="仿宋_GB2312" w:cs="仿宋_GB2312" w:eastAsia="仿宋_GB2312"/>
                <w:sz w:val="21"/>
              </w:rPr>
              <w:t>APT</w:t>
            </w:r>
            <w:r>
              <w:rPr>
                <w:rFonts w:ascii="仿宋_GB2312" w:hAnsi="仿宋_GB2312" w:cs="仿宋_GB2312" w:eastAsia="仿宋_GB2312"/>
                <w:sz w:val="21"/>
              </w:rPr>
              <w:t>组织、勒索软件家族、黑产工具集</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日志与流量取证</w:t>
            </w:r>
          </w:p>
          <w:p>
            <w:pPr>
              <w:pStyle w:val="null3"/>
              <w:ind w:firstLine="560"/>
              <w:jc w:val="both"/>
            </w:pPr>
            <w:r>
              <w:rPr>
                <w:rFonts w:ascii="仿宋_GB2312" w:hAnsi="仿宋_GB2312" w:cs="仿宋_GB2312" w:eastAsia="仿宋_GB2312"/>
                <w:sz w:val="21"/>
              </w:rPr>
              <w:t>对攻击时段全流量进行</w:t>
            </w:r>
            <w:r>
              <w:rPr>
                <w:rFonts w:ascii="仿宋_GB2312" w:hAnsi="仿宋_GB2312" w:cs="仿宋_GB2312" w:eastAsia="仿宋_GB2312"/>
                <w:sz w:val="21"/>
              </w:rPr>
              <w:t>PCAP</w:t>
            </w:r>
            <w:r>
              <w:rPr>
                <w:rFonts w:ascii="仿宋_GB2312" w:hAnsi="仿宋_GB2312" w:cs="仿宋_GB2312" w:eastAsia="仿宋_GB2312"/>
                <w:sz w:val="21"/>
              </w:rPr>
              <w:t>包回溯分析，提取攻击载荷</w:t>
            </w:r>
            <w:r>
              <w:rPr>
                <w:rFonts w:ascii="仿宋_GB2312" w:hAnsi="仿宋_GB2312" w:cs="仿宋_GB2312" w:eastAsia="仿宋_GB2312"/>
                <w:sz w:val="21"/>
              </w:rPr>
              <w:t>，</w:t>
            </w:r>
            <w:r>
              <w:rPr>
                <w:rFonts w:ascii="仿宋_GB2312" w:hAnsi="仿宋_GB2312" w:cs="仿宋_GB2312" w:eastAsia="仿宋_GB2312"/>
                <w:sz w:val="21"/>
              </w:rPr>
              <w:t>采集防火墙、</w:t>
            </w:r>
            <w:r>
              <w:rPr>
                <w:rFonts w:ascii="仿宋_GB2312" w:hAnsi="仿宋_GB2312" w:cs="仿宋_GB2312" w:eastAsia="仿宋_GB2312"/>
                <w:sz w:val="21"/>
              </w:rPr>
              <w:t>WAF</w:t>
            </w:r>
            <w:r>
              <w:rPr>
                <w:rFonts w:ascii="仿宋_GB2312" w:hAnsi="仿宋_GB2312" w:cs="仿宋_GB2312" w:eastAsia="仿宋_GB2312"/>
                <w:sz w:val="21"/>
              </w:rPr>
              <w:t>、</w:t>
            </w:r>
            <w:r>
              <w:rPr>
                <w:rFonts w:ascii="仿宋_GB2312" w:hAnsi="仿宋_GB2312" w:cs="仿宋_GB2312" w:eastAsia="仿宋_GB2312"/>
                <w:sz w:val="21"/>
              </w:rPr>
              <w:t>IDS</w:t>
            </w:r>
            <w:r>
              <w:rPr>
                <w:rFonts w:ascii="仿宋_GB2312" w:hAnsi="仿宋_GB2312" w:cs="仿宋_GB2312" w:eastAsia="仿宋_GB2312"/>
                <w:sz w:val="21"/>
              </w:rPr>
              <w:t>、服务器、数据库、应用系统、</w:t>
            </w:r>
            <w:r>
              <w:rPr>
                <w:rFonts w:ascii="仿宋_GB2312" w:hAnsi="仿宋_GB2312" w:cs="仿宋_GB2312" w:eastAsia="仿宋_GB2312"/>
                <w:sz w:val="21"/>
              </w:rPr>
              <w:t>AD</w:t>
            </w:r>
            <w:r>
              <w:rPr>
                <w:rFonts w:ascii="仿宋_GB2312" w:hAnsi="仿宋_GB2312" w:cs="仿宋_GB2312" w:eastAsia="仿宋_GB2312"/>
                <w:sz w:val="21"/>
              </w:rPr>
              <w:t>域等日志</w:t>
            </w:r>
            <w:r>
              <w:rPr>
                <w:rFonts w:ascii="仿宋_GB2312" w:hAnsi="仿宋_GB2312" w:cs="仿宋_GB2312" w:eastAsia="仿宋_GB2312"/>
                <w:sz w:val="21"/>
              </w:rPr>
              <w:t>，</w:t>
            </w:r>
            <w:r>
              <w:rPr>
                <w:rFonts w:ascii="仿宋_GB2312" w:hAnsi="仿宋_GB2312" w:cs="仿宋_GB2312" w:eastAsia="仿宋_GB2312"/>
                <w:sz w:val="21"/>
              </w:rPr>
              <w:t>检测日志被清除、修改、伪造的痕迹，恢复被删日志</w:t>
            </w:r>
            <w:r>
              <w:rPr>
                <w:rFonts w:ascii="仿宋_GB2312" w:hAnsi="仿宋_GB2312" w:cs="仿宋_GB2312" w:eastAsia="仿宋_GB2312"/>
                <w:sz w:val="21"/>
              </w:rPr>
              <w:t>，</w:t>
            </w:r>
            <w:r>
              <w:rPr>
                <w:rFonts w:ascii="仿宋_GB2312" w:hAnsi="仿宋_GB2312" w:cs="仿宋_GB2312" w:eastAsia="仿宋_GB2312"/>
                <w:sz w:val="21"/>
              </w:rPr>
              <w:t>分析数据库操作日志，确定数据访问、篡改、导出行为</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数据泄露与影响评估</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1"/>
              </w:rPr>
              <w:t>确定泄露数据的类型、数量、敏感度、涉及用户</w:t>
            </w:r>
            <w:r>
              <w:rPr>
                <w:rFonts w:ascii="仿宋_GB2312" w:hAnsi="仿宋_GB2312" w:cs="仿宋_GB2312" w:eastAsia="仿宋_GB2312"/>
                <w:sz w:val="21"/>
              </w:rPr>
              <w:t>/</w:t>
            </w:r>
            <w:r>
              <w:rPr>
                <w:rFonts w:ascii="仿宋_GB2312" w:hAnsi="仿宋_GB2312" w:cs="仿宋_GB2312" w:eastAsia="仿宋_GB2312"/>
                <w:sz w:val="21"/>
              </w:rPr>
              <w:t>主体</w:t>
            </w:r>
            <w:r>
              <w:rPr>
                <w:rFonts w:ascii="仿宋_GB2312" w:hAnsi="仿宋_GB2312" w:cs="仿宋_GB2312" w:eastAsia="仿宋_GB2312"/>
                <w:sz w:val="21"/>
              </w:rPr>
              <w:t>，</w:t>
            </w:r>
            <w:r>
              <w:rPr>
                <w:rFonts w:ascii="仿宋_GB2312" w:hAnsi="仿宋_GB2312" w:cs="仿宋_GB2312" w:eastAsia="仿宋_GB2312"/>
                <w:sz w:val="21"/>
              </w:rPr>
              <w:t>分析数据外泄通道：邮件、即时通讯、网盘、</w:t>
            </w:r>
            <w:r>
              <w:rPr>
                <w:rFonts w:ascii="仿宋_GB2312" w:hAnsi="仿宋_GB2312" w:cs="仿宋_GB2312" w:eastAsia="仿宋_GB2312"/>
                <w:sz w:val="21"/>
              </w:rPr>
              <w:t>U</w:t>
            </w:r>
            <w:r>
              <w:rPr>
                <w:rFonts w:ascii="仿宋_GB2312" w:hAnsi="仿宋_GB2312" w:cs="仿宋_GB2312" w:eastAsia="仿宋_GB2312"/>
                <w:sz w:val="21"/>
              </w:rPr>
              <w:t>盘、打印、拍照等</w:t>
            </w:r>
            <w:r>
              <w:rPr>
                <w:rFonts w:ascii="仿宋_GB2312" w:hAnsi="仿宋_GB2312" w:cs="仿宋_GB2312" w:eastAsia="仿宋_GB2312"/>
                <w:sz w:val="21"/>
              </w:rPr>
              <w:t>，</w:t>
            </w:r>
            <w:r>
              <w:rPr>
                <w:rFonts w:ascii="仿宋_GB2312" w:hAnsi="仿宋_GB2312" w:cs="仿宋_GB2312" w:eastAsia="仿宋_GB2312"/>
                <w:sz w:val="21"/>
              </w:rPr>
              <w:t>量化受影响系统数量、</w:t>
            </w:r>
            <w:r>
              <w:rPr>
                <w:rFonts w:ascii="仿宋_GB2312" w:hAnsi="仿宋_GB2312" w:cs="仿宋_GB2312" w:eastAsia="仿宋_GB2312"/>
                <w:sz w:val="21"/>
              </w:rPr>
              <w:t>IP</w:t>
            </w:r>
            <w:r>
              <w:rPr>
                <w:rFonts w:ascii="仿宋_GB2312" w:hAnsi="仿宋_GB2312" w:cs="仿宋_GB2312" w:eastAsia="仿宋_GB2312"/>
                <w:sz w:val="21"/>
              </w:rPr>
              <w:t>数量、账户数量、数据记录数、业务中断时长</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 xml:space="preserve">3.4 </w:t>
            </w:r>
            <w:r>
              <w:rPr>
                <w:rFonts w:ascii="仿宋_GB2312" w:hAnsi="仿宋_GB2312" w:cs="仿宋_GB2312" w:eastAsia="仿宋_GB2312"/>
                <w:sz w:val="21"/>
              </w:rPr>
              <w:t>证据固定与司法合规</w:t>
            </w:r>
          </w:p>
          <w:tbl>
            <w:tblPr>
              <w:tblBorders>
                <w:top w:val="none" w:color="000000" w:sz="4"/>
                <w:left w:val="none" w:color="000000" w:sz="4"/>
                <w:bottom w:val="none" w:color="000000" w:sz="4"/>
                <w:right w:val="none" w:color="000000" w:sz="4"/>
                <w:insideH w:val="none"/>
                <w:insideV w:val="none"/>
              </w:tblBorders>
            </w:tblPr>
            <w:tblGrid>
              <w:gridCol w:w="330"/>
              <w:gridCol w:w="451"/>
              <w:gridCol w:w="1767"/>
            </w:tblGrid>
            <w:tr>
              <w:tc>
                <w:tcPr>
                  <w:tcW w:type="dxa" w:w="330"/>
                  <w:tcBorders>
                    <w:top w:val="single" w:color="000000" w:sz="8"/>
                    <w:left w:val="single" w:color="000000" w:sz="8"/>
                    <w:bottom w:val="none" w:color="000000" w:sz="4"/>
                    <w:right w:val="none" w:color="000000" w:sz="4"/>
                  </w:tcBorders>
                  <w:shd w:fill="4472C4"/>
                  <w:tcMar>
                    <w:top w:type="dxa" w:w="0"/>
                    <w:left w:type="dxa" w:w="0"/>
                    <w:bottom w:type="dxa" w:w="0"/>
                    <w:right w:type="dxa" w:w="0"/>
                  </w:tcMar>
                  <w:vAlign w:val="top"/>
                </w:tcPr>
                <w:p>
                  <w:pPr>
                    <w:pStyle w:val="null3"/>
                    <w:jc w:val="both"/>
                  </w:pPr>
                  <w:r>
                    <w:rPr>
                      <w:rFonts w:ascii="仿宋_GB2312" w:hAnsi="仿宋_GB2312" w:cs="仿宋_GB2312" w:eastAsia="仿宋_GB2312"/>
                      <w:sz w:val="21"/>
                    </w:rPr>
                    <w:t>序号</w:t>
                  </w:r>
                </w:p>
              </w:tc>
              <w:tc>
                <w:tcPr>
                  <w:tcW w:type="dxa" w:w="451"/>
                  <w:tcBorders>
                    <w:top w:val="single" w:color="000000" w:sz="8"/>
                    <w:left w:val="single" w:color="000000" w:sz="4"/>
                    <w:bottom w:val="none" w:color="000000" w:sz="4"/>
                    <w:right w:val="none" w:color="000000" w:sz="4"/>
                  </w:tcBorders>
                  <w:shd w:fill="4472C4"/>
                  <w:tcMar>
                    <w:top w:type="dxa" w:w="0"/>
                    <w:left w:type="dxa" w:w="0"/>
                    <w:bottom w:type="dxa" w:w="0"/>
                    <w:right w:type="dxa" w:w="0"/>
                  </w:tcMar>
                  <w:vAlign w:val="top"/>
                </w:tcPr>
                <w:p>
                  <w:pPr>
                    <w:pStyle w:val="null3"/>
                    <w:jc w:val="both"/>
                  </w:pPr>
                  <w:r>
                    <w:rPr>
                      <w:rFonts w:ascii="仿宋_GB2312" w:hAnsi="仿宋_GB2312" w:cs="仿宋_GB2312" w:eastAsia="仿宋_GB2312"/>
                      <w:sz w:val="21"/>
                    </w:rPr>
                    <w:t>检查项</w:t>
                  </w:r>
                </w:p>
              </w:tc>
              <w:tc>
                <w:tcPr>
                  <w:tcW w:type="dxa" w:w="1767"/>
                  <w:tcBorders>
                    <w:top w:val="single" w:color="000000" w:sz="8"/>
                    <w:left w:val="single" w:color="000000" w:sz="4"/>
                    <w:bottom w:val="none" w:color="000000" w:sz="4"/>
                    <w:right w:val="single" w:color="000000" w:sz="8"/>
                  </w:tcBorders>
                  <w:shd w:fill="4472C4"/>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服务内容</w:t>
                  </w:r>
                </w:p>
              </w:tc>
            </w:tr>
            <w:tr>
              <w:tc>
                <w:tcPr>
                  <w:tcW w:type="dxa" w:w="330"/>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1</w:t>
                  </w:r>
                </w:p>
              </w:tc>
              <w:tc>
                <w:tcPr>
                  <w:tcW w:type="dxa" w:w="45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证据链整性</w:t>
                  </w:r>
                </w:p>
              </w:tc>
              <w:tc>
                <w:tcPr>
                  <w:tcW w:type="dxa" w:w="1767"/>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确保证据获取、保管、分析、移交全过程链式记录</w:t>
                  </w:r>
                </w:p>
              </w:tc>
            </w:tr>
            <w:tr>
              <w:tc>
                <w:tcPr>
                  <w:tcW w:type="dxa" w:w="330"/>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2</w:t>
                  </w:r>
                </w:p>
              </w:tc>
              <w:tc>
                <w:tcPr>
                  <w:tcW w:type="dxa" w:w="45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哈希值校验</w:t>
                  </w:r>
                </w:p>
              </w:tc>
              <w:tc>
                <w:tcPr>
                  <w:tcW w:type="dxa" w:w="1767"/>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对镜像、文件、日志计算</w:t>
                  </w:r>
                  <w:r>
                    <w:rPr>
                      <w:rFonts w:ascii="仿宋_GB2312" w:hAnsi="仿宋_GB2312" w:cs="仿宋_GB2312" w:eastAsia="仿宋_GB2312"/>
                      <w:sz w:val="21"/>
                    </w:rPr>
                    <w:t>MD5/SHA256</w:t>
                  </w:r>
                  <w:r>
                    <w:rPr>
                      <w:rFonts w:ascii="仿宋_GB2312" w:hAnsi="仿宋_GB2312" w:cs="仿宋_GB2312" w:eastAsia="仿宋_GB2312"/>
                      <w:sz w:val="21"/>
                    </w:rPr>
                    <w:t>，确保完整性</w:t>
                  </w:r>
                </w:p>
              </w:tc>
            </w:tr>
            <w:tr>
              <w:tc>
                <w:tcPr>
                  <w:tcW w:type="dxa" w:w="330"/>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3</w:t>
                  </w:r>
                </w:p>
              </w:tc>
              <w:tc>
                <w:tcPr>
                  <w:tcW w:type="dxa" w:w="45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时间戳固定</w:t>
                  </w:r>
                </w:p>
              </w:tc>
              <w:tc>
                <w:tcPr>
                  <w:tcW w:type="dxa" w:w="1767"/>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使用可信时间戳服务固定电子证据时间属性</w:t>
                  </w:r>
                </w:p>
              </w:tc>
            </w:tr>
            <w:tr>
              <w:tc>
                <w:tcPr>
                  <w:tcW w:type="dxa" w:w="330"/>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4</w:t>
                  </w:r>
                </w:p>
              </w:tc>
              <w:tc>
                <w:tcPr>
                  <w:tcW w:type="dxa" w:w="45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取证环境洁净</w:t>
                  </w:r>
                </w:p>
              </w:tc>
              <w:tc>
                <w:tcPr>
                  <w:tcW w:type="dxa" w:w="1767"/>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使用只读接口、取证专用机、洁净</w:t>
                  </w:r>
                  <w:r>
                    <w:rPr>
                      <w:rFonts w:ascii="仿宋_GB2312" w:hAnsi="仿宋_GB2312" w:cs="仿宋_GB2312" w:eastAsia="仿宋_GB2312"/>
                      <w:sz w:val="21"/>
                    </w:rPr>
                    <w:t>U</w:t>
                  </w:r>
                  <w:r>
                    <w:rPr>
                      <w:rFonts w:ascii="仿宋_GB2312" w:hAnsi="仿宋_GB2312" w:cs="仿宋_GB2312" w:eastAsia="仿宋_GB2312"/>
                      <w:sz w:val="21"/>
                    </w:rPr>
                    <w:t>盘，防止污染</w:t>
                  </w:r>
                </w:p>
              </w:tc>
            </w:tr>
            <w:tr>
              <w:tc>
                <w:tcPr>
                  <w:tcW w:type="dxa" w:w="330"/>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5</w:t>
                  </w:r>
                </w:p>
              </w:tc>
              <w:tc>
                <w:tcPr>
                  <w:tcW w:type="dxa" w:w="45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操作全程录屏</w:t>
                  </w:r>
                </w:p>
              </w:tc>
              <w:tc>
                <w:tcPr>
                  <w:tcW w:type="dxa" w:w="1767"/>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取证操作全程录屏录像，记录操作人、时间、步骤</w:t>
                  </w:r>
                </w:p>
              </w:tc>
            </w:tr>
            <w:tr>
              <w:tc>
                <w:tcPr>
                  <w:tcW w:type="dxa" w:w="330"/>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6</w:t>
                  </w:r>
                </w:p>
              </w:tc>
              <w:tc>
                <w:tcPr>
                  <w:tcW w:type="dxa" w:w="45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见证人制度</w:t>
                  </w:r>
                </w:p>
              </w:tc>
              <w:tc>
                <w:tcPr>
                  <w:tcW w:type="dxa" w:w="1767"/>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关键取证步骤邀请第三方见证或公证</w:t>
                  </w:r>
                </w:p>
              </w:tc>
            </w:tr>
            <w:tr>
              <w:tc>
                <w:tcPr>
                  <w:tcW w:type="dxa" w:w="330"/>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7</w:t>
                  </w:r>
                </w:p>
              </w:tc>
              <w:tc>
                <w:tcPr>
                  <w:tcW w:type="dxa" w:w="451"/>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证据移交清单</w:t>
                  </w:r>
                </w:p>
              </w:tc>
              <w:tc>
                <w:tcPr>
                  <w:tcW w:type="dxa" w:w="1767"/>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编制详细证据清单，注明名称、来源、哈希、提取时间、提取人</w:t>
                  </w:r>
                </w:p>
              </w:tc>
            </w:tr>
            <w:tr>
              <w:tc>
                <w:tcPr>
                  <w:tcW w:type="dxa" w:w="330"/>
                  <w:tcBorders>
                    <w:top w:val="single" w:color="000000" w:sz="4"/>
                    <w:left w:val="single" w:color="000000" w:sz="8"/>
                    <w:bottom w:val="single" w:color="000000" w:sz="8"/>
                    <w:right w:val="none" w:color="000000" w:sz="4"/>
                  </w:tcBorders>
                  <w:tcMar>
                    <w:top w:type="dxa" w:w="0"/>
                    <w:left w:type="dxa" w:w="0"/>
                    <w:bottom w:type="dxa" w:w="0"/>
                    <w:right w:type="dxa" w:w="0"/>
                  </w:tcMar>
                  <w:vAlign w:val="top"/>
                </w:tcPr>
                <w:p>
                  <w:pPr>
                    <w:pStyle w:val="null3"/>
                    <w:ind w:firstLine="560"/>
                    <w:jc w:val="both"/>
                  </w:pPr>
                  <w:r>
                    <w:rPr>
                      <w:rFonts w:ascii="仿宋_GB2312" w:hAnsi="仿宋_GB2312" w:cs="仿宋_GB2312" w:eastAsia="仿宋_GB2312"/>
                      <w:sz w:val="21"/>
                    </w:rPr>
                    <w:t>8</w:t>
                  </w:r>
                </w:p>
              </w:tc>
              <w:tc>
                <w:tcPr>
                  <w:tcW w:type="dxa" w:w="451"/>
                  <w:tcBorders>
                    <w:top w:val="single" w:color="000000" w:sz="4"/>
                    <w:left w:val="single" w:color="000000" w:sz="4"/>
                    <w:bottom w:val="single" w:color="000000" w:sz="8"/>
                    <w:right w:val="non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司法合规审查</w:t>
                  </w:r>
                </w:p>
              </w:tc>
              <w:tc>
                <w:tcPr>
                  <w:tcW w:type="dxa" w:w="1767"/>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确保证据获取程序符合《刑事诉讼法》《电子数据规定》等要求</w:t>
                  </w:r>
                </w:p>
              </w:tc>
            </w:tr>
          </w:tbl>
          <w:p>
            <w:pPr>
              <w:pStyle w:val="null3"/>
              <w:ind w:firstLine="560"/>
              <w:jc w:val="both"/>
            </w:pPr>
            <w:r>
              <w:rPr>
                <w:rFonts w:ascii="仿宋_GB2312" w:hAnsi="仿宋_GB2312" w:cs="仿宋_GB2312" w:eastAsia="仿宋_GB2312"/>
                <w:sz w:val="21"/>
              </w:rPr>
              <w:t>建立完整信息化资产台账：服务器、网络设备、</w:t>
            </w:r>
            <w:r>
              <w:rPr>
                <w:rFonts w:ascii="仿宋_GB2312" w:hAnsi="仿宋_GB2312" w:cs="仿宋_GB2312" w:eastAsia="仿宋_GB2312"/>
                <w:sz w:val="21"/>
              </w:rPr>
              <w:t>IP</w:t>
            </w:r>
            <w:r>
              <w:rPr>
                <w:rFonts w:ascii="仿宋_GB2312" w:hAnsi="仿宋_GB2312" w:cs="仿宋_GB2312" w:eastAsia="仿宋_GB2312"/>
                <w:sz w:val="21"/>
              </w:rPr>
              <w:t>地址规划、系统账号清单、运维记录档案，动态更新留存，供审计、检查调阅。</w:t>
            </w:r>
          </w:p>
          <w:p>
            <w:pPr>
              <w:pStyle w:val="null3"/>
              <w:ind w:firstLine="560"/>
              <w:jc w:val="both"/>
            </w:pPr>
            <w:r>
              <w:rPr>
                <w:rFonts w:ascii="仿宋_GB2312" w:hAnsi="仿宋_GB2312" w:cs="仿宋_GB2312" w:eastAsia="仿宋_GB2312"/>
                <w:sz w:val="21"/>
              </w:rPr>
              <w:t xml:space="preserve">3.5 </w:t>
            </w:r>
            <w:r>
              <w:rPr>
                <w:rFonts w:ascii="仿宋_GB2312" w:hAnsi="仿宋_GB2312" w:cs="仿宋_GB2312" w:eastAsia="仿宋_GB2312"/>
                <w:sz w:val="21"/>
              </w:rPr>
              <w:t>事件总结与报告</w:t>
            </w:r>
          </w:p>
          <w:p>
            <w:pPr>
              <w:pStyle w:val="null3"/>
              <w:ind w:firstLine="560"/>
              <w:jc w:val="both"/>
            </w:pPr>
            <w:r>
              <w:rPr>
                <w:rFonts w:ascii="仿宋_GB2312" w:hAnsi="仿宋_GB2312" w:cs="仿宋_GB2312" w:eastAsia="仿宋_GB2312"/>
                <w:sz w:val="21"/>
              </w:rPr>
              <w:t>编制完整事件报告：事件概述、影响范围、攻击路径、处置过程、损失评估、整改建议</w:t>
            </w:r>
            <w:r>
              <w:rPr>
                <w:rFonts w:ascii="仿宋_GB2312" w:hAnsi="仿宋_GB2312" w:cs="仿宋_GB2312" w:eastAsia="仿宋_GB2312"/>
                <w:sz w:val="21"/>
              </w:rPr>
              <w:t>，</w:t>
            </w:r>
            <w:r>
              <w:rPr>
                <w:rFonts w:ascii="仿宋_GB2312" w:hAnsi="仿宋_GB2312" w:cs="仿宋_GB2312" w:eastAsia="仿宋_GB2312"/>
                <w:sz w:val="21"/>
              </w:rPr>
              <w:t>编制技术取证报告：</w:t>
            </w:r>
            <w:r>
              <w:rPr>
                <w:rFonts w:ascii="仿宋_GB2312" w:hAnsi="仿宋_GB2312" w:cs="仿宋_GB2312" w:eastAsia="仿宋_GB2312"/>
                <w:sz w:val="21"/>
              </w:rPr>
              <w:t>IOC</w:t>
            </w:r>
            <w:r>
              <w:rPr>
                <w:rFonts w:ascii="仿宋_GB2312" w:hAnsi="仿宋_GB2312" w:cs="仿宋_GB2312" w:eastAsia="仿宋_GB2312"/>
                <w:sz w:val="21"/>
              </w:rPr>
              <w:t>清单、恶意代码分析、攻击时间线、证据清单</w:t>
            </w:r>
            <w:r>
              <w:rPr>
                <w:rFonts w:ascii="仿宋_GB2312" w:hAnsi="仿宋_GB2312" w:cs="仿宋_GB2312" w:eastAsia="仿宋_GB2312"/>
                <w:sz w:val="21"/>
              </w:rPr>
              <w:t>，</w:t>
            </w:r>
            <w:r>
              <w:rPr>
                <w:rFonts w:ascii="仿宋_GB2312" w:hAnsi="仿宋_GB2312" w:cs="仿宋_GB2312" w:eastAsia="仿宋_GB2312"/>
                <w:sz w:val="21"/>
              </w:rPr>
              <w:t>分析事件暴露的管理、技术、人员问题，提炼经验教训</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四、服务交付物与量化标准</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网络数据安全调查取证技术报告</w:t>
            </w:r>
            <w:r>
              <w:rPr>
                <w:rFonts w:ascii="仿宋_GB2312" w:hAnsi="仿宋_GB2312" w:cs="仿宋_GB2312" w:eastAsia="仿宋_GB2312"/>
                <w:sz w:val="21"/>
              </w:rPr>
              <w:t>》，</w:t>
            </w:r>
            <w:r>
              <w:rPr>
                <w:rFonts w:ascii="仿宋_GB2312" w:hAnsi="仿宋_GB2312" w:cs="仿宋_GB2312" w:eastAsia="仿宋_GB2312"/>
                <w:sz w:val="21"/>
              </w:rPr>
              <w:t>全年不少于</w:t>
            </w:r>
            <w:r>
              <w:rPr>
                <w:rFonts w:ascii="仿宋_GB2312" w:hAnsi="仿宋_GB2312" w:cs="仿宋_GB2312" w:eastAsia="仿宋_GB2312"/>
                <w:sz w:val="21"/>
              </w:rPr>
              <w:t>10</w:t>
            </w:r>
            <w:r>
              <w:rPr>
                <w:rFonts w:ascii="仿宋_GB2312" w:hAnsi="仿宋_GB2312" w:cs="仿宋_GB2312" w:eastAsia="仿宋_GB2312"/>
                <w:sz w:val="21"/>
              </w:rPr>
              <w:t>次现场取证和</w:t>
            </w:r>
            <w:r>
              <w:rPr>
                <w:rFonts w:ascii="仿宋_GB2312" w:hAnsi="仿宋_GB2312" w:cs="仿宋_GB2312" w:eastAsia="仿宋_GB2312"/>
                <w:sz w:val="21"/>
              </w:rPr>
              <w:t>10</w:t>
            </w:r>
            <w:r>
              <w:rPr>
                <w:rFonts w:ascii="仿宋_GB2312" w:hAnsi="仿宋_GB2312" w:cs="仿宋_GB2312" w:eastAsia="仿宋_GB2312"/>
                <w:sz w:val="21"/>
              </w:rPr>
              <w:t>份报告</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事件响应时间小于</w:t>
            </w:r>
            <w:r>
              <w:rPr>
                <w:rFonts w:ascii="仿宋_GB2312" w:hAnsi="仿宋_GB2312" w:cs="仿宋_GB2312" w:eastAsia="仿宋_GB2312"/>
                <w:sz w:val="21"/>
              </w:rPr>
              <w:t>30</w:t>
            </w:r>
            <w:r>
              <w:rPr>
                <w:rFonts w:ascii="仿宋_GB2312" w:hAnsi="仿宋_GB2312" w:cs="仿宋_GB2312" w:eastAsia="仿宋_GB2312"/>
                <w:sz w:val="21"/>
              </w:rPr>
              <w:t>分钟，到达现场时间小于</w:t>
            </w:r>
            <w:r>
              <w:rPr>
                <w:rFonts w:ascii="仿宋_GB2312" w:hAnsi="仿宋_GB2312" w:cs="仿宋_GB2312" w:eastAsia="仿宋_GB2312"/>
                <w:sz w:val="21"/>
              </w:rPr>
              <w:t>4</w:t>
            </w:r>
            <w:r>
              <w:rPr>
                <w:rFonts w:ascii="仿宋_GB2312" w:hAnsi="仿宋_GB2312" w:cs="仿宋_GB2312" w:eastAsia="仿宋_GB2312"/>
                <w:sz w:val="21"/>
              </w:rPr>
              <w:t>小时，现场调查取证时间小于</w:t>
            </w:r>
            <w:r>
              <w:rPr>
                <w:rFonts w:ascii="仿宋_GB2312" w:hAnsi="仿宋_GB2312" w:cs="仿宋_GB2312" w:eastAsia="仿宋_GB2312"/>
                <w:sz w:val="21"/>
              </w:rPr>
              <w:t>24</w:t>
            </w:r>
            <w:r>
              <w:rPr>
                <w:rFonts w:ascii="仿宋_GB2312" w:hAnsi="仿宋_GB2312" w:cs="仿宋_GB2312" w:eastAsia="仿宋_GB2312"/>
                <w:sz w:val="21"/>
              </w:rPr>
              <w:t>小时，取证质量保证司法行政可用，现场调查取证人员每次不小于</w:t>
            </w:r>
            <w:r>
              <w:rPr>
                <w:rFonts w:ascii="仿宋_GB2312" w:hAnsi="仿宋_GB2312" w:cs="仿宋_GB2312" w:eastAsia="仿宋_GB2312"/>
                <w:sz w:val="21"/>
              </w:rPr>
              <w:t>3</w:t>
            </w:r>
            <w:r>
              <w:rPr>
                <w:rFonts w:ascii="仿宋_GB2312" w:hAnsi="仿宋_GB2312" w:cs="仿宋_GB2312" w:eastAsia="仿宋_GB2312"/>
                <w:sz w:val="21"/>
              </w:rPr>
              <w:t>人。</w:t>
            </w:r>
          </w:p>
          <w:p>
            <w:pPr>
              <w:pStyle w:val="null3"/>
              <w:ind w:firstLine="560"/>
              <w:jc w:val="both"/>
            </w:pPr>
            <w:r>
              <w:rPr>
                <w:rFonts w:ascii="仿宋_GB2312" w:hAnsi="仿宋_GB2312" w:cs="仿宋_GB2312" w:eastAsia="仿宋_GB2312"/>
                <w:sz w:val="21"/>
              </w:rPr>
              <w:t>五</w:t>
            </w:r>
            <w:r>
              <w:rPr>
                <w:rFonts w:ascii="仿宋_GB2312" w:hAnsi="仿宋_GB2312" w:cs="仿宋_GB2312" w:eastAsia="仿宋_GB2312"/>
                <w:sz w:val="21"/>
              </w:rPr>
              <w:t>、禁止条款</w:t>
            </w:r>
          </w:p>
          <w:p>
            <w:pPr>
              <w:pStyle w:val="null3"/>
              <w:ind w:firstLine="560"/>
              <w:jc w:val="both"/>
            </w:pPr>
            <w:r>
              <w:rPr>
                <w:rFonts w:ascii="仿宋_GB2312" w:hAnsi="仿宋_GB2312" w:cs="仿宋_GB2312" w:eastAsia="仿宋_GB2312"/>
                <w:sz w:val="21"/>
              </w:rPr>
              <w:t>供应商近</w:t>
            </w:r>
            <w:r>
              <w:rPr>
                <w:rFonts w:ascii="仿宋_GB2312" w:hAnsi="仿宋_GB2312" w:cs="仿宋_GB2312" w:eastAsia="仿宋_GB2312"/>
                <w:sz w:val="21"/>
              </w:rPr>
              <w:t>5</w:t>
            </w:r>
            <w:r>
              <w:rPr>
                <w:rFonts w:ascii="仿宋_GB2312" w:hAnsi="仿宋_GB2312" w:cs="仿宋_GB2312" w:eastAsia="仿宋_GB2312"/>
                <w:sz w:val="21"/>
              </w:rPr>
              <w:t>年内未发生泄密事件。</w:t>
            </w:r>
          </w:p>
          <w:p>
            <w:pPr>
              <w:pStyle w:val="null3"/>
              <w:ind w:firstLine="560"/>
              <w:jc w:val="both"/>
            </w:pPr>
            <w:r>
              <w:rPr>
                <w:rFonts w:ascii="仿宋_GB2312" w:hAnsi="仿宋_GB2312" w:cs="仿宋_GB2312" w:eastAsia="仿宋_GB2312"/>
                <w:sz w:val="21"/>
              </w:rPr>
              <w:t>六</w:t>
            </w:r>
            <w:r>
              <w:rPr>
                <w:rFonts w:ascii="仿宋_GB2312" w:hAnsi="仿宋_GB2312" w:cs="仿宋_GB2312" w:eastAsia="仿宋_GB2312"/>
                <w:sz w:val="21"/>
              </w:rPr>
              <w:t>、验收</w:t>
            </w:r>
          </w:p>
          <w:p>
            <w:pPr>
              <w:pStyle w:val="null3"/>
              <w:ind w:firstLine="560"/>
              <w:jc w:val="both"/>
            </w:pPr>
            <w:r>
              <w:rPr>
                <w:rFonts w:ascii="仿宋_GB2312" w:hAnsi="仿宋_GB2312" w:cs="仿宋_GB2312" w:eastAsia="仿宋_GB2312"/>
                <w:sz w:val="21"/>
              </w:rPr>
              <w:t>实行</w:t>
            </w:r>
            <w:r>
              <w:rPr>
                <w:rFonts w:ascii="仿宋_GB2312" w:hAnsi="仿宋_GB2312" w:cs="仿宋_GB2312" w:eastAsia="仿宋_GB2312"/>
                <w:sz w:val="21"/>
              </w:rPr>
              <w:t>半年确认</w:t>
            </w:r>
            <w:r>
              <w:rPr>
                <w:rFonts w:ascii="仿宋_GB2312" w:hAnsi="仿宋_GB2312" w:cs="仿宋_GB2312" w:eastAsia="仿宋_GB2312"/>
                <w:sz w:val="21"/>
              </w:rPr>
              <w:t>、年度总验收模式，依据</w:t>
            </w:r>
            <w:r>
              <w:rPr>
                <w:rFonts w:ascii="仿宋_GB2312" w:hAnsi="仿宋_GB2312" w:cs="仿宋_GB2312" w:eastAsia="仿宋_GB2312"/>
                <w:sz w:val="21"/>
              </w:rPr>
              <w:t>现场调查取证报告</w:t>
            </w:r>
            <w:r>
              <w:rPr>
                <w:rFonts w:ascii="仿宋_GB2312" w:hAnsi="仿宋_GB2312" w:cs="仿宋_GB2312" w:eastAsia="仿宋_GB2312"/>
                <w:sz w:val="21"/>
              </w:rPr>
              <w:t>作为验收凭证</w:t>
            </w:r>
            <w:r>
              <w:rPr>
                <w:rFonts w:ascii="仿宋_GB2312" w:hAnsi="仿宋_GB2312" w:cs="仿宋_GB2312" w:eastAsia="仿宋_GB2312"/>
                <w:sz w:val="21"/>
              </w:rPr>
              <w:t>。</w:t>
            </w:r>
          </w:p>
          <w:p>
            <w:pPr>
              <w:pStyle w:val="null3"/>
              <w:ind w:firstLine="56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供应商应该按照项目的需求配备合理的人员，确保项目实施质量。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供应商应该按照项目的需求配备合理的设施设备，确保项目实施质量。</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1年，自合同生效之日起计算，含交接过渡期保障。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（二）解决争议的方法 在执行本合同中发生的或与本合同有关的争端，双方应通过友好协商解决，经协商在30天内不能达成协议时，采取向甲方所在地有管辖权的人民法院提起诉讼解决。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如采购文件中融资相关内容与新政策要求有出入，按照最新要求执行。五、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的营业执照等证明文件，自然人提供身份证明；（2）供应商应提供健全的财务会计制度：提供2024年度或2025年度经审计的供应商财务会计报告或者提供磋商截止时间3个月内其基本账户开户银行出具的资信证明；（3）税收缴纳证明：提供供应商自磋商前1年以来已缴纳任意时段完税凭证或税务机关开具的完税证明（任意税种）；依法免税的应提供相关文件证明；（4）社会保障资金缴纳证明：提供供应商自磋商前1年以来已缴存的任意时段的社会保障资金缴存单据或社保机构开具的社会保险参保缴费情况证明；依法不需要缴纳社会保障资金的供应商应提供相关文件证明；（5）提供供应商具备履行合同所必需的设备和专业技术能力的证明材料；（6）供应商参加本次招标前3年内，在经营活动中没有重大违法记录的书面声明；（7）供应商不得被“信用中国”网站（www.creditchina.gov.cn）和中国政府采购网站（www.ccgp.gov.cn）列入失信被执行人、重大税收违法案件当事人名单、政府采购严重违法失信行为记录名单（此项由采购代理机构现场查询）；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服务内容及商务要求应答表.docx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应符合“响应文件格式”和磋商文件要求</w:t>
            </w:r>
          </w:p>
        </w:tc>
        <w:tc>
          <w:tcPr>
            <w:tcW w:type="dxa" w:w="1661"/>
          </w:tcPr>
          <w:p>
            <w:pPr>
              <w:pStyle w:val="null3"/>
            </w:pPr>
            <w:r>
              <w:rPr>
                <w:rFonts w:ascii="仿宋_GB2312" w:hAnsi="仿宋_GB2312" w:cs="仿宋_GB2312" w:eastAsia="仿宋_GB2312"/>
              </w:rPr>
              <w:t>响应文件封面 服务内容及商务要求应答表.docx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服务内容及商务要求应答表.docx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服务内容及商务要求应答表.docx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事件检测与初步研判</w:t>
            </w:r>
          </w:p>
        </w:tc>
        <w:tc>
          <w:tcPr>
            <w:tcW w:type="dxa" w:w="2492"/>
          </w:tcPr>
          <w:p>
            <w:pPr>
              <w:pStyle w:val="null3"/>
            </w:pPr>
            <w:r>
              <w:rPr>
                <w:rFonts w:ascii="仿宋_GB2312" w:hAnsi="仿宋_GB2312" w:cs="仿宋_GB2312" w:eastAsia="仿宋_GB2312"/>
              </w:rPr>
              <w:t>一、评审内容 针对采购内容提出适用于本项目的事件检测与初步研判，方案包括：①事件检测方案；②初步研判方案。 二、评审标准 1、完整性：方案必须全面，对评审内容中的各项要求有详细描述； 2、可实施性：切合本项目实际情况，提出步骤清晰、合理的方案； 3、针对性：方案能够紧扣项目实际情况，内容科学合理。 三、赋分标准（满分6分） ①事件检测方案：此评审项满分3分，每完全满足一个评审标准得1分；针对每条评审标准，如存在不合理的方面，得0.5分；针对每条评审标准，方案内容与本项目无关或未提供的，得0分。 ②初步研判方案：此评审项满分3分，每完全满足一个评审标准得1分；针对每条评审标准，如存在不合理的方面，得0.5分；针对每条评审标准，方案内容与本项目无关或未提供的，得0分。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证据固定与司法合规方案</w:t>
            </w:r>
          </w:p>
        </w:tc>
        <w:tc>
          <w:tcPr>
            <w:tcW w:type="dxa" w:w="2492"/>
          </w:tcPr>
          <w:p>
            <w:pPr>
              <w:pStyle w:val="null3"/>
            </w:pPr>
            <w:r>
              <w:rPr>
                <w:rFonts w:ascii="仿宋_GB2312" w:hAnsi="仿宋_GB2312" w:cs="仿宋_GB2312" w:eastAsia="仿宋_GB2312"/>
              </w:rPr>
              <w:t>一、评审内容 针对采购内容提出适用于本项目的证据固定与司法合规方案。方案包括:①证据固定方案；②司法合规性方案。 二、评审标准 1、完整性：方案必须全面，对评审内容中的各项要求有详细描述； 2、可实施性：切合本项目实际情况，提出步骤清晰、合理的方案； 3、针对性：方案能够紧扣项目实际情况，内容科学合理。 三、赋分标准（满分6分） ①证据固定方案：此评审项满分3分，每完全满足一个评审标准得1分；针对每条评审标准，如存在不合理的方面，得0.5分；针对每条评审标准，方案内容与本项目无关或未提供的，得0分。 ②司法合规性方案：此评审项满分3分，每完全满足一个评审标准得1分；针对每条评审标准，如存在不合理的方面，得0.5分；针对每条评审标准，方案内容与本项目无关或未提供的，得0分。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现场应急处置与抑制方案</w:t>
            </w:r>
          </w:p>
        </w:tc>
        <w:tc>
          <w:tcPr>
            <w:tcW w:type="dxa" w:w="2492"/>
          </w:tcPr>
          <w:p>
            <w:pPr>
              <w:pStyle w:val="null3"/>
            </w:pPr>
            <w:r>
              <w:rPr>
                <w:rFonts w:ascii="仿宋_GB2312" w:hAnsi="仿宋_GB2312" w:cs="仿宋_GB2312" w:eastAsia="仿宋_GB2312"/>
              </w:rPr>
              <w:t>一、评审内容 针对采购内容提出适用于本项目的现场应急处置与抑制方案。 二、评审标准 1、完整性：方案必须全面，对评审内容中的各项要求有详细描述； 2、可实施性：切合本项目实际情况，提出步骤清晰、合理的方案； 3、针对性：方案能够紧扣项目实际情况，内容科学合理。 三、赋分标准（满分3分） 现场应急处置与抑制方案：此评审项满分3分，每完全满足一个评审标准得1分；针对每条评审标准，如存在不合理的方面，得0.5分；针对每条评审标准，方案内容与本项目无关或未提供的，得0分。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溯源与取证分析方案</w:t>
            </w:r>
          </w:p>
        </w:tc>
        <w:tc>
          <w:tcPr>
            <w:tcW w:type="dxa" w:w="2492"/>
          </w:tcPr>
          <w:p>
            <w:pPr>
              <w:pStyle w:val="null3"/>
            </w:pPr>
            <w:r>
              <w:rPr>
                <w:rFonts w:ascii="仿宋_GB2312" w:hAnsi="仿宋_GB2312" w:cs="仿宋_GB2312" w:eastAsia="仿宋_GB2312"/>
              </w:rPr>
              <w:t>一、评审内容 针对采购内容提出适用于本项目的溯源与取证分析方案，方案包括：①攻击入口溯源及攻击路径重建方案；②恶意代码取证及日志与流量取证方案；③数据泄露与影响评估方案。 二、评审标准 1、完整性：方案必须全面，对评审内容中的各项要求有详细描述； 2、可实施性：切合本项目实际情况，提出步骤清晰、合理的方案； 3、针对性：方案能够紧扣项目实际情况，内容科学合理。 三、赋分标准（满分9分） ①攻击入口溯源及攻击路径重建方案：此评审项满分3分，每完全满足一个评审标准得1分；针对每条评审标准，如存在不合理的方面，得0.5分；针对每条评审标准，方案内容与本项目无关或未提供的，得0分。 ②恶意代码取证及日志与流量取证方案：此评审项满分3分，每完全满足一个评审标准得1分；针对每条评审标准，如存在不合理的方面，得0.5分；针对每条评审标准，方案内容与本项目无关或未提供的，得0分。 ③数据泄露与影响评估方案：此评审项满分3分，每完全满足一个评审标准得1分；针对每条评审标准，如存在不合理的方面，得0.5分；针对每条评审标准，方案内容与本项目无关或未提供的，得0分。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 ①成果文件编制规范性保障方案及主要工作质量保证措施；②项目风险控制措施和机制及廉洁保密措施。 二、评审标准 1、完整性：方案必须全面，对评审内容中的各项要求有详细描述； 2、可实施性：切合本项目实际情况，提出步骤清晰、合理的方案； 3、针对性：方案能够紧扣项目实际情况，内容科学合理。 三、赋分标准（满分6分） ①成果文件编制规范性保障方案及主要工作质量保证措施：此评审项满分3分，每完全满足一个评审标准得1分；针对每条评审标准，如存在不合理的方面，得0.5分；针对每条评审标准，方案内容与本项目无关或未提供的，得0分。 ②项目风险控制措施和机制及廉洁保密措施：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内容提出有关服务承诺，方案包括：①对服务时限内团队稳定性等相关内容作出承诺；②对服务质量一致性、报告数据准确性及专业性等相关内容作出承诺；③积极配合采购人相关工作内容的承诺。 二、评审标准 1、完整性：方案必须全面，对评审内容中的各项要求有详细描述； 2、针对性：方案能够紧扣项目实际情况，内容科学合理； 3、可实施性：切合本项目实际情况，提出步骤清晰、合理的方案。 三、赋分标准（满分9分） ①对服务时限内团队稳定性等相关内容作出承诺：此评审项满分3分，每完全满足一个评审标准得1分；针对每条评审标准，如存在不合理的方面，得0.5分；针对每条评审标准，方案内容与本项目无关或未提供的，得0分。 ②对服务质量一致性、报告数据准确性及专业性等相关内容作出承诺：此评审项满分3分，每完全满足一个评审标准得1分；针对每条评审标准，如存在不合理的方面，得0.5分；针对每条评审标准，方案内容与本项目无关或未提供的，得0分。 ③积极配合采购人相关工作内容的承诺：此评审项满分3分，每完全满足一个评审标准得1分；针对每条评审标准，如存在不合理的方面，得0.5分；针对每条评审标准，方案内容与本项目无关或未提供的，得0分。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1.项目管理人员具有相关专业高级职称的得3分，具备等级保护高级测评师、个人信息合规审计高级审计师、CISSP证书资格之一的得3分，此项最高6分。 2.项目团队人员具有相关专业高级职称的得2分，具有中级职称的得1分，此项最高6分（单人只按最高职称计入）。 3.项目团队人员具有CISP、CCSC-数据安全/网络安全技术等相关资质证书其一的，每1人得3分，最高不超过9分（单人只按一项资质证书计入）。</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提供供应商近三年（2023年1月1日以来）类似项目业绩，每份合同为1个业绩，每提供一个得2分，满分10分。（提供合同复印件）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供应商业绩等其他证明材料.docx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磋商评审价为磋商基准价，其磋商报价为满分。其他供应商的磋商报价得分，统一按照下列公式计算：磋商报价得分=(磋商基准价／评审价)×30。符合磋商文件规定的小微企业、监狱企业、残疾人福利性单位优惠条件的供应商，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审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详见附件：服务内容及商务要求应答表.docx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详见附件：供应商业绩等其他证明材料.docx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详见附件：027拟签订的采购合同文本.docx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