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版本号：OTXA-262023129720260616001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《我们的节日》主题文明实践活动项目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OTXA-2620231297</w:t>
      </w:r>
      <w:r>
        <w:br/>
      </w:r>
      <w:r>
        <w:br/>
      </w:r>
      <w:r>
        <w:br/>
      </w:r>
    </w:p>
    <w:p>
      <w:pPr>
        <w:pStyle w:val="null3"/>
        <w:jc w:val="center"/>
        <w:outlineLvl w:val="2"/>
      </w:pPr>
      <w:r>
        <w:rPr>
          <w:rFonts w:ascii="仿宋_GB2312" w:hAnsi="仿宋_GB2312" w:cs="仿宋_GB2312" w:eastAsia="仿宋_GB2312"/>
          <w:sz w:val="28"/>
          <w:b/>
        </w:rPr>
        <w:t>西安市新时代文明实践指导中心</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西安市新时代文明实践指导中心</w:t>
      </w:r>
      <w:r>
        <w:rPr>
          <w:rFonts w:ascii="仿宋_GB2312" w:hAnsi="仿宋_GB2312" w:cs="仿宋_GB2312" w:eastAsia="仿宋_GB2312"/>
        </w:rPr>
        <w:t>委托，拟对</w:t>
      </w:r>
      <w:r>
        <w:rPr>
          <w:rFonts w:ascii="仿宋_GB2312" w:hAnsi="仿宋_GB2312" w:cs="仿宋_GB2312" w:eastAsia="仿宋_GB2312"/>
        </w:rPr>
        <w:t>《我们的节日》主题文明实践活动项目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OTXA-2620231297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《我们的节日》主题文明实践活动项目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推动中华优秀传统文化传承发展，持续深入推进中国传统节日振兴，厚植家国情怀，弘扬传统美德，培育文明新风，鼓舞信心斗志，将新时代文明实践中心、所、站、基地作为培育精神文明的有效载体，持续开展2026年西安市“我们的节日”主题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采购包1（《我们的节日》主题文明实践活动项目）：属于专门面向中小企业采购。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至今任意一年度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截止时点：磋商截止时间；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西安市新时代文明实践指导中心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西安市凤城8路99号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029-67090707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李小艺、孙翊轩、张强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西安市新时代文明实践指导中心</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西安市新时代文明实践指导中心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西安市新时代文明实践指导中心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联系人：孙翊轩、李小艺、张强</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推动中华优秀传统文化传承发展，持续深入推进中国传统节日振兴，厚植家国情怀，弘扬传统美德，培育文明新风，鼓舞信心斗志，将新时代文明实践中心、所、站、基地作为培育精神文明的有效载体，持续开展2026年西安市“我们的节日”主题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我们的节日主题活动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标的名称：我们的节日主题活动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一、活动整体目标</w:t>
            </w:r>
          </w:p>
          <w:p>
            <w:pPr>
              <w:pStyle w:val="null3"/>
            </w:pPr>
            <w:r>
              <w:rPr>
                <w:rFonts w:ascii="仿宋_GB2312" w:hAnsi="仿宋_GB2312" w:cs="仿宋_GB2312" w:eastAsia="仿宋_GB2312"/>
                <w:sz w:val="21"/>
              </w:rPr>
              <w:t>为进一步推动中华优秀传统文化传承发展，持续深入推进中国传统节日振兴，厚植家国情怀，弘扬传统美德，培育文明新风，鼓舞信心斗志，将新时代文明实践中心、所、站、基地作为培育精神文明的有效载体，持续开展2026年西安市“我们的节日”主题活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二、前期筹备需求</w:t>
            </w:r>
          </w:p>
          <w:p>
            <w:pPr>
              <w:pStyle w:val="null3"/>
            </w:pPr>
            <w:r>
              <w:rPr>
                <w:rFonts w:ascii="仿宋_GB2312" w:hAnsi="仿宋_GB2312" w:cs="仿宋_GB2312" w:eastAsia="仿宋_GB2312"/>
                <w:sz w:val="21"/>
              </w:rPr>
              <w:t>1</w:t>
            </w:r>
            <w:r>
              <w:rPr>
                <w:rFonts w:ascii="仿宋_GB2312" w:hAnsi="仿宋_GB2312" w:cs="仿宋_GB2312" w:eastAsia="仿宋_GB2312"/>
                <w:sz w:val="21"/>
              </w:rPr>
              <w:t>、方案策划。根据新时代文明实践系列活动执行组织需要，前期针对大众参与策划组织群众性活动。并根据开展活动区县特色及相关新时代文明实践示范案例进行方案策划。</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、人员对接。做好开展活动的准备工作，对接好各区县新时代文明实践中心、所、站、基地，专人负责，落实到位，确保活动圆满成功。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、场地安排。乙方负责协助甲方安排指定活动的地点和时间，并与当地交警、城管部门进行协调对接，以确保活动的顺利进行。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、流程设计。设置明确的活动布置和流程，确保参与者有序参与。提供详细的活动日程表，确保参与者了解活动安排。</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三、活动开展需求</w:t>
            </w:r>
          </w:p>
          <w:p>
            <w:pPr>
              <w:pStyle w:val="null3"/>
            </w:pPr>
            <w:r>
              <w:rPr>
                <w:rFonts w:ascii="仿宋_GB2312" w:hAnsi="仿宋_GB2312" w:cs="仿宋_GB2312" w:eastAsia="仿宋_GB2312"/>
                <w:sz w:val="21"/>
              </w:rPr>
              <w:t>1</w:t>
            </w:r>
            <w:r>
              <w:rPr>
                <w:rFonts w:ascii="仿宋_GB2312" w:hAnsi="仿宋_GB2312" w:cs="仿宋_GB2312" w:eastAsia="仿宋_GB2312"/>
                <w:sz w:val="21"/>
              </w:rPr>
              <w:t>、场次要求。全年活动在“春节、元宵、清明、端午、七夕、中秋、重阳”等传统文化节日期间开展，全年活动总场次不少于20场。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、活动规模。整体执行服务满足单场线下200人次群众人员规模，每场次活动按照参与节目时长进行流程串联，单场不少于一小时的执行保障。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氛围营造。针对周期内活动服务工作，提供视觉设计服务，满足活动整体形象露出，包括但不限于活动主背景设计、拍照打卡装置设计、现场指引、活动流程手册设计以及整体活动效果图设计等内容。同步制定有效的执行方案，从物料搭建、氛围营造、现场执行等方面满足活动执行需要，保质保量完成项目执行工作。包括但不限于拍照打卡装置1个，指引立屏3个。</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舞台搭建。每场活动现场需设置电子屏或桁架，展示活动主题及主视觉画面，做为活动舞台背景。其中电子屏搭建不少于5场，每场活动电子屏规格不小于6*3m，不超过12*4m；主画面桁架搭建不少于10场，每场活动桁架大小不小于5*3m,不超过16*5m。表演舞台区域不小于6*4m,不超过16*5m。现场观众区打造，包括但不限于帐篷、桌椅若干，并配套相应的音响等音视频设备。</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传统文化体验。每场活动需设置对应节日相关的传统文化体验区，每场活动的体验类活动不少于两个，文化指导老师不少于一名，体验区摊位搭建高度2m,展示区150*60cm,需有配套桌椅，摊位门楣及体验区体验项目简介等内容。</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6</w:t>
            </w:r>
            <w:r>
              <w:rPr>
                <w:rFonts w:ascii="仿宋_GB2312" w:hAnsi="仿宋_GB2312" w:cs="仿宋_GB2312" w:eastAsia="仿宋_GB2312"/>
                <w:sz w:val="21"/>
              </w:rPr>
              <w:t>、活动宣传物料制作。进行活动宣传物料制作，每场活动物料制作不少于500份，包括但不限于手提袋、活动宣传单页、活动伴手礼（扇子、香包等符合节日特征的伴手礼内容）。</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7</w:t>
            </w:r>
            <w:r>
              <w:rPr>
                <w:rFonts w:ascii="仿宋_GB2312" w:hAnsi="仿宋_GB2312" w:cs="仿宋_GB2312" w:eastAsia="仿宋_GB2312"/>
                <w:sz w:val="21"/>
              </w:rPr>
              <w:t>、媒介宣传服务。结合整体项目宣传，能够设计制作符合主题的创意海报用于整体活动宣传预热；配合宣传撰写新闻稿件用于活动全媒体新闻报道；同时，能够提供活动摄影全纪录及全视角活动视频拍摄剪辑。每场活动照片拍摄不得少于80张，活动视频时长不得少于60秒。多平台多方位多媒体宣发，扩大宣传声量，每场活动宣发媒体不得少于5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8</w:t>
            </w:r>
            <w:r>
              <w:rPr>
                <w:rFonts w:ascii="仿宋_GB2312" w:hAnsi="仿宋_GB2312" w:cs="仿宋_GB2312" w:eastAsia="仿宋_GB2312"/>
                <w:sz w:val="21"/>
              </w:rPr>
              <w:t>、人员保障。每场活动现场执行及保障人员不得少于10人，包括但不限于主持人、礼仪、摄影摄像、活动执行人员等，其中主持人、礼仪根据每场活动情况而定。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进度款，合同签订生效后，达到付款条件起7个工作日内，支付合同总金额的70.0%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进度款，整体项目完成甲方验收无误，提供结案报告后，达到付款条件起7个工作日内，支付合同总金额的30.0%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陕西省政府采购供应商拒接政府采购领域商业贿赂承诺书.docx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度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截止时点：磋商截止时间；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依据磋商响应文件所提供的磋商响应服务要求的响应程度，按差别赋分：完全满足磋商文件服务要求，得满分；服务要求一项不满足，扣3分；扣完为止，不计负分。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对项目的理解及重点、特点分析</w:t>
            </w:r>
          </w:p>
        </w:tc>
        <w:tc>
          <w:tcPr>
            <w:tcW w:type="dxa" w:w="2492"/>
          </w:tcPr>
          <w:p>
            <w:pPr>
              <w:pStyle w:val="null3"/>
            </w:pPr>
            <w:r>
              <w:rPr>
                <w:rFonts w:ascii="仿宋_GB2312" w:hAnsi="仿宋_GB2312" w:cs="仿宋_GB2312" w:eastAsia="仿宋_GB2312"/>
              </w:rPr>
              <w:t>根据磋商文件所提供的项目的理解及重点、特点分析，方案内容至少包括：①对项目理解程度；②重点、特点分析等内容，自主赋分： 上述2方面内容中每有1项分析内容完整，有具体详细的闸述且符合项目要求的得2分，最高得4分；每缺少一项内容的扣2分，每有一处需求分析内容存在缺陷或不足的扣1分，扣完为止。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根据磋商文件所提供的总体实施方案，方案内容至少包括：①总体实施方案；②活动节点安排；③质量保障措施等，自主赋分： 上述3方面内容中每有1项分析内容完整，有具体详细的闸述且符合项目要求的得3分，最高得9分；每缺少一项内容的扣3分，每有一处需求分析内容存在缺陷或不足的扣2分，扣完为止。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根据磋商文件所提供的服务团队：包括但不限于①整体项目负责人概况；②实施人员清单及岗位信息等，自主赋分： 上述2方面内容中每有1项分析内容完整，人员组织架构合理，岗位职责明确，有具体详细的闸述且符合项目要求的得2分，最高得4分；每缺少一项内容的扣2分，每有一处需求分析内容存在缺陷或不足的扣 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根据磋商文件所提供的宣传方案，包括但不限于①热点监测及快速响应机制；②宣传的平台、推流形式等，自主赋分： 上述2方面内容中每有1项分析内容完整，有具体详细的闸述且符合项目要求的得3分，最高得6分；每缺少一项内容的扣3分，每有一处需求分析内容存在缺陷或不足的扣 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图片设计及视频拍摄方案</w:t>
            </w:r>
          </w:p>
        </w:tc>
        <w:tc>
          <w:tcPr>
            <w:tcW w:type="dxa" w:w="2492"/>
          </w:tcPr>
          <w:p>
            <w:pPr>
              <w:pStyle w:val="null3"/>
            </w:pPr>
            <w:r>
              <w:rPr>
                <w:rFonts w:ascii="仿宋_GB2312" w:hAnsi="仿宋_GB2312" w:cs="仿宋_GB2312" w:eastAsia="仿宋_GB2312"/>
              </w:rPr>
              <w:t>根据磋商文件所提供的图片设计及视频拍摄方案，包括但不限于①拟提供活动海报创意设计方案；②视频拍摄内容、期数等，自主赋分： 上述2方面内容中每有1项分析内容完整，有具体详细的闸述且符合项目要求的得2分，最高得4分；每缺少一项内容的扣2分，每有一处需求分析内容存在缺陷或不足的扣1分，扣完为止。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根据磋商响应文件提供的针对本项目的突发事件应急预案方案，方案内容涵盖本项目全部内容，至少包括①活动实施可能会发生的事故及对策；②所有可能会发生的事故及对策等内容。 上述2方面内容中每有1项分析内容完整、与项目需求吻合全面、安排合理、有具体详细的闸述且符合项目要求的得1分，最高得2分；每缺少一项内容的扣1分，每有一处需求分析内容存在缺陷或不足的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活动策划方案</w:t>
            </w:r>
          </w:p>
        </w:tc>
        <w:tc>
          <w:tcPr>
            <w:tcW w:type="dxa" w:w="2492"/>
          </w:tcPr>
          <w:p>
            <w:pPr>
              <w:pStyle w:val="null3"/>
            </w:pPr>
            <w:r>
              <w:rPr>
                <w:rFonts w:ascii="仿宋_GB2312" w:hAnsi="仿宋_GB2312" w:cs="仿宋_GB2312" w:eastAsia="仿宋_GB2312"/>
              </w:rPr>
              <w:t>根据磋商文件拟提供的活动策划方案，包括但不限于①拟提供的活动策划内容、场次；②拟提供的活动物料、活动手册、伴手礼等方案；③活动布置流程等，自主赋分：上述3方面内容中每有1项分析内容完整，有具体详细的闸述且符合项目要求的得3分，最高得9分；每缺少一项内容的扣3分，每有一处需求分析内容存在缺陷或不足的扣 2分，扣完为止。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拟投入设备方案</w:t>
            </w:r>
          </w:p>
        </w:tc>
        <w:tc>
          <w:tcPr>
            <w:tcW w:type="dxa" w:w="2492"/>
          </w:tcPr>
          <w:p>
            <w:pPr>
              <w:pStyle w:val="null3"/>
            </w:pPr>
            <w:r>
              <w:rPr>
                <w:rFonts w:ascii="仿宋_GB2312" w:hAnsi="仿宋_GB2312" w:cs="仿宋_GB2312" w:eastAsia="仿宋_GB2312"/>
              </w:rPr>
              <w:t>根据磋商文件拟提供的拟投入设备方案，包括但不限于①拟提供的摄影设备清单；②场地搭建、舞台设备清单等，自主赋分：上述2方面内容中每有1项分析内容完整，有具体详细的闸述且符合项目要求的得1分，最高得2分；每缺少一项内容的扣1分，每有一处需求分析内容存在缺陷或不足的扣 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满足磋商文件商务条款得5分，一项不满足本项不得分。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2023年1月1日起至今，磋商响应单位类似实施案例证明材料（以合同复印件为准，合同复印件至少含能反映采购内容页、双方签字盖章页等）每提供一份完整的业绩证明材料，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最低评审价为评审基准价，得20分。 2.按（评审基准价/评审价×20）的公式计算价格得分。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详见附件：我们的节日合同.docx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