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版本号：GZH-ZB-20260400620260508001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铜川市政府“两微一报一解读”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GZH-ZB-202604006</w:t>
      </w:r>
      <w:r>
        <w:br/>
      </w:r>
      <w:r>
        <w:br/>
      </w:r>
      <w:r>
        <w:br/>
      </w:r>
    </w:p>
    <w:p>
      <w:pPr>
        <w:pStyle w:val="null3"/>
        <w:jc w:val="center"/>
        <w:outlineLvl w:val="2"/>
      </w:pPr>
      <w:r>
        <w:rPr>
          <w:rFonts w:ascii="仿宋_GB2312" w:hAnsi="仿宋_GB2312" w:cs="仿宋_GB2312" w:eastAsia="仿宋_GB2312"/>
          <w:sz w:val="28"/>
          <w:b/>
        </w:rPr>
        <w:t>铜川市人民政府办公室（铜川市数据局）</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铜川市人民政府办公室（铜川市数据局）</w:t>
      </w:r>
      <w:r>
        <w:rPr>
          <w:rFonts w:ascii="仿宋_GB2312" w:hAnsi="仿宋_GB2312" w:cs="仿宋_GB2312" w:eastAsia="仿宋_GB2312"/>
        </w:rPr>
        <w:t>委托，拟对</w:t>
      </w:r>
      <w:r>
        <w:rPr>
          <w:rFonts w:ascii="仿宋_GB2312" w:hAnsi="仿宋_GB2312" w:cs="仿宋_GB2312" w:eastAsia="仿宋_GB2312"/>
        </w:rPr>
        <w:t>铜川市政府“两微一报一解读”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GZH-ZB-202604006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铜川市政府“两微一报一解读”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“两微一报一解读”，（“两微”指“铜川发布”微博、微信，“一报”指《铜川市人民政府公报》，“一解读”指铜川市政府政策解读）实行政府购买服务。服务期一年（自合同签订之日起）。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采购包1（铜川市政府“两微一报一解读”）：属于专门面向小微企业采购。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 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铜川市人民政府办公室（铜川市数据局）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0919-3183030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 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 (财库〔2018〕2号) 的有关规定执行，不足6000元，按6000元计取。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铜川市人民政府办公室（铜川市数据局）</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铜川市人民政府办公室（铜川市数据局）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铜川市人民政府办公室（铜川市数据局）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 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“两微一报一解读”，（“两微”指“铜川发布”微博、微信，“一报”指《铜川市人民政府公报》，“一解读”指铜川市政府政策解读）实行政府购买服务。服务期一年（自合同签订之日起）。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438,000.00</w:t>
      </w:r>
    </w:p>
    <w:p>
      <w:pPr>
        <w:pStyle w:val="null3"/>
      </w:pPr>
      <w:r>
        <w:rPr>
          <w:rFonts w:ascii="仿宋_GB2312" w:hAnsi="仿宋_GB2312" w:cs="仿宋_GB2312" w:eastAsia="仿宋_GB2312"/>
        </w:rPr>
        <w:t>采购包最高限价（元）: 438,000.00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完成合同约定内容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438,000.00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标的名称：完成合同约定内容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根据《中华人民共和国政府信息公开条例》及国务院办公厅、项目基本情况省政府办公厅关于政务公开工作的有关要求，为全面推进政务公开，精准解读政策、丰富载体形式、节约管理成本、提高财政资金使用效益，对“两微一报一解读”，“两微”指“铜川发布”微博、微信，“一报”指《铜川市人民政府公报》，“一解读”指铜川市政府政策解读)实行政府购买服务。“两微一报一解读”是铜川市政府政务公开的重要平台，对保障人民群众获取政府信息、提高政府工作透明度、增强政府公信力、加快法治政府建设具有重要意义。</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（一）“铜川发布”政务微博、微信公众号</w:t>
            </w:r>
          </w:p>
          <w:p>
            <w:pPr>
              <w:pStyle w:val="null3"/>
            </w:pPr>
            <w:r>
              <w:rPr>
                <w:rFonts w:ascii="仿宋_GB2312" w:hAnsi="仿宋_GB2312" w:cs="仿宋_GB2312" w:eastAsia="仿宋_GB2312"/>
              </w:rPr>
              <w:t>1. “铜川发布”政务微博为铜川市人民政府官方微博，发布权威消息，坚持正面引导，树立良好形象，回应公众关切。乙方应坚持每日更新、实时发布，全年发布信息不少于1500条，其中原创信息不少于100条，每日更新不少于4条。</w:t>
            </w:r>
          </w:p>
          <w:p>
            <w:pPr>
              <w:pStyle w:val="null3"/>
            </w:pPr>
            <w:r>
              <w:rPr>
                <w:rFonts w:ascii="仿宋_GB2312" w:hAnsi="仿宋_GB2312" w:cs="仿宋_GB2312" w:eastAsia="仿宋_GB2312"/>
              </w:rPr>
              <w:t>2. “铜川发布”微信公众号为铜川市人民政府官方微信，发布权威消息，坚持正面引导，树立良好形象，回应公众关切。乙方应坚持每日更新、实时发布，全年发布信息不少于1200条，其中原创信息不少于100条。</w:t>
            </w:r>
          </w:p>
          <w:p>
            <w:pPr>
              <w:pStyle w:val="null3"/>
            </w:pPr>
            <w:r>
              <w:rPr>
                <w:rFonts w:ascii="仿宋_GB2312" w:hAnsi="仿宋_GB2312" w:cs="仿宋_GB2312" w:eastAsia="仿宋_GB2312"/>
              </w:rPr>
              <w:t>（二）《铜川市人民政府公报》是刊登政府规章和规范性文件的标准文本，全年编印4期，每季度1期，乙方应于每季度结束后1个月内完成当期公报的校对、印刷、排版、发送、邮寄等工作；负责公报年审工作；协助甲方对公报发送、使用情况进行抽查、检查、评估。</w:t>
            </w:r>
          </w:p>
          <w:p>
            <w:pPr>
              <w:pStyle w:val="null3"/>
            </w:pPr>
            <w:r>
              <w:rPr>
                <w:rFonts w:ascii="仿宋_GB2312" w:hAnsi="仿宋_GB2312" w:cs="仿宋_GB2312" w:eastAsia="仿宋_GB2312"/>
              </w:rPr>
              <w:t>（三）铜川市政府政策解读是推动政策落实、主动解疑释惑、回应社会关切、积极引导舆论的重要途径之一，全年举办2期。围绕市政府重大决策部署、市政府常务会议议定事项、市政府规章、规范性文件等进行政策解读，通过专家学者、行业领导深入解析，传递政策意图，营造政府、媒体和公众良性互动的舆论环境，促进政府有效施政。议题由甲方确定，乙方负责邀请确定解读专家、行业领导、政策解读、策划、脚本制作、专题片拍摄、剪辑、制作，对政策解读效应、反响进行评估等方面工作，营造政府、媒体和公众良性互动的舆论环境，促进政府有效施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按国家现行项目实施规范和合同规定的验收评定标准等要求进行验收。（2）验收依据：本项目竞争性磋商文件、响应文件；本合同及附件文本；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合同服务期满4个月后，甲方收到乙方提供的发票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合同服务期满8个月后，甲方收到乙方提供的发票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合同服务期限届满，甲方收到乙方提供的发票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1.成交供应商未按合同要求向采购人提供服务内容，采购人有权会同监督机构终止合同，并对成交供应商违约行为进行追究，同时按政府采购法有关规定进行相应处罚。 2.除采购人提供的素材或信息资料外，成交供应商确保所交付的所有服务未侵犯任何第三方合法权益，否则因此给采购人或第三方造成的恶劣影响和一切损失，由成交供应商自行承担相应法律责任和经济赔偿。 3.因一方不履行本合同规定的义务，或严重违反本合同，造成该业务无法运行或无法达到本合同规定的目的，视作违约方单方违约，守约方有权向违约方索赔并单方面终止本合同。 4.因成交供应商原因未按规定时间推送消息、完成公报、政策解读，应按未按规定执行部分服务对应金额的2‰/次向采购人支付违约金，延迟推送超过三次时，采购人有权单方面解除合同，并要求成交供应商支付合同总价款的2%作为违约金。 5.因成交供应商工作失误造成必须删除“铜川发布”已发布消息、公报、政策解读存在严重问题或被中、省、市有关部门通报的，采购人有权对成交供应商进行酌情扣款。服务期全年失误总量超过3次，将取消成交供应商次年进入候选供应商范围的资格。 6.因成交供应商工作失误，造成公报存在错字、漏字、别字的，采购人有权对成交供应商进行扣款。发现1处错误扣除500元，3处错误以上算1次失误，扣除5000元。服务期内，失误总量超过3次的，将取消成交供应商次年进入候选供应商范围的资格。 7.因成交供应商拍摄角度、机位、光线、视角等工作失误造成政府解读视频效果不理想的，采购人有权要求重新拍摄，并扣除2000元。 8.成交供应商应具有采购人要求的相关专业资质，并有义务根据合同约定为采购人提供完整服务，成交供应商为采购人提供的专职工作人员（其中1名工作人员在合同履约地工作），经采购人认定不能满足服务需求时，采购人有权提出更换要求，成交供应商应在接到采购人通知后及时作出调整。 9.如双方就本合同条款内容或其执行发生任何争议，应尽可能友好协商解决，协商未能解决的，则任何一方均可将争议提交原告所在地有管辖权的人民法院通过诉讼方式解决。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补充说明 ：本章节3.3.5“支付约定”以合同文本为准，其付款时间中的“日”代指“工作日”。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进行认知及目标分析：对项目深入理解，认识到位、思路清晰，服务目标明确计10分；对项目较为理解，服务目标较明确计7分；对项目理解较差，服务目标不明确计4分；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问题分析及解决</w:t>
            </w:r>
          </w:p>
        </w:tc>
        <w:tc>
          <w:tcPr>
            <w:tcW w:type="dxa" w:w="2492"/>
          </w:tcPr>
          <w:p>
            <w:pPr>
              <w:pStyle w:val="null3"/>
            </w:pPr>
            <w:r>
              <w:rPr>
                <w:rFonts w:ascii="仿宋_GB2312" w:hAnsi="仿宋_GB2312" w:cs="仿宋_GB2312" w:eastAsia="仿宋_GB2312"/>
              </w:rPr>
              <w:t>供应商对四项服务内容存在的问题进行分析，并针对该问题提出解决方案：问题的认识及分析深刻到位，且解决方案思路清晰，切实可行计10分；问题的认识及分析一般，且解决方案较合理计7分；问题的认识及分析一般，解决方案不合理计4分；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已提出的问题及解决方案，进行项目合理规划及实施，并提供相应的实施方案（包括①服务链；②政策理解分析；③内容策划；④采编方案；⑤审核发布流程；⑥工作安排；⑦数据及资料管理；⑧组织协调内容及措施；⑨监督巡查体系）：能完全满足项目需要且操作性强，每个评审项计2分；较为满足项目需要，可操作性一般，每个评审项计1分；无法满足项目需要，无可操作性，每个评审项计0.5分。相关评审项未提供内容计0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供应商针对本项目提供工作管理措施及人员管理制度（包括但不限于工作管理制度、工作操作规程、工作管理机制、人员管理方案、奖惩制度等）：内容详细全面，切合本项目实际情况、条理清晰、科学合理可保障本项目高效实施计8分；内容完整、符合本项目实际需要，可保障本项目顺利实施计5分；内容简陋不完整、条例混乱、未有效结合本项目实际需求编制，难以保障项目正常实施计2分；本评审项未提供相关内容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含但不限于可能发生的紧急事件、应急处置流程、快速响应时间、调动的人员数量及分工情况、应急解决方案等）：措施内容详细全面，切合本项目实际情况、条理清晰、科学合理可保障本项目高效实施计8分；内容完整、符合本项目实际需要，可保障本项目顺利实施计5分；内容简陋不完整、条例混乱、未有效结合本项目实际需求编制，难以保障本项目实施计2分；本评审项未提供相关内容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根据拟派项目负责人的技术能力及从业经验进行赋分。项目负责人经验丰富，具备相关专业技术能力的证明材料得3分；项目负责人经验丰富，没有明确的相关专业技术能力的证明材料得2分；项目负责人经验较为丰富，没有明确的相关专业技术能力的证明材料得1分；未提供或项目负责人没有能明确达到本项目相关技术要求的得0分。评审依据：以加盖供应商公章的人员从业经验承诺或说明、相关资格证书及近6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除项目负责人）组织架构完整，岗位设置合理、明确，投入人员专业性、经验性强，对本项目有针对性得7分；技术服务团队（除项目负责人）组织架构基本完整，岗位设置基本合理，能够基本满足本项目采购要求得5分；技术服务团队（除项目负责人）组织架构完善程度一般，人员岗位设置合理性一般，人员专业性、经验性一般得3分。评审依据：以加盖供应商公章的人员从业经验承诺或说明、相关资格证书及近6个月社保证明。</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根据供应商提供2023年1月1日至今（以合同签订时间为准）完成过类似项目的业绩，每提供一个计2分，满分6分，未提供本项内容计0分。（注：以响应文件中提供的经供应商加盖公章的服务合同扫描件为准）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供应商具备互联网新闻信息服务许可证得5分。②供应商具备ISO14001环境管理体系认证、ISO45001职业健康安全管理体系认证、ISO9001质量管理体系认证、ISO20000信息技术服务管理体系认证、ISO27001信息安全管理认证，每提供1项得1分，最高得5分。未提供不得分。注：以加盖供应商公章的证书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质量保障措施：内容详细全面，切合本项目实际情况、条理清晰、科学合理可保障本项目高质量实施计10分；内容完整、符合本项目实际需要，可保障本项目顺利实施计7分；内容简陋不完整、条例混乱、未有效结合本项目实际需求编制，难以保障本项目质量计3分；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有效供应商的最终报价的最低值为基准价得10分，其他各供应商的最终报价得分按下列公式计算：（基准价/最终报价）×10％×100。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详见附件：项目实施人员情况表.docx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