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C8F6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方正小标宋简体"/>
          <w:snapToGrid w:val="0"/>
          <w:sz w:val="40"/>
          <w:szCs w:val="40"/>
          <w:highlight w:val="none"/>
        </w:rPr>
      </w:pPr>
      <w:bookmarkStart w:id="0" w:name="_GoBack"/>
      <w:bookmarkEnd w:id="0"/>
      <w:r>
        <w:rPr>
          <w:rFonts w:hint="eastAsia" w:ascii="方正小标宋简体" w:hAnsi="方正小标宋简体" w:eastAsia="方正小标宋简体" w:cs="方正小标宋简体"/>
          <w:snapToGrid w:val="0"/>
          <w:sz w:val="40"/>
          <w:szCs w:val="40"/>
          <w:highlight w:val="none"/>
        </w:rPr>
        <w:t>铜川市政府采购合同书</w:t>
      </w:r>
    </w:p>
    <w:p w14:paraId="2B1FAF79">
      <w:pPr>
        <w:keepNext w:val="0"/>
        <w:keepLines w:val="0"/>
        <w:pageBreakBefore w:val="0"/>
        <w:widowControl w:val="0"/>
        <w:kinsoku/>
        <w:wordWrap/>
        <w:overflowPunct/>
        <w:topLinePunct w:val="0"/>
        <w:autoSpaceDE/>
        <w:autoSpaceDN/>
        <w:bidi w:val="0"/>
        <w:adjustRightInd/>
        <w:spacing w:line="240" w:lineRule="auto"/>
        <w:textAlignment w:val="auto"/>
        <w:rPr>
          <w:rFonts w:hint="eastAsia" w:ascii="仿宋_GB2312" w:hAnsi="仿宋_GB2312" w:eastAsia="仿宋_GB2312" w:cs="仿宋_GB2312"/>
          <w:snapToGrid w:val="0"/>
          <w:sz w:val="24"/>
          <w:szCs w:val="24"/>
          <w:highlight w:val="none"/>
        </w:rPr>
      </w:pPr>
    </w:p>
    <w:p w14:paraId="43C34BC9">
      <w:pPr>
        <w:keepNext w:val="0"/>
        <w:keepLines w:val="0"/>
        <w:pageBreakBefore w:val="0"/>
        <w:widowControl w:val="0"/>
        <w:kinsoku/>
        <w:wordWrap/>
        <w:overflowPunct/>
        <w:topLinePunct w:val="0"/>
        <w:autoSpaceDE/>
        <w:autoSpaceDN/>
        <w:bidi w:val="0"/>
        <w:adjustRightInd/>
        <w:spacing w:line="240" w:lineRule="auto"/>
        <w:ind w:firstLine="517" w:firstLineChars="150"/>
        <w:textAlignment w:val="auto"/>
        <w:rPr>
          <w:rFonts w:hint="eastAsia" w:ascii="黑体" w:hAnsi="黑体" w:eastAsia="黑体" w:cs="仿宋_GB2312"/>
          <w:bCs/>
          <w:snapToGrid w:val="0"/>
          <w:sz w:val="24"/>
          <w:szCs w:val="24"/>
          <w:highlight w:val="none"/>
        </w:rPr>
      </w:pPr>
      <w:r>
        <w:rPr>
          <w:rFonts w:hint="eastAsia" w:ascii="黑体" w:hAnsi="黑体" w:eastAsia="黑体" w:cs="仿宋_GB2312"/>
          <w:bCs/>
          <w:snapToGrid w:val="0"/>
          <w:sz w:val="24"/>
          <w:szCs w:val="24"/>
          <w:highlight w:val="none"/>
        </w:rPr>
        <w:t>甲方：铜川市人民政府办公室</w:t>
      </w:r>
    </w:p>
    <w:p w14:paraId="5DB67DC4">
      <w:pPr>
        <w:keepNext w:val="0"/>
        <w:keepLines w:val="0"/>
        <w:pageBreakBefore w:val="0"/>
        <w:widowControl w:val="0"/>
        <w:kinsoku/>
        <w:wordWrap/>
        <w:overflowPunct/>
        <w:topLinePunct w:val="0"/>
        <w:autoSpaceDE/>
        <w:autoSpaceDN/>
        <w:bidi w:val="0"/>
        <w:adjustRightInd/>
        <w:spacing w:line="240" w:lineRule="auto"/>
        <w:ind w:firstLine="517" w:firstLineChars="150"/>
        <w:textAlignment w:val="auto"/>
        <w:rPr>
          <w:rFonts w:hint="default" w:ascii="黑体" w:hAnsi="黑体" w:eastAsia="黑体" w:cs="仿宋_GB2312"/>
          <w:bCs/>
          <w:snapToGrid w:val="0"/>
          <w:sz w:val="24"/>
          <w:szCs w:val="24"/>
          <w:highlight w:val="none"/>
          <w:u w:val="single"/>
          <w:lang w:val="en-US" w:eastAsia="zh-CN"/>
        </w:rPr>
      </w:pPr>
      <w:r>
        <w:rPr>
          <w:rFonts w:hint="eastAsia" w:ascii="黑体" w:hAnsi="黑体" w:eastAsia="黑体" w:cs="仿宋_GB2312"/>
          <w:bCs/>
          <w:snapToGrid w:val="0"/>
          <w:sz w:val="24"/>
          <w:szCs w:val="24"/>
          <w:highlight w:val="none"/>
        </w:rPr>
        <w:t>乙方：</w:t>
      </w:r>
      <w:r>
        <w:rPr>
          <w:rFonts w:hint="eastAsia" w:ascii="黑体" w:hAnsi="黑体" w:eastAsia="黑体" w:cs="仿宋_GB2312"/>
          <w:bCs/>
          <w:snapToGrid w:val="0"/>
          <w:sz w:val="24"/>
          <w:szCs w:val="24"/>
          <w:highlight w:val="none"/>
          <w:u w:val="single"/>
          <w:lang w:val="en-US" w:eastAsia="zh-CN"/>
        </w:rPr>
        <w:t xml:space="preserve">                    </w:t>
      </w:r>
    </w:p>
    <w:p w14:paraId="04A8A16F">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p>
    <w:p w14:paraId="7B4C3393">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根据《中华人民共和国民法典》《中华人民共和国网络安全法》《互联网信息服务管理办法》《互联网用户公众账号信息服务管理规定》及相关法律法规规定，经甲乙双方友好协商，就乙方向甲方提供“两微一报一解读”项目事宜签订本合同。</w:t>
      </w:r>
    </w:p>
    <w:p w14:paraId="25B1BFA8">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黑体" w:hAnsi="黑体" w:eastAsia="黑体" w:cs="黑体"/>
          <w:snapToGrid w:val="0"/>
          <w:sz w:val="24"/>
          <w:szCs w:val="24"/>
          <w:highlight w:val="none"/>
        </w:rPr>
      </w:pPr>
      <w:r>
        <w:rPr>
          <w:rFonts w:hint="eastAsia" w:ascii="黑体" w:hAnsi="黑体" w:eastAsia="黑体" w:cs="黑体"/>
          <w:snapToGrid w:val="0"/>
          <w:sz w:val="24"/>
          <w:szCs w:val="24"/>
          <w:highlight w:val="none"/>
        </w:rPr>
        <w:t>一、服务内容</w:t>
      </w:r>
    </w:p>
    <w:p w14:paraId="17895160">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自本合同签订之日起服务期一年</w:t>
      </w:r>
      <w:r>
        <w:rPr>
          <w:rFonts w:hint="eastAsia" w:ascii="仿宋_GB2312" w:hAnsi="仿宋_GB2312" w:eastAsia="仿宋_GB2312" w:cs="仿宋_GB2312"/>
          <w:snapToGrid w:val="0"/>
          <w:sz w:val="24"/>
          <w:szCs w:val="24"/>
          <w:highlight w:val="none"/>
          <w:lang w:val="en-US" w:eastAsia="zh-CN"/>
        </w:rPr>
        <w:t>（本项目为一年多签合同，一年服务期满后经考核合格可续签合同，最长续签时间不超过两年）</w:t>
      </w:r>
      <w:r>
        <w:rPr>
          <w:rFonts w:hint="eastAsia" w:ascii="仿宋_GB2312" w:hAnsi="仿宋_GB2312" w:eastAsia="仿宋_GB2312" w:cs="仿宋_GB2312"/>
          <w:snapToGrid w:val="0"/>
          <w:sz w:val="24"/>
          <w:szCs w:val="24"/>
          <w:highlight w:val="none"/>
        </w:rPr>
        <w:t>，乙方负责组织专业服务团队为甲方提供微信、微博代运营服务，政府公报编印及政府政策解读等服务。具体内容有（详见附件）：</w:t>
      </w:r>
    </w:p>
    <w:p w14:paraId="49C813FD">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（一）“铜川发布”政务微博、微信公众号</w:t>
      </w:r>
    </w:p>
    <w:p w14:paraId="1ADC10A7">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1. “铜川发布”政务微博为铜川市人民政府官方微博，发布权威消息，坚持正面引导，树立良好形象，回应公众关切。乙方应坚持每日更新、实时发布，全年发布信息不少于1500条，其中原创信息不少于</w:t>
      </w:r>
      <w:r>
        <w:rPr>
          <w:rFonts w:hint="eastAsia" w:ascii="仿宋_GB2312" w:hAnsi="仿宋_GB2312" w:eastAsia="仿宋_GB2312" w:cs="仿宋_GB2312"/>
          <w:snapToGrid w:val="0"/>
          <w:sz w:val="24"/>
          <w:szCs w:val="24"/>
          <w:highlight w:val="none"/>
          <w:lang w:val="en-US" w:eastAsia="zh-CN"/>
        </w:rPr>
        <w:t>1</w:t>
      </w:r>
      <w:r>
        <w:rPr>
          <w:rFonts w:hint="eastAsia" w:ascii="仿宋_GB2312" w:hAnsi="仿宋_GB2312" w:eastAsia="仿宋_GB2312" w:cs="仿宋_GB2312"/>
          <w:snapToGrid w:val="0"/>
          <w:sz w:val="24"/>
          <w:szCs w:val="24"/>
          <w:highlight w:val="none"/>
        </w:rPr>
        <w:t>00条，每日更新不少于4条。</w:t>
      </w:r>
    </w:p>
    <w:p w14:paraId="39CA3639">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 “铜川发布”微信公众号为铜川市人民政府官方微信，发布权威消息，坚持正面引导，树立良好形象，回应公众关切。乙方应坚持每日更新、实时发布，全年发布信息不少于1</w:t>
      </w:r>
      <w:r>
        <w:rPr>
          <w:rFonts w:hint="eastAsia" w:ascii="仿宋_GB2312" w:hAnsi="仿宋_GB2312" w:eastAsia="仿宋_GB2312" w:cs="仿宋_GB2312"/>
          <w:snapToGrid w:val="0"/>
          <w:sz w:val="24"/>
          <w:szCs w:val="24"/>
          <w:highlight w:val="none"/>
          <w:lang w:val="en-US" w:eastAsia="zh-CN"/>
        </w:rPr>
        <w:t>2</w:t>
      </w:r>
      <w:r>
        <w:rPr>
          <w:rFonts w:hint="eastAsia" w:ascii="仿宋_GB2312" w:hAnsi="仿宋_GB2312" w:eastAsia="仿宋_GB2312" w:cs="仿宋_GB2312"/>
          <w:snapToGrid w:val="0"/>
          <w:sz w:val="24"/>
          <w:szCs w:val="24"/>
          <w:highlight w:val="none"/>
        </w:rPr>
        <w:t>00条，其中原创信息不少于</w:t>
      </w:r>
      <w:r>
        <w:rPr>
          <w:rFonts w:hint="eastAsia" w:ascii="仿宋_GB2312" w:hAnsi="仿宋_GB2312" w:eastAsia="仿宋_GB2312" w:cs="仿宋_GB2312"/>
          <w:snapToGrid w:val="0"/>
          <w:sz w:val="24"/>
          <w:szCs w:val="24"/>
          <w:highlight w:val="none"/>
          <w:lang w:val="en-US" w:eastAsia="zh-CN"/>
        </w:rPr>
        <w:t>1</w:t>
      </w:r>
      <w:r>
        <w:rPr>
          <w:rFonts w:hint="eastAsia" w:ascii="仿宋_GB2312" w:hAnsi="仿宋_GB2312" w:eastAsia="仿宋_GB2312" w:cs="仿宋_GB2312"/>
          <w:snapToGrid w:val="0"/>
          <w:sz w:val="24"/>
          <w:szCs w:val="24"/>
          <w:highlight w:val="none"/>
        </w:rPr>
        <w:t>00条。</w:t>
      </w:r>
    </w:p>
    <w:p w14:paraId="7BD991E3">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二）《铜川市人民政府公报》是刊登政府规章和规范性文件的标准文本，全年编印4期，每季度1期，乙方应于每季度结束后1个月内完成当期公报的校对、印刷、排版、发送、邮寄等工作；负责公报年审工作；协助甲方对公报发送、使用情况进行抽查、检查、评估。</w:t>
      </w:r>
    </w:p>
    <w:p w14:paraId="5F2653C6">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（三）铜川市政府政策解读是推动政策落实、主动解疑释惑、回应社会关切、积极引导舆论的重要途径之一，全年举办</w:t>
      </w:r>
      <w:r>
        <w:rPr>
          <w:rFonts w:hint="eastAsia" w:ascii="仿宋_GB2312" w:hAnsi="仿宋_GB2312" w:eastAsia="仿宋_GB2312" w:cs="仿宋_GB2312"/>
          <w:snapToGrid w:val="0"/>
          <w:sz w:val="24"/>
          <w:szCs w:val="24"/>
          <w:highlight w:val="none"/>
          <w:lang w:val="en-US" w:eastAsia="zh-CN"/>
        </w:rPr>
        <w:t>2</w:t>
      </w:r>
      <w:r>
        <w:rPr>
          <w:rFonts w:hint="eastAsia" w:ascii="仿宋_GB2312" w:hAnsi="仿宋_GB2312" w:eastAsia="仿宋_GB2312" w:cs="仿宋_GB2312"/>
          <w:snapToGrid w:val="0"/>
          <w:sz w:val="24"/>
          <w:szCs w:val="24"/>
          <w:highlight w:val="none"/>
        </w:rPr>
        <w:t>期。围绕市政府重大决策部署、市政府常务会议议定事项、市政府规章、规范性文件等进行政策解读，通过专家学者、行业领导深入解析，传递政策意图，营造政府、媒体和公众良性互动的舆论环境，促进政府有效施政。议题由甲方确定，乙方负责邀请确定解读专家、行业领导、政策解读、策划、脚本制作、专题片拍摄、剪辑、制作，对政策解读效应、反响进行评估等方面工作，营造政府、媒体和公众良性互动的舆论环境，促进政府有效施政。</w:t>
      </w:r>
    </w:p>
    <w:p w14:paraId="649E3C36">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黑体" w:hAnsi="黑体" w:eastAsia="黑体" w:cs="黑体"/>
          <w:snapToGrid w:val="0"/>
          <w:sz w:val="24"/>
          <w:szCs w:val="24"/>
          <w:highlight w:val="none"/>
        </w:rPr>
      </w:pPr>
      <w:r>
        <w:rPr>
          <w:rFonts w:hint="eastAsia" w:ascii="黑体" w:hAnsi="黑体" w:eastAsia="黑体" w:cs="黑体"/>
          <w:snapToGrid w:val="0"/>
          <w:sz w:val="24"/>
          <w:szCs w:val="24"/>
          <w:highlight w:val="none"/>
        </w:rPr>
        <w:t>二、价款与结算</w:t>
      </w:r>
    </w:p>
    <w:p w14:paraId="16F323B2">
      <w:pPr>
        <w:keepNext w:val="0"/>
        <w:keepLines w:val="0"/>
        <w:pageBreakBefore w:val="0"/>
        <w:widowControl w:val="0"/>
        <w:kinsoku/>
        <w:wordWrap/>
        <w:overflowPunct/>
        <w:topLinePunct w:val="0"/>
        <w:autoSpaceDE/>
        <w:autoSpaceDN/>
        <w:bidi w:val="0"/>
        <w:adjustRightInd/>
        <w:spacing w:line="400" w:lineRule="exact"/>
        <w:ind w:firstLine="529" w:firstLineChars="150"/>
        <w:textAlignment w:val="auto"/>
        <w:rPr>
          <w:rFonts w:hint="eastAsia" w:ascii="仿宋_GB2312" w:hAnsi="仿宋_GB2312" w:eastAsia="仿宋_GB2312" w:cs="仿宋_GB2312"/>
          <w:snapToGrid w:val="0"/>
          <w:spacing w:val="4"/>
          <w:sz w:val="24"/>
          <w:szCs w:val="24"/>
          <w:highlight w:val="none"/>
        </w:rPr>
      </w:pPr>
      <w:r>
        <w:rPr>
          <w:rFonts w:hint="eastAsia" w:ascii="仿宋_GB2312" w:hAnsi="仿宋_GB2312" w:eastAsia="仿宋_GB2312" w:cs="仿宋_GB2312"/>
          <w:snapToGrid w:val="0"/>
          <w:spacing w:val="4"/>
          <w:sz w:val="24"/>
          <w:szCs w:val="24"/>
          <w:highlight w:val="none"/>
        </w:rPr>
        <w:t>1. 合同总价（含税）为：</w:t>
      </w:r>
      <w:r>
        <w:rPr>
          <w:rFonts w:hint="eastAsia" w:ascii="仿宋_GB2312" w:hAnsi="仿宋_GB2312" w:eastAsia="仿宋_GB2312" w:cs="仿宋_GB2312"/>
          <w:snapToGrid w:val="0"/>
          <w:color w:val="auto"/>
          <w:spacing w:val="4"/>
          <w:sz w:val="24"/>
          <w:szCs w:val="24"/>
          <w:highlight w:val="none"/>
          <w:u w:val="single"/>
          <w:lang w:val="en-US" w:eastAsia="zh-CN"/>
        </w:rPr>
        <w:t xml:space="preserve">     </w:t>
      </w:r>
      <w:r>
        <w:rPr>
          <w:rFonts w:hint="eastAsia" w:ascii="仿宋_GB2312" w:hAnsi="仿宋_GB2312" w:eastAsia="仿宋_GB2312" w:cs="仿宋_GB2312"/>
          <w:snapToGrid w:val="0"/>
          <w:color w:val="auto"/>
          <w:spacing w:val="4"/>
          <w:sz w:val="24"/>
          <w:szCs w:val="24"/>
          <w:highlight w:val="none"/>
          <w:u w:val="none"/>
          <w:lang w:val="en-US" w:eastAsia="zh-CN"/>
        </w:rPr>
        <w:t>元</w:t>
      </w:r>
      <w:r>
        <w:rPr>
          <w:rFonts w:hint="eastAsia" w:ascii="仿宋_GB2312" w:hAnsi="仿宋_GB2312" w:eastAsia="仿宋_GB2312" w:cs="仿宋_GB2312"/>
          <w:snapToGrid w:val="0"/>
          <w:spacing w:val="4"/>
          <w:sz w:val="24"/>
          <w:szCs w:val="24"/>
          <w:highlight w:val="none"/>
        </w:rPr>
        <w:t>（大写：</w:t>
      </w:r>
      <w:r>
        <w:rPr>
          <w:rFonts w:hint="eastAsia" w:ascii="仿宋_GB2312" w:hAnsi="仿宋_GB2312" w:eastAsia="仿宋_GB2312" w:cs="仿宋_GB2312"/>
          <w:snapToGrid w:val="0"/>
          <w:spacing w:val="4"/>
          <w:sz w:val="24"/>
          <w:szCs w:val="24"/>
          <w:highlight w:val="none"/>
          <w:u w:val="single"/>
          <w:lang w:val="en-US" w:eastAsia="zh-CN"/>
        </w:rPr>
        <w:t xml:space="preserve">   </w:t>
      </w:r>
      <w:r>
        <w:rPr>
          <w:rFonts w:hint="eastAsia" w:ascii="仿宋_GB2312" w:hAnsi="仿宋_GB2312" w:eastAsia="仿宋_GB2312" w:cs="仿宋_GB2312"/>
          <w:snapToGrid w:val="0"/>
          <w:spacing w:val="4"/>
          <w:sz w:val="24"/>
          <w:szCs w:val="24"/>
          <w:highlight w:val="none"/>
          <w:u w:val="none"/>
          <w:lang w:val="en-US" w:eastAsia="zh-CN"/>
        </w:rPr>
        <w:t>元</w:t>
      </w:r>
      <w:r>
        <w:rPr>
          <w:rFonts w:hint="eastAsia" w:ascii="仿宋_GB2312" w:hAnsi="仿宋_GB2312" w:eastAsia="仿宋_GB2312" w:cs="仿宋_GB2312"/>
          <w:snapToGrid w:val="0"/>
          <w:spacing w:val="4"/>
          <w:sz w:val="24"/>
          <w:szCs w:val="24"/>
          <w:highlight w:val="none"/>
        </w:rPr>
        <w:t>），包括为完成甲方要求的所有服务应支付的各项金额总和。</w:t>
      </w:r>
    </w:p>
    <w:p w14:paraId="56CA8624">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 付款方式：</w:t>
      </w:r>
    </w:p>
    <w:p w14:paraId="63209307">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2.1  总费用分</w:t>
      </w:r>
      <w:r>
        <w:rPr>
          <w:rFonts w:hint="eastAsia" w:ascii="仿宋_GB2312" w:hAnsi="仿宋_GB2312" w:eastAsia="仿宋_GB2312" w:cs="仿宋_GB2312"/>
          <w:snapToGrid w:val="0"/>
          <w:sz w:val="24"/>
          <w:szCs w:val="24"/>
          <w:highlight w:val="none"/>
          <w:lang w:eastAsia="zh-CN"/>
        </w:rPr>
        <w:t>三</w:t>
      </w:r>
      <w:r>
        <w:rPr>
          <w:rFonts w:hint="eastAsia" w:ascii="仿宋_GB2312" w:hAnsi="仿宋_GB2312" w:eastAsia="仿宋_GB2312" w:cs="仿宋_GB2312"/>
          <w:snapToGrid w:val="0"/>
          <w:sz w:val="24"/>
          <w:szCs w:val="24"/>
          <w:highlight w:val="none"/>
        </w:rPr>
        <w:t>次结清，合同</w:t>
      </w:r>
      <w:r>
        <w:rPr>
          <w:rFonts w:hint="eastAsia" w:ascii="仿宋_GB2312" w:hAnsi="仿宋_GB2312" w:eastAsia="仿宋_GB2312" w:cs="仿宋_GB2312"/>
          <w:snapToGrid w:val="0"/>
          <w:sz w:val="24"/>
          <w:szCs w:val="24"/>
          <w:highlight w:val="none"/>
          <w:lang w:eastAsia="zh-CN"/>
        </w:rPr>
        <w:t>服务时间满</w:t>
      </w:r>
      <w:r>
        <w:rPr>
          <w:rFonts w:hint="eastAsia" w:ascii="仿宋_GB2312" w:hAnsi="仿宋_GB2312" w:eastAsia="仿宋_GB2312" w:cs="仿宋_GB2312"/>
          <w:snapToGrid w:val="0"/>
          <w:sz w:val="24"/>
          <w:szCs w:val="24"/>
          <w:highlight w:val="none"/>
          <w:lang w:val="en-US" w:eastAsia="zh-CN"/>
        </w:rPr>
        <w:t>4个月</w:t>
      </w:r>
      <w:r>
        <w:rPr>
          <w:rFonts w:hint="eastAsia" w:ascii="仿宋_GB2312" w:hAnsi="仿宋_GB2312" w:eastAsia="仿宋_GB2312" w:cs="仿宋_GB2312"/>
          <w:snapToGrid w:val="0"/>
          <w:sz w:val="24"/>
          <w:szCs w:val="24"/>
          <w:highlight w:val="none"/>
        </w:rPr>
        <w:t>后，甲方收到乙方提供的发票的10个工作日内，首次向乙方支付合同总额的30％即</w:t>
      </w:r>
      <w:r>
        <w:rPr>
          <w:rFonts w:hint="eastAsia" w:ascii="仿宋_GB2312" w:hAnsi="仿宋_GB2312" w:eastAsia="仿宋_GB2312" w:cs="仿宋_GB2312"/>
          <w:snapToGrid w:val="0"/>
          <w:sz w:val="24"/>
          <w:szCs w:val="24"/>
          <w:highlight w:val="none"/>
          <w:u w:val="single"/>
          <w:lang w:val="en-US" w:eastAsia="zh-CN"/>
        </w:rPr>
        <w:t xml:space="preserve">  </w:t>
      </w:r>
      <w:r>
        <w:rPr>
          <w:rFonts w:hint="eastAsia" w:ascii="仿宋_GB2312" w:hAnsi="仿宋_GB2312" w:eastAsia="仿宋_GB2312" w:cs="仿宋_GB2312"/>
          <w:snapToGrid w:val="0"/>
          <w:color w:val="auto"/>
          <w:sz w:val="24"/>
          <w:szCs w:val="24"/>
          <w:highlight w:val="none"/>
          <w:u w:val="single"/>
          <w:lang w:val="en-US" w:eastAsia="zh-CN"/>
        </w:rPr>
        <w:t xml:space="preserve"> </w:t>
      </w:r>
      <w:r>
        <w:rPr>
          <w:rFonts w:hint="eastAsia" w:ascii="仿宋_GB2312" w:hAnsi="仿宋_GB2312" w:eastAsia="仿宋_GB2312" w:cs="仿宋_GB2312"/>
          <w:snapToGrid w:val="0"/>
          <w:color w:val="auto"/>
          <w:sz w:val="24"/>
          <w:szCs w:val="24"/>
          <w:highlight w:val="none"/>
          <w:u w:val="none"/>
          <w:lang w:val="en-US" w:eastAsia="zh-CN"/>
        </w:rPr>
        <w:t>元</w:t>
      </w:r>
      <w:r>
        <w:rPr>
          <w:rFonts w:hint="eastAsia" w:ascii="仿宋_GB2312" w:hAnsi="仿宋_GB2312" w:eastAsia="仿宋_GB2312" w:cs="仿宋_GB2312"/>
          <w:snapToGrid w:val="0"/>
          <w:sz w:val="24"/>
          <w:szCs w:val="24"/>
          <w:highlight w:val="none"/>
        </w:rPr>
        <w:t>（大写：</w:t>
      </w:r>
      <w:r>
        <w:rPr>
          <w:rFonts w:hint="eastAsia" w:ascii="仿宋_GB2312" w:hAnsi="仿宋_GB2312" w:eastAsia="仿宋_GB2312" w:cs="仿宋_GB2312"/>
          <w:snapToGrid w:val="0"/>
          <w:sz w:val="24"/>
          <w:szCs w:val="24"/>
          <w:highlight w:val="none"/>
          <w:u w:val="single"/>
          <w:lang w:val="en-US" w:eastAsia="zh-CN"/>
        </w:rPr>
        <w:t xml:space="preserve">      </w:t>
      </w:r>
      <w:r>
        <w:rPr>
          <w:rFonts w:hint="eastAsia" w:ascii="仿宋_GB2312" w:hAnsi="仿宋_GB2312" w:eastAsia="仿宋_GB2312" w:cs="仿宋_GB2312"/>
          <w:snapToGrid w:val="0"/>
          <w:sz w:val="24"/>
          <w:szCs w:val="24"/>
          <w:highlight w:val="none"/>
          <w:u w:val="none"/>
          <w:lang w:val="en-US" w:eastAsia="zh-CN"/>
        </w:rPr>
        <w:t>元</w:t>
      </w:r>
      <w:r>
        <w:rPr>
          <w:rFonts w:hint="eastAsia" w:ascii="仿宋_GB2312" w:hAnsi="仿宋_GB2312" w:eastAsia="仿宋_GB2312" w:cs="仿宋_GB2312"/>
          <w:snapToGrid w:val="0"/>
          <w:sz w:val="24"/>
          <w:szCs w:val="24"/>
          <w:highlight w:val="none"/>
        </w:rPr>
        <w:t>）；</w:t>
      </w:r>
    </w:p>
    <w:p w14:paraId="2876A286">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2.2  合同服务时间满</w:t>
      </w:r>
      <w:r>
        <w:rPr>
          <w:rFonts w:hint="eastAsia" w:ascii="仿宋_GB2312" w:hAnsi="仿宋_GB2312" w:eastAsia="仿宋_GB2312" w:cs="仿宋_GB2312"/>
          <w:snapToGrid w:val="0"/>
          <w:sz w:val="24"/>
          <w:szCs w:val="24"/>
          <w:highlight w:val="none"/>
          <w:lang w:val="en-US" w:eastAsia="zh-CN"/>
        </w:rPr>
        <w:t>8</w:t>
      </w:r>
      <w:r>
        <w:rPr>
          <w:rFonts w:hint="eastAsia" w:ascii="仿宋_GB2312" w:hAnsi="仿宋_GB2312" w:eastAsia="仿宋_GB2312" w:cs="仿宋_GB2312"/>
          <w:snapToGrid w:val="0"/>
          <w:sz w:val="24"/>
          <w:szCs w:val="24"/>
          <w:highlight w:val="none"/>
        </w:rPr>
        <w:t>个月后，甲方收到乙方提供的发票的10个工作日内，第二次向乙方支付合同总额的3</w:t>
      </w:r>
      <w:r>
        <w:rPr>
          <w:rFonts w:hint="eastAsia" w:ascii="仿宋_GB2312" w:hAnsi="仿宋_GB2312" w:eastAsia="仿宋_GB2312" w:cs="仿宋_GB2312"/>
          <w:snapToGrid w:val="0"/>
          <w:sz w:val="24"/>
          <w:szCs w:val="24"/>
          <w:highlight w:val="none"/>
          <w:lang w:val="en-US" w:eastAsia="zh-CN"/>
        </w:rPr>
        <w:t>5</w:t>
      </w:r>
      <w:r>
        <w:rPr>
          <w:rFonts w:hint="eastAsia" w:ascii="仿宋_GB2312" w:hAnsi="仿宋_GB2312" w:eastAsia="仿宋_GB2312" w:cs="仿宋_GB2312"/>
          <w:snapToGrid w:val="0"/>
          <w:sz w:val="24"/>
          <w:szCs w:val="24"/>
          <w:highlight w:val="none"/>
        </w:rPr>
        <w:t>％即</w:t>
      </w:r>
      <w:r>
        <w:rPr>
          <w:rFonts w:hint="eastAsia" w:ascii="仿宋_GB2312" w:hAnsi="仿宋_GB2312" w:eastAsia="仿宋_GB2312" w:cs="仿宋_GB2312"/>
          <w:snapToGrid w:val="0"/>
          <w:sz w:val="24"/>
          <w:szCs w:val="24"/>
          <w:highlight w:val="none"/>
          <w:u w:val="single"/>
          <w:lang w:val="en-US" w:eastAsia="zh-CN"/>
        </w:rPr>
        <w:t xml:space="preserve">           </w:t>
      </w:r>
      <w:r>
        <w:rPr>
          <w:rFonts w:hint="eastAsia" w:ascii="仿宋_GB2312" w:hAnsi="仿宋_GB2312" w:eastAsia="仿宋_GB2312" w:cs="仿宋_GB2312"/>
          <w:snapToGrid w:val="0"/>
          <w:sz w:val="24"/>
          <w:szCs w:val="24"/>
          <w:highlight w:val="none"/>
          <w:u w:val="none"/>
          <w:lang w:val="en-US" w:eastAsia="zh-CN"/>
        </w:rPr>
        <w:t>元</w:t>
      </w:r>
      <w:r>
        <w:rPr>
          <w:rFonts w:hint="eastAsia" w:ascii="仿宋_GB2312" w:hAnsi="仿宋_GB2312" w:eastAsia="仿宋_GB2312" w:cs="仿宋_GB2312"/>
          <w:snapToGrid w:val="0"/>
          <w:sz w:val="24"/>
          <w:szCs w:val="24"/>
          <w:highlight w:val="none"/>
        </w:rPr>
        <w:t>（大写：</w:t>
      </w:r>
      <w:r>
        <w:rPr>
          <w:rFonts w:hint="eastAsia" w:ascii="仿宋_GB2312" w:hAnsi="仿宋_GB2312" w:eastAsia="仿宋_GB2312" w:cs="仿宋_GB2312"/>
          <w:snapToGrid w:val="0"/>
          <w:sz w:val="24"/>
          <w:szCs w:val="24"/>
          <w:highlight w:val="none"/>
          <w:u w:val="single"/>
          <w:lang w:val="en-US" w:eastAsia="zh-CN"/>
        </w:rPr>
        <w:t xml:space="preserve">     </w:t>
      </w:r>
      <w:r>
        <w:rPr>
          <w:rFonts w:hint="eastAsia" w:ascii="仿宋_GB2312" w:hAnsi="仿宋_GB2312" w:eastAsia="仿宋_GB2312" w:cs="仿宋_GB2312"/>
          <w:snapToGrid w:val="0"/>
          <w:sz w:val="24"/>
          <w:szCs w:val="24"/>
          <w:highlight w:val="none"/>
          <w:u w:val="none"/>
          <w:lang w:val="en-US" w:eastAsia="zh-CN"/>
        </w:rPr>
        <w:t>元</w:t>
      </w:r>
      <w:r>
        <w:rPr>
          <w:rFonts w:hint="eastAsia" w:ascii="仿宋_GB2312" w:hAnsi="仿宋_GB2312" w:eastAsia="仿宋_GB2312" w:cs="仿宋_GB2312"/>
          <w:snapToGrid w:val="0"/>
          <w:sz w:val="24"/>
          <w:szCs w:val="24"/>
          <w:highlight w:val="none"/>
        </w:rPr>
        <w:t>）；</w:t>
      </w:r>
    </w:p>
    <w:p w14:paraId="05DCF36B">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w:t>
      </w:r>
      <w:r>
        <w:rPr>
          <w:rFonts w:hint="eastAsia" w:ascii="仿宋_GB2312" w:hAnsi="仿宋_GB2312" w:eastAsia="仿宋_GB2312" w:cs="仿宋_GB2312"/>
          <w:snapToGrid w:val="0"/>
          <w:sz w:val="24"/>
          <w:szCs w:val="24"/>
          <w:highlight w:val="none"/>
          <w:lang w:val="en-US" w:eastAsia="zh-CN"/>
        </w:rPr>
        <w:t>3</w:t>
      </w:r>
      <w:r>
        <w:rPr>
          <w:rFonts w:hint="eastAsia" w:ascii="仿宋_GB2312" w:hAnsi="仿宋_GB2312" w:eastAsia="仿宋_GB2312" w:cs="仿宋_GB2312"/>
          <w:snapToGrid w:val="0"/>
          <w:sz w:val="24"/>
          <w:szCs w:val="24"/>
          <w:highlight w:val="none"/>
        </w:rPr>
        <w:t xml:space="preserve">  合同服务期限届满，经甲方验收合格后的10个工作日内,甲方向乙方支付合同金额</w:t>
      </w:r>
      <w:r>
        <w:rPr>
          <w:rFonts w:hint="eastAsia" w:ascii="仿宋_GB2312" w:hAnsi="仿宋_GB2312" w:eastAsia="仿宋_GB2312" w:cs="仿宋_GB2312"/>
          <w:snapToGrid w:val="0"/>
          <w:sz w:val="24"/>
          <w:szCs w:val="24"/>
          <w:highlight w:val="none"/>
          <w:lang w:eastAsia="zh-CN"/>
        </w:rPr>
        <w:t>的</w:t>
      </w:r>
      <w:r>
        <w:rPr>
          <w:rFonts w:hint="eastAsia" w:ascii="仿宋_GB2312" w:hAnsi="仿宋_GB2312" w:eastAsia="仿宋_GB2312" w:cs="仿宋_GB2312"/>
          <w:snapToGrid w:val="0"/>
          <w:sz w:val="24"/>
          <w:szCs w:val="24"/>
          <w:highlight w:val="none"/>
          <w:lang w:val="en-US" w:eastAsia="zh-CN"/>
        </w:rPr>
        <w:t>35%</w:t>
      </w:r>
      <w:r>
        <w:rPr>
          <w:rFonts w:hint="eastAsia" w:ascii="仿宋_GB2312" w:hAnsi="仿宋_GB2312" w:eastAsia="仿宋_GB2312" w:cs="仿宋_GB2312"/>
          <w:snapToGrid w:val="0"/>
          <w:sz w:val="24"/>
          <w:szCs w:val="24"/>
          <w:highlight w:val="none"/>
        </w:rPr>
        <w:t>即</w:t>
      </w:r>
      <w:r>
        <w:rPr>
          <w:rFonts w:hint="eastAsia" w:ascii="仿宋_GB2312" w:hAnsi="仿宋_GB2312" w:eastAsia="仿宋_GB2312" w:cs="仿宋_GB2312"/>
          <w:snapToGrid w:val="0"/>
          <w:color w:val="auto"/>
          <w:sz w:val="24"/>
          <w:szCs w:val="24"/>
          <w:highlight w:val="none"/>
          <w:u w:val="single"/>
          <w:lang w:val="en-US" w:eastAsia="zh-CN"/>
        </w:rPr>
        <w:t xml:space="preserve">    </w:t>
      </w:r>
      <w:r>
        <w:rPr>
          <w:rFonts w:hint="eastAsia" w:ascii="仿宋_GB2312" w:hAnsi="仿宋_GB2312" w:eastAsia="仿宋_GB2312" w:cs="仿宋_GB2312"/>
          <w:snapToGrid w:val="0"/>
          <w:color w:val="auto"/>
          <w:sz w:val="24"/>
          <w:szCs w:val="24"/>
          <w:highlight w:val="none"/>
          <w:u w:val="none"/>
          <w:lang w:val="en-US" w:eastAsia="zh-CN"/>
        </w:rPr>
        <w:t>元</w:t>
      </w:r>
      <w:r>
        <w:rPr>
          <w:rFonts w:hint="eastAsia" w:ascii="仿宋_GB2312" w:hAnsi="仿宋_GB2312" w:eastAsia="仿宋_GB2312" w:cs="仿宋_GB2312"/>
          <w:snapToGrid w:val="0"/>
          <w:sz w:val="24"/>
          <w:szCs w:val="24"/>
          <w:highlight w:val="none"/>
        </w:rPr>
        <w:t>（大写：</w:t>
      </w:r>
      <w:r>
        <w:rPr>
          <w:rFonts w:hint="eastAsia" w:ascii="仿宋_GB2312" w:hAnsi="仿宋_GB2312" w:eastAsia="仿宋_GB2312" w:cs="仿宋_GB2312"/>
          <w:snapToGrid w:val="0"/>
          <w:sz w:val="24"/>
          <w:szCs w:val="24"/>
          <w:highlight w:val="none"/>
          <w:u w:val="single"/>
          <w:lang w:val="en-US" w:eastAsia="zh-CN"/>
        </w:rPr>
        <w:t xml:space="preserve">     </w:t>
      </w:r>
      <w:r>
        <w:rPr>
          <w:rFonts w:hint="eastAsia" w:ascii="仿宋_GB2312" w:hAnsi="仿宋_GB2312" w:eastAsia="仿宋_GB2312" w:cs="仿宋_GB2312"/>
          <w:snapToGrid w:val="0"/>
          <w:sz w:val="24"/>
          <w:szCs w:val="24"/>
          <w:highlight w:val="none"/>
          <w:u w:val="none"/>
          <w:lang w:val="en-US" w:eastAsia="zh-CN"/>
        </w:rPr>
        <w:t>元</w:t>
      </w:r>
      <w:r>
        <w:rPr>
          <w:rFonts w:hint="eastAsia" w:ascii="仿宋_GB2312" w:hAnsi="仿宋_GB2312" w:eastAsia="仿宋_GB2312" w:cs="仿宋_GB2312"/>
          <w:snapToGrid w:val="0"/>
          <w:sz w:val="24"/>
          <w:szCs w:val="24"/>
          <w:highlight w:val="none"/>
        </w:rPr>
        <w:t>）。</w:t>
      </w:r>
    </w:p>
    <w:p w14:paraId="3E15544D">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w:t>
      </w:r>
      <w:r>
        <w:rPr>
          <w:rFonts w:hint="eastAsia" w:ascii="仿宋_GB2312" w:hAnsi="仿宋_GB2312" w:eastAsia="仿宋_GB2312" w:cs="仿宋_GB2312"/>
          <w:snapToGrid w:val="0"/>
          <w:sz w:val="24"/>
          <w:szCs w:val="24"/>
          <w:highlight w:val="none"/>
          <w:lang w:val="en-US" w:eastAsia="zh-CN"/>
        </w:rPr>
        <w:t>4</w:t>
      </w:r>
      <w:r>
        <w:rPr>
          <w:rFonts w:hint="eastAsia" w:ascii="仿宋_GB2312" w:hAnsi="仿宋_GB2312" w:eastAsia="仿宋_GB2312" w:cs="仿宋_GB2312"/>
          <w:snapToGrid w:val="0"/>
          <w:sz w:val="24"/>
          <w:szCs w:val="24"/>
          <w:highlight w:val="none"/>
        </w:rPr>
        <w:t xml:space="preserve">  甲方每次付款前，乙方应当提供甲方认可的等额合法发票，否则甲方有权拒绝付款，且不得因此延误合同的履行；</w:t>
      </w:r>
    </w:p>
    <w:p w14:paraId="3FB7FE66">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w:t>
      </w:r>
      <w:r>
        <w:rPr>
          <w:rFonts w:hint="eastAsia" w:ascii="仿宋_GB2312" w:hAnsi="仿宋_GB2312" w:eastAsia="仿宋_GB2312" w:cs="仿宋_GB2312"/>
          <w:snapToGrid w:val="0"/>
          <w:sz w:val="24"/>
          <w:szCs w:val="24"/>
          <w:highlight w:val="none"/>
          <w:lang w:val="en-US" w:eastAsia="zh-CN"/>
        </w:rPr>
        <w:t>5</w:t>
      </w:r>
      <w:r>
        <w:rPr>
          <w:rFonts w:hint="eastAsia" w:ascii="仿宋_GB2312" w:hAnsi="仿宋_GB2312" w:eastAsia="仿宋_GB2312" w:cs="仿宋_GB2312"/>
          <w:snapToGrid w:val="0"/>
          <w:sz w:val="24"/>
          <w:szCs w:val="24"/>
          <w:highlight w:val="none"/>
        </w:rPr>
        <w:t xml:space="preserve">  乙方因提供的服务不符合合同约定或造成甲方损失的，乙方应承担违约责任或赔偿损失责任，经商定，甲方可以在相应服务期应付款项中扣除。</w:t>
      </w:r>
    </w:p>
    <w:p w14:paraId="5752E5D9">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w:t>
      </w:r>
      <w:r>
        <w:rPr>
          <w:rFonts w:hint="eastAsia" w:ascii="仿宋_GB2312" w:hAnsi="仿宋_GB2312" w:eastAsia="仿宋_GB2312" w:cs="仿宋_GB2312"/>
          <w:snapToGrid w:val="0"/>
          <w:sz w:val="24"/>
          <w:szCs w:val="24"/>
          <w:highlight w:val="none"/>
          <w:lang w:val="en-US" w:eastAsia="zh-CN"/>
        </w:rPr>
        <w:t>6</w:t>
      </w:r>
      <w:r>
        <w:rPr>
          <w:rFonts w:hint="eastAsia" w:ascii="仿宋_GB2312" w:hAnsi="仿宋_GB2312" w:eastAsia="仿宋_GB2312" w:cs="仿宋_GB2312"/>
          <w:snapToGrid w:val="0"/>
          <w:sz w:val="24"/>
          <w:szCs w:val="24"/>
          <w:highlight w:val="none"/>
        </w:rPr>
        <w:t xml:space="preserve">  结算方式：银行转账</w:t>
      </w:r>
    </w:p>
    <w:p w14:paraId="1FDED01B">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乙方账户信息：</w:t>
      </w:r>
    </w:p>
    <w:p w14:paraId="00B7FFB0">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color w:val="auto"/>
          <w:sz w:val="24"/>
          <w:szCs w:val="24"/>
          <w:highlight w:val="none"/>
        </w:rPr>
      </w:pPr>
      <w:r>
        <w:rPr>
          <w:rFonts w:hint="eastAsia" w:ascii="仿宋_GB2312" w:hAnsi="仿宋_GB2312" w:eastAsia="仿宋_GB2312" w:cs="仿宋_GB2312"/>
          <w:snapToGrid w:val="0"/>
          <w:color w:val="auto"/>
          <w:sz w:val="24"/>
          <w:szCs w:val="24"/>
          <w:highlight w:val="none"/>
        </w:rPr>
        <w:t>户  名：</w:t>
      </w:r>
    </w:p>
    <w:p w14:paraId="714AEBBA">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color w:val="auto"/>
          <w:sz w:val="24"/>
          <w:szCs w:val="24"/>
          <w:highlight w:val="none"/>
        </w:rPr>
      </w:pPr>
      <w:r>
        <w:rPr>
          <w:rFonts w:hint="eastAsia" w:ascii="仿宋_GB2312" w:hAnsi="仿宋_GB2312" w:eastAsia="仿宋_GB2312" w:cs="仿宋_GB2312"/>
          <w:snapToGrid w:val="0"/>
          <w:color w:val="auto"/>
          <w:sz w:val="24"/>
          <w:szCs w:val="24"/>
          <w:highlight w:val="none"/>
        </w:rPr>
        <w:t>开户行：</w:t>
      </w:r>
    </w:p>
    <w:p w14:paraId="52E52291">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color w:val="auto"/>
          <w:sz w:val="24"/>
          <w:szCs w:val="24"/>
          <w:highlight w:val="none"/>
        </w:rPr>
      </w:pPr>
      <w:r>
        <w:rPr>
          <w:rFonts w:hint="eastAsia" w:ascii="仿宋_GB2312" w:hAnsi="仿宋_GB2312" w:eastAsia="仿宋_GB2312" w:cs="仿宋_GB2312"/>
          <w:snapToGrid w:val="0"/>
          <w:color w:val="auto"/>
          <w:sz w:val="24"/>
          <w:szCs w:val="24"/>
          <w:highlight w:val="none"/>
        </w:rPr>
        <w:t>账  号：</w:t>
      </w:r>
    </w:p>
    <w:p w14:paraId="13253C76">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黑体" w:hAnsi="黑体" w:eastAsia="黑体" w:cs="黑体"/>
          <w:snapToGrid w:val="0"/>
          <w:sz w:val="24"/>
          <w:szCs w:val="24"/>
          <w:highlight w:val="none"/>
        </w:rPr>
      </w:pPr>
      <w:r>
        <w:rPr>
          <w:rFonts w:hint="eastAsia" w:ascii="黑体" w:hAnsi="黑体" w:eastAsia="黑体" w:cs="黑体"/>
          <w:snapToGrid w:val="0"/>
          <w:sz w:val="24"/>
          <w:szCs w:val="24"/>
          <w:highlight w:val="none"/>
        </w:rPr>
        <w:t>三、责任与义务</w:t>
      </w:r>
    </w:p>
    <w:p w14:paraId="0907F104">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楷体_GB2312" w:hAnsi="楷体_GB2312" w:eastAsia="楷体_GB2312" w:cs="楷体_GB2312"/>
          <w:snapToGrid w:val="0"/>
          <w:sz w:val="24"/>
          <w:szCs w:val="24"/>
          <w:highlight w:val="none"/>
        </w:rPr>
      </w:pPr>
      <w:r>
        <w:rPr>
          <w:rFonts w:hint="eastAsia" w:ascii="楷体_GB2312" w:hAnsi="楷体_GB2312" w:eastAsia="楷体_GB2312" w:cs="楷体_GB2312"/>
          <w:snapToGrid w:val="0"/>
          <w:sz w:val="24"/>
          <w:szCs w:val="24"/>
          <w:highlight w:val="none"/>
        </w:rPr>
        <w:t>（一）甲方责任与义务</w:t>
      </w:r>
    </w:p>
    <w:p w14:paraId="2BDCA802">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1. 甲方作为“铜川发布”政务微博、微信公众号的注册主体，应遵守平台内容生产和账号运营管理规则、平台公约和服务协议，按照公众号登记的内容生产类别，委托乙方从事相关领域的运营服务；</w:t>
      </w:r>
    </w:p>
    <w:p w14:paraId="7C8F6223">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default" w:ascii="仿宋_GB2312" w:hAnsi="仿宋_GB2312" w:eastAsia="仿宋_GB2312" w:cs="仿宋_GB2312"/>
          <w:bCs/>
          <w:snapToGrid w:val="0"/>
          <w:sz w:val="24"/>
          <w:szCs w:val="24"/>
          <w:highlight w:val="none"/>
          <w:lang w:val="en-US" w:eastAsia="zh-CN"/>
        </w:rPr>
      </w:pPr>
      <w:r>
        <w:rPr>
          <w:rFonts w:hint="eastAsia" w:ascii="仿宋_GB2312" w:hAnsi="仿宋_GB2312" w:eastAsia="仿宋_GB2312" w:cs="仿宋_GB2312"/>
          <w:snapToGrid w:val="0"/>
          <w:sz w:val="24"/>
          <w:szCs w:val="24"/>
          <w:highlight w:val="none"/>
        </w:rPr>
        <w:t>2. 甲方负责“铜川发布”政务微博、微信公众号的注册、变更、年检手续，并对提供的证明材料的真实</w:t>
      </w:r>
      <w:r>
        <w:rPr>
          <w:rFonts w:hint="eastAsia" w:ascii="仿宋_GB2312" w:hAnsi="仿宋_GB2312" w:eastAsia="仿宋_GB2312" w:cs="仿宋_GB2312"/>
          <w:snapToGrid w:val="0"/>
          <w:sz w:val="24"/>
          <w:szCs w:val="24"/>
          <w:highlight w:val="none"/>
          <w:lang w:eastAsia="zh-CN"/>
        </w:rPr>
        <w:t>性</w:t>
      </w:r>
      <w:r>
        <w:rPr>
          <w:rFonts w:hint="eastAsia" w:ascii="仿宋_GB2312" w:hAnsi="仿宋_GB2312" w:eastAsia="仿宋_GB2312" w:cs="仿宋_GB2312"/>
          <w:snapToGrid w:val="0"/>
          <w:sz w:val="24"/>
          <w:szCs w:val="24"/>
          <w:highlight w:val="none"/>
        </w:rPr>
        <w:t>、合法性负责；</w:t>
      </w:r>
    </w:p>
    <w:p w14:paraId="3EFAE18E">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lang w:val="en-US" w:eastAsia="zh-CN"/>
        </w:rPr>
        <w:t>3</w:t>
      </w:r>
      <w:r>
        <w:rPr>
          <w:rFonts w:hint="eastAsia" w:ascii="仿宋_GB2312" w:hAnsi="仿宋_GB2312" w:eastAsia="仿宋_GB2312" w:cs="仿宋_GB2312"/>
          <w:snapToGrid w:val="0"/>
          <w:sz w:val="24"/>
          <w:szCs w:val="24"/>
          <w:highlight w:val="none"/>
        </w:rPr>
        <w:t>. 服务期内，甲方应根据本项目的实际需要提出明确的项目要求及选题方案，甲方应向乙方提供服务所需各类素材，包括但不限于制作约定产品所需的文字、图片、数据、音频、视频等；甲方保证向乙方提供的素材内容不会侵犯其他任何第三方的合法权益，如侵犯任何第三方知识产权的，由甲方自行处理相应侵权事宜，乙方不承担相关责任。</w:t>
      </w:r>
    </w:p>
    <w:p w14:paraId="0F7D6EC9">
      <w:pPr>
        <w:keepNext w:val="0"/>
        <w:keepLines w:val="0"/>
        <w:pageBreakBefore w:val="0"/>
        <w:widowControl w:val="0"/>
        <w:kinsoku/>
        <w:wordWrap/>
        <w:overflowPunct/>
        <w:topLinePunct w:val="0"/>
        <w:autoSpaceDE/>
        <w:autoSpaceDN/>
        <w:bidi w:val="0"/>
        <w:adjustRightInd/>
        <w:spacing w:line="400" w:lineRule="exact"/>
        <w:ind w:firstLine="505" w:firstLineChars="150"/>
        <w:textAlignment w:val="auto"/>
        <w:rPr>
          <w:rFonts w:hint="eastAsia" w:ascii="仿宋_GB2312" w:hAnsi="仿宋_GB2312" w:eastAsia="仿宋_GB2312" w:cs="仿宋_GB2312"/>
          <w:snapToGrid w:val="0"/>
          <w:spacing w:val="-4"/>
          <w:sz w:val="24"/>
          <w:szCs w:val="24"/>
          <w:highlight w:val="none"/>
        </w:rPr>
      </w:pPr>
      <w:r>
        <w:rPr>
          <w:rFonts w:hint="eastAsia" w:ascii="仿宋_GB2312" w:hAnsi="仿宋_GB2312" w:eastAsia="仿宋_GB2312" w:cs="仿宋_GB2312"/>
          <w:snapToGrid w:val="0"/>
          <w:spacing w:val="-4"/>
          <w:sz w:val="24"/>
          <w:szCs w:val="24"/>
          <w:highlight w:val="none"/>
          <w:lang w:val="en-US" w:eastAsia="zh-CN"/>
        </w:rPr>
        <w:t>4</w:t>
      </w:r>
      <w:r>
        <w:rPr>
          <w:rFonts w:hint="eastAsia" w:ascii="仿宋_GB2312" w:hAnsi="仿宋_GB2312" w:eastAsia="仿宋_GB2312" w:cs="仿宋_GB2312"/>
          <w:snapToGrid w:val="0"/>
          <w:spacing w:val="-4"/>
          <w:sz w:val="24"/>
          <w:szCs w:val="24"/>
          <w:highlight w:val="none"/>
        </w:rPr>
        <w:t>. 甲方保证其提供的信息不存在任何违法内容，如涉及收费内容，甲方已按照有关法律法规的规定支付，取得使用、转授权。</w:t>
      </w:r>
    </w:p>
    <w:p w14:paraId="0D81B2F8">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楷体_GB2312" w:hAnsi="楷体_GB2312" w:eastAsia="楷体_GB2312" w:cs="楷体_GB2312"/>
          <w:snapToGrid w:val="0"/>
          <w:sz w:val="24"/>
          <w:szCs w:val="24"/>
          <w:highlight w:val="none"/>
        </w:rPr>
      </w:pPr>
      <w:r>
        <w:rPr>
          <w:rFonts w:hint="eastAsia" w:ascii="楷体_GB2312" w:hAnsi="楷体_GB2312" w:eastAsia="楷体_GB2312" w:cs="楷体_GB2312"/>
          <w:snapToGrid w:val="0"/>
          <w:sz w:val="24"/>
          <w:szCs w:val="24"/>
          <w:highlight w:val="none"/>
        </w:rPr>
        <w:t>（二）乙方责任与义务</w:t>
      </w:r>
    </w:p>
    <w:p w14:paraId="060053C9">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 xml:space="preserve">1. </w:t>
      </w:r>
      <w:r>
        <w:rPr>
          <w:rFonts w:hint="eastAsia" w:ascii="仿宋_GB2312" w:hAnsi="仿宋_GB2312" w:eastAsia="仿宋_GB2312" w:cs="仿宋_GB2312"/>
          <w:snapToGrid w:val="0"/>
          <w:sz w:val="24"/>
          <w:szCs w:val="24"/>
          <w:highlight w:val="none"/>
          <w:lang w:val="en-US" w:eastAsia="zh-CN"/>
        </w:rPr>
        <w:t>乙方应具有甲方要求的相关专业资质，并有义务根据合同约定为甲方提供完整服务，乙方为甲方提供的专职工作人员（其中1名在合同履约地工作），经甲方认定不能满足服务需求时，甲方有权提出更换要求，乙方应在接到甲方通知后及时作出调整。</w:t>
      </w:r>
    </w:p>
    <w:p w14:paraId="0315B0FF">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 乙方在服务过程中获悉的由甲方提供的各类信息，以及形成的各类工作成果，未经甲方书面同意不得擅自泄漏给第三方，否则因此给甲方造成恶劣影响和各类损失，乙方须承担相应法律责任和经济赔偿。</w:t>
      </w:r>
    </w:p>
    <w:p w14:paraId="2D6E7C9A">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3. 乙方保证在向甲方提供本合同约定服务时，不会侵犯其他任何第三方的合法权益，如因乙方侵犯任何第三方知识产权造成的一切恶劣影响和相应后果，由乙方自行承担，与甲方无关。</w:t>
      </w:r>
    </w:p>
    <w:p w14:paraId="02011F39">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4. 因服务期满甲乙双方未能成功续约或者本合同在履行中因法定或者约定事由终止时，乙方有义务将所负责服务的相关素材资料移交与甲方或甲方委托的第三方。</w:t>
      </w:r>
    </w:p>
    <w:p w14:paraId="395D1C50">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5. 乙方在服务期间制作的图文、视频类产品，或通过甲方平台发布的信息，均应提交甲方最终审核，不得未经甲方同意擅自制作、发布。甲方收到乙方提交的制作方案、策划、拟发布内容等应当在3个工作日内回复乙方。</w:t>
      </w:r>
    </w:p>
    <w:p w14:paraId="1F00BBB5">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黑体" w:hAnsi="黑体" w:eastAsia="黑体" w:cs="黑体"/>
          <w:snapToGrid w:val="0"/>
          <w:sz w:val="24"/>
          <w:szCs w:val="24"/>
          <w:highlight w:val="none"/>
        </w:rPr>
      </w:pPr>
      <w:r>
        <w:rPr>
          <w:rFonts w:hint="eastAsia" w:ascii="黑体" w:hAnsi="黑体" w:eastAsia="黑体" w:cs="黑体"/>
          <w:snapToGrid w:val="0"/>
          <w:sz w:val="24"/>
          <w:szCs w:val="24"/>
          <w:highlight w:val="none"/>
        </w:rPr>
        <w:t>四、终止或变更</w:t>
      </w:r>
    </w:p>
    <w:p w14:paraId="7822E25B">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1. 除法定或另有约定外，本合同的变更、解除都应经双方协商一致。</w:t>
      </w:r>
    </w:p>
    <w:p w14:paraId="3B06CECD">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 因以下任何原因，双方终止合作：</w:t>
      </w:r>
    </w:p>
    <w:p w14:paraId="15651EE0">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2.1  经双方协商同意终止本合同；</w:t>
      </w:r>
    </w:p>
    <w:p w14:paraId="65014BA7">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2.2  本项目运营过程中遇不可抗力因素或出现违背国家法规政策规定的情况；</w:t>
      </w:r>
    </w:p>
    <w:p w14:paraId="1B447A6F">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2.3  甲乙双方任何一方欲提前终止本合同，需提前30天书面通知对方，经对方书面同意后，本合同终止；本合同的提前终止不影响双方终止前已产生的权利和义务。</w:t>
      </w:r>
    </w:p>
    <w:p w14:paraId="68EFEA8D">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3. 甲方有权在终止与乙方的合作后，再次启动磋商程序遴选理想供应商，此时将取消乙方再次参选的资格。</w:t>
      </w:r>
    </w:p>
    <w:p w14:paraId="745BD54B">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4. 因不可抗力或政府行为导致本合同无法继续履行的，双方互不承担任何责任，甲方应支付乙方已产生的实际费用。</w:t>
      </w:r>
    </w:p>
    <w:p w14:paraId="62A5636E">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黑体" w:hAnsi="黑体" w:eastAsia="黑体" w:cs="黑体"/>
          <w:snapToGrid w:val="0"/>
          <w:sz w:val="24"/>
          <w:szCs w:val="24"/>
          <w:highlight w:val="none"/>
        </w:rPr>
      </w:pPr>
      <w:r>
        <w:rPr>
          <w:rFonts w:hint="eastAsia" w:ascii="黑体" w:hAnsi="黑体" w:eastAsia="黑体" w:cs="黑体"/>
          <w:snapToGrid w:val="0"/>
          <w:sz w:val="24"/>
          <w:szCs w:val="24"/>
          <w:highlight w:val="none"/>
        </w:rPr>
        <w:t>五、违约责任</w:t>
      </w:r>
    </w:p>
    <w:p w14:paraId="01DC9CCC">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1. 乙方未按合同要求向甲方提供服务内容，甲方有权终止合同，并要求乙方据实赔偿因此造成的经济损失。</w:t>
      </w:r>
    </w:p>
    <w:p w14:paraId="3E3C8BDE">
      <w:pPr>
        <w:keepNext w:val="0"/>
        <w:keepLines w:val="0"/>
        <w:pageBreakBefore w:val="0"/>
        <w:widowControl w:val="0"/>
        <w:kinsoku/>
        <w:wordWrap/>
        <w:overflowPunct/>
        <w:topLinePunct w:val="0"/>
        <w:autoSpaceDE/>
        <w:autoSpaceDN/>
        <w:bidi w:val="0"/>
        <w:adjustRightInd/>
        <w:spacing w:line="400" w:lineRule="exact"/>
        <w:ind w:firstLine="523" w:firstLineChars="150"/>
        <w:textAlignment w:val="auto"/>
        <w:rPr>
          <w:rFonts w:hint="eastAsia" w:ascii="仿宋_GB2312" w:hAnsi="仿宋_GB2312" w:eastAsia="仿宋_GB2312" w:cs="仿宋_GB2312"/>
          <w:snapToGrid w:val="0"/>
          <w:spacing w:val="2"/>
          <w:sz w:val="24"/>
          <w:szCs w:val="24"/>
          <w:highlight w:val="none"/>
        </w:rPr>
      </w:pPr>
      <w:r>
        <w:rPr>
          <w:rFonts w:hint="eastAsia" w:ascii="仿宋_GB2312" w:hAnsi="仿宋_GB2312" w:eastAsia="仿宋_GB2312" w:cs="仿宋_GB2312"/>
          <w:snapToGrid w:val="0"/>
          <w:spacing w:val="2"/>
          <w:sz w:val="24"/>
          <w:szCs w:val="24"/>
          <w:highlight w:val="none"/>
        </w:rPr>
        <w:t>2. 除甲方提供的素材或信息资料外，乙方确保所交付的所有服务未侵犯任何第三方合法权益，否则因此给甲方或第三方造成的恶劣影响和一切损失，由乙方自行承担相应法律责任和经济赔偿。</w:t>
      </w:r>
    </w:p>
    <w:p w14:paraId="45C06D8C">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3. 因一方不履行本合同规定的义务，或严重违反本合同，造成该业务无法运行或无法达到本合同规定的目的，视作违约方单方违约，守约方有权向违约方索赔并单方面终止本合同。</w:t>
      </w:r>
    </w:p>
    <w:p w14:paraId="5C13FF85">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4. 因乙方原因未按规定时间推送消息、完成公报、政策解读，应按未按规定执行部分服务对应金额的2‰/次向甲方支付违约金，迟延推送超过</w:t>
      </w:r>
      <w:r>
        <w:rPr>
          <w:rFonts w:hint="eastAsia" w:ascii="仿宋_GB2312" w:hAnsi="仿宋_GB2312" w:eastAsia="仿宋_GB2312" w:cs="仿宋_GB2312"/>
          <w:snapToGrid w:val="0"/>
          <w:sz w:val="24"/>
          <w:szCs w:val="24"/>
          <w:highlight w:val="none"/>
          <w:lang w:val="en-US" w:eastAsia="zh-CN"/>
        </w:rPr>
        <w:t>3</w:t>
      </w:r>
      <w:r>
        <w:rPr>
          <w:rFonts w:hint="eastAsia" w:ascii="仿宋_GB2312" w:hAnsi="仿宋_GB2312" w:eastAsia="仿宋_GB2312" w:cs="仿宋_GB2312"/>
          <w:snapToGrid w:val="0"/>
          <w:sz w:val="24"/>
          <w:szCs w:val="24"/>
          <w:highlight w:val="none"/>
        </w:rPr>
        <w:t>次，甲方有权单方面解除合同，并要求乙方支付合同总价款的2%作为违约金。</w:t>
      </w:r>
    </w:p>
    <w:p w14:paraId="71C4C834">
      <w:pPr>
        <w:pStyle w:val="2"/>
        <w:keepNext w:val="0"/>
        <w:keepLines w:val="0"/>
        <w:pageBreakBefore w:val="0"/>
        <w:widowControl w:val="0"/>
        <w:kinsoku/>
        <w:wordWrap/>
        <w:overflowPunct/>
        <w:topLinePunct w:val="0"/>
        <w:autoSpaceDE/>
        <w:autoSpaceDN/>
        <w:bidi w:val="0"/>
        <w:adjustRightInd/>
        <w:snapToGrid/>
        <w:spacing w:beforeLines="0" w:afterLines="0" w:line="400" w:lineRule="exact"/>
        <w:ind w:firstLine="629"/>
        <w:jc w:val="both"/>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bCs/>
          <w:snapToGrid w:val="0"/>
          <w:sz w:val="24"/>
          <w:szCs w:val="24"/>
          <w:highlight w:val="none"/>
          <w:lang w:val="en-US" w:eastAsia="zh-CN"/>
        </w:rPr>
        <w:t xml:space="preserve">5. </w:t>
      </w:r>
      <w:r>
        <w:rPr>
          <w:rFonts w:hint="eastAsia" w:ascii="仿宋_GB2312" w:hAnsi="仿宋_GB2312" w:eastAsia="仿宋_GB2312" w:cs="仿宋_GB2312"/>
          <w:snapToGrid w:val="0"/>
          <w:sz w:val="24"/>
          <w:szCs w:val="24"/>
          <w:highlight w:val="none"/>
        </w:rPr>
        <w:t>因乙方工作失误造成必须删除“铜川发布”已发布消息存在严重问题或被中、省、市有关部门通报的，甲方有权对乙方进行扣款。每失误</w:t>
      </w:r>
      <w:r>
        <w:rPr>
          <w:rFonts w:hint="eastAsia" w:ascii="仿宋_GB2312" w:hAnsi="仿宋_GB2312" w:eastAsia="仿宋_GB2312" w:cs="仿宋_GB2312"/>
          <w:snapToGrid w:val="0"/>
          <w:sz w:val="24"/>
          <w:szCs w:val="24"/>
          <w:highlight w:val="none"/>
          <w:lang w:val="en-US" w:eastAsia="zh-CN"/>
        </w:rPr>
        <w:t>1</w:t>
      </w:r>
      <w:r>
        <w:rPr>
          <w:rFonts w:hint="eastAsia" w:ascii="仿宋_GB2312" w:hAnsi="仿宋_GB2312" w:eastAsia="仿宋_GB2312" w:cs="仿宋_GB2312"/>
          <w:snapToGrid w:val="0"/>
          <w:sz w:val="24"/>
          <w:szCs w:val="24"/>
          <w:highlight w:val="none"/>
        </w:rPr>
        <w:t>次，扣除</w:t>
      </w:r>
      <w:r>
        <w:rPr>
          <w:rFonts w:hint="eastAsia" w:ascii="仿宋_GB2312" w:hAnsi="仿宋_GB2312" w:eastAsia="仿宋_GB2312" w:cs="仿宋_GB2312"/>
          <w:snapToGrid w:val="0"/>
          <w:sz w:val="24"/>
          <w:szCs w:val="24"/>
          <w:highlight w:val="none"/>
          <w:u w:val="single"/>
        </w:rPr>
        <w:t>￥5000元</w:t>
      </w:r>
      <w:r>
        <w:rPr>
          <w:rFonts w:hint="eastAsia" w:ascii="仿宋_GB2312" w:hAnsi="仿宋_GB2312" w:eastAsia="仿宋_GB2312" w:cs="仿宋_GB2312"/>
          <w:snapToGrid w:val="0"/>
          <w:sz w:val="24"/>
          <w:szCs w:val="24"/>
          <w:highlight w:val="none"/>
        </w:rPr>
        <w:t>（大写：</w:t>
      </w:r>
      <w:r>
        <w:rPr>
          <w:rFonts w:hint="eastAsia" w:ascii="仿宋_GB2312" w:hAnsi="仿宋_GB2312" w:eastAsia="仿宋_GB2312" w:cs="仿宋_GB2312"/>
          <w:snapToGrid w:val="0"/>
          <w:sz w:val="24"/>
          <w:szCs w:val="24"/>
          <w:highlight w:val="none"/>
          <w:u w:val="single"/>
        </w:rPr>
        <w:t>伍仟元整</w:t>
      </w:r>
      <w:r>
        <w:rPr>
          <w:rFonts w:hint="eastAsia" w:ascii="仿宋_GB2312" w:hAnsi="仿宋_GB2312" w:eastAsia="仿宋_GB2312" w:cs="仿宋_GB2312"/>
          <w:snapToGrid w:val="0"/>
          <w:sz w:val="24"/>
          <w:szCs w:val="24"/>
          <w:highlight w:val="none"/>
        </w:rPr>
        <w:t>），累计扣除不超过</w:t>
      </w:r>
      <w:r>
        <w:rPr>
          <w:rFonts w:hint="eastAsia" w:ascii="仿宋_GB2312" w:hAnsi="仿宋_GB2312" w:eastAsia="仿宋_GB2312" w:cs="仿宋_GB2312"/>
          <w:snapToGrid w:val="0"/>
          <w:sz w:val="24"/>
          <w:szCs w:val="24"/>
          <w:highlight w:val="none"/>
          <w:u w:val="single"/>
        </w:rPr>
        <w:t>￥40000元</w:t>
      </w:r>
      <w:r>
        <w:rPr>
          <w:rFonts w:hint="eastAsia" w:ascii="仿宋_GB2312" w:hAnsi="仿宋_GB2312" w:eastAsia="仿宋_GB2312" w:cs="仿宋_GB2312"/>
          <w:snapToGrid w:val="0"/>
          <w:sz w:val="24"/>
          <w:szCs w:val="24"/>
          <w:highlight w:val="none"/>
        </w:rPr>
        <w:t>（大写：</w:t>
      </w:r>
      <w:r>
        <w:rPr>
          <w:rFonts w:hint="eastAsia" w:ascii="仿宋_GB2312" w:hAnsi="仿宋_GB2312" w:eastAsia="仿宋_GB2312" w:cs="仿宋_GB2312"/>
          <w:snapToGrid w:val="0"/>
          <w:sz w:val="24"/>
          <w:szCs w:val="24"/>
          <w:highlight w:val="none"/>
          <w:u w:val="single"/>
        </w:rPr>
        <w:t>肆万元整</w:t>
      </w:r>
      <w:r>
        <w:rPr>
          <w:rFonts w:hint="eastAsia" w:ascii="仿宋_GB2312" w:hAnsi="仿宋_GB2312" w:eastAsia="仿宋_GB2312" w:cs="仿宋_GB2312"/>
          <w:snapToGrid w:val="0"/>
          <w:sz w:val="24"/>
          <w:szCs w:val="24"/>
          <w:highlight w:val="none"/>
        </w:rPr>
        <w:t>）。服务期全年失误总量超过3次，将取消乙方次年进入候选供应商范围的资格。</w:t>
      </w:r>
    </w:p>
    <w:p w14:paraId="18B35EE6">
      <w:pPr>
        <w:pStyle w:val="2"/>
        <w:keepNext w:val="0"/>
        <w:keepLines w:val="0"/>
        <w:pageBreakBefore w:val="0"/>
        <w:widowControl w:val="0"/>
        <w:kinsoku/>
        <w:wordWrap/>
        <w:overflowPunct/>
        <w:topLinePunct w:val="0"/>
        <w:autoSpaceDE/>
        <w:autoSpaceDN/>
        <w:bidi w:val="0"/>
        <w:adjustRightInd/>
        <w:snapToGrid/>
        <w:spacing w:beforeLines="0" w:afterLines="0" w:line="400" w:lineRule="exact"/>
        <w:ind w:firstLine="629"/>
        <w:jc w:val="both"/>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lang w:val="en-US" w:eastAsia="zh-CN"/>
        </w:rPr>
        <w:t>6</w:t>
      </w:r>
      <w:r>
        <w:rPr>
          <w:rFonts w:hint="eastAsia" w:ascii="仿宋_GB2312" w:hAnsi="仿宋_GB2312" w:eastAsia="仿宋_GB2312" w:cs="仿宋_GB2312"/>
          <w:snapToGrid w:val="0"/>
          <w:sz w:val="24"/>
          <w:szCs w:val="24"/>
          <w:highlight w:val="none"/>
        </w:rPr>
        <w:t xml:space="preserve">. </w:t>
      </w:r>
      <w:r>
        <w:rPr>
          <w:rFonts w:hint="eastAsia" w:ascii="仿宋_GB2312" w:hAnsi="仿宋_GB2312" w:eastAsia="仿宋_GB2312" w:cs="仿宋_GB2312"/>
          <w:bCs/>
          <w:snapToGrid w:val="0"/>
          <w:sz w:val="24"/>
          <w:szCs w:val="24"/>
          <w:highlight w:val="none"/>
          <w:lang w:val="en-US" w:eastAsia="zh-CN"/>
        </w:rPr>
        <w:t>因乙方工作失误造成《铜川市人民政府公报》存在错字、漏字、别字的，甲方有权对乙方进行扣款。发现1处错误扣除</w:t>
      </w:r>
      <w:r>
        <w:rPr>
          <w:rFonts w:hint="eastAsia" w:ascii="仿宋_GB2312" w:hAnsi="仿宋_GB2312" w:eastAsia="仿宋_GB2312" w:cs="仿宋_GB2312"/>
          <w:snapToGrid w:val="0"/>
          <w:sz w:val="24"/>
          <w:szCs w:val="24"/>
          <w:highlight w:val="none"/>
          <w:u w:val="single"/>
        </w:rPr>
        <w:t>￥</w:t>
      </w:r>
      <w:r>
        <w:rPr>
          <w:rFonts w:hint="eastAsia" w:ascii="仿宋_GB2312" w:hAnsi="仿宋_GB2312" w:eastAsia="仿宋_GB2312" w:cs="仿宋_GB2312"/>
          <w:bCs/>
          <w:snapToGrid w:val="0"/>
          <w:sz w:val="24"/>
          <w:szCs w:val="24"/>
          <w:highlight w:val="none"/>
          <w:u w:val="single"/>
          <w:lang w:val="en-US" w:eastAsia="zh-CN"/>
        </w:rPr>
        <w:t>500元</w:t>
      </w:r>
      <w:r>
        <w:rPr>
          <w:rFonts w:hint="eastAsia" w:ascii="仿宋_GB2312" w:hAnsi="仿宋_GB2312" w:eastAsia="仿宋_GB2312" w:cs="仿宋_GB2312"/>
          <w:bCs/>
          <w:snapToGrid w:val="0"/>
          <w:sz w:val="24"/>
          <w:szCs w:val="24"/>
          <w:highlight w:val="none"/>
          <w:u w:val="none"/>
          <w:lang w:val="en-US" w:eastAsia="zh-CN"/>
        </w:rPr>
        <w:t>（大写：</w:t>
      </w:r>
      <w:r>
        <w:rPr>
          <w:rFonts w:hint="eastAsia" w:ascii="仿宋_GB2312" w:hAnsi="仿宋_GB2312" w:eastAsia="仿宋_GB2312" w:cs="仿宋_GB2312"/>
          <w:bCs/>
          <w:snapToGrid w:val="0"/>
          <w:sz w:val="24"/>
          <w:szCs w:val="24"/>
          <w:highlight w:val="none"/>
          <w:u w:val="single"/>
          <w:lang w:val="en-US" w:eastAsia="zh-CN"/>
        </w:rPr>
        <w:t>伍佰元整</w:t>
      </w:r>
      <w:r>
        <w:rPr>
          <w:rFonts w:hint="eastAsia" w:ascii="仿宋_GB2312" w:hAnsi="仿宋_GB2312" w:eastAsia="仿宋_GB2312" w:cs="仿宋_GB2312"/>
          <w:bCs/>
          <w:snapToGrid w:val="0"/>
          <w:sz w:val="24"/>
          <w:szCs w:val="24"/>
          <w:highlight w:val="none"/>
          <w:u w:val="none"/>
          <w:lang w:val="en-US" w:eastAsia="zh-CN"/>
        </w:rPr>
        <w:t>）</w:t>
      </w:r>
      <w:r>
        <w:rPr>
          <w:rFonts w:hint="eastAsia" w:ascii="仿宋_GB2312" w:hAnsi="仿宋_GB2312" w:eastAsia="仿宋_GB2312" w:cs="仿宋_GB2312"/>
          <w:bCs/>
          <w:snapToGrid w:val="0"/>
          <w:sz w:val="24"/>
          <w:szCs w:val="24"/>
          <w:highlight w:val="none"/>
          <w:lang w:val="en-US" w:eastAsia="zh-CN"/>
        </w:rPr>
        <w:t>，3处错误算1次失误，扣除</w:t>
      </w:r>
      <w:r>
        <w:rPr>
          <w:rFonts w:hint="eastAsia" w:ascii="仿宋_GB2312" w:hAnsi="仿宋_GB2312" w:eastAsia="仿宋_GB2312" w:cs="仿宋_GB2312"/>
          <w:snapToGrid w:val="0"/>
          <w:sz w:val="24"/>
          <w:szCs w:val="24"/>
          <w:highlight w:val="none"/>
          <w:u w:val="single"/>
        </w:rPr>
        <w:t>￥5000元</w:t>
      </w:r>
      <w:r>
        <w:rPr>
          <w:rFonts w:hint="eastAsia" w:ascii="仿宋_GB2312" w:hAnsi="仿宋_GB2312" w:eastAsia="仿宋_GB2312" w:cs="仿宋_GB2312"/>
          <w:snapToGrid w:val="0"/>
          <w:sz w:val="24"/>
          <w:szCs w:val="24"/>
          <w:highlight w:val="none"/>
        </w:rPr>
        <w:t>（大写：</w:t>
      </w:r>
      <w:r>
        <w:rPr>
          <w:rFonts w:hint="eastAsia" w:ascii="仿宋_GB2312" w:hAnsi="仿宋_GB2312" w:eastAsia="仿宋_GB2312" w:cs="仿宋_GB2312"/>
          <w:snapToGrid w:val="0"/>
          <w:sz w:val="24"/>
          <w:szCs w:val="24"/>
          <w:highlight w:val="none"/>
          <w:u w:val="single"/>
        </w:rPr>
        <w:t>伍仟元整</w:t>
      </w:r>
      <w:r>
        <w:rPr>
          <w:rFonts w:hint="eastAsia" w:ascii="仿宋_GB2312" w:hAnsi="仿宋_GB2312" w:eastAsia="仿宋_GB2312" w:cs="仿宋_GB2312"/>
          <w:snapToGrid w:val="0"/>
          <w:sz w:val="24"/>
          <w:szCs w:val="24"/>
          <w:highlight w:val="none"/>
        </w:rPr>
        <w:t>）</w:t>
      </w:r>
      <w:r>
        <w:rPr>
          <w:rFonts w:hint="eastAsia" w:ascii="仿宋_GB2312" w:hAnsi="仿宋_GB2312" w:eastAsia="仿宋_GB2312" w:cs="仿宋_GB2312"/>
          <w:snapToGrid w:val="0"/>
          <w:sz w:val="24"/>
          <w:szCs w:val="24"/>
          <w:highlight w:val="none"/>
          <w:lang w:eastAsia="zh-CN"/>
        </w:rPr>
        <w:t>，</w:t>
      </w:r>
      <w:r>
        <w:rPr>
          <w:rFonts w:hint="eastAsia" w:ascii="仿宋_GB2312" w:hAnsi="仿宋_GB2312" w:eastAsia="仿宋_GB2312" w:cs="仿宋_GB2312"/>
          <w:snapToGrid w:val="0"/>
          <w:sz w:val="24"/>
          <w:szCs w:val="24"/>
          <w:highlight w:val="none"/>
        </w:rPr>
        <w:t>累计扣除不超过</w:t>
      </w:r>
      <w:r>
        <w:rPr>
          <w:rFonts w:hint="eastAsia" w:ascii="仿宋_GB2312" w:hAnsi="仿宋_GB2312" w:eastAsia="仿宋_GB2312" w:cs="仿宋_GB2312"/>
          <w:snapToGrid w:val="0"/>
          <w:sz w:val="24"/>
          <w:szCs w:val="24"/>
          <w:highlight w:val="none"/>
          <w:u w:val="single"/>
        </w:rPr>
        <w:t>￥40000元</w:t>
      </w:r>
      <w:r>
        <w:rPr>
          <w:rFonts w:hint="eastAsia" w:ascii="仿宋_GB2312" w:hAnsi="仿宋_GB2312" w:eastAsia="仿宋_GB2312" w:cs="仿宋_GB2312"/>
          <w:snapToGrid w:val="0"/>
          <w:sz w:val="24"/>
          <w:szCs w:val="24"/>
          <w:highlight w:val="none"/>
        </w:rPr>
        <w:t>（大写：</w:t>
      </w:r>
      <w:r>
        <w:rPr>
          <w:rFonts w:hint="eastAsia" w:ascii="仿宋_GB2312" w:hAnsi="仿宋_GB2312" w:eastAsia="仿宋_GB2312" w:cs="仿宋_GB2312"/>
          <w:snapToGrid w:val="0"/>
          <w:sz w:val="24"/>
          <w:szCs w:val="24"/>
          <w:highlight w:val="none"/>
          <w:u w:val="single"/>
        </w:rPr>
        <w:t>肆万元整</w:t>
      </w:r>
      <w:r>
        <w:rPr>
          <w:rFonts w:hint="eastAsia" w:ascii="仿宋_GB2312" w:hAnsi="仿宋_GB2312" w:eastAsia="仿宋_GB2312" w:cs="仿宋_GB2312"/>
          <w:snapToGrid w:val="0"/>
          <w:sz w:val="24"/>
          <w:szCs w:val="24"/>
          <w:highlight w:val="none"/>
        </w:rPr>
        <w:t>）</w:t>
      </w:r>
      <w:r>
        <w:rPr>
          <w:rFonts w:hint="eastAsia" w:ascii="仿宋_GB2312" w:hAnsi="仿宋_GB2312" w:eastAsia="仿宋_GB2312" w:cs="仿宋_GB2312"/>
          <w:bCs/>
          <w:snapToGrid w:val="0"/>
          <w:sz w:val="24"/>
          <w:szCs w:val="24"/>
          <w:highlight w:val="none"/>
          <w:lang w:val="en-US" w:eastAsia="zh-CN"/>
        </w:rPr>
        <w:t>。</w:t>
      </w:r>
      <w:r>
        <w:rPr>
          <w:rFonts w:hint="eastAsia" w:ascii="仿宋_GB2312" w:hAnsi="仿宋_GB2312" w:eastAsia="仿宋_GB2312" w:cs="仿宋_GB2312"/>
          <w:snapToGrid w:val="0"/>
          <w:sz w:val="24"/>
          <w:szCs w:val="24"/>
          <w:highlight w:val="none"/>
        </w:rPr>
        <w:t>服务期全年失误总量超过3次，将取消乙方次年进入候选供应商范围的资格。</w:t>
      </w:r>
    </w:p>
    <w:p w14:paraId="12BDCA84">
      <w:pPr>
        <w:pStyle w:val="2"/>
        <w:keepNext w:val="0"/>
        <w:keepLines w:val="0"/>
        <w:pageBreakBefore w:val="0"/>
        <w:widowControl w:val="0"/>
        <w:kinsoku/>
        <w:wordWrap/>
        <w:overflowPunct/>
        <w:topLinePunct w:val="0"/>
        <w:autoSpaceDE/>
        <w:autoSpaceDN/>
        <w:bidi w:val="0"/>
        <w:adjustRightInd/>
        <w:snapToGrid/>
        <w:spacing w:beforeLines="0" w:afterLines="0" w:line="400" w:lineRule="exact"/>
        <w:ind w:firstLine="629"/>
        <w:jc w:val="both"/>
        <w:textAlignment w:val="auto"/>
        <w:rPr>
          <w:rFonts w:hint="eastAsia" w:ascii="仿宋_GB2312" w:hAnsi="仿宋_GB2312" w:eastAsia="仿宋_GB2312" w:cs="仿宋_GB2312"/>
          <w:bCs/>
          <w:snapToGrid w:val="0"/>
          <w:sz w:val="24"/>
          <w:szCs w:val="24"/>
          <w:highlight w:val="none"/>
          <w:lang w:val="en-US" w:eastAsia="zh-CN"/>
        </w:rPr>
      </w:pPr>
      <w:r>
        <w:rPr>
          <w:rFonts w:hint="eastAsia" w:ascii="仿宋_GB2312" w:hAnsi="仿宋_GB2312" w:eastAsia="仿宋_GB2312" w:cs="仿宋_GB2312"/>
          <w:bCs/>
          <w:snapToGrid w:val="0"/>
          <w:sz w:val="24"/>
          <w:szCs w:val="24"/>
          <w:highlight w:val="none"/>
          <w:lang w:val="en-US" w:eastAsia="zh-CN"/>
        </w:rPr>
        <w:t>7. 因乙方拍摄角度、机位、光线、视角等工作失误造成铜川市政府政策解读视频效果不理想的，甲方有权要求重新拍摄，并扣除</w:t>
      </w:r>
      <w:r>
        <w:rPr>
          <w:rFonts w:hint="eastAsia" w:ascii="仿宋_GB2312" w:hAnsi="仿宋_GB2312" w:eastAsia="仿宋_GB2312" w:cs="仿宋_GB2312"/>
          <w:snapToGrid w:val="0"/>
          <w:sz w:val="24"/>
          <w:szCs w:val="24"/>
          <w:highlight w:val="none"/>
          <w:u w:val="single"/>
        </w:rPr>
        <w:t>￥</w:t>
      </w:r>
      <w:r>
        <w:rPr>
          <w:rFonts w:hint="eastAsia" w:ascii="仿宋_GB2312" w:hAnsi="仿宋_GB2312" w:eastAsia="仿宋_GB2312" w:cs="仿宋_GB2312"/>
          <w:bCs/>
          <w:snapToGrid w:val="0"/>
          <w:sz w:val="24"/>
          <w:szCs w:val="24"/>
          <w:highlight w:val="none"/>
          <w:u w:val="single"/>
          <w:lang w:val="en-US" w:eastAsia="zh-CN"/>
        </w:rPr>
        <w:t>2000元（</w:t>
      </w:r>
      <w:r>
        <w:rPr>
          <w:rFonts w:hint="eastAsia" w:ascii="仿宋_GB2312" w:hAnsi="仿宋_GB2312" w:eastAsia="仿宋_GB2312" w:cs="仿宋_GB2312"/>
          <w:bCs/>
          <w:snapToGrid w:val="0"/>
          <w:sz w:val="24"/>
          <w:szCs w:val="24"/>
          <w:highlight w:val="none"/>
          <w:u w:val="none"/>
          <w:lang w:val="en-US" w:eastAsia="zh-CN"/>
        </w:rPr>
        <w:t>大写：</w:t>
      </w:r>
      <w:r>
        <w:rPr>
          <w:rFonts w:hint="eastAsia" w:ascii="仿宋_GB2312" w:hAnsi="仿宋_GB2312" w:eastAsia="仿宋_GB2312" w:cs="仿宋_GB2312"/>
          <w:bCs/>
          <w:snapToGrid w:val="0"/>
          <w:sz w:val="24"/>
          <w:szCs w:val="24"/>
          <w:highlight w:val="none"/>
          <w:u w:val="single"/>
          <w:lang w:val="en-US" w:eastAsia="zh-CN"/>
        </w:rPr>
        <w:t>贰仟元整）</w:t>
      </w:r>
      <w:r>
        <w:rPr>
          <w:rFonts w:hint="eastAsia" w:ascii="仿宋_GB2312" w:hAnsi="仿宋_GB2312" w:eastAsia="仿宋_GB2312" w:cs="仿宋_GB2312"/>
          <w:bCs/>
          <w:snapToGrid w:val="0"/>
          <w:sz w:val="24"/>
          <w:szCs w:val="24"/>
          <w:highlight w:val="none"/>
          <w:lang w:val="en-US" w:eastAsia="zh-CN"/>
        </w:rPr>
        <w:t>。</w:t>
      </w:r>
    </w:p>
    <w:p w14:paraId="3B950088">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黑体" w:hAnsi="黑体" w:eastAsia="黑体" w:cs="黑体"/>
          <w:snapToGrid w:val="0"/>
          <w:sz w:val="24"/>
          <w:szCs w:val="24"/>
          <w:highlight w:val="none"/>
        </w:rPr>
      </w:pPr>
      <w:r>
        <w:rPr>
          <w:rFonts w:hint="eastAsia" w:ascii="黑体" w:hAnsi="黑体" w:eastAsia="黑体" w:cs="黑体"/>
          <w:snapToGrid w:val="0"/>
          <w:sz w:val="24"/>
          <w:szCs w:val="24"/>
          <w:highlight w:val="none"/>
        </w:rPr>
        <w:t>六、不可抗力</w:t>
      </w:r>
    </w:p>
    <w:p w14:paraId="792DDA8D">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1. “不可抗力”是指本合同双方不能控制且不可预见，或者虽可预见但不可避免地妨害任何一方全部或部分履行合同的一切事件。此类事件包括地震、塌方、陷落、洪水、台风、天文异常等自然灾害以及火灾、爆炸、事故、战争、恐怖事件、大规模流行性疫病、破坏活动、黑客入侵、网络崩溃、政府禁令、政策变动等任何其他类似或不同的偶发事件。</w:t>
      </w:r>
    </w:p>
    <w:p w14:paraId="765D21FF">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 因不可抗力使任何一方无法全部或正常履行合同约定义务，其对另一方造成的损失不承担相应责任。</w:t>
      </w:r>
    </w:p>
    <w:p w14:paraId="0D703B22">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3. 遇有上述不可抗力发生的一方，应在第一时间书面通知对方，并于15个自然日内向对方提供由政府部门开具的有效证明文件，详细说明不能或不能完全履行，或需要延期履行的理由，对本合同约定义务履行的影响程度，由双方协商决定是否继续履行或终止本合同。</w:t>
      </w:r>
    </w:p>
    <w:p w14:paraId="0BE74B44">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黑体" w:hAnsi="黑体" w:eastAsia="黑体" w:cs="黑体"/>
          <w:snapToGrid w:val="0"/>
          <w:sz w:val="24"/>
          <w:szCs w:val="24"/>
          <w:highlight w:val="none"/>
        </w:rPr>
      </w:pPr>
      <w:r>
        <w:rPr>
          <w:rFonts w:hint="eastAsia" w:ascii="黑体" w:hAnsi="黑体" w:eastAsia="黑体" w:cs="黑体"/>
          <w:snapToGrid w:val="0"/>
          <w:sz w:val="24"/>
          <w:szCs w:val="24"/>
          <w:highlight w:val="none"/>
        </w:rPr>
        <w:t>七、知识产权约定</w:t>
      </w:r>
    </w:p>
    <w:p w14:paraId="39DD44A3">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乙方在送审、传播信息、图片等消息时，应注意审查是否存在侵犯知识产权的行为。因完成本合同约定工作所产生的知识产权及全部相关权利归甲方所有，但乙方享有署名权，且乙方为实现本合同之目的可合理使用。</w:t>
      </w:r>
    </w:p>
    <w:p w14:paraId="2DA78009">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黑体" w:hAnsi="黑体" w:eastAsia="黑体" w:cs="黑体"/>
          <w:snapToGrid w:val="0"/>
          <w:sz w:val="24"/>
          <w:szCs w:val="24"/>
          <w:highlight w:val="none"/>
        </w:rPr>
        <w:t>八、保密条款</w:t>
      </w:r>
    </w:p>
    <w:p w14:paraId="4DC2D488">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1. 乙方对履行合同所获悉的甲方的政务信息负有保密义务。否则，乙方应当承担违约责任及法律法规规定的行政、刑事责任并应赔偿由此给甲方造成的损失。</w:t>
      </w:r>
    </w:p>
    <w:p w14:paraId="197D80F8">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 乙方应当明确告知参与本合同运营人员不得向任何第三方泄露本合同任何内容，并应当严格履行保密义务及泄密所产生的相应法律后果。</w:t>
      </w:r>
    </w:p>
    <w:p w14:paraId="683A7880">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3. 乙方涉密人员包括乙方负责人、项目负责人、专职工作人员等能够接触到甲方的保密信息的相关人员。</w:t>
      </w:r>
    </w:p>
    <w:p w14:paraId="59FAE846">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黑体" w:hAnsi="黑体" w:eastAsia="黑体" w:cs="黑体"/>
          <w:snapToGrid w:val="0"/>
          <w:sz w:val="24"/>
          <w:szCs w:val="24"/>
          <w:highlight w:val="none"/>
        </w:rPr>
        <w:t>九、争议解决</w:t>
      </w:r>
    </w:p>
    <w:p w14:paraId="4E4C155C">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如双方就本合同条款内容或其执行发生任何争议，应尽可能友好协商解决，协商未能解决的，则任何一方均可将争议提交原告所在地有管辖权的人民法院通过诉讼方式解决。</w:t>
      </w:r>
    </w:p>
    <w:p w14:paraId="52632E60">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黑体" w:hAnsi="黑体" w:eastAsia="黑体" w:cs="黑体"/>
          <w:snapToGrid w:val="0"/>
          <w:sz w:val="24"/>
          <w:szCs w:val="24"/>
          <w:highlight w:val="none"/>
        </w:rPr>
        <w:t>十、其他</w:t>
      </w:r>
    </w:p>
    <w:p w14:paraId="56120733">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1. 本合同未尽事宜，甲、乙双方可协商签订补充协议。</w:t>
      </w:r>
    </w:p>
    <w:p w14:paraId="25DE2294">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2. 本合同的通知等其他通讯往来，以电子邮件、传真、挂号信或快递形式送达签署栏所示地址；以电子邮件发送的通知，发送方得到系统显示发送成功的提示视为对方收到通知；以传真发送的通知，发送方的传真机发送成功视为对方收到通知；以快递或挂号信发送的通知，对方签收视为已收到通知。</w:t>
      </w:r>
    </w:p>
    <w:p w14:paraId="63AB2F12">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3. 本合同一式伍份，甲方执叁份、乙方执贰份，合同自双方签字盖章或直接盖章之日起生效。</w:t>
      </w:r>
    </w:p>
    <w:p w14:paraId="33A61910">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br w:type="page"/>
      </w:r>
    </w:p>
    <w:p w14:paraId="3BC8F274">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甲方（章）：                 乙方（章）：</w:t>
      </w:r>
    </w:p>
    <w:p w14:paraId="41983DD8">
      <w:pPr>
        <w:keepNext w:val="0"/>
        <w:keepLines w:val="0"/>
        <w:pageBreakBefore w:val="0"/>
        <w:widowControl w:val="0"/>
        <w:tabs>
          <w:tab w:val="left" w:pos="7584"/>
        </w:tabs>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法定代表人/负责人           法定代表人/负责人</w:t>
      </w:r>
    </w:p>
    <w:p w14:paraId="7C720312">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或授权代理人：              或授权代理人：</w:t>
      </w:r>
    </w:p>
    <w:p w14:paraId="3392CA45">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电话：                      电话：</w:t>
      </w:r>
    </w:p>
    <w:p w14:paraId="49C7FA3F">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传真：                      传真：</w:t>
      </w:r>
    </w:p>
    <w:p w14:paraId="148905A3">
      <w:pPr>
        <w:keepNext w:val="0"/>
        <w:keepLines w:val="0"/>
        <w:pageBreakBefore w:val="0"/>
        <w:widowControl w:val="0"/>
        <w:kinsoku/>
        <w:wordWrap/>
        <w:overflowPunct/>
        <w:topLinePunct w:val="0"/>
        <w:autoSpaceDE/>
        <w:autoSpaceDN/>
        <w:bidi w:val="0"/>
        <w:adjustRightInd/>
        <w:spacing w:line="400" w:lineRule="exact"/>
        <w:ind w:firstLine="517" w:firstLineChars="150"/>
        <w:textAlignment w:val="auto"/>
        <w:rPr>
          <w:rFonts w:hint="eastAsia" w:ascii="仿宋_GB2312" w:hAnsi="仿宋_GB2312" w:eastAsia="仿宋_GB2312" w:cs="仿宋_GB2312"/>
          <w:snapToGrid w:val="0"/>
          <w:sz w:val="24"/>
          <w:szCs w:val="24"/>
          <w:highlight w:val="none"/>
        </w:rPr>
      </w:pPr>
      <w:r>
        <w:rPr>
          <w:rFonts w:hint="eastAsia" w:ascii="仿宋_GB2312" w:hAnsi="仿宋_GB2312" w:eastAsia="仿宋_GB2312" w:cs="仿宋_GB2312"/>
          <w:snapToGrid w:val="0"/>
          <w:sz w:val="24"/>
          <w:szCs w:val="24"/>
          <w:highlight w:val="none"/>
        </w:rPr>
        <w:t xml:space="preserve">    年   月    日               年    月    日</w:t>
      </w:r>
    </w:p>
    <w:sectPr>
      <w:footerReference r:id="rId3" w:type="default"/>
      <w:footerReference r:id="rId4" w:type="even"/>
      <w:pgSz w:w="11906" w:h="16838"/>
      <w:pgMar w:top="2098" w:right="1474" w:bottom="1985" w:left="1588" w:header="567" w:footer="1644" w:gutter="0"/>
      <w:cols w:space="720" w:num="1"/>
      <w:docGrid w:type="linesAndChar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ECAE6">
    <w:pPr>
      <w:pStyle w:val="4"/>
      <w:framePr w:w="927" w:wrap="around" w:vAnchor="text" w:hAnchor="page" w:x="9488" w:y="1"/>
      <w:rPr>
        <w:rStyle w:val="8"/>
        <w:rFonts w:hint="eastAsia" w:ascii="宋体" w:hAnsi="宋体"/>
        <w:sz w:val="28"/>
        <w:szCs w:val="28"/>
      </w:rPr>
    </w:pPr>
    <w:r>
      <w:rPr>
        <w:rStyle w:val="8"/>
        <w:rFonts w:hint="eastAsia" w:ascii="宋体" w:hAnsi="宋体"/>
        <w:sz w:val="28"/>
        <w:szCs w:val="28"/>
      </w:rPr>
      <w:t>－</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lang/>
      </w:rPr>
      <w:t>3</w:t>
    </w:r>
    <w:r>
      <w:rPr>
        <w:rStyle w:val="8"/>
        <w:rFonts w:ascii="宋体" w:hAnsi="宋体"/>
        <w:sz w:val="28"/>
        <w:szCs w:val="28"/>
      </w:rPr>
      <w:fldChar w:fldCharType="end"/>
    </w:r>
    <w:r>
      <w:rPr>
        <w:rStyle w:val="8"/>
        <w:rFonts w:hint="eastAsia" w:ascii="宋体" w:hAnsi="宋体"/>
        <w:sz w:val="28"/>
        <w:szCs w:val="28"/>
      </w:rPr>
      <w:t xml:space="preserve">－  </w:t>
    </w:r>
  </w:p>
  <w:p w14:paraId="2BCB2AF5">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6A2D9">
    <w:pPr>
      <w:pStyle w:val="4"/>
      <w:framePr w:wrap="around" w:vAnchor="text" w:hAnchor="margin" w:xAlign="outside" w:y="1"/>
      <w:ind w:firstLine="280" w:firstLineChars="100"/>
      <w:rPr>
        <w:rStyle w:val="8"/>
        <w:rFonts w:hint="eastAsia" w:ascii="宋体" w:hAnsi="宋体"/>
        <w:sz w:val="28"/>
        <w:szCs w:val="28"/>
      </w:rPr>
    </w:pPr>
    <w:r>
      <w:rPr>
        <w:rStyle w:val="8"/>
        <w:rFonts w:hint="eastAsia" w:ascii="宋体" w:hAnsi="宋体"/>
        <w:sz w:val="28"/>
        <w:szCs w:val="28"/>
      </w:rPr>
      <w:t>－</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lang/>
      </w:rPr>
      <w:t>4</w:t>
    </w:r>
    <w:r>
      <w:rPr>
        <w:rStyle w:val="8"/>
        <w:rFonts w:ascii="宋体" w:hAnsi="宋体"/>
        <w:sz w:val="28"/>
        <w:szCs w:val="28"/>
      </w:rPr>
      <w:fldChar w:fldCharType="end"/>
    </w:r>
    <w:r>
      <w:rPr>
        <w:rStyle w:val="8"/>
        <w:rFonts w:hint="eastAsia" w:ascii="宋体" w:hAnsi="宋体"/>
        <w:sz w:val="28"/>
        <w:szCs w:val="28"/>
      </w:rPr>
      <w:t>－</w:t>
    </w:r>
  </w:p>
  <w:p w14:paraId="1C68AF1C">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evenAndOddHeaders w:val="1"/>
  <w:drawingGridHorizontalSpacing w:val="158"/>
  <w:drawingGridVerticalSpacing w:val="290"/>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dkZmU2YzU5ZGI2Yjg2NjRmYmQ5ZmY5MTI4NDkifQ=="/>
  </w:docVars>
  <w:rsids>
    <w:rsidRoot w:val="0058751F"/>
    <w:rsid w:val="00222FD8"/>
    <w:rsid w:val="00400FF2"/>
    <w:rsid w:val="0058751F"/>
    <w:rsid w:val="005B0416"/>
    <w:rsid w:val="00695D2B"/>
    <w:rsid w:val="007C1A93"/>
    <w:rsid w:val="00800AEB"/>
    <w:rsid w:val="009F2CB6"/>
    <w:rsid w:val="00BA6E21"/>
    <w:rsid w:val="00DD348E"/>
    <w:rsid w:val="020D6FE8"/>
    <w:rsid w:val="032416EC"/>
    <w:rsid w:val="03FF761E"/>
    <w:rsid w:val="050B287F"/>
    <w:rsid w:val="07C47A0B"/>
    <w:rsid w:val="082D2CA3"/>
    <w:rsid w:val="0A4444E4"/>
    <w:rsid w:val="0AB8072D"/>
    <w:rsid w:val="0BFA4DD0"/>
    <w:rsid w:val="0C890DEF"/>
    <w:rsid w:val="0F114F36"/>
    <w:rsid w:val="0FE10DAC"/>
    <w:rsid w:val="10A122E9"/>
    <w:rsid w:val="11950CAB"/>
    <w:rsid w:val="13826C36"/>
    <w:rsid w:val="14193420"/>
    <w:rsid w:val="17B65676"/>
    <w:rsid w:val="1B1F6C2C"/>
    <w:rsid w:val="1FAB64CB"/>
    <w:rsid w:val="242A37C0"/>
    <w:rsid w:val="24841CBA"/>
    <w:rsid w:val="265E4AAD"/>
    <w:rsid w:val="269D2766"/>
    <w:rsid w:val="27C546B8"/>
    <w:rsid w:val="27C70F4E"/>
    <w:rsid w:val="2DF1306D"/>
    <w:rsid w:val="300C2463"/>
    <w:rsid w:val="30857BCB"/>
    <w:rsid w:val="30FF15B4"/>
    <w:rsid w:val="341449FD"/>
    <w:rsid w:val="35D80965"/>
    <w:rsid w:val="367479D5"/>
    <w:rsid w:val="38ED2171"/>
    <w:rsid w:val="3A9D6209"/>
    <w:rsid w:val="3F4D0EE6"/>
    <w:rsid w:val="43784FDA"/>
    <w:rsid w:val="46813E7D"/>
    <w:rsid w:val="48FB444A"/>
    <w:rsid w:val="4AB96CE2"/>
    <w:rsid w:val="4D2F3630"/>
    <w:rsid w:val="4F1A66FE"/>
    <w:rsid w:val="50D10B4D"/>
    <w:rsid w:val="50DA0833"/>
    <w:rsid w:val="520201FF"/>
    <w:rsid w:val="559472B3"/>
    <w:rsid w:val="560939B3"/>
    <w:rsid w:val="56A9133E"/>
    <w:rsid w:val="574A2360"/>
    <w:rsid w:val="5DD827E1"/>
    <w:rsid w:val="5ED3674A"/>
    <w:rsid w:val="5F32513A"/>
    <w:rsid w:val="5F490B97"/>
    <w:rsid w:val="6162299C"/>
    <w:rsid w:val="6594525A"/>
    <w:rsid w:val="67AF422A"/>
    <w:rsid w:val="693A3745"/>
    <w:rsid w:val="6C8E0AE9"/>
    <w:rsid w:val="728B5B75"/>
    <w:rsid w:val="76813E07"/>
    <w:rsid w:val="780F4111"/>
    <w:rsid w:val="7AE83ABA"/>
    <w:rsid w:val="7B8D5636"/>
    <w:rsid w:val="7C945CA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customStyle="1" w:styleId="2">
    <w:name w:val="样式1"/>
    <w:basedOn w:val="3"/>
    <w:qFormat/>
    <w:uiPriority w:val="4"/>
    <w:pPr>
      <w:ind w:firstLine="632"/>
    </w:pPr>
  </w:style>
  <w:style w:type="paragraph" w:styleId="3">
    <w:name w:val="Title"/>
    <w:basedOn w:val="1"/>
    <w:next w:val="1"/>
    <w:qFormat/>
    <w:uiPriority w:val="99"/>
    <w:pPr>
      <w:spacing w:beforeLines="100" w:afterLines="100" w:line="600" w:lineRule="exact"/>
      <w:contextualSpacing/>
      <w:jc w:val="center"/>
      <w:outlineLvl w:val="0"/>
    </w:pPr>
    <w:rPr>
      <w:rFonts w:ascii="Times New Roman" w:hAnsi="Times New Roman" w:eastAsia="方正小标宋简体"/>
      <w:bCs/>
      <w:sz w:val="44"/>
      <w:szCs w:val="32"/>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paragraph" w:customStyle="1" w:styleId="9">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3907</Words>
  <Characters>3997</Characters>
  <Lines>31</Lines>
  <Paragraphs>8</Paragraphs>
  <TotalTime>85</TotalTime>
  <ScaleCrop>false</ScaleCrop>
  <LinksUpToDate>false</LinksUpToDate>
  <CharactersWithSpaces>4234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朱娟</cp:lastModifiedBy>
  <cp:lastPrinted>2024-06-19T02:12:00Z</cp:lastPrinted>
  <dcterms:modified xsi:type="dcterms:W3CDTF">2026-05-08T08:40:45Z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85FEF526E8FD45F5916E9D2A8DDE79EB_13</vt:lpwstr>
  </property>
  <property fmtid="{D5CDD505-2E9C-101B-9397-08002B2CF9AE}" pid="4" name="KSOTemplateDocerSaveRecord">
    <vt:lpwstr>eyJoZGlkIjoiNmQ5YTlhOTI1MTIxMWQzZmNmMTc3YTIwMzNkYjU1MDciLCJ1c2VySWQiOiIyMDIwODMyODIifQ==</vt:lpwstr>
  </property>
</Properties>
</file>