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458EC">
      <w:pPr>
        <w:jc w:val="center"/>
        <w:rPr>
          <w:rFonts w:hint="eastAsia" w:ascii="仿宋" w:hAnsi="仿宋" w:eastAsia="仿宋" w:cs="仿宋"/>
          <w:b/>
          <w:bCs/>
          <w:color w:val="auto"/>
          <w:kern w:val="44"/>
          <w:sz w:val="36"/>
          <w:szCs w:val="36"/>
          <w:highlight w:val="none"/>
          <w:lang w:val="en-US" w:eastAsia="zh-CN" w:bidi="ar-SA"/>
        </w:rPr>
      </w:pPr>
      <w:r>
        <w:rPr>
          <w:rFonts w:hint="eastAsia" w:ascii="仿宋" w:hAnsi="仿宋" w:eastAsia="仿宋" w:cs="仿宋"/>
          <w:b/>
          <w:bCs/>
          <w:color w:val="auto"/>
          <w:kern w:val="44"/>
          <w:sz w:val="36"/>
          <w:szCs w:val="36"/>
          <w:highlight w:val="none"/>
          <w:lang w:val="en-US" w:eastAsia="zh-CN" w:bidi="ar-SA"/>
        </w:rPr>
        <w:t>2026年度省国防工会劳动模范疗休养服务项目</w:t>
      </w:r>
    </w:p>
    <w:p w14:paraId="28570B34">
      <w:pPr>
        <w:jc w:val="center"/>
        <w:rPr>
          <w:rFonts w:hint="default" w:ascii="仿宋" w:hAnsi="仿宋" w:eastAsia="仿宋" w:cs="仿宋"/>
          <w:b/>
          <w:bCs/>
          <w:color w:val="auto"/>
          <w:kern w:val="44"/>
          <w:sz w:val="36"/>
          <w:szCs w:val="36"/>
          <w:highlight w:val="none"/>
          <w:lang w:val="en-US" w:eastAsia="zh-CN" w:bidi="ar-SA"/>
        </w:rPr>
      </w:pPr>
      <w:r>
        <w:rPr>
          <w:rFonts w:hint="eastAsia" w:ascii="仿宋" w:hAnsi="仿宋" w:eastAsia="仿宋" w:cs="仿宋"/>
          <w:b/>
          <w:bCs/>
          <w:color w:val="auto"/>
          <w:kern w:val="44"/>
          <w:sz w:val="36"/>
          <w:szCs w:val="36"/>
          <w:highlight w:val="none"/>
          <w:lang w:val="en-US" w:eastAsia="zh-CN" w:bidi="ar-SA"/>
        </w:rPr>
        <w:t>政府采购合同</w:t>
      </w:r>
    </w:p>
    <w:p w14:paraId="0BD2C909">
      <w:pPr>
        <w:pStyle w:val="3"/>
        <w:keepNext w:val="0"/>
        <w:keepLines w:val="0"/>
        <w:pageBreakBefore w:val="0"/>
        <w:kinsoku/>
        <w:overflowPunct/>
        <w:topLinePunct w:val="0"/>
        <w:bidi w:val="0"/>
        <w:spacing w:line="360" w:lineRule="auto"/>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合同草案，以实际签订合同为准</w:t>
      </w:r>
      <w:r>
        <w:rPr>
          <w:rFonts w:hint="eastAsia" w:ascii="仿宋" w:hAnsi="仿宋" w:eastAsia="仿宋" w:cs="仿宋"/>
          <w:color w:val="auto"/>
          <w:sz w:val="24"/>
          <w:szCs w:val="24"/>
          <w:highlight w:val="none"/>
          <w:lang w:eastAsia="zh-CN"/>
        </w:rPr>
        <w:t>）</w:t>
      </w:r>
    </w:p>
    <w:p w14:paraId="47AEC4C2">
      <w:pPr>
        <w:pStyle w:val="3"/>
        <w:keepNext w:val="0"/>
        <w:keepLines w:val="0"/>
        <w:pageBreakBefore w:val="0"/>
        <w:kinsoku/>
        <w:overflowPunct/>
        <w:topLinePunct w:val="0"/>
        <w:bidi w:val="0"/>
        <w:spacing w:line="360" w:lineRule="auto"/>
        <w:textAlignment w:val="auto"/>
        <w:rPr>
          <w:rFonts w:hint="eastAsia" w:ascii="仿宋" w:hAnsi="仿宋" w:eastAsia="仿宋" w:cs="仿宋"/>
          <w:color w:val="auto"/>
          <w:sz w:val="24"/>
          <w:szCs w:val="24"/>
          <w:highlight w:val="none"/>
        </w:rPr>
      </w:pPr>
    </w:p>
    <w:p w14:paraId="73719E27">
      <w:pPr>
        <w:pStyle w:val="3"/>
        <w:keepNext w:val="0"/>
        <w:keepLines w:val="0"/>
        <w:pageBreakBefore w:val="0"/>
        <w:kinsoku/>
        <w:overflowPunct/>
        <w:topLinePunct w:val="0"/>
        <w:bidi w:val="0"/>
        <w:spacing w:line="360" w:lineRule="auto"/>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（采购人）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eastAsia="zh-CN"/>
        </w:rPr>
        <w:t>陕西省国防工会委员会</w:t>
      </w:r>
    </w:p>
    <w:p w14:paraId="341471DA">
      <w:pPr>
        <w:pStyle w:val="3"/>
        <w:keepNext w:val="0"/>
        <w:keepLines w:val="0"/>
        <w:pageBreakBefore w:val="0"/>
        <w:kinsoku/>
        <w:overflowPunct/>
        <w:topLinePunct w:val="0"/>
        <w:bidi w:val="0"/>
        <w:spacing w:line="360" w:lineRule="auto"/>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14:paraId="1CCC618D">
      <w:pPr>
        <w:keepNext w:val="0"/>
        <w:keepLines w:val="0"/>
        <w:pageBreakBefore w:val="0"/>
        <w:kinsoku/>
        <w:overflowPunct/>
        <w:topLinePunct w:val="0"/>
        <w:bidi w:val="0"/>
        <w:adjustRightIn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依据《中华人民共和国民法典》</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《中华人民共和国政府采购法》有关规定和</w:t>
      </w:r>
      <w:r>
        <w:rPr>
          <w:rFonts w:hint="eastAsia" w:ascii="仿宋" w:hAnsi="仿宋" w:eastAsia="仿宋" w:cs="仿宋"/>
          <w:bCs/>
          <w:color w:val="auto"/>
          <w:sz w:val="24"/>
          <w:szCs w:val="24"/>
          <w:highlight w:val="none"/>
          <w:lang w:eastAsia="zh-CN"/>
        </w:rPr>
        <w:t>2026年度省国防工会劳动模范疗休养服务项目</w:t>
      </w:r>
      <w:r>
        <w:rPr>
          <w:rFonts w:hint="eastAsia" w:ascii="仿宋" w:hAnsi="仿宋" w:eastAsia="仿宋" w:cs="仿宋"/>
          <w:bCs/>
          <w:color w:val="auto"/>
          <w:sz w:val="24"/>
          <w:szCs w:val="24"/>
          <w:highlight w:val="none"/>
          <w:lang w:val="en-US" w:eastAsia="zh-CN"/>
        </w:rPr>
        <w:t>竞争性磋商文件</w:t>
      </w: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val="en-US" w:eastAsia="zh-CN"/>
        </w:rPr>
        <w:t>竞争性磋商响应文件</w:t>
      </w:r>
      <w:r>
        <w:rPr>
          <w:rFonts w:hint="eastAsia" w:ascii="仿宋" w:hAnsi="仿宋" w:eastAsia="仿宋" w:cs="仿宋"/>
          <w:bCs/>
          <w:color w:val="auto"/>
          <w:sz w:val="24"/>
          <w:szCs w:val="24"/>
          <w:highlight w:val="none"/>
        </w:rPr>
        <w:t>，经甲乙双方协商，签订本合同，共同信守。</w:t>
      </w:r>
    </w:p>
    <w:p w14:paraId="38C65940">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4"/>
          <w:szCs w:val="24"/>
          <w:highlight w:val="none"/>
          <w:lang w:val="zh-CN"/>
        </w:rPr>
      </w:pPr>
      <w:bookmarkStart w:id="0" w:name="_Toc26888"/>
      <w:bookmarkStart w:id="1" w:name="_Toc26755"/>
      <w:bookmarkStart w:id="2" w:name="_Toc24336"/>
      <w:bookmarkStart w:id="3" w:name="_Toc6164"/>
      <w:bookmarkStart w:id="4" w:name="_Toc13189"/>
      <w:bookmarkStart w:id="5" w:name="_Toc23670"/>
      <w:r>
        <w:rPr>
          <w:rFonts w:hint="eastAsia" w:ascii="仿宋" w:hAnsi="仿宋" w:eastAsia="仿宋" w:cs="仿宋"/>
          <w:b/>
          <w:bCs/>
          <w:color w:val="auto"/>
          <w:sz w:val="24"/>
          <w:szCs w:val="24"/>
          <w:highlight w:val="none"/>
        </w:rPr>
        <w:t>一、服务内容</w:t>
      </w:r>
      <w:bookmarkEnd w:id="0"/>
      <w:bookmarkEnd w:id="1"/>
      <w:bookmarkEnd w:id="2"/>
      <w:bookmarkEnd w:id="3"/>
      <w:bookmarkEnd w:id="4"/>
      <w:bookmarkEnd w:id="5"/>
    </w:p>
    <w:p w14:paraId="3A0364E3">
      <w:pPr>
        <w:pStyle w:val="3"/>
        <w:keepNext w:val="0"/>
        <w:keepLines w:val="0"/>
        <w:pageBreakBefore w:val="0"/>
        <w:widowControl w:val="0"/>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single"/>
          <w:lang w:val="en-US" w:eastAsia="zh-CN"/>
        </w:rPr>
        <w:t>负责全国、省、市各级劳动模范，先进工作者，五一劳动奖章获得者，工匠人才及长期坚守一线的优秀职工代表疗休养期间住宿、营养膳食、参观学习、体检与专科诊疗服务、健康知识科普讲座、保健理疗和护理服务、文体活动、劳模技术技能交流座谈、爱国教育与红色教育等相关服务。</w:t>
      </w:r>
    </w:p>
    <w:p w14:paraId="014ECFD4">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4"/>
          <w:szCs w:val="24"/>
          <w:highlight w:val="none"/>
        </w:rPr>
      </w:pPr>
      <w:bookmarkStart w:id="6" w:name="_Toc16211"/>
      <w:bookmarkStart w:id="7" w:name="_Toc9778"/>
      <w:bookmarkStart w:id="8" w:name="_Toc19967"/>
      <w:bookmarkStart w:id="9" w:name="_Toc1857"/>
      <w:bookmarkStart w:id="10" w:name="_Toc21875"/>
      <w:bookmarkStart w:id="11" w:name="_Toc23408"/>
      <w:r>
        <w:rPr>
          <w:rFonts w:hint="eastAsia" w:ascii="仿宋" w:hAnsi="仿宋" w:eastAsia="仿宋" w:cs="仿宋"/>
          <w:b/>
          <w:bCs/>
          <w:color w:val="auto"/>
          <w:sz w:val="24"/>
          <w:szCs w:val="24"/>
          <w:highlight w:val="none"/>
        </w:rPr>
        <w:t>二、合同价款</w:t>
      </w:r>
      <w:bookmarkEnd w:id="6"/>
      <w:bookmarkEnd w:id="7"/>
      <w:bookmarkEnd w:id="8"/>
      <w:bookmarkEnd w:id="9"/>
      <w:bookmarkEnd w:id="10"/>
      <w:bookmarkEnd w:id="11"/>
    </w:p>
    <w:p w14:paraId="04C7C2A8">
      <w:pPr>
        <w:keepNext w:val="0"/>
        <w:keepLines w:val="0"/>
        <w:pageBreakBefore w:val="0"/>
        <w:kinsoku/>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 xml:space="preserve">                           </w:t>
      </w:r>
    </w:p>
    <w:p w14:paraId="3EA8DC26">
      <w:pPr>
        <w:keepNext w:val="0"/>
        <w:keepLines w:val="0"/>
        <w:pageBreakBefore w:val="0"/>
        <w:kinsoku/>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（二）合同价款包括但不限于以下费用：</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 xml:space="preserve">                      </w:t>
      </w:r>
    </w:p>
    <w:p w14:paraId="27F45677">
      <w:pPr>
        <w:keepNext w:val="0"/>
        <w:keepLines w:val="0"/>
        <w:pageBreakBefore w:val="0"/>
        <w:kinsoku/>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rPr>
        <w:t xml:space="preserve">（三）合同类型：固定总价合同。 </w:t>
      </w:r>
    </w:p>
    <w:p w14:paraId="3D907014">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4"/>
          <w:szCs w:val="24"/>
          <w:highlight w:val="none"/>
          <w:lang w:val="en-US" w:eastAsia="zh-CN"/>
        </w:rPr>
      </w:pPr>
      <w:bookmarkStart w:id="12" w:name="_Toc6381"/>
      <w:bookmarkStart w:id="13" w:name="_Toc5852"/>
      <w:bookmarkStart w:id="14" w:name="_Toc18619"/>
      <w:bookmarkStart w:id="15" w:name="_Toc23275"/>
      <w:bookmarkStart w:id="16" w:name="_Toc25402"/>
      <w:bookmarkStart w:id="17" w:name="_Toc10028"/>
      <w:r>
        <w:rPr>
          <w:rFonts w:hint="eastAsia" w:ascii="仿宋" w:hAnsi="仿宋" w:eastAsia="仿宋" w:cs="仿宋"/>
          <w:b/>
          <w:bCs/>
          <w:color w:val="auto"/>
          <w:sz w:val="24"/>
          <w:szCs w:val="24"/>
          <w:highlight w:val="none"/>
        </w:rPr>
        <w:t>三、付款</w:t>
      </w:r>
      <w:r>
        <w:rPr>
          <w:rFonts w:hint="eastAsia" w:ascii="仿宋" w:hAnsi="仿宋" w:eastAsia="仿宋" w:cs="仿宋"/>
          <w:b/>
          <w:bCs/>
          <w:color w:val="auto"/>
          <w:sz w:val="24"/>
          <w:szCs w:val="24"/>
          <w:highlight w:val="none"/>
          <w:lang w:eastAsia="zh-CN"/>
        </w:rPr>
        <w:t>方式</w:t>
      </w:r>
      <w:bookmarkEnd w:id="12"/>
      <w:bookmarkEnd w:id="13"/>
      <w:bookmarkEnd w:id="14"/>
      <w:bookmarkEnd w:id="15"/>
      <w:bookmarkEnd w:id="16"/>
      <w:bookmarkEnd w:id="17"/>
    </w:p>
    <w:p w14:paraId="1A359436">
      <w:pPr>
        <w:keepNext w:val="0"/>
        <w:keepLines w:val="0"/>
        <w:pageBreakBefore w:val="0"/>
        <w:kinsoku/>
        <w:overflowPunct/>
        <w:topLinePunct w:val="0"/>
        <w:autoSpaceDE w:val="0"/>
        <w:autoSpaceDN w:val="0"/>
        <w:bidi w:val="0"/>
        <w:snapToGrid w:val="0"/>
        <w:spacing w:line="360" w:lineRule="auto"/>
        <w:ind w:firstLine="480" w:firstLineChars="200"/>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bCs/>
          <w:color w:val="auto"/>
          <w:sz w:val="24"/>
          <w:szCs w:val="24"/>
          <w:highlight w:val="none"/>
        </w:rPr>
        <w:t>（一）付款</w:t>
      </w:r>
      <w:r>
        <w:rPr>
          <w:rFonts w:hint="eastAsia" w:ascii="仿宋" w:hAnsi="仿宋" w:eastAsia="仿宋" w:cs="仿宋"/>
          <w:bCs/>
          <w:color w:val="auto"/>
          <w:sz w:val="24"/>
          <w:szCs w:val="24"/>
          <w:highlight w:val="none"/>
          <w:lang w:eastAsia="zh-CN"/>
        </w:rPr>
        <w:t>方式</w:t>
      </w:r>
      <w:r>
        <w:rPr>
          <w:rFonts w:hint="eastAsia" w:ascii="仿宋" w:hAnsi="仿宋" w:eastAsia="仿宋" w:cs="仿宋"/>
          <w:bCs/>
          <w:color w:val="auto"/>
          <w:sz w:val="24"/>
          <w:szCs w:val="24"/>
          <w:highlight w:val="none"/>
        </w:rPr>
        <w:t>：每批次工作全部完成且达到付款条件起30日内一次性支付该批次全部</w:t>
      </w:r>
      <w:r>
        <w:rPr>
          <w:rFonts w:hint="eastAsia" w:ascii="仿宋" w:hAnsi="仿宋" w:eastAsia="仿宋" w:cs="仿宋"/>
          <w:bCs/>
          <w:color w:val="auto"/>
          <w:sz w:val="24"/>
          <w:szCs w:val="24"/>
          <w:highlight w:val="none"/>
          <w:lang w:val="en-US" w:eastAsia="zh-CN"/>
        </w:rPr>
        <w:t>款项的100%</w:t>
      </w:r>
      <w:r>
        <w:rPr>
          <w:rFonts w:hint="eastAsia" w:ascii="仿宋" w:hAnsi="仿宋" w:eastAsia="仿宋" w:cs="仿宋"/>
          <w:bCs/>
          <w:color w:val="auto"/>
          <w:sz w:val="24"/>
          <w:szCs w:val="24"/>
          <w:highlight w:val="none"/>
          <w:lang w:eastAsia="zh-CN"/>
        </w:rPr>
        <w:t>。</w:t>
      </w:r>
      <w:r>
        <w:rPr>
          <w:rFonts w:hint="eastAsia" w:ascii="仿宋" w:hAnsi="仿宋" w:eastAsia="仿宋" w:cs="仿宋"/>
          <w:color w:val="auto"/>
          <w:sz w:val="24"/>
          <w:szCs w:val="24"/>
          <w:highlight w:val="none"/>
          <w:u w:val="none"/>
          <w:lang w:val="en-US" w:eastAsia="zh-CN"/>
        </w:rPr>
        <w:t xml:space="preserve">     </w:t>
      </w:r>
    </w:p>
    <w:p w14:paraId="17E646E0">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val="0"/>
          <w:color w:val="auto"/>
          <w:kern w:val="2"/>
          <w:sz w:val="24"/>
          <w:szCs w:val="24"/>
          <w:highlight w:val="none"/>
          <w:lang w:val="en-US" w:eastAsia="zh-CN" w:bidi="ar-SA"/>
        </w:rPr>
      </w:pPr>
      <w:bookmarkStart w:id="18" w:name="_Toc1378"/>
      <w:bookmarkStart w:id="19" w:name="_Toc5029"/>
      <w:bookmarkStart w:id="20" w:name="_Toc4499"/>
      <w:bookmarkStart w:id="21" w:name="_Toc13114"/>
      <w:bookmarkStart w:id="22" w:name="_Toc8134"/>
      <w:bookmarkStart w:id="23" w:name="_Toc26335"/>
      <w:r>
        <w:rPr>
          <w:rFonts w:hint="eastAsia" w:ascii="仿宋" w:hAnsi="仿宋" w:eastAsia="仿宋" w:cs="仿宋"/>
          <w:b/>
          <w:bCs/>
          <w:color w:val="auto"/>
          <w:sz w:val="24"/>
          <w:szCs w:val="24"/>
          <w:highlight w:val="none"/>
        </w:rPr>
        <w:t>四</w:t>
      </w:r>
      <w:r>
        <w:rPr>
          <w:rFonts w:hint="eastAsia" w:ascii="仿宋" w:hAnsi="仿宋" w:eastAsia="仿宋" w:cs="仿宋"/>
          <w:bCs/>
          <w:color w:val="auto"/>
          <w:kern w:val="2"/>
          <w:sz w:val="24"/>
          <w:szCs w:val="24"/>
          <w:highlight w:val="none"/>
          <w:lang w:val="en-US" w:eastAsia="zh-CN" w:bidi="ar-SA"/>
        </w:rPr>
        <w:t>、</w:t>
      </w:r>
      <w:r>
        <w:rPr>
          <w:rFonts w:hint="eastAsia" w:ascii="仿宋" w:hAnsi="仿宋" w:eastAsia="仿宋" w:cs="仿宋"/>
          <w:b/>
          <w:bCs w:val="0"/>
          <w:color w:val="auto"/>
          <w:kern w:val="2"/>
          <w:sz w:val="24"/>
          <w:szCs w:val="24"/>
          <w:highlight w:val="none"/>
          <w:lang w:val="en-US" w:eastAsia="zh-CN" w:bidi="ar-SA"/>
        </w:rPr>
        <w:t>服务期限及服务地点</w:t>
      </w:r>
      <w:bookmarkEnd w:id="18"/>
      <w:bookmarkEnd w:id="19"/>
      <w:bookmarkEnd w:id="20"/>
      <w:bookmarkEnd w:id="21"/>
      <w:bookmarkEnd w:id="22"/>
      <w:bookmarkEnd w:id="23"/>
    </w:p>
    <w:p w14:paraId="00F1D3A9">
      <w:pPr>
        <w:pStyle w:val="4"/>
        <w:keepNext w:val="0"/>
        <w:keepLines w:val="0"/>
        <w:pageBreakBefore w:val="0"/>
        <w:kinsoku/>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u w:val="single"/>
          <w:lang w:val="en-US"/>
        </w:rPr>
      </w:pPr>
      <w:r>
        <w:rPr>
          <w:rFonts w:hint="eastAsia" w:ascii="仿宋" w:hAnsi="仿宋" w:eastAsia="仿宋" w:cs="仿宋"/>
          <w:bCs/>
          <w:color w:val="auto"/>
          <w:kern w:val="2"/>
          <w:sz w:val="24"/>
          <w:szCs w:val="24"/>
          <w:highlight w:val="none"/>
          <w:lang w:val="en-US" w:eastAsia="zh-CN" w:bidi="ar-SA"/>
        </w:rPr>
        <w:t>（一）服务期限：</w:t>
      </w:r>
      <w:r>
        <w:rPr>
          <w:rFonts w:hint="eastAsia" w:ascii="仿宋" w:hAnsi="仿宋" w:eastAsia="仿宋" w:cs="仿宋"/>
          <w:bCs/>
          <w:color w:val="auto"/>
          <w:kern w:val="2"/>
          <w:sz w:val="24"/>
          <w:szCs w:val="24"/>
          <w:highlight w:val="none"/>
          <w:u w:val="single"/>
          <w:lang w:val="en-US" w:eastAsia="zh-CN" w:bidi="ar-SA"/>
        </w:rPr>
        <w:t>合同签订之日起至2026年12月31日，具体出行时间以合同签订的出发时间为准</w:t>
      </w:r>
      <w:r>
        <w:rPr>
          <w:rFonts w:hint="eastAsia" w:ascii="仿宋" w:hAnsi="仿宋" w:eastAsia="仿宋" w:cs="仿宋"/>
          <w:bCs/>
          <w:color w:val="auto"/>
          <w:kern w:val="2"/>
          <w:sz w:val="24"/>
          <w:szCs w:val="24"/>
          <w:highlight w:val="none"/>
          <w:lang w:val="en-US" w:eastAsia="zh-CN" w:bidi="ar-SA"/>
        </w:rPr>
        <w:t>。</w:t>
      </w:r>
    </w:p>
    <w:p w14:paraId="6058911A">
      <w:pPr>
        <w:pStyle w:val="8"/>
        <w:keepNext w:val="0"/>
        <w:keepLines w:val="0"/>
        <w:pageBreakBefore w:val="0"/>
        <w:kinsoku/>
        <w:overflowPunct/>
        <w:topLinePunct w:val="0"/>
        <w:bidi w:val="0"/>
        <w:snapToGrid w:val="0"/>
        <w:spacing w:line="360" w:lineRule="auto"/>
        <w:ind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Cs/>
          <w:color w:val="auto"/>
          <w:kern w:val="2"/>
          <w:sz w:val="24"/>
          <w:szCs w:val="24"/>
          <w:highlight w:val="none"/>
          <w:lang w:val="en-US" w:eastAsia="zh-CN" w:bidi="ar-SA"/>
        </w:rPr>
        <w:t>（二）服务地</w:t>
      </w:r>
      <w:r>
        <w:rPr>
          <w:rFonts w:hint="eastAsia" w:ascii="仿宋" w:hAnsi="仿宋" w:eastAsia="仿宋" w:cs="仿宋"/>
          <w:bCs/>
          <w:color w:val="auto"/>
          <w:sz w:val="24"/>
          <w:szCs w:val="24"/>
          <w:highlight w:val="none"/>
        </w:rPr>
        <w:t>点：</w:t>
      </w:r>
      <w:bookmarkStart w:id="24" w:name="_Toc23281"/>
      <w:r>
        <w:rPr>
          <w:rFonts w:hint="eastAsia" w:ascii="仿宋" w:hAnsi="仿宋" w:eastAsia="仿宋" w:cs="仿宋"/>
          <w:bCs/>
          <w:color w:val="auto"/>
          <w:sz w:val="24"/>
          <w:szCs w:val="24"/>
          <w:highlight w:val="none"/>
          <w:u w:val="single"/>
          <w:lang w:val="en-US" w:eastAsia="zh-CN"/>
        </w:rPr>
        <w:t>甲方指定地点。</w:t>
      </w:r>
    </w:p>
    <w:p w14:paraId="012C8E36">
      <w:pPr>
        <w:pStyle w:val="8"/>
        <w:keepNext w:val="0"/>
        <w:keepLines w:val="0"/>
        <w:pageBreakBefore w:val="0"/>
        <w:kinsoku/>
        <w:overflowPunct/>
        <w:topLinePunct w:val="0"/>
        <w:bidi w:val="0"/>
        <w:snapToGrid w:val="0"/>
        <w:spacing w:line="360" w:lineRule="auto"/>
        <w:textAlignment w:val="auto"/>
        <w:outlineLvl w:val="1"/>
        <w:rPr>
          <w:rFonts w:hint="eastAsia" w:ascii="仿宋" w:hAnsi="仿宋" w:eastAsia="仿宋" w:cs="仿宋"/>
          <w:b/>
          <w:bCs/>
          <w:color w:val="auto"/>
          <w:sz w:val="24"/>
          <w:szCs w:val="24"/>
          <w:highlight w:val="none"/>
          <w:shd w:val="clear" w:color="auto" w:fill="FFFFFF"/>
        </w:rPr>
      </w:pPr>
      <w:bookmarkStart w:id="25" w:name="_Toc19754"/>
      <w:bookmarkStart w:id="26" w:name="_Toc20671"/>
      <w:bookmarkStart w:id="27" w:name="_Toc19244"/>
      <w:bookmarkStart w:id="28" w:name="_Toc10843"/>
      <w:bookmarkStart w:id="29" w:name="_Toc11982"/>
      <w:r>
        <w:rPr>
          <w:rFonts w:hint="eastAsia" w:ascii="仿宋" w:hAnsi="仿宋" w:eastAsia="仿宋" w:cs="仿宋"/>
          <w:b/>
          <w:bCs/>
          <w:color w:val="auto"/>
          <w:sz w:val="24"/>
          <w:szCs w:val="24"/>
          <w:highlight w:val="none"/>
        </w:rPr>
        <w:t>五、</w:t>
      </w:r>
      <w:r>
        <w:rPr>
          <w:rFonts w:hint="eastAsia" w:ascii="仿宋" w:hAnsi="仿宋" w:eastAsia="仿宋" w:cs="仿宋"/>
          <w:b/>
          <w:bCs/>
          <w:color w:val="auto"/>
          <w:sz w:val="24"/>
          <w:szCs w:val="24"/>
          <w:highlight w:val="none"/>
          <w:shd w:val="clear" w:color="auto" w:fill="FFFFFF"/>
        </w:rPr>
        <w:t>服务质量</w:t>
      </w:r>
      <w:r>
        <w:rPr>
          <w:rFonts w:hint="eastAsia" w:ascii="仿宋" w:hAnsi="仿宋" w:eastAsia="仿宋" w:cs="仿宋"/>
          <w:b/>
          <w:bCs/>
          <w:color w:val="auto"/>
          <w:sz w:val="24"/>
          <w:szCs w:val="24"/>
          <w:highlight w:val="none"/>
          <w:shd w:val="clear" w:color="auto" w:fill="FFFFFF"/>
          <w:lang w:val="en-US" w:eastAsia="zh-CN"/>
        </w:rPr>
        <w:t>标准及</w:t>
      </w:r>
      <w:r>
        <w:rPr>
          <w:rFonts w:hint="eastAsia" w:ascii="仿宋" w:hAnsi="仿宋" w:eastAsia="仿宋" w:cs="仿宋"/>
          <w:b/>
          <w:bCs/>
          <w:color w:val="auto"/>
          <w:sz w:val="24"/>
          <w:szCs w:val="24"/>
          <w:highlight w:val="none"/>
          <w:shd w:val="clear" w:color="auto" w:fill="FFFFFF"/>
        </w:rPr>
        <w:t>要求</w:t>
      </w:r>
      <w:bookmarkEnd w:id="24"/>
      <w:bookmarkEnd w:id="25"/>
      <w:bookmarkEnd w:id="26"/>
      <w:bookmarkEnd w:id="27"/>
      <w:bookmarkEnd w:id="28"/>
      <w:bookmarkEnd w:id="29"/>
    </w:p>
    <w:p w14:paraId="4AF8E140">
      <w:pPr>
        <w:keepNext w:val="0"/>
        <w:keepLines w:val="0"/>
        <w:pageBreakBefore w:val="0"/>
        <w:kinsoku/>
        <w:overflowPunct/>
        <w:topLinePunct w:val="0"/>
        <w:autoSpaceDE w:val="0"/>
        <w:autoSpaceDN w:val="0"/>
        <w:bidi w:val="0"/>
        <w:snapToGrid w:val="0"/>
        <w:spacing w:line="360" w:lineRule="auto"/>
        <w:ind w:firstLine="480" w:firstLineChars="200"/>
        <w:textAlignment w:val="auto"/>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（一）</w:t>
      </w:r>
      <w:r>
        <w:rPr>
          <w:rFonts w:hint="eastAsia" w:ascii="仿宋" w:hAnsi="仿宋" w:eastAsia="仿宋" w:cs="仿宋"/>
          <w:bCs/>
          <w:color w:val="auto"/>
          <w:sz w:val="24"/>
          <w:szCs w:val="24"/>
          <w:highlight w:val="none"/>
          <w:u w:val="single"/>
          <w:lang w:val="en-US" w:eastAsia="zh-CN"/>
        </w:rPr>
        <w:t>根据甲方要求提供定制化疗休养方案；</w:t>
      </w:r>
    </w:p>
    <w:p w14:paraId="74A38C46">
      <w:pPr>
        <w:keepNext w:val="0"/>
        <w:keepLines w:val="0"/>
        <w:pageBreakBefore w:val="0"/>
        <w:numPr>
          <w:ilvl w:val="0"/>
          <w:numId w:val="0"/>
        </w:numPr>
        <w:kinsoku/>
        <w:overflowPunct/>
        <w:topLinePunct w:val="0"/>
        <w:autoSpaceDE w:val="0"/>
        <w:autoSpaceDN w:val="0"/>
        <w:bidi w:val="0"/>
        <w:snapToGrid w:val="0"/>
        <w:spacing w:line="360" w:lineRule="auto"/>
        <w:ind w:firstLine="480" w:firstLineChars="200"/>
        <w:textAlignment w:val="auto"/>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二</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住宿要求：可容纳当期所有疗休养人员的入住和用餐；</w:t>
      </w:r>
    </w:p>
    <w:p w14:paraId="7C44D58D">
      <w:pPr>
        <w:keepNext w:val="0"/>
        <w:keepLines w:val="0"/>
        <w:pageBreakBefore w:val="0"/>
        <w:numPr>
          <w:ilvl w:val="0"/>
          <w:numId w:val="0"/>
        </w:numPr>
        <w:kinsoku/>
        <w:overflowPunct/>
        <w:topLinePunct w:val="0"/>
        <w:autoSpaceDE w:val="0"/>
        <w:autoSpaceDN w:val="0"/>
        <w:bidi w:val="0"/>
        <w:snapToGrid w:val="0"/>
        <w:spacing w:line="360" w:lineRule="auto"/>
        <w:ind w:left="0" w:leftChars="0" w:firstLine="480" w:firstLineChars="200"/>
        <w:textAlignment w:val="auto"/>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三</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餐饮要求：乙方提供疗休养人员活动期间的全程用餐安排（包含早、午、晚），选用餐厅须同时容纳当期所有疗休养人员，菜品营养搭配合理；</w:t>
      </w:r>
    </w:p>
    <w:p w14:paraId="51BB14E2">
      <w:pPr>
        <w:keepNext w:val="0"/>
        <w:keepLines w:val="0"/>
        <w:pageBreakBefore w:val="0"/>
        <w:numPr>
          <w:ilvl w:val="0"/>
          <w:numId w:val="0"/>
        </w:numPr>
        <w:kinsoku/>
        <w:overflowPunct/>
        <w:topLinePunct w:val="0"/>
        <w:autoSpaceDE w:val="0"/>
        <w:autoSpaceDN w:val="0"/>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四</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 xml:space="preserve">保险要求：为活动参与人员提供责任险和人身意外伤害保险，并列明保额。  </w:t>
      </w:r>
    </w:p>
    <w:p w14:paraId="1BFC29A2">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4"/>
          <w:szCs w:val="24"/>
          <w:highlight w:val="none"/>
        </w:rPr>
      </w:pPr>
      <w:bookmarkStart w:id="30" w:name="_Toc14545"/>
      <w:bookmarkStart w:id="31" w:name="_Toc15213"/>
      <w:bookmarkStart w:id="32" w:name="_Toc29027"/>
      <w:bookmarkStart w:id="33" w:name="_Toc23438"/>
      <w:bookmarkStart w:id="34" w:name="_Toc16750"/>
      <w:bookmarkStart w:id="35" w:name="_Toc24110"/>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rPr>
        <w:t>双方的权利和义务</w:t>
      </w:r>
      <w:bookmarkEnd w:id="30"/>
      <w:bookmarkEnd w:id="31"/>
      <w:bookmarkEnd w:id="32"/>
      <w:bookmarkEnd w:id="33"/>
      <w:bookmarkEnd w:id="34"/>
      <w:bookmarkEnd w:id="35"/>
    </w:p>
    <w:p w14:paraId="17565CBD">
      <w:pPr>
        <w:keepNext w:val="0"/>
        <w:keepLines w:val="0"/>
        <w:pageBreakBefore w:val="0"/>
        <w:kinsoku/>
        <w:overflowPunct/>
        <w:topLinePunct w:val="0"/>
        <w:autoSpaceDE w:val="0"/>
        <w:autoSpaceDN w:val="0"/>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双方确定，在本合同有效期内，甲方指定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为甲方项目联系人（电话：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，电子邮箱：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），乙方指定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为乙方项目联系人（电话：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，电子邮箱：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949B035">
      <w:pPr>
        <w:keepNext w:val="0"/>
        <w:keepLines w:val="0"/>
        <w:pageBreakBefore w:val="0"/>
        <w:kinsoku/>
        <w:overflowPunct/>
        <w:topLinePunct w:val="0"/>
        <w:bidi w:val="0"/>
        <w:snapToGrid w:val="0"/>
        <w:spacing w:line="360" w:lineRule="auto"/>
        <w:ind w:firstLine="480" w:firstLineChars="200"/>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一方变更项目联系人的，应当及时以书面形式通知另一方。未及时通知并影响本合同履行或造成损失的，应承担相应的责任。</w:t>
      </w:r>
    </w:p>
    <w:p w14:paraId="11730275">
      <w:pPr>
        <w:pStyle w:val="9"/>
        <w:keepNext w:val="0"/>
        <w:keepLines w:val="0"/>
        <w:pageBreakBefore w:val="0"/>
        <w:kinsoku/>
        <w:overflowPunct/>
        <w:topLinePunct w:val="0"/>
        <w:bidi w:val="0"/>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（一）甲方的权利和义务</w:t>
      </w:r>
    </w:p>
    <w:p w14:paraId="146072F2">
      <w:pPr>
        <w:pStyle w:val="9"/>
        <w:keepNext w:val="0"/>
        <w:keepLines w:val="0"/>
        <w:pageBreakBefore w:val="0"/>
        <w:kinsoku/>
        <w:overflowPunct/>
        <w:topLinePunct w:val="0"/>
        <w:bidi w:val="0"/>
        <w:spacing w:line="360" w:lineRule="auto"/>
        <w:ind w:firstLine="960" w:firstLineChars="4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lang w:val="en-US" w:eastAsia="zh-CN"/>
        </w:rPr>
        <w:t xml:space="preserve">                                                                </w:t>
      </w:r>
    </w:p>
    <w:p w14:paraId="39C16C22">
      <w:pPr>
        <w:pStyle w:val="9"/>
        <w:keepNext w:val="0"/>
        <w:keepLines w:val="0"/>
        <w:pageBreakBefore w:val="0"/>
        <w:kinsoku/>
        <w:overflowPunct/>
        <w:topLinePunct w:val="0"/>
        <w:bidi w:val="0"/>
        <w:spacing w:line="360" w:lineRule="auto"/>
        <w:ind w:firstLine="960" w:firstLineChars="4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 xml:space="preserve">                                                                </w:t>
      </w:r>
    </w:p>
    <w:p w14:paraId="507ED1E3">
      <w:pPr>
        <w:pStyle w:val="9"/>
        <w:keepNext w:val="0"/>
        <w:keepLines w:val="0"/>
        <w:pageBreakBefore w:val="0"/>
        <w:kinsoku/>
        <w:overflowPunct/>
        <w:topLinePunct w:val="0"/>
        <w:bidi w:val="0"/>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（二）乙方的权利和义务</w:t>
      </w:r>
    </w:p>
    <w:p w14:paraId="3DB0E3B9">
      <w:pPr>
        <w:pStyle w:val="9"/>
        <w:keepNext w:val="0"/>
        <w:keepLines w:val="0"/>
        <w:pageBreakBefore w:val="0"/>
        <w:kinsoku/>
        <w:overflowPunct/>
        <w:topLinePunct w:val="0"/>
        <w:bidi w:val="0"/>
        <w:spacing w:line="360" w:lineRule="auto"/>
        <w:ind w:firstLine="960" w:firstLineChars="4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lang w:val="en-US" w:eastAsia="zh-CN"/>
        </w:rPr>
        <w:t xml:space="preserve">                                                                </w:t>
      </w:r>
    </w:p>
    <w:p w14:paraId="0926FEC7">
      <w:pPr>
        <w:pStyle w:val="9"/>
        <w:keepNext w:val="0"/>
        <w:keepLines w:val="0"/>
        <w:pageBreakBefore w:val="0"/>
        <w:kinsoku/>
        <w:overflowPunct/>
        <w:topLinePunct w:val="0"/>
        <w:bidi w:val="0"/>
        <w:spacing w:line="360" w:lineRule="auto"/>
        <w:ind w:firstLine="960" w:firstLineChars="4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 xml:space="preserve">                                                                 </w:t>
      </w:r>
    </w:p>
    <w:p w14:paraId="5F878045">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七、验收要求</w:t>
      </w:r>
    </w:p>
    <w:p w14:paraId="6ABC1360">
      <w:pPr>
        <w:keepNext w:val="0"/>
        <w:keepLines w:val="0"/>
        <w:pageBreakBefore w:val="0"/>
        <w:kinsoku/>
        <w:overflowPunct/>
        <w:topLinePunct w:val="0"/>
        <w:bidi w:val="0"/>
        <w:adjustRightInd w:val="0"/>
        <w:snapToGrid w:val="0"/>
        <w:spacing w:line="360" w:lineRule="auto"/>
        <w:ind w:firstLine="470" w:firstLineChars="196"/>
        <w:textAlignment w:val="auto"/>
        <w:rPr>
          <w:rFonts w:hint="eastAsia" w:ascii="仿宋" w:hAnsi="仿宋" w:eastAsia="仿宋" w:cs="仿宋"/>
          <w:color w:val="auto"/>
          <w:sz w:val="24"/>
          <w:szCs w:val="24"/>
          <w:highlight w:val="none"/>
        </w:rPr>
      </w:pPr>
      <w:bookmarkStart w:id="36" w:name="_Toc5597"/>
      <w:bookmarkStart w:id="37" w:name="_Toc28844"/>
      <w:bookmarkStart w:id="38" w:name="_Toc21766"/>
      <w:bookmarkStart w:id="39" w:name="_Toc22709"/>
      <w:bookmarkStart w:id="40" w:name="_Toc17878"/>
      <w:bookmarkStart w:id="41" w:name="_Toc22460"/>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验收标准：</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56D06EE">
      <w:pPr>
        <w:keepNext w:val="0"/>
        <w:keepLines w:val="0"/>
        <w:pageBreakBefore w:val="0"/>
        <w:kinsoku/>
        <w:overflowPunct/>
        <w:topLinePunct w:val="0"/>
        <w:bidi w:val="0"/>
        <w:adjustRightInd w:val="0"/>
        <w:snapToGrid w:val="0"/>
        <w:spacing w:line="360" w:lineRule="auto"/>
        <w:ind w:firstLine="470" w:firstLineChars="19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验收方式：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4109AE9C">
      <w:pPr>
        <w:keepNext w:val="0"/>
        <w:keepLines w:val="0"/>
        <w:pageBreakBefore w:val="0"/>
        <w:kinsoku/>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验收依据：</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4A1BB749">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八、违约责任</w:t>
      </w:r>
      <w:bookmarkEnd w:id="36"/>
      <w:bookmarkEnd w:id="37"/>
      <w:bookmarkEnd w:id="38"/>
      <w:bookmarkEnd w:id="39"/>
      <w:bookmarkEnd w:id="40"/>
      <w:bookmarkEnd w:id="41"/>
    </w:p>
    <w:p w14:paraId="5E4426CB">
      <w:pPr>
        <w:keepNext w:val="0"/>
        <w:keepLines w:val="0"/>
        <w:pageBreakBefore w:val="0"/>
        <w:kinsoku/>
        <w:wordWrap/>
        <w:overflowPunct/>
        <w:topLinePunct w:val="0"/>
        <w:autoSpaceDE/>
        <w:autoSpaceDN/>
        <w:bidi w:val="0"/>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甲乙双方</w:t>
      </w:r>
      <w:r>
        <w:rPr>
          <w:rFonts w:hint="eastAsia" w:ascii="仿宋" w:hAnsi="仿宋" w:eastAsia="仿宋" w:cs="仿宋"/>
          <w:color w:val="auto"/>
          <w:sz w:val="24"/>
          <w:szCs w:val="24"/>
          <w:highlight w:val="none"/>
          <w:lang w:val="en-US" w:eastAsia="zh-CN"/>
        </w:rPr>
        <w:t>应当</w:t>
      </w:r>
      <w:r>
        <w:rPr>
          <w:rFonts w:hint="eastAsia" w:ascii="仿宋" w:hAnsi="仿宋" w:eastAsia="仿宋" w:cs="仿宋"/>
          <w:color w:val="auto"/>
          <w:sz w:val="24"/>
          <w:szCs w:val="24"/>
          <w:highlight w:val="none"/>
        </w:rPr>
        <w:t>遵守本合同并执行合同中的各项</w:t>
      </w:r>
      <w:r>
        <w:rPr>
          <w:rFonts w:hint="eastAsia" w:ascii="仿宋" w:hAnsi="仿宋" w:eastAsia="仿宋" w:cs="仿宋"/>
          <w:color w:val="auto"/>
          <w:sz w:val="24"/>
          <w:szCs w:val="24"/>
          <w:highlight w:val="none"/>
          <w:lang w:val="en-US" w:eastAsia="zh-CN"/>
        </w:rPr>
        <w:t>约</w:t>
      </w:r>
      <w:r>
        <w:rPr>
          <w:rFonts w:hint="eastAsia" w:ascii="仿宋" w:hAnsi="仿宋" w:eastAsia="仿宋" w:cs="仿宋"/>
          <w:color w:val="auto"/>
          <w:sz w:val="24"/>
          <w:szCs w:val="24"/>
          <w:highlight w:val="none"/>
        </w:rPr>
        <w:t>定，保证本合同的正常履行。</w:t>
      </w:r>
    </w:p>
    <w:p w14:paraId="4A01A54B">
      <w:pPr>
        <w:keepNext w:val="0"/>
        <w:keepLines w:val="0"/>
        <w:pageBreakBefore w:val="0"/>
        <w:kinsoku/>
        <w:wordWrap/>
        <w:overflowPunct/>
        <w:topLinePunct w:val="0"/>
        <w:autoSpaceDE/>
        <w:autoSpaceDN/>
        <w:bidi w:val="0"/>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如因乙方工作人员在履行</w:t>
      </w:r>
      <w:r>
        <w:rPr>
          <w:rFonts w:hint="eastAsia" w:ascii="仿宋" w:hAnsi="仿宋" w:eastAsia="仿宋" w:cs="仿宋"/>
          <w:color w:val="auto"/>
          <w:sz w:val="24"/>
          <w:szCs w:val="24"/>
          <w:highlight w:val="none"/>
          <w:lang w:val="en-US" w:eastAsia="zh-CN"/>
        </w:rPr>
        <w:t>职责</w:t>
      </w:r>
      <w:r>
        <w:rPr>
          <w:rFonts w:hint="eastAsia" w:ascii="仿宋" w:hAnsi="仿宋" w:eastAsia="仿宋" w:cs="仿宋"/>
          <w:color w:val="auto"/>
          <w:sz w:val="24"/>
          <w:szCs w:val="24"/>
          <w:highlight w:val="none"/>
        </w:rPr>
        <w:t>过程中的的疏忽、失职、过错等故意或者过失原因给甲方造成损失或侵害，包括但不限于甲方本身的财产损失、由此而导致的甲方对任何第三方的法律责任等，乙方对此均应承担全部的赔偿责任。</w:t>
      </w:r>
    </w:p>
    <w:p w14:paraId="5501EA6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在履约期间</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服务质量</w:t>
      </w:r>
      <w:r>
        <w:rPr>
          <w:rFonts w:hint="eastAsia" w:ascii="仿宋" w:hAnsi="仿宋" w:eastAsia="仿宋" w:cs="仿宋"/>
          <w:color w:val="auto"/>
          <w:sz w:val="24"/>
          <w:szCs w:val="24"/>
          <w:highlight w:val="none"/>
          <w:lang w:val="en-US" w:eastAsia="zh-CN"/>
        </w:rPr>
        <w:t>标准及</w:t>
      </w:r>
      <w:r>
        <w:rPr>
          <w:rFonts w:hint="eastAsia" w:ascii="仿宋" w:hAnsi="仿宋" w:eastAsia="仿宋" w:cs="仿宋"/>
          <w:color w:val="auto"/>
          <w:sz w:val="24"/>
          <w:szCs w:val="24"/>
          <w:highlight w:val="none"/>
        </w:rPr>
        <w:t>要求不能满足合同</w:t>
      </w:r>
      <w:r>
        <w:rPr>
          <w:rFonts w:hint="eastAsia" w:ascii="仿宋" w:hAnsi="仿宋" w:eastAsia="仿宋" w:cs="仿宋"/>
          <w:color w:val="auto"/>
          <w:sz w:val="24"/>
          <w:szCs w:val="24"/>
          <w:highlight w:val="none"/>
          <w:lang w:val="en-US" w:eastAsia="zh-CN"/>
        </w:rPr>
        <w:t>约定</w:t>
      </w:r>
      <w:r>
        <w:rPr>
          <w:rFonts w:hint="eastAsia" w:ascii="仿宋" w:hAnsi="仿宋" w:eastAsia="仿宋" w:cs="仿宋"/>
          <w:color w:val="auto"/>
          <w:sz w:val="24"/>
          <w:szCs w:val="24"/>
          <w:highlight w:val="none"/>
        </w:rPr>
        <w:t>，甲方应当将乙方违约的情况以及拟采取的措施以书面形式报政府采购监管部门，根据政府采购监管部门的处理意见，甲方有权依据《</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民法典》及合同有关条款终止合同，并要求乙方承担违约责任。</w:t>
      </w:r>
    </w:p>
    <w:p w14:paraId="1AB50DEA">
      <w:pPr>
        <w:keepNext w:val="0"/>
        <w:keepLines w:val="0"/>
        <w:pageBreakBefore w:val="0"/>
        <w:kinsoku/>
        <w:overflowPunct/>
        <w:topLinePunct w:val="0"/>
        <w:bidi w:val="0"/>
        <w:snapToGrid w:val="0"/>
        <w:spacing w:line="360" w:lineRule="auto"/>
        <w:textAlignment w:val="auto"/>
        <w:outlineLvl w:val="1"/>
        <w:rPr>
          <w:rFonts w:hint="eastAsia" w:ascii="仿宋" w:hAnsi="仿宋" w:eastAsia="仿宋" w:cs="仿宋"/>
          <w:b/>
          <w:color w:val="auto"/>
          <w:sz w:val="24"/>
          <w:szCs w:val="24"/>
          <w:highlight w:val="none"/>
          <w:lang w:val="en-US" w:eastAsia="zh-CN"/>
        </w:rPr>
      </w:pPr>
      <w:bookmarkStart w:id="42" w:name="_Toc15737"/>
      <w:bookmarkStart w:id="43" w:name="_Toc12861"/>
      <w:bookmarkStart w:id="44" w:name="_Toc9359"/>
      <w:bookmarkStart w:id="45" w:name="_Toc1527"/>
      <w:bookmarkStart w:id="46" w:name="_Toc13719"/>
      <w:bookmarkStart w:id="47" w:name="_Toc27612"/>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w:t>
      </w:r>
      <w:bookmarkEnd w:id="42"/>
      <w:bookmarkEnd w:id="43"/>
      <w:bookmarkEnd w:id="44"/>
      <w:bookmarkEnd w:id="45"/>
      <w:bookmarkEnd w:id="46"/>
      <w:bookmarkEnd w:id="47"/>
      <w:r>
        <w:rPr>
          <w:rFonts w:hint="eastAsia" w:ascii="仿宋" w:hAnsi="仿宋" w:eastAsia="仿宋" w:cs="仿宋"/>
          <w:b/>
          <w:color w:val="auto"/>
          <w:sz w:val="24"/>
          <w:szCs w:val="24"/>
          <w:highlight w:val="none"/>
          <w:lang w:val="en-US" w:eastAsia="zh-CN"/>
        </w:rPr>
        <w:t>解决争议的方法</w:t>
      </w:r>
    </w:p>
    <w:p w14:paraId="709D57EE">
      <w:pPr>
        <w:keepNext w:val="0"/>
        <w:keepLines w:val="0"/>
        <w:pageBreakBefore w:val="0"/>
        <w:kinsoku/>
        <w:wordWrap/>
        <w:overflowPunct/>
        <w:topLinePunct w:val="0"/>
        <w:autoSpaceDE/>
        <w:autoSpaceDN/>
        <w:bidi w:val="0"/>
        <w:snapToGrid/>
        <w:spacing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在执行本合同中发生的或与本合同有关的</w:t>
      </w:r>
      <w:r>
        <w:rPr>
          <w:rFonts w:hint="eastAsia" w:ascii="仿宋" w:hAnsi="仿宋" w:eastAsia="仿宋" w:cs="仿宋"/>
          <w:color w:val="auto"/>
          <w:sz w:val="24"/>
          <w:szCs w:val="24"/>
          <w:highlight w:val="none"/>
          <w:lang w:val="en-US" w:eastAsia="zh-CN"/>
        </w:rPr>
        <w:t>争议</w:t>
      </w:r>
      <w:r>
        <w:rPr>
          <w:rFonts w:hint="eastAsia" w:ascii="仿宋" w:hAnsi="仿宋" w:eastAsia="仿宋" w:cs="仿宋"/>
          <w:color w:val="auto"/>
          <w:sz w:val="24"/>
          <w:szCs w:val="24"/>
          <w:highlight w:val="none"/>
        </w:rPr>
        <w:t>，双方应友好协商解决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协商</w:t>
      </w:r>
      <w:r>
        <w:rPr>
          <w:rFonts w:hint="eastAsia" w:ascii="仿宋" w:hAnsi="仿宋" w:eastAsia="仿宋" w:cs="仿宋"/>
          <w:color w:val="auto"/>
          <w:sz w:val="24"/>
          <w:szCs w:val="24"/>
          <w:highlight w:val="none"/>
          <w:lang w:val="en-US" w:eastAsia="zh-CN"/>
        </w:rPr>
        <w:t>不成</w:t>
      </w:r>
      <w:r>
        <w:rPr>
          <w:rFonts w:hint="eastAsia" w:ascii="仿宋" w:hAnsi="仿宋" w:eastAsia="仿宋" w:cs="仿宋"/>
          <w:color w:val="auto"/>
          <w:sz w:val="24"/>
          <w:szCs w:val="24"/>
          <w:highlight w:val="none"/>
        </w:rPr>
        <w:t>时，</w:t>
      </w:r>
      <w:r>
        <w:rPr>
          <w:rFonts w:hint="eastAsia" w:ascii="仿宋" w:hAnsi="仿宋" w:eastAsia="仿宋" w:cs="仿宋"/>
          <w:color w:val="auto"/>
          <w:sz w:val="24"/>
          <w:szCs w:val="24"/>
          <w:highlight w:val="none"/>
          <w:lang w:val="en-US" w:eastAsia="zh-CN"/>
        </w:rPr>
        <w:t>任何一方均可</w:t>
      </w:r>
      <w:r>
        <w:rPr>
          <w:rFonts w:hint="eastAsia" w:ascii="仿宋" w:hAnsi="仿宋" w:eastAsia="仿宋" w:cs="仿宋"/>
          <w:color w:val="auto"/>
          <w:sz w:val="24"/>
          <w:szCs w:val="24"/>
          <w:highlight w:val="none"/>
        </w:rPr>
        <w:t>向甲方所在地有管辖权的人民法院提起诉讼</w:t>
      </w:r>
      <w:r>
        <w:rPr>
          <w:rFonts w:hint="eastAsia" w:ascii="仿宋" w:hAnsi="仿宋" w:eastAsia="仿宋" w:cs="仿宋"/>
          <w:color w:val="auto"/>
          <w:sz w:val="24"/>
          <w:szCs w:val="24"/>
          <w:highlight w:val="none"/>
          <w:lang w:eastAsia="zh-CN"/>
        </w:rPr>
        <w:t>。</w:t>
      </w:r>
      <w:r>
        <w:rPr>
          <w:rFonts w:hint="eastAsia" w:ascii="仿宋" w:hAnsi="仿宋" w:eastAsia="仿宋" w:cs="仿宋"/>
          <w:b w:val="0"/>
          <w:bCs w:val="0"/>
          <w:color w:val="auto"/>
          <w:kern w:val="2"/>
          <w:sz w:val="24"/>
          <w:szCs w:val="24"/>
          <w:highlight w:val="none"/>
          <w:lang w:val="en-US" w:eastAsia="zh-CN" w:bidi="ar-SA"/>
        </w:rPr>
        <w:t xml:space="preserve">  </w:t>
      </w:r>
    </w:p>
    <w:p w14:paraId="7CFEB6A7">
      <w:pPr>
        <w:pStyle w:val="5"/>
        <w:keepNext w:val="0"/>
        <w:keepLines w:val="0"/>
        <w:pageBreakBefore w:val="0"/>
        <w:numPr>
          <w:ilvl w:val="0"/>
          <w:numId w:val="0"/>
        </w:numPr>
        <w:kinsoku/>
        <w:overflowPunct/>
        <w:topLinePunct w:val="0"/>
        <w:bidi w:val="0"/>
        <w:spacing w:after="0" w:line="360" w:lineRule="auto"/>
        <w:ind w:left="0" w:leftChars="0" w:firstLine="0" w:firstLineChars="0"/>
        <w:textAlignment w:val="auto"/>
        <w:outlineLvl w:val="1"/>
        <w:rPr>
          <w:rFonts w:hint="eastAsia" w:ascii="仿宋" w:hAnsi="仿宋" w:eastAsia="仿宋" w:cs="仿宋"/>
          <w:b/>
          <w:color w:val="auto"/>
          <w:kern w:val="2"/>
          <w:sz w:val="24"/>
          <w:szCs w:val="24"/>
          <w:highlight w:val="none"/>
          <w:lang w:val="en-US" w:eastAsia="zh-CN" w:bidi="ar-SA"/>
        </w:rPr>
      </w:pPr>
      <w:bookmarkStart w:id="48" w:name="_Toc23271"/>
      <w:bookmarkStart w:id="49" w:name="_Toc20262"/>
      <w:bookmarkStart w:id="50" w:name="_Toc906"/>
      <w:bookmarkStart w:id="51" w:name="_Toc29810"/>
      <w:bookmarkStart w:id="52" w:name="_Toc22876"/>
      <w:bookmarkStart w:id="53" w:name="_Toc31233"/>
      <w:r>
        <w:rPr>
          <w:rFonts w:hint="eastAsia" w:ascii="仿宋" w:hAnsi="仿宋" w:eastAsia="仿宋" w:cs="仿宋"/>
          <w:b/>
          <w:color w:val="auto"/>
          <w:kern w:val="2"/>
          <w:sz w:val="24"/>
          <w:szCs w:val="24"/>
          <w:highlight w:val="none"/>
          <w:lang w:val="en-US" w:eastAsia="zh-CN" w:bidi="ar-SA"/>
        </w:rPr>
        <w:t>十、其他事项</w:t>
      </w:r>
      <w:bookmarkEnd w:id="48"/>
      <w:bookmarkEnd w:id="49"/>
      <w:bookmarkEnd w:id="50"/>
      <w:bookmarkEnd w:id="51"/>
      <w:bookmarkEnd w:id="52"/>
      <w:bookmarkEnd w:id="53"/>
    </w:p>
    <w:p w14:paraId="3A69D367">
      <w:pPr>
        <w:keepNext w:val="0"/>
        <w:keepLines w:val="0"/>
        <w:pageBreakBefore w:val="0"/>
        <w:kinsoku/>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一）政府采购合同履行中，甲方需追加与合同标的相同的货物、工程或者服务的，在不改变合同其他条款的前提下，可以与乙方协商签订补充合同，但所有补充合同的采购金额不得超过原合同采购金额的百分之十。</w:t>
      </w:r>
    </w:p>
    <w:p w14:paraId="33C9C4DB">
      <w:pPr>
        <w:keepNext w:val="0"/>
        <w:keepLines w:val="0"/>
        <w:pageBreakBefore w:val="0"/>
        <w:kinsoku/>
        <w:overflowPunct/>
        <w:topLinePunct w:val="0"/>
        <w:bidi w:val="0"/>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（二）本合同所有附件、</w:t>
      </w:r>
      <w:r>
        <w:rPr>
          <w:rFonts w:hint="eastAsia" w:ascii="仿宋" w:hAnsi="仿宋" w:eastAsia="仿宋" w:cs="仿宋"/>
          <w:color w:val="auto"/>
          <w:sz w:val="24"/>
          <w:szCs w:val="24"/>
          <w:highlight w:val="none"/>
          <w:lang w:val="en-US" w:eastAsia="zh-CN"/>
        </w:rPr>
        <w:t>竞争性磋商文件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竞争性磋商响应文件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rPr>
        <w:t>通知书均为本合同的有效组成部分，与本合同具有同等法律效力。</w:t>
      </w:r>
      <w:r>
        <w:rPr>
          <w:rFonts w:hint="eastAsia" w:ascii="仿宋" w:hAnsi="仿宋" w:eastAsia="仿宋" w:cs="仿宋"/>
          <w:b w:val="0"/>
          <w:bCs w:val="0"/>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val="en-US" w:eastAsia="zh-CN" w:bidi="ar-SA"/>
        </w:rPr>
        <w:t xml:space="preserve">                             </w:t>
      </w:r>
    </w:p>
    <w:p w14:paraId="638883D2">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color w:val="auto"/>
          <w:sz w:val="24"/>
          <w:szCs w:val="24"/>
          <w:highlight w:val="none"/>
        </w:rPr>
      </w:pPr>
      <w:bookmarkStart w:id="54" w:name="_Toc23239"/>
      <w:bookmarkStart w:id="55" w:name="_Toc11723"/>
      <w:bookmarkStart w:id="56" w:name="_Toc21375"/>
      <w:bookmarkStart w:id="57" w:name="_Toc12136"/>
      <w:bookmarkStart w:id="58" w:name="_Toc6722"/>
      <w:bookmarkStart w:id="59" w:name="_Toc12900"/>
      <w:r>
        <w:rPr>
          <w:rFonts w:hint="eastAsia" w:ascii="仿宋" w:hAnsi="仿宋" w:eastAsia="仿宋" w:cs="仿宋"/>
          <w:b/>
          <w:color w:val="auto"/>
          <w:sz w:val="24"/>
          <w:szCs w:val="24"/>
          <w:highlight w:val="none"/>
        </w:rPr>
        <w:t>十</w:t>
      </w: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rPr>
        <w:t>、合同生效</w:t>
      </w:r>
      <w:bookmarkEnd w:id="54"/>
      <w:bookmarkEnd w:id="55"/>
      <w:bookmarkEnd w:id="56"/>
      <w:bookmarkEnd w:id="57"/>
      <w:bookmarkEnd w:id="58"/>
      <w:bookmarkEnd w:id="59"/>
    </w:p>
    <w:p w14:paraId="0D06DBC4">
      <w:pPr>
        <w:keepNext w:val="0"/>
        <w:keepLines w:val="0"/>
        <w:pageBreakBefore w:val="0"/>
        <w:kinsoku/>
        <w:overflowPunct/>
        <w:topLinePunct w:val="0"/>
        <w:autoSpaceDE w:val="0"/>
        <w:autoSpaceDN w:val="0"/>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rPr>
        <w:t>（一）</w:t>
      </w:r>
      <w:r>
        <w:rPr>
          <w:rFonts w:hint="eastAsia" w:ascii="仿宋" w:hAnsi="仿宋" w:eastAsia="仿宋" w:cs="仿宋"/>
          <w:color w:val="auto"/>
          <w:sz w:val="24"/>
          <w:szCs w:val="24"/>
          <w:highlight w:val="none"/>
        </w:rPr>
        <w:t>本合同经甲、乙双方签字盖章后生效。</w:t>
      </w:r>
    </w:p>
    <w:p w14:paraId="518CA0DC">
      <w:pPr>
        <w:keepNext w:val="0"/>
        <w:keepLines w:val="0"/>
        <w:pageBreakBefore w:val="0"/>
        <w:kinsoku/>
        <w:overflowPunct/>
        <w:topLinePunct w:val="0"/>
        <w:autoSpaceDE w:val="0"/>
        <w:autoSpaceDN w:val="0"/>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份，甲乙双方各执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代理机构留存</w:t>
      </w:r>
      <w:r>
        <w:rPr>
          <w:rFonts w:hint="eastAsia" w:ascii="仿宋" w:hAnsi="仿宋" w:eastAsia="仿宋" w:cs="仿宋"/>
          <w:color w:val="auto"/>
          <w:sz w:val="24"/>
          <w:szCs w:val="24"/>
          <w:highlight w:val="none"/>
          <w:u w:val="single"/>
        </w:rPr>
        <w:t>壹</w:t>
      </w:r>
      <w:r>
        <w:rPr>
          <w:rFonts w:hint="eastAsia" w:ascii="仿宋" w:hAnsi="仿宋" w:eastAsia="仿宋" w:cs="仿宋"/>
          <w:color w:val="auto"/>
          <w:sz w:val="24"/>
          <w:szCs w:val="24"/>
          <w:highlight w:val="none"/>
        </w:rPr>
        <w:t>份。</w:t>
      </w:r>
    </w:p>
    <w:p w14:paraId="0FB10C8D">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（三）本合同如有未尽事宜，甲、乙双方协商解决。</w:t>
      </w:r>
    </w:p>
    <w:p w14:paraId="71BC12A5">
      <w:pPr>
        <w:rPr>
          <w:rFonts w:hint="eastAsia" w:ascii="仿宋" w:hAnsi="仿宋" w:eastAsia="仿宋" w:cs="仿宋"/>
          <w:color w:val="auto"/>
          <w:sz w:val="24"/>
          <w:szCs w:val="24"/>
          <w:highlight w:val="none"/>
        </w:rPr>
      </w:pPr>
    </w:p>
    <w:p w14:paraId="2CF48182">
      <w:pPr>
        <w:rPr>
          <w:rFonts w:hint="eastAsia" w:ascii="仿宋" w:hAnsi="仿宋" w:eastAsia="仿宋" w:cs="仿宋"/>
          <w:color w:val="auto"/>
          <w:sz w:val="24"/>
          <w:szCs w:val="24"/>
          <w:highlight w:val="none"/>
        </w:rPr>
      </w:pPr>
    </w:p>
    <w:p w14:paraId="6991C393">
      <w:pPr>
        <w:rPr>
          <w:rFonts w:hint="eastAsia" w:ascii="仿宋" w:hAnsi="仿宋" w:eastAsia="仿宋" w:cs="仿宋"/>
          <w:color w:val="auto"/>
          <w:sz w:val="24"/>
          <w:szCs w:val="24"/>
          <w:highlight w:val="none"/>
        </w:rPr>
      </w:pPr>
    </w:p>
    <w:p w14:paraId="2E8B9BC2">
      <w:pPr>
        <w:rPr>
          <w:rFonts w:hint="eastAsia" w:ascii="仿宋" w:hAnsi="仿宋" w:eastAsia="仿宋" w:cs="仿宋"/>
          <w:color w:val="auto"/>
          <w:sz w:val="24"/>
          <w:szCs w:val="24"/>
          <w:highlight w:val="none"/>
        </w:rPr>
      </w:pPr>
    </w:p>
    <w:p w14:paraId="57854E02">
      <w:pPr>
        <w:rPr>
          <w:rFonts w:hint="eastAsia" w:ascii="仿宋" w:hAnsi="仿宋" w:eastAsia="仿宋" w:cs="仿宋"/>
          <w:color w:val="auto"/>
          <w:sz w:val="24"/>
          <w:szCs w:val="24"/>
          <w:highlight w:val="none"/>
        </w:rPr>
      </w:pPr>
    </w:p>
    <w:p w14:paraId="20B8C222">
      <w:pPr>
        <w:rPr>
          <w:rFonts w:hint="eastAsia" w:ascii="仿宋" w:hAnsi="仿宋" w:eastAsia="仿宋" w:cs="仿宋"/>
          <w:color w:val="auto"/>
          <w:sz w:val="24"/>
          <w:szCs w:val="24"/>
          <w:highlight w:val="none"/>
        </w:rPr>
      </w:pPr>
    </w:p>
    <w:p w14:paraId="094362F7">
      <w:pPr>
        <w:rPr>
          <w:rFonts w:hint="eastAsia" w:ascii="仿宋" w:hAnsi="仿宋" w:eastAsia="仿宋" w:cs="仿宋"/>
          <w:color w:val="auto"/>
          <w:sz w:val="24"/>
          <w:szCs w:val="24"/>
          <w:highlight w:val="none"/>
        </w:rPr>
      </w:pPr>
    </w:p>
    <w:p w14:paraId="0E149C3F">
      <w:pPr>
        <w:rPr>
          <w:rFonts w:hint="eastAsia" w:ascii="仿宋" w:hAnsi="仿宋" w:eastAsia="仿宋" w:cs="仿宋"/>
          <w:color w:val="auto"/>
          <w:sz w:val="24"/>
          <w:szCs w:val="24"/>
          <w:highlight w:val="none"/>
        </w:rPr>
      </w:pPr>
    </w:p>
    <w:p w14:paraId="7CFF6BB9">
      <w:pP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甲方：（加盖公章或合同专用章）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乙方：（加盖公章或合同专用章）</w:t>
      </w:r>
    </w:p>
    <w:p w14:paraId="52BB8813">
      <w:pP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 xml:space="preserve">签字：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 xml:space="preserve">签字： </w:t>
      </w:r>
    </w:p>
    <w:p w14:paraId="1292E2C9">
      <w:pP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地 址： </w:t>
      </w:r>
    </w:p>
    <w:p w14:paraId="3FA0FDD7">
      <w:pP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电 话： </w:t>
      </w:r>
    </w:p>
    <w:p w14:paraId="3ED0ACB5">
      <w:pP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联系人： </w:t>
      </w:r>
    </w:p>
    <w:p w14:paraId="2E629592">
      <w:pP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开户银行：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开户银行： </w:t>
      </w:r>
    </w:p>
    <w:p w14:paraId="2F3486E4">
      <w:pP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账户名称：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账户名称：</w:t>
      </w:r>
    </w:p>
    <w:p w14:paraId="3F26637F">
      <w:pP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账 号：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账 号：</w:t>
      </w:r>
    </w:p>
    <w:p w14:paraId="61DE1B77">
      <w:pPr>
        <w:spacing w:line="360" w:lineRule="auto"/>
        <w:ind w:firstLine="240" w:firstLineChars="100"/>
      </w:pPr>
      <w:r>
        <w:rPr>
          <w:rFonts w:hint="eastAsia" w:ascii="仿宋" w:hAnsi="仿宋" w:eastAsia="仿宋" w:cs="仿宋"/>
          <w:color w:val="auto"/>
          <w:sz w:val="24"/>
          <w:szCs w:val="24"/>
          <w:highlight w:val="none"/>
          <w:lang w:eastAsia="zh-CN"/>
        </w:rPr>
        <w:t>签订</w:t>
      </w:r>
      <w:r>
        <w:rPr>
          <w:rFonts w:hint="eastAsia" w:ascii="仿宋" w:hAnsi="仿宋" w:eastAsia="仿宋" w:cs="仿宋"/>
          <w:color w:val="auto"/>
          <w:sz w:val="24"/>
          <w:szCs w:val="24"/>
          <w:highlight w:val="none"/>
        </w:rPr>
        <w:t xml:space="preserve">日期： </w:t>
      </w:r>
      <w:r>
        <w:rPr>
          <w:rFonts w:hint="eastAsia" w:ascii="仿宋" w:hAnsi="仿宋" w:eastAsia="仿宋" w:cs="仿宋"/>
          <w:color w:val="auto"/>
          <w:sz w:val="24"/>
          <w:szCs w:val="24"/>
          <w:highlight w:val="none"/>
          <w:lang w:val="en-US" w:eastAsia="zh-CN"/>
        </w:rPr>
        <w:t xml:space="preserve">    </w:t>
      </w:r>
      <w:bookmarkStart w:id="60" w:name="_GoBack"/>
      <w:bookmarkEnd w:id="60"/>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签订</w:t>
      </w: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EE7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rPr>
      <w:rFonts w:ascii="宋体" w:hAnsi="Courier New"/>
      <w:szCs w:val="20"/>
    </w:rPr>
  </w:style>
  <w:style w:type="paragraph" w:styleId="4">
    <w:name w:val="Body Text 2"/>
    <w:basedOn w:val="1"/>
    <w:qFormat/>
    <w:uiPriority w:val="0"/>
    <w:rPr>
      <w:rFonts w:eastAsia="宋体"/>
      <w:kern w:val="2"/>
      <w:sz w:val="30"/>
      <w:lang w:val="en-US" w:eastAsia="zh-CN"/>
    </w:rPr>
  </w:style>
  <w:style w:type="paragraph" w:styleId="5">
    <w:name w:val="Body Text First Indent"/>
    <w:basedOn w:val="2"/>
    <w:qFormat/>
    <w:uiPriority w:val="99"/>
    <w:pPr>
      <w:ind w:firstLine="420" w:firstLineChars="100"/>
    </w:pPr>
    <w:rPr>
      <w:rFonts w:ascii="宋体"/>
    </w:rPr>
  </w:style>
  <w:style w:type="paragraph" w:customStyle="1" w:styleId="8">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2026-07-09T09:29:09Z</dcterms:created>
  <dc:creator>asus</dc:creator>
  <cp:lastModifiedBy>123</cp:lastModifiedBy>
  <dcterms:modified xsi:type="dcterms:W3CDTF">2026-07-09T09:29:20Z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eyJoZGlkIjoiN2NhN2Y2MGE5MjIwMDhkM2Q0ZjI1MGYxOTkyNDVjMmYiLCJ1c2VySWQiOiIyNTY5NzM0MDQifQ==</vt:lpwstr>
  </property>
  <property fmtid="{D5CDD505-2E9C-101B-9397-08002B2CF9AE}" pid="4" name="ICV">
    <vt:lpwstr>CB8BBC61D65A4916977151C5FCBEE7C5_12</vt:lpwstr>
  </property>
</Properties>
</file>