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版本号：ZJXHZ-ZBDL-2026-01420260605001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略阳县灵岩寺沿江步道建设项目(略阳县灵岩寺人行步道建设项目）洪水影响评价及涉河建设方案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ZJXHZ-ZBDL-2026-014</w:t>
      </w:r>
      <w:r>
        <w:br/>
      </w:r>
      <w:r>
        <w:br/>
      </w:r>
      <w:r>
        <w:br/>
      </w:r>
    </w:p>
    <w:p>
      <w:pPr>
        <w:pStyle w:val="null3"/>
        <w:jc w:val="center"/>
        <w:outlineLvl w:val="2"/>
      </w:pPr>
      <w:r>
        <w:rPr>
          <w:rFonts w:ascii="仿宋_GB2312" w:hAnsi="仿宋_GB2312" w:cs="仿宋_GB2312" w:eastAsia="仿宋_GB2312"/>
          <w:sz w:val="28"/>
          <w:b/>
        </w:rPr>
        <w:t>略阳县文化和旅游局</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略阳县文化和旅游局</w:t>
      </w:r>
      <w:r>
        <w:rPr>
          <w:rFonts w:ascii="仿宋_GB2312" w:hAnsi="仿宋_GB2312" w:cs="仿宋_GB2312" w:eastAsia="仿宋_GB2312"/>
        </w:rPr>
        <w:t>委托，拟对</w:t>
      </w:r>
      <w:r>
        <w:rPr>
          <w:rFonts w:ascii="仿宋_GB2312" w:hAnsi="仿宋_GB2312" w:cs="仿宋_GB2312" w:eastAsia="仿宋_GB2312"/>
        </w:rPr>
        <w:t>略阳县灵岩寺沿江步道建设项目(略阳县灵岩寺人行步道建设项目）洪水影响评价及涉河建设方案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ZJXHZ-ZBDL-2026-014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略阳县灵岩寺沿江步道建设项目(略阳县灵岩寺人行步道建设项目）洪水影响评价及涉河建设方案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分析评价略阳县灵岩寺沿江步道提升建设项⽬（略阳县灵岩寺⼈⾏步道建设项⽬）对现有涉河⼯程等第三⽅合法⽔事权益的影响，并针对以上影响提出补救措施；编制《略阳县灵岩寺沿江步道提升建设项⽬（略阳县灵岩寺⼈⾏步道建设项⽬）涉河建设⽅案》、《略阳县灵岩寺沿江步道提升建设项⽬（略阳县灵岩寺⼈⾏步道建设项⽬）洪⽔影响评价报告》；配合甲⽅做好成果上报、评审筹备组织、技术成果汇报和答辩⼯作；根据审查意⻅对报告进⾏修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采购包1（洪水影响评价及涉河建设方案编制）：属于专门面向中小企业采购。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法人、其他组织或自然人：供应商应为具有独立承担民事责任能力的法人、其他组织或自然人：提供合法有效的统一社会信用代码营业执照或事业单位法人证书（自然人应提供身份证明）复印件加盖供应商公章；</w:t>
      </w:r>
    </w:p>
    <w:p>
      <w:pPr>
        <w:pStyle w:val="null3"/>
      </w:pPr>
      <w:r>
        <w:rPr>
          <w:rFonts w:ascii="仿宋_GB2312" w:hAnsi="仿宋_GB2312" w:cs="仿宋_GB2312" w:eastAsia="仿宋_GB2312"/>
        </w:rPr>
        <w:t>2、供应商应授权合法的人员参加磋商：法定代表人直接参与磋商时需提供法定代表人身份证明；被授权人参与时需提供被授权人身份证复印件及法定代表人授权委托书加盖公章；</w:t>
      </w:r>
    </w:p>
    <w:p>
      <w:pPr>
        <w:pStyle w:val="null3"/>
      </w:pPr>
      <w:r>
        <w:rPr>
          <w:rFonts w:ascii="仿宋_GB2312" w:hAnsi="仿宋_GB2312" w:cs="仿宋_GB2312" w:eastAsia="仿宋_GB2312"/>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 应商资格承诺函》加盖公章；</w:t>
      </w:r>
    </w:p>
    <w:p>
      <w:pPr>
        <w:pStyle w:val="null3"/>
      </w:pPr>
      <w:r>
        <w:rPr>
          <w:rFonts w:ascii="仿宋_GB2312" w:hAnsi="仿宋_GB2312" w:cs="仿宋_GB2312" w:eastAsia="仿宋_GB2312"/>
        </w:rPr>
        <w:t>4、拟派项目负责人资格：拟派项目负责人须具有水利工程相关专业中级及以上职称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陕西省汉中市略阳县羌文化广场文化馆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 0539 0920 0071 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代理服务费收费标准：按照国家计委颁发的《采购代理服务收费管理暂行办法》（计价格[2002]1980号）、《关于采购代理服务收费有关问题的通知》（发改办价格[2003] 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略阳县文化和旅游局</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完成略阳县灵岩寺沿江步道建设项目洪水影响评价及涉河建设方案编制，并协助采购人完成相关部门审批工作，顺利拿到批复文件；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分析评价略阳县灵岩寺沿江步道提升建设项目（略阳县灵岩寺人行步道建设项目）对现有涉河工程等第三方合法水事权益的影响，并针对以上影响提出补救措施；编制《略阳县灵岩寺沿江步道提升建设项目（略阳县灵岩寺人行步道建设项目）涉河建设方案》、《略阳县灵岩寺沿江步道提升建设项目（略阳县灵岩寺人行步道建设项目）洪水影响评价报告》；配合甲方做好成果上报、评审筹备组织、技术成果汇报和答辩工作；根据审查意见对报告进行修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略阳县灵岩寺沿江步道建设项目(略阳县灵岩寺人行步道建设项目）洪水影响评价及涉河建设方案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标的名称：略阳县灵岩寺沿江步道建设项目(略阳县灵岩寺人行步道建设项目）洪水影响评价及涉河建设方案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按照最新政策要求，分析评价略阳县灵岩寺沿江步道建设项目对现有涉河工程等第三方合法水事权益的影响，并针对以上影响提出补救措施;编制《略阳县灵岩寺沿江步道建设项目(略阳县灵岩寺人行步道建设项目）洪水影响评价及涉河建设方案》；配合采购人做好成果上报、评审筹备组织、技术成果汇报和答辩工作；根据审查意见对报告进行修编，对接陕西省水利厅报批，协助建设单位最终取得批复性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按照最新政策要求，完成略阳县灵岩寺沿江步道建设项目(略阳县灵岩寺人行步道建设项目）洪水影响评价及涉河建设方案编制，最终取得上级主管部门批复。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完成略阳县灵岩寺沿江步道建设项目(略阳县灵岩寺人行步道建设项目》洪水影响评价及涉河建设方案编制，并协助采购人完成相关部门审批工作，顺利拿到批复文件；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编制的《略阳县灵岩寺沿江步道提升建设项目（略阳县灵岩寺人行步道建设项目）涉河建设方案》、《略阳县灵岩寺沿江步道提升建设项目（略阳县灵岩寺人行步道建设项目）洪水影响评价报告》通过行业主管部门的技术审查，提交最终版的报告并取得批复文件后30日内，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成交单位在成交结果公示结束后3个工作日内向代理机构提供纸质版磋商响应文件，磋商响应文件为正本壹份，副本贰份，电子版壹份（响应文件内容须与电子交易平台上传文件内容保持一致）。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供应商应为具有独立承担民事责任能力的法人、其他组织或自然人</w:t>
            </w:r>
          </w:p>
        </w:tc>
        <w:tc>
          <w:tcPr>
            <w:tcW w:type="dxa" w:w="3322"/>
          </w:tcPr>
          <w:p>
            <w:pPr>
              <w:pStyle w:val="null3"/>
            </w:pPr>
            <w:r>
              <w:rPr>
                <w:rFonts w:ascii="仿宋_GB2312" w:hAnsi="仿宋_GB2312" w:cs="仿宋_GB2312" w:eastAsia="仿宋_GB2312"/>
              </w:rPr>
              <w:t>供应商应为具有独立承担民事责任能力的法人、其他组织或自然人：提供合法有效的统一社会信用代码营业执照或事业单位法人证书（自然人应提供身份证明）复印件加盖供应商公章；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w:t>
            </w:r>
          </w:p>
        </w:tc>
        <w:tc>
          <w:tcPr>
            <w:tcW w:type="dxa" w:w="3322"/>
          </w:tcPr>
          <w:p>
            <w:pPr>
              <w:pStyle w:val="null3"/>
            </w:pPr>
            <w:r>
              <w:rPr>
                <w:rFonts w:ascii="仿宋_GB2312" w:hAnsi="仿宋_GB2312" w:cs="仿宋_GB2312" w:eastAsia="仿宋_GB2312"/>
              </w:rPr>
              <w:t>法定代表人直接参与磋商时需提供法定代表人身份证明；被授权人参与时需提供被授权人身份证复印件及法定代表人授权委托书加盖公章；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 应商资格承诺函》加盖公章；</w:t>
            </w:r>
          </w:p>
        </w:tc>
        <w:tc>
          <w:tcPr>
            <w:tcW w:type="dxa" w:w="1661"/>
          </w:tcPr>
          <w:p>
            <w:pPr>
              <w:pStyle w:val="null3"/>
            </w:pPr>
            <w:r>
              <w:rPr>
                <w:rFonts w:ascii="仿宋_GB2312" w:hAnsi="仿宋_GB2312" w:cs="仿宋_GB2312" w:eastAsia="仿宋_GB2312"/>
              </w:rPr>
              <w:t>供应商资格承诺函.pdf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拟派项目负责人须具有水利工程相关专业中级及以上职称</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一、评审内容响应人针对本项目提供总体服务方案，内容包含: ①项目实施的总体目标； ②实施计划安排； ③实施方案的重难点分析； ④项目开展过程中的保障措施。 二、赋分标准 ①完整性：方案内容完整全面，对上述各项内容均有描述及说明，得6分；缺1项，得4 .5分；缺2项，得3分；缺3项，得1 .5分；缺4项，得0分。 ②针对性：针对性强，得6分；针对性一般，得3分；缺乏针对性，得0分。 ③可实施性：可实施性强，得8分；可实施性一般，得4分；可实施性差，得0分。 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总体服务方案.pdf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一、评审内容响应人针对本项目提供质量保证方案，内容包含: ①技术组织措施合理； ②项目目标明确； ③条理清晰，切实可行。 二、赋分标准 ①完整性：方案内容完整全面，对上述各项内容均有描述及说明，得3分；缺1项，得2分；缺2项，得1分；缺3项，得0分。 ②针对性：针对性强，得3分；针对性一般，得2分；缺乏针对性，得1分。 ③可实施性：可实施性强，得3分；可实施性一般，得2分；可实施性差，得1分。此项不提供不得分。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一、评审内容响应人针对本项目提供安全措施方案，内容包含:①明确安全责任；②制定详细的安全管理体系、制度及风险预测等措施；③在从事外业调查的过程中，制定详细可靠的现场安全预案。 二、赋分标准 ①完整性：方案内容完整全面 ，对上述各项内容均有描述及说明 ，得3分；缺1项，得2分；缺2项 ，得1分；缺3项，得0分。 ②针对性：针对性强，得3分；针对性一般，得2分；缺乏针对性，得1分。 ③可实施性：可实施性强，得3分；可实施性一般，得2分；可实施性差，得1分。此项不提供不得分。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安全措施.pdf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响应人针对本项目特点提供应急预案，预案内容包含: ①自然极端天气的预防与处置：暴雨、暴雪、雷电、大风、地震等； ②紧急情况的预防处置：森林防火、泥石流、山体滑坡等； ③突发事件的预防及处置：盗窃、寻衅滋事、违法事件、上访事件。 二、赋分标准： ①完整性：方案内容完整全面，对上述各项内容均有详细描述及说明，得3分；每缺1项，扣1分；不提供不得分。 ②针对性：针对性强，得3分；针对性一般，得2；缺乏针对性，得1分。 ③可实施性 ：可实施性强，得3分；可实施性一般，得2分；缺乏可实施性，得1分。此项不提供不得分。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一、评审内容响应人针对本项目制定合理的进度方案，内容包含: ①制定详细的进度计划； ②明确各岗位进度安排； ③制定详细的进度保障措施。 二、赋分标准 ①完整性：方案内容完整全面，对上述各项内容均有描述及说明，得3分；缺1项 ，得2分；缺2项，得1分；缺3项 ，得0分。 ②针对性：针对性强，得3分；针对性一般，得2分；缺乏针对性，得1分。 ③可实施性：可实施性强，得3分；可实施性一般 ，得2分；可实施性差，得1分。此项不提供不得分。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实施进度.pdf</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一、评审内容响应人针对本项目配备专业的技术团队负责实施，内容包含: ①配备专业全面的技术人员、管理人员； ②团队人员的分工合理、责任明确、服务力量充足； ③制定详细的人员管理方案、确保项目的顺利推进； ④团队人员须提供近半年内的社会保险缴纳证明。 二、赋分标准 ①完整性：1分；缺方案内容完整全面，对上述各项内容均有描述及说明，得4分；缺1项，得3分；缺2项，得2分；缺3项，得1分；缺4项，得0分。 ②针对性：针对性强，得4分；针对性一般，得2分；缺乏针对性，得1分。 ③可实施性：可实施性强，得4分；可实施性一般，得2分；可实施性差，得1分。此项不提供不得分。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人员组织方案.pdf</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一、评审内容：根据供应商针对本项目的实际情况制定的后续服务方案进行审，评审要点包含： ①后续服务内容； ②服务方式及响应时间； ③后期成果汇总完善管理措施。 二、赋分标准： ①完整性：方案内容完整全面，对上述各项内容均有描述及说明，得2分；缺1项，得1分；缺1项，得0 .5分；缺3项，得0分。 ②针对性：针对性强，得2分；针对性一般，得1分；缺乏针对性，得0 .5分。 ③可实施性：可实施性强，得2分；可实施性一般，得1分；可实施性差，得0 .5分。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后续服务方案.pdf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一、评审内容：针对本项目提供详尽的服务承诺，包含但不限于： ①有利于本项目实施的服务承诺； ②合理化建议。 二、赋分标准： ①完整性：方案内容完整全面，对上述各项内容均有描述及说明，得2分；缺1项，得1分；缺2项，得0分；②针对性：针对性强，得2分；针对性一般，得1分；缺乏针对性，得0.5分。 ③可实施性：可实施性强，得2分；可实施性一般，得1分；可实施性差，得0.5分。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提供2023年1月1日以来类似项目的业绩，每个1分，满分3分。 注：以合同协议书签订时间或中标通知书发放时间为准的业绩，须提供合同扫描件或中标通知书扫描件，并加盖供应商企业公章。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类似业绩.pdf</w:t>
            </w:r>
          </w:p>
        </w:tc>
      </w:tr>
      <w:tr>
        <w:tc>
          <w:tcPr>
            <w:tcW w:type="dxa" w:w="831"/>
            <w:vMerge/>
          </w:tcPr>
          <w:p/>
        </w:tc>
        <w:tc>
          <w:tcPr>
            <w:tcW w:type="dxa" w:w="1661"/>
          </w:tcPr>
          <w:p>
            <w:pPr>
              <w:pStyle w:val="null3"/>
            </w:pPr>
            <w:r>
              <w:rPr>
                <w:rFonts w:ascii="仿宋_GB2312" w:hAnsi="仿宋_GB2312" w:cs="仿宋_GB2312" w:eastAsia="仿宋_GB2312"/>
              </w:rPr>
              <w:t>相关证书证件</w:t>
            </w:r>
          </w:p>
        </w:tc>
        <w:tc>
          <w:tcPr>
            <w:tcW w:type="dxa" w:w="2492"/>
          </w:tcPr>
          <w:p>
            <w:pPr>
              <w:pStyle w:val="null3"/>
            </w:pPr>
            <w:r>
              <w:rPr>
                <w:rFonts w:ascii="仿宋_GB2312" w:hAnsi="仿宋_GB2312" w:cs="仿宋_GB2312" w:eastAsia="仿宋_GB2312"/>
              </w:rPr>
              <w:t>提供水文、水资源调查评价单位水平评价证书 水文分析计算甲级 得2分，乙级得1分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证书证件.pdf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15%）×100（四舍五入后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详见附件：总体服务方案.pdf</w:t>
      </w:r>
    </w:p>
    <w:p>
      <w:pPr>
        <w:pStyle w:val="null3"/>
        <w:ind w:firstLine="960"/>
      </w:pPr>
      <w:r>
        <w:rPr>
          <w:rFonts w:ascii="仿宋_GB2312" w:hAnsi="仿宋_GB2312" w:cs="仿宋_GB2312" w:eastAsia="仿宋_GB2312"/>
        </w:rPr>
        <w:t>详见附件：质量保证措施.pdf</w:t>
      </w:r>
    </w:p>
    <w:p>
      <w:pPr>
        <w:pStyle w:val="null3"/>
        <w:ind w:firstLine="960"/>
      </w:pPr>
      <w:r>
        <w:rPr>
          <w:rFonts w:ascii="仿宋_GB2312" w:hAnsi="仿宋_GB2312" w:cs="仿宋_GB2312" w:eastAsia="仿宋_GB2312"/>
        </w:rPr>
        <w:t>详见附件：安全措施.pdf</w:t>
      </w:r>
    </w:p>
    <w:p>
      <w:pPr>
        <w:pStyle w:val="null3"/>
        <w:ind w:firstLine="960"/>
      </w:pPr>
      <w:r>
        <w:rPr>
          <w:rFonts w:ascii="仿宋_GB2312" w:hAnsi="仿宋_GB2312" w:cs="仿宋_GB2312" w:eastAsia="仿宋_GB2312"/>
        </w:rPr>
        <w:t>详见附件：应急预案.pdf</w:t>
      </w:r>
    </w:p>
    <w:p>
      <w:pPr>
        <w:pStyle w:val="null3"/>
        <w:ind w:firstLine="960"/>
      </w:pPr>
      <w:r>
        <w:rPr>
          <w:rFonts w:ascii="仿宋_GB2312" w:hAnsi="仿宋_GB2312" w:cs="仿宋_GB2312" w:eastAsia="仿宋_GB2312"/>
        </w:rPr>
        <w:t>详见附件：实施进度.pdf</w:t>
      </w:r>
    </w:p>
    <w:p>
      <w:pPr>
        <w:pStyle w:val="null3"/>
        <w:ind w:firstLine="960"/>
      </w:pPr>
      <w:r>
        <w:rPr>
          <w:rFonts w:ascii="仿宋_GB2312" w:hAnsi="仿宋_GB2312" w:cs="仿宋_GB2312" w:eastAsia="仿宋_GB2312"/>
        </w:rPr>
        <w:t>详见附件：人员组织方案.pdf</w:t>
      </w:r>
    </w:p>
    <w:p>
      <w:pPr>
        <w:pStyle w:val="null3"/>
        <w:ind w:firstLine="960"/>
      </w:pPr>
      <w:r>
        <w:rPr>
          <w:rFonts w:ascii="仿宋_GB2312" w:hAnsi="仿宋_GB2312" w:cs="仿宋_GB2312" w:eastAsia="仿宋_GB2312"/>
        </w:rPr>
        <w:t>详见附件：后续服务方案.pdf</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详见附件：类似业绩.pdf</w:t>
      </w:r>
    </w:p>
    <w:p>
      <w:pPr>
        <w:pStyle w:val="null3"/>
        <w:ind w:firstLine="960"/>
      </w:pPr>
      <w:r>
        <w:rPr>
          <w:rFonts w:ascii="仿宋_GB2312" w:hAnsi="仿宋_GB2312" w:cs="仿宋_GB2312" w:eastAsia="仿宋_GB2312"/>
        </w:rPr>
        <w:t>详见附件：证书证件.pdf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