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版本号：HXCT-2026-023号.1B120260819001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韩城职专（本部）空调采购及安装工程(二次)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HXCT-2026-023号.1B1</w:t>
      </w:r>
      <w:r>
        <w:br/>
      </w:r>
      <w:r>
        <w:br/>
      </w:r>
      <w:r>
        <w:br/>
      </w:r>
    </w:p>
    <w:p>
      <w:pPr>
        <w:pStyle w:val="null3"/>
        <w:jc w:val="center"/>
        <w:outlineLvl w:val="2"/>
      </w:pPr>
      <w:r>
        <w:rPr>
          <w:rFonts w:ascii="仿宋_GB2312" w:hAnsi="仿宋_GB2312" w:cs="仿宋_GB2312" w:eastAsia="仿宋_GB2312"/>
          <w:sz w:val="28"/>
          <w:b/>
        </w:rPr>
        <w:t>韩城市职业中等专业学校</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韩城市职业中等专业学校</w:t>
      </w:r>
      <w:r>
        <w:rPr>
          <w:rFonts w:ascii="仿宋_GB2312" w:hAnsi="仿宋_GB2312" w:cs="仿宋_GB2312" w:eastAsia="仿宋_GB2312"/>
        </w:rPr>
        <w:t>委托，拟对</w:t>
      </w:r>
      <w:r>
        <w:rPr>
          <w:rFonts w:ascii="仿宋_GB2312" w:hAnsi="仿宋_GB2312" w:cs="仿宋_GB2312" w:eastAsia="仿宋_GB2312"/>
        </w:rPr>
        <w:t>韩城职专（本部）空调采购及安装工程(二次)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HXCT-2026-023号.1B1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韩城职专（本部）空调采购及安装工程(二次)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本项目为韩城职专(本部)空调采购及安装工程。内容包含：空调采购及安装。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供应商授权合法的人员参加投标全过程：法定代表人直接参加投标，须提交法定代表人身份证明书和身份证。法定代表人授权代表参加投标的，须出具法定代表人授权书及法人和授权代表身份证及社保缴纳凭证</w:t>
      </w:r>
    </w:p>
    <w:p>
      <w:pPr>
        <w:pStyle w:val="null3"/>
      </w:pPr>
      <w:r>
        <w:rPr>
          <w:rFonts w:ascii="仿宋_GB2312" w:hAnsi="仿宋_GB2312" w:cs="仿宋_GB2312" w:eastAsia="仿宋_GB2312"/>
        </w:rPr>
        <w:t>3、财务状况报告：供应商提供2025年度的财务审计报告（至少包括资产负债表、利润表和现金流量表及财务状况说明），或其开标前三个月内基本存款账户开户银行出具的资信证明及基本存款账户开户许可证</w:t>
      </w:r>
    </w:p>
    <w:p>
      <w:pPr>
        <w:pStyle w:val="null3"/>
      </w:pPr>
      <w:r>
        <w:rPr>
          <w:rFonts w:ascii="仿宋_GB2312" w:hAnsi="仿宋_GB2312" w:cs="仿宋_GB2312" w:eastAsia="仿宋_GB2312"/>
        </w:rPr>
        <w:t>4、社会保障资金缴纳证明：供应商提供截止至开标时间前6个月内任一月份的缴费凭据或提供社保部门出具的社保证明，依法不需要缴纳社会保障资金的应提供相关文件证明</w:t>
      </w:r>
    </w:p>
    <w:p>
      <w:pPr>
        <w:pStyle w:val="null3"/>
      </w:pPr>
      <w:r>
        <w:rPr>
          <w:rFonts w:ascii="仿宋_GB2312" w:hAnsi="仿宋_GB2312" w:cs="仿宋_GB2312" w:eastAsia="仿宋_GB2312"/>
        </w:rPr>
        <w:t>5、税收缴纳凭证：提供截止至开标时间前6个月内任一月份的缴费凭据或提供税务部门出具的纳税证明，依法免税的单位应提供相关证明材料</w:t>
      </w:r>
    </w:p>
    <w:p>
      <w:pPr>
        <w:pStyle w:val="null3"/>
      </w:pPr>
      <w:r>
        <w:rPr>
          <w:rFonts w:ascii="仿宋_GB2312" w:hAnsi="仿宋_GB2312" w:cs="仿宋_GB2312" w:eastAsia="仿宋_GB2312"/>
        </w:rPr>
        <w:t>6、信用记录：供应商参加政府采购活动前3年内在经营活动中没有重大违法记录（提供声明函）；开标时间前供应商未被“信用中国”网站（www.creditchina.gov.cn）列入失信被执行人、重大税收违法失信主体，未被中国政府采购网（www.ccgp.gov.cn）列入政府采购严重违法失信行为记录名单</w:t>
      </w:r>
    </w:p>
    <w:p>
      <w:pPr>
        <w:pStyle w:val="null3"/>
      </w:pPr>
      <w:r>
        <w:rPr>
          <w:rFonts w:ascii="仿宋_GB2312" w:hAnsi="仿宋_GB2312" w:cs="仿宋_GB2312" w:eastAsia="仿宋_GB2312"/>
        </w:rPr>
        <w:t>7、说明及承诺：提供具有履行合同所必需的设备和专业技术能力的承诺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韩城市新城区黄河大街北段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13720784172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韩城市西峙路与普照路十字德兴商务608室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0913-5207458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采购包1：578,400.00元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代理服务费收费标准：参照《国家计委印发&lt;招标代理服务费收取管理暂行办法 &gt;的通知》（计价格【2002】1980号）规定和《关于招标代理服务费收取有关问题的通知》（发改价格[2011]534号）规定标准下浮10％计取。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韩城市职业中等专业学校</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韩城市职业中等专业学校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韩城市职业中等专业学校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华夏城投项目管理有限公司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联系人：田思</w:t>
      </w:r>
    </w:p>
    <w:p>
      <w:pPr>
        <w:pStyle w:val="null3"/>
      </w:pPr>
      <w:r>
        <w:rPr>
          <w:rFonts w:ascii="仿宋_GB2312" w:hAnsi="仿宋_GB2312" w:cs="仿宋_GB2312" w:eastAsia="仿宋_GB2312"/>
        </w:rPr>
        <w:t>联系电话：0913-5207458</w:t>
      </w:r>
    </w:p>
    <w:p>
      <w:pPr>
        <w:pStyle w:val="null3"/>
      </w:pPr>
      <w:r>
        <w:rPr>
          <w:rFonts w:ascii="仿宋_GB2312" w:hAnsi="仿宋_GB2312" w:cs="仿宋_GB2312" w:eastAsia="仿宋_GB2312"/>
        </w:rPr>
        <w:t>地址： 韩城市西峙路与普照路十字德兴商务608室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本项目内容包含：空调采购及安装。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578,400.00</w:t>
      </w:r>
    </w:p>
    <w:p>
      <w:pPr>
        <w:pStyle w:val="null3"/>
      </w:pPr>
      <w:r>
        <w:rPr>
          <w:rFonts w:ascii="仿宋_GB2312" w:hAnsi="仿宋_GB2312" w:cs="仿宋_GB2312" w:eastAsia="仿宋_GB2312"/>
        </w:rPr>
        <w:t>采购包最高限价（元）: 578,400.00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空调采购及安装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578,400.00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标的名称：空调采购及安装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57"/>
              <w:gridCol w:w="433"/>
              <w:gridCol w:w="2233"/>
              <w:gridCol w:w="441"/>
              <w:gridCol w:w="496"/>
            </w:tblGrid>
            <w:tr>
              <w:tc>
                <w:tcPr>
                  <w:tcW w:type="dxa" w:w="35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00"/>
                    </w:rPr>
                    <w:t>序号</w:t>
                  </w:r>
                </w:p>
              </w:tc>
              <w:tc>
                <w:tcPr>
                  <w:tcW w:type="dxa" w:w="43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00"/>
                    </w:rPr>
                    <w:t>产品</w:t>
                  </w:r>
                </w:p>
                <w:p>
                  <w:pPr>
                    <w:pStyle w:val="null3"/>
                    <w:spacing w:before="105" w:after="105"/>
                    <w:jc w:val="center"/>
                  </w:pPr>
                  <w:r>
                    <w:rPr>
                      <w:rFonts w:ascii="仿宋_GB2312" w:hAnsi="仿宋_GB2312" w:cs="仿宋_GB2312" w:eastAsia="仿宋_GB2312"/>
                      <w:sz w:val="24"/>
                      <w:b/>
                      <w:color w:val="000000"/>
                    </w:rPr>
                    <w:t>名称</w:t>
                  </w:r>
                </w:p>
              </w:tc>
              <w:tc>
                <w:tcPr>
                  <w:tcW w:type="dxa" w:w="223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00"/>
                    </w:rPr>
                    <w:t>规格型号</w:t>
                  </w:r>
                </w:p>
              </w:tc>
              <w:tc>
                <w:tcPr>
                  <w:tcW w:type="dxa" w:w="44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00"/>
                    </w:rPr>
                    <w:t>单位</w:t>
                  </w:r>
                </w:p>
              </w:tc>
              <w:tc>
                <w:tcPr>
                  <w:tcW w:type="dxa" w:w="49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00"/>
                    </w:rPr>
                    <w:t>数量</w:t>
                  </w:r>
                </w:p>
              </w:tc>
            </w:tr>
            <w:tr>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w:t>
                  </w:r>
                </w:p>
              </w:tc>
              <w:tc>
                <w:tcPr>
                  <w:tcW w:type="dxa" w:w="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空调</w:t>
                  </w:r>
                </w:p>
              </w:tc>
              <w:tc>
                <w:tcPr>
                  <w:tcW w:type="dxa" w:w="2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项目特征：</w:t>
                  </w:r>
                  <w:r>
                    <w:br/>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 xml:space="preserve">≥1.5 </w:t>
                  </w:r>
                  <w:r>
                    <w:rPr>
                      <w:rFonts w:ascii="仿宋_GB2312" w:hAnsi="仿宋_GB2312" w:cs="仿宋_GB2312" w:eastAsia="仿宋_GB2312"/>
                      <w:sz w:val="24"/>
                      <w:color w:val="000000"/>
                    </w:rPr>
                    <w:t>匹；</w:t>
                  </w:r>
                </w:p>
                <w:p>
                  <w:pPr>
                    <w:pStyle w:val="null3"/>
                    <w:spacing w:before="105" w:after="105"/>
                    <w:jc w:val="left"/>
                  </w:pPr>
                  <w:r>
                    <w:rPr>
                      <w:rFonts w:ascii="仿宋_GB2312" w:hAnsi="仿宋_GB2312" w:cs="仿宋_GB2312" w:eastAsia="仿宋_GB2312"/>
                      <w:sz w:val="24"/>
                      <w:color w:val="000000"/>
                    </w:rPr>
                    <w:t>能效等级：达到新国标一级变频冷暖挂机</w:t>
                  </w:r>
                  <w:r>
                    <w:br/>
                  </w:r>
                  <w:r>
                    <w:rPr>
                      <w:rFonts w:ascii="仿宋_GB2312" w:hAnsi="仿宋_GB2312" w:cs="仿宋_GB2312" w:eastAsia="仿宋_GB2312"/>
                      <w:sz w:val="24"/>
                      <w:color w:val="000000"/>
                    </w:rPr>
                    <w:t>能效比：</w:t>
                  </w:r>
                  <w:r>
                    <w:rPr>
                      <w:rFonts w:ascii="仿宋_GB2312" w:hAnsi="仿宋_GB2312" w:cs="仿宋_GB2312" w:eastAsia="仿宋_GB2312"/>
                      <w:sz w:val="24"/>
                      <w:color w:val="000000"/>
                    </w:rPr>
                    <w:t>≥5.0</w:t>
                  </w:r>
                  <w:r>
                    <w:br/>
                  </w:r>
                  <w:r>
                    <w:rPr>
                      <w:rFonts w:ascii="仿宋_GB2312" w:hAnsi="仿宋_GB2312" w:cs="仿宋_GB2312" w:eastAsia="仿宋_GB2312"/>
                      <w:sz w:val="24"/>
                      <w:color w:val="000000"/>
                    </w:rPr>
                    <w:t>额定制冷：</w:t>
                  </w:r>
                  <w:r>
                    <w:rPr>
                      <w:rFonts w:ascii="仿宋_GB2312" w:hAnsi="仿宋_GB2312" w:cs="仿宋_GB2312" w:eastAsia="仿宋_GB2312"/>
                      <w:sz w:val="24"/>
                      <w:color w:val="000000"/>
                    </w:rPr>
                    <w:t>≥3500W</w:t>
                  </w:r>
                  <w:r>
                    <w:br/>
                  </w:r>
                  <w:r>
                    <w:rPr>
                      <w:rFonts w:ascii="仿宋_GB2312" w:hAnsi="仿宋_GB2312" w:cs="仿宋_GB2312" w:eastAsia="仿宋_GB2312"/>
                      <w:sz w:val="24"/>
                      <w:color w:val="000000"/>
                    </w:rPr>
                    <w:t>额定制热：</w:t>
                  </w:r>
                  <w:r>
                    <w:rPr>
                      <w:rFonts w:ascii="仿宋_GB2312" w:hAnsi="仿宋_GB2312" w:cs="仿宋_GB2312" w:eastAsia="仿宋_GB2312"/>
                      <w:sz w:val="24"/>
                      <w:color w:val="000000"/>
                    </w:rPr>
                    <w:t>≥5420W</w:t>
                  </w:r>
                  <w:r>
                    <w:br/>
                  </w:r>
                  <w:r>
                    <w:rPr>
                      <w:rFonts w:ascii="仿宋_GB2312" w:hAnsi="仿宋_GB2312" w:cs="仿宋_GB2312" w:eastAsia="仿宋_GB2312"/>
                      <w:sz w:val="24"/>
                      <w:color w:val="000000"/>
                    </w:rPr>
                    <w:t>制冷剂：</w:t>
                  </w:r>
                  <w:r>
                    <w:rPr>
                      <w:rFonts w:ascii="仿宋_GB2312" w:hAnsi="仿宋_GB2312" w:cs="仿宋_GB2312" w:eastAsia="仿宋_GB2312"/>
                      <w:sz w:val="24"/>
                      <w:color w:val="000000"/>
                    </w:rPr>
                    <w:t>R32</w:t>
                  </w:r>
                  <w:r>
                    <w:br/>
                  </w:r>
                  <w:r>
                    <w:rPr>
                      <w:rFonts w:ascii="仿宋_GB2312" w:hAnsi="仿宋_GB2312" w:cs="仿宋_GB2312" w:eastAsia="仿宋_GB2312"/>
                      <w:sz w:val="24"/>
                      <w:color w:val="000000"/>
                    </w:rPr>
                    <w:t>循环风量：</w:t>
                  </w:r>
                  <w:r>
                    <w:rPr>
                      <w:rFonts w:ascii="仿宋_GB2312" w:hAnsi="仿宋_GB2312" w:cs="仿宋_GB2312" w:eastAsia="仿宋_GB2312"/>
                      <w:sz w:val="24"/>
                      <w:color w:val="000000"/>
                    </w:rPr>
                    <w:t>≥750m³/h</w:t>
                  </w:r>
                  <w:r>
                    <w:br/>
                  </w:r>
                  <w:r>
                    <w:rPr>
                      <w:rFonts w:ascii="仿宋_GB2312" w:hAnsi="仿宋_GB2312" w:cs="仿宋_GB2312" w:eastAsia="仿宋_GB2312"/>
                      <w:sz w:val="24"/>
                      <w:color w:val="000000"/>
                    </w:rPr>
                    <w:t>内机最低噪音：</w:t>
                  </w:r>
                  <w:r>
                    <w:rPr>
                      <w:rFonts w:ascii="仿宋_GB2312" w:hAnsi="仿宋_GB2312" w:cs="仿宋_GB2312" w:eastAsia="仿宋_GB2312"/>
                      <w:sz w:val="24"/>
                      <w:color w:val="000000"/>
                    </w:rPr>
                    <w:t>≤18dB (A)</w:t>
                  </w:r>
                  <w:r>
                    <w:br/>
                  </w:r>
                  <w:r>
                    <w:rPr>
                      <w:rFonts w:ascii="仿宋_GB2312" w:hAnsi="仿宋_GB2312" w:cs="仿宋_GB2312" w:eastAsia="仿宋_GB2312"/>
                      <w:sz w:val="24"/>
                      <w:color w:val="000000"/>
                    </w:rPr>
                    <w:t>适用面积：约</w:t>
                  </w:r>
                  <w:r>
                    <w:rPr>
                      <w:rFonts w:ascii="仿宋_GB2312" w:hAnsi="仿宋_GB2312" w:cs="仿宋_GB2312" w:eastAsia="仿宋_GB2312"/>
                      <w:sz w:val="24"/>
                      <w:color w:val="000000"/>
                    </w:rPr>
                    <w:t>16-24</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核心配置：</w:t>
                  </w:r>
                  <w:r>
                    <w:rPr>
                      <w:rFonts w:ascii="仿宋_GB2312" w:hAnsi="仿宋_GB2312" w:cs="仿宋_GB2312" w:eastAsia="仿宋_GB2312"/>
                      <w:sz w:val="24"/>
                      <w:color w:val="000000"/>
                    </w:rPr>
                    <w:t>ECO</w:t>
                  </w:r>
                  <w:r>
                    <w:rPr>
                      <w:rFonts w:ascii="仿宋_GB2312" w:hAnsi="仿宋_GB2312" w:cs="仿宋_GB2312" w:eastAsia="仿宋_GB2312"/>
                      <w:sz w:val="24"/>
                      <w:color w:val="000000"/>
                    </w:rPr>
                    <w:t xml:space="preserve">省电模式（节能 </w:t>
                  </w:r>
                  <w:r>
                    <w:rPr>
                      <w:rFonts w:ascii="仿宋_GB2312" w:hAnsi="仿宋_GB2312" w:cs="仿宋_GB2312" w:eastAsia="仿宋_GB2312"/>
                      <w:sz w:val="24"/>
                      <w:color w:val="000000"/>
                    </w:rPr>
                    <w:t>≥25%</w:t>
                  </w:r>
                  <w:r>
                    <w:rPr>
                      <w:rFonts w:ascii="仿宋_GB2312" w:hAnsi="仿宋_GB2312" w:cs="仿宋_GB2312" w:eastAsia="仿宋_GB2312"/>
                      <w:sz w:val="24"/>
                      <w:color w:val="000000"/>
                    </w:rPr>
                    <w:t>）、电量查询、高性能压缩机、一键自清洁</w:t>
                  </w:r>
                  <w:r>
                    <w:br/>
                  </w:r>
                  <w:r>
                    <w:rPr>
                      <w:rFonts w:ascii="仿宋_GB2312" w:hAnsi="仿宋_GB2312" w:cs="仿宋_GB2312" w:eastAsia="仿宋_GB2312"/>
                      <w:sz w:val="24"/>
                      <w:color w:val="000000"/>
                    </w:rPr>
                    <w:t>工作内容：购置及安装，</w:t>
                  </w:r>
                  <w:r>
                    <w:rPr>
                      <w:rFonts w:ascii="仿宋_GB2312" w:hAnsi="仿宋_GB2312" w:cs="仿宋_GB2312" w:eastAsia="仿宋_GB2312"/>
                      <w:sz w:val="24"/>
                      <w:color w:val="000000"/>
                    </w:rPr>
                    <w:t>(</w:t>
                  </w:r>
                  <w:r>
                    <w:rPr>
                      <w:rFonts w:ascii="仿宋_GB2312" w:hAnsi="仿宋_GB2312" w:cs="仿宋_GB2312" w:eastAsia="仿宋_GB2312"/>
                      <w:sz w:val="24"/>
                      <w:color w:val="000000"/>
                    </w:rPr>
                    <w:t>含打孔、支架运费等</w:t>
                  </w:r>
                  <w:r>
                    <w:rPr>
                      <w:rFonts w:ascii="仿宋_GB2312" w:hAnsi="仿宋_GB2312" w:cs="仿宋_GB2312" w:eastAsia="仿宋_GB2312"/>
                      <w:sz w:val="24"/>
                      <w:color w:val="000000"/>
                    </w:rPr>
                    <w:t>)</w:t>
                  </w:r>
                  <w:r>
                    <w:rPr>
                      <w:rFonts w:ascii="仿宋_GB2312" w:hAnsi="仿宋_GB2312" w:cs="仿宋_GB2312" w:eastAsia="仿宋_GB2312"/>
                      <w:sz w:val="24"/>
                      <w:color w:val="000000"/>
                    </w:rPr>
                    <w:t>空调自带</w:t>
                  </w:r>
                  <w:r>
                    <w:rPr>
                      <w:rFonts w:ascii="仿宋_GB2312" w:hAnsi="仿宋_GB2312" w:cs="仿宋_GB2312" w:eastAsia="仿宋_GB2312"/>
                      <w:sz w:val="24"/>
                      <w:color w:val="000000"/>
                    </w:rPr>
                    <w:t>≥3m</w:t>
                  </w:r>
                  <w:r>
                    <w:rPr>
                      <w:rFonts w:ascii="仿宋_GB2312" w:hAnsi="仿宋_GB2312" w:cs="仿宋_GB2312" w:eastAsia="仿宋_GB2312"/>
                      <w:sz w:val="24"/>
                      <w:color w:val="000000"/>
                    </w:rPr>
                    <w:t>铜管</w:t>
                  </w:r>
                  <w:r>
                    <w:br/>
                  </w:r>
                  <w:r>
                    <w:rPr>
                      <w:rFonts w:ascii="仿宋_GB2312" w:hAnsi="仿宋_GB2312" w:cs="仿宋_GB2312" w:eastAsia="仿宋_GB2312"/>
                      <w:sz w:val="24"/>
                      <w:color w:val="000000"/>
                    </w:rPr>
                    <w:t>质保期：整机</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年全国联保</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台</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241.00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韩城市职业中等专业学校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进度款，项目供货完成，经供应商初验合格，向上级部门申请资金到账后，达到付款条件起30个工作日内，支付合同总金额的40.0%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进度款，产品交付使用，经终验合格，向上级部门申请资金到账后，达到付款条件起30个工作日内，支付合同总金额的57.0%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进度款，质保期满三年，向上级部门申请资金到账后，达到付款条件起30个工作日内，支付合同总金额的3.0%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项目完成由供应商进行自检，自检合格后准备验收文件并提出验收申请，采购人相关部门及人员形成验收小组，验收小组根据招标文件、投标文件及合同等项目文件约定内容对项目进行综合验收。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项目完成并验收合格后6年(参数中有具体要求的，按参数要求提供质保)。供应商承诺的质保时间超过招标文件要求的，按其承诺时间质保。2.所有产品质量必须符合国家有关规范和相关政策。所有产品及辅材必须是未使用过的新产品，质量优良、渠道正当，配需合理。3.质保期出现的质量问题由中标人负责解决并承担所有费用。质保期后如需更换零部件，应以优惠价提供。</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成交供应商在领取成交通知书时提供一正两副纸质投标文件。装订：纸质投标文件采用书籍（胶装）方式装订成册，与电子响应文件一致的签字、盖章的完整版本。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法定代表人直接参加投标，须提交法定代表人身份证明书和身份证。法定代表人授权代表参加投标的，须出具法定代表人授权书及法人和授权代表身份证及社保缴纳凭证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供应商提供2025年度的财务审计报告（至少包括资产负债表、利润表和现金流量表及财务状况说明），或其开标前三个月内基本存款账户开户银行出具的资信证明及基本存款账户开户许可证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供应商提供截止至开标时间前6个月内任一月份的缴费凭据或提供社保部门出具的社保证明，依法不需要缴纳社会保障资金的应提供相关文件证明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提供截止至开标时间前6个月内任一月份的缴费凭据或提供税务部门出具的纳税证明，依法免税的单位应提供相关证明材料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提供声明函）；开标时间前供应商未被“信用中国”网站（www.creditchina.gov.cn）列入失信被执行人、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说明及承诺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均按采购文件要求签字、盖章</w:t>
            </w:r>
          </w:p>
        </w:tc>
        <w:tc>
          <w:tcPr>
            <w:tcW w:type="dxa" w:w="1661"/>
          </w:tcPr>
          <w:p>
            <w:pPr>
              <w:pStyle w:val="null3"/>
            </w:pPr>
            <w:r>
              <w:rPr>
                <w:rFonts w:ascii="仿宋_GB2312" w:hAnsi="仿宋_GB2312" w:cs="仿宋_GB2312" w:eastAsia="仿宋_GB2312"/>
              </w:rPr>
              <w:t>技术参数偏离表.docx 投标方案.docx 中小企业声明函 供应商声明.docx 报价表 商务应答表.docx 响应文件封面 分项报价表.docx 投标人应提交的相关资格证明材料.docx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响应文件内容不存在漏项或数量与要求不符合采购文件规定情形，投标内容满足招标文件的商务、技术等实质性要求</w:t>
            </w:r>
          </w:p>
        </w:tc>
        <w:tc>
          <w:tcPr>
            <w:tcW w:type="dxa" w:w="1661"/>
          </w:tcPr>
          <w:p>
            <w:pPr>
              <w:pStyle w:val="null3"/>
            </w:pPr>
            <w:r>
              <w:rPr>
                <w:rFonts w:ascii="仿宋_GB2312" w:hAnsi="仿宋_GB2312" w:cs="仿宋_GB2312" w:eastAsia="仿宋_GB2312"/>
              </w:rPr>
              <w:t>技术参数偏离表.docx 商务应答表.docx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产品认证证书</w:t>
            </w:r>
          </w:p>
        </w:tc>
        <w:tc>
          <w:tcPr>
            <w:tcW w:type="dxa" w:w="3322"/>
          </w:tcPr>
          <w:p>
            <w:pPr>
              <w:pStyle w:val="null3"/>
            </w:pPr>
            <w:r>
              <w:rPr>
                <w:rFonts w:ascii="仿宋_GB2312" w:hAnsi="仿宋_GB2312" w:cs="仿宋_GB2312" w:eastAsia="仿宋_GB2312"/>
              </w:rPr>
              <w:t>供应商应当提供国家确定的认证机构出具的、处于有效期之内的节能产品认证证书及有效期内的CCC强制性产品认证证书</w:t>
            </w:r>
          </w:p>
        </w:tc>
        <w:tc>
          <w:tcPr>
            <w:tcW w:type="dxa" w:w="1661"/>
          </w:tcPr>
          <w:p>
            <w:pPr>
              <w:pStyle w:val="null3"/>
            </w:pPr>
            <w:r>
              <w:rPr>
                <w:rFonts w:ascii="仿宋_GB2312" w:hAnsi="仿宋_GB2312" w:cs="仿宋_GB2312" w:eastAsia="仿宋_GB2312"/>
              </w:rPr>
              <w:t>投标方案.docx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详见附件：供应商声明.docx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