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C42E8">
      <w:pPr>
        <w:keepNext w:val="0"/>
        <w:keepLines w:val="0"/>
        <w:pageBreakBefore/>
        <w:widowControl w:val="0"/>
        <w:shd w:val="clear"/>
        <w:kinsoku/>
        <w:wordWrap/>
        <w:overflowPunct/>
        <w:topLinePunct w:val="0"/>
        <w:autoSpaceDE/>
        <w:autoSpaceDN/>
        <w:bidi w:val="0"/>
        <w:adjustRightInd/>
        <w:snapToGrid/>
        <w:spacing w:line="360" w:lineRule="auto"/>
        <w:ind w:firstLine="0" w:firstLineChars="0"/>
        <w:jc w:val="center"/>
        <w:textAlignment w:val="auto"/>
        <w:outlineLvl w:val="1"/>
        <w:rPr>
          <w:rFonts w:hint="eastAsia" w:ascii="仿宋" w:hAnsi="仿宋" w:eastAsia="仿宋" w:cs="仿宋"/>
          <w:b/>
          <w:sz w:val="36"/>
          <w:highlight w:val="none"/>
        </w:rPr>
      </w:pPr>
      <w:r>
        <w:rPr>
          <w:rFonts w:hint="eastAsia" w:ascii="仿宋" w:hAnsi="仿宋" w:eastAsia="仿宋" w:cs="仿宋"/>
          <w:b/>
          <w:sz w:val="36"/>
          <w:highlight w:val="none"/>
        </w:rPr>
        <w:t>供应商资格证明文件</w:t>
      </w:r>
    </w:p>
    <w:p w14:paraId="030C3ED3">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1、营业执照等主体资格证明文件：提供统一社会信用代码的营业执照或其他组织经营的合法凭证或自然人的提供身份证明文件。</w:t>
      </w:r>
    </w:p>
    <w:p w14:paraId="6FF31CFC">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具有财务审计资质单位出具的2025年度财务报告或开标前六个月内其基本账户银行出具的资信证明或财政部门认可的政府采购专业担保机构出具的担保函，以上形式的证明资料提供任何一种即可。</w:t>
      </w:r>
    </w:p>
    <w:p w14:paraId="4A712363">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3、税收缴纳证明：提供已缴纳的</w:t>
      </w:r>
      <w:r>
        <w:rPr>
          <w:rFonts w:hint="eastAsia" w:ascii="仿宋" w:hAnsi="仿宋" w:eastAsia="仿宋" w:cs="仿宋"/>
          <w:sz w:val="24"/>
          <w:szCs w:val="24"/>
          <w:highlight w:val="none"/>
          <w:lang w:eastAsia="zh-CN"/>
        </w:rPr>
        <w:t>2025年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月1日</w:t>
      </w:r>
      <w:r>
        <w:rPr>
          <w:rFonts w:hint="eastAsia" w:ascii="仿宋" w:hAnsi="仿宋" w:eastAsia="仿宋" w:cs="仿宋"/>
          <w:sz w:val="24"/>
          <w:szCs w:val="24"/>
          <w:highlight w:val="none"/>
        </w:rPr>
        <w:t>以来至少三个月的纳税证明或完税证明，纳税证明或完税证明上应有代收机构或税务机关的公章或业务专用章。依法免税的供应商应提供相关文件证明。</w:t>
      </w:r>
    </w:p>
    <w:p w14:paraId="7B4DC98B">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4、社保缴纳证明：提供已缴存的</w:t>
      </w:r>
      <w:r>
        <w:rPr>
          <w:rFonts w:hint="eastAsia" w:ascii="仿宋" w:hAnsi="仿宋" w:eastAsia="仿宋" w:cs="仿宋"/>
          <w:sz w:val="24"/>
          <w:szCs w:val="24"/>
          <w:highlight w:val="none"/>
          <w:lang w:eastAsia="zh-CN"/>
        </w:rPr>
        <w:t>2025年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月1日</w:t>
      </w:r>
      <w:r>
        <w:rPr>
          <w:rFonts w:hint="eastAsia" w:ascii="仿宋" w:hAnsi="仿宋" w:eastAsia="仿宋" w:cs="仿宋"/>
          <w:sz w:val="24"/>
          <w:szCs w:val="24"/>
          <w:highlight w:val="none"/>
        </w:rPr>
        <w:t>以来至少三个月的社会保障资金缴存单据或社保机构开具的社会保险参保缴费情况证明。成立时间至提交响应文件截止时间不足一个月或依法不需要缴纳社会保障资金的供应商应提供相关文件证明。</w:t>
      </w:r>
    </w:p>
    <w:p w14:paraId="4472DBDF">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5、书面声明：①出具履行合同所必需的设备和专业技术能力的书面声明；②出具参加本次政府采购活动的书面声明。</w:t>
      </w:r>
    </w:p>
    <w:p w14:paraId="2BDE13D5">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2B72F11E">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37C6BC7E">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8、利益关系承诺函：本项目不接受由西安市第五医院医院职工及其亲属投资举办的企业参加投标。(提供承诺函)</w:t>
      </w:r>
    </w:p>
    <w:p w14:paraId="33C85C06">
      <w:pPr>
        <w:pStyle w:val="9"/>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9、特殊资质：供应商须具有有效的《陕西省危险废物经营许可证》及有效的《道路运输经营许可证》。</w:t>
      </w:r>
    </w:p>
    <w:p w14:paraId="200F3965">
      <w:pPr>
        <w:keepNext w:val="0"/>
        <w:keepLines w:val="0"/>
        <w:pageBreakBefore/>
        <w:widowControl w:val="0"/>
        <w:shd w:val="clear"/>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highlight w:val="none"/>
        </w:rPr>
      </w:pPr>
      <w:r>
        <w:rPr>
          <w:rFonts w:hint="eastAsia" w:ascii="仿宋" w:hAnsi="仿宋" w:eastAsia="仿宋" w:cs="仿宋"/>
          <w:b/>
          <w:bCs/>
          <w:sz w:val="32"/>
          <w:szCs w:val="32"/>
          <w:highlight w:val="none"/>
          <w:lang w:val="en-US" w:eastAsia="zh-CN"/>
        </w:rPr>
        <w:t>供应商</w:t>
      </w:r>
      <w:r>
        <w:rPr>
          <w:rFonts w:hint="eastAsia" w:ascii="仿宋" w:hAnsi="仿宋" w:eastAsia="仿宋" w:cs="仿宋"/>
          <w:b/>
          <w:bCs/>
          <w:sz w:val="32"/>
          <w:szCs w:val="32"/>
          <w:highlight w:val="none"/>
        </w:rPr>
        <w:t>基本情况表</w:t>
      </w:r>
    </w:p>
    <w:tbl>
      <w:tblPr>
        <w:tblStyle w:val="6"/>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5"/>
        <w:pageBreakBefore/>
        <w:shd w:val="clear"/>
        <w:spacing w:line="360" w:lineRule="auto"/>
        <w:jc w:val="center"/>
        <w:outlineLvl w:val="2"/>
        <w:rPr>
          <w:rFonts w:hint="eastAsia" w:ascii="仿宋" w:hAnsi="仿宋" w:eastAsia="仿宋" w:cs="仿宋"/>
          <w:b/>
          <w:bCs/>
          <w:color w:val="auto"/>
          <w:sz w:val="28"/>
          <w:szCs w:val="28"/>
          <w:highlight w:val="none"/>
        </w:rPr>
      </w:pPr>
      <w:bookmarkStart w:id="0" w:name="_Toc1168"/>
      <w:bookmarkStart w:id="1" w:name="_Toc8624"/>
      <w:bookmarkStart w:id="2" w:name="_Toc22457"/>
      <w:bookmarkStart w:id="3"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End w:id="2"/>
      <w:bookmarkStart w:id="4" w:name="_Toc21445"/>
    </w:p>
    <w:p w14:paraId="4E5A7C85">
      <w:pPr>
        <w:pStyle w:val="5"/>
        <w:shd w:val="clear"/>
        <w:spacing w:line="360" w:lineRule="auto"/>
        <w:jc w:val="center"/>
        <w:rPr>
          <w:rFonts w:hint="eastAsia" w:ascii="仿宋" w:hAnsi="仿宋" w:eastAsia="仿宋" w:cs="仿宋"/>
          <w:color w:val="auto"/>
          <w:sz w:val="24"/>
          <w:szCs w:val="24"/>
          <w:highlight w:val="none"/>
        </w:rPr>
      </w:pPr>
    </w:p>
    <w:p w14:paraId="71DB4E61">
      <w:pPr>
        <w:pStyle w:val="5"/>
        <w:shd w:val="clear"/>
        <w:spacing w:line="360" w:lineRule="auto"/>
        <w:jc w:val="center"/>
        <w:rPr>
          <w:rFonts w:hint="eastAsia" w:ascii="仿宋" w:hAnsi="仿宋" w:eastAsia="仿宋" w:cs="仿宋"/>
          <w:color w:val="auto"/>
          <w:sz w:val="24"/>
          <w:szCs w:val="24"/>
          <w:highlight w:val="none"/>
        </w:rPr>
      </w:pPr>
    </w:p>
    <w:p w14:paraId="5A16292B">
      <w:pPr>
        <w:pStyle w:val="5"/>
        <w:shd w:val="clea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hd w:val="clear"/>
        <w:spacing w:line="360" w:lineRule="auto"/>
        <w:jc w:val="center"/>
        <w:outlineLvl w:val="2"/>
        <w:rPr>
          <w:rFonts w:hint="eastAsia" w:ascii="仿宋" w:hAnsi="仿宋" w:eastAsia="仿宋" w:cs="仿宋"/>
          <w:b/>
          <w:bCs/>
          <w:color w:val="auto"/>
          <w:sz w:val="28"/>
          <w:szCs w:val="28"/>
          <w:highlight w:val="none"/>
        </w:rPr>
      </w:pPr>
      <w:bookmarkStart w:id="5" w:name="_Toc28283"/>
      <w:bookmarkStart w:id="6" w:name="_Toc20365"/>
      <w:r>
        <w:rPr>
          <w:rFonts w:hint="eastAsia" w:ascii="仿宋" w:hAnsi="仿宋" w:eastAsia="仿宋" w:cs="仿宋"/>
          <w:b/>
          <w:bCs/>
          <w:color w:val="auto"/>
          <w:sz w:val="28"/>
          <w:szCs w:val="28"/>
          <w:highlight w:val="none"/>
        </w:rPr>
        <w:t>（二）财务状况报告</w:t>
      </w:r>
      <w:bookmarkEnd w:id="4"/>
      <w:bookmarkEnd w:id="5"/>
      <w:bookmarkEnd w:id="6"/>
      <w:bookmarkStart w:id="7" w:name="_Toc17757"/>
    </w:p>
    <w:p w14:paraId="10A8860A">
      <w:pPr>
        <w:pStyle w:val="5"/>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hd w:val="clear"/>
        <w:spacing w:line="360" w:lineRule="auto"/>
        <w:jc w:val="center"/>
        <w:outlineLvl w:val="2"/>
        <w:rPr>
          <w:rFonts w:hint="eastAsia" w:ascii="仿宋" w:hAnsi="仿宋" w:eastAsia="仿宋" w:cs="仿宋"/>
          <w:b/>
          <w:color w:val="auto"/>
          <w:sz w:val="28"/>
          <w:szCs w:val="28"/>
          <w:highlight w:val="none"/>
        </w:rPr>
      </w:pPr>
      <w:bookmarkStart w:id="8" w:name="_Toc20635"/>
      <w:bookmarkStart w:id="9" w:name="_Toc1760"/>
      <w:r>
        <w:rPr>
          <w:rFonts w:hint="eastAsia" w:ascii="仿宋" w:hAnsi="仿宋" w:eastAsia="仿宋" w:cs="仿宋"/>
          <w:b/>
          <w:color w:val="auto"/>
          <w:sz w:val="28"/>
          <w:szCs w:val="28"/>
          <w:highlight w:val="none"/>
        </w:rPr>
        <w:t>（三）税收缴纳证明</w:t>
      </w:r>
      <w:bookmarkEnd w:id="7"/>
      <w:bookmarkEnd w:id="8"/>
      <w:bookmarkEnd w:id="9"/>
    </w:p>
    <w:p w14:paraId="63FEE925">
      <w:pPr>
        <w:pStyle w:val="5"/>
        <w:shd w:val="clear"/>
        <w:spacing w:line="360" w:lineRule="auto"/>
        <w:rPr>
          <w:rFonts w:hint="eastAsia" w:ascii="仿宋" w:hAnsi="仿宋" w:eastAsia="仿宋" w:cs="仿宋"/>
          <w:color w:val="auto"/>
          <w:highlight w:val="none"/>
        </w:rPr>
      </w:pPr>
    </w:p>
    <w:p w14:paraId="29412DC8">
      <w:pPr>
        <w:pStyle w:val="5"/>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hd w:val="clear"/>
        <w:spacing w:line="360" w:lineRule="auto"/>
        <w:ind w:firstLine="480"/>
        <w:rPr>
          <w:rFonts w:hint="eastAsia" w:ascii="仿宋" w:hAnsi="仿宋" w:eastAsia="仿宋" w:cs="仿宋"/>
          <w:color w:val="auto"/>
          <w:kern w:val="0"/>
          <w:sz w:val="24"/>
          <w:highlight w:val="none"/>
        </w:rPr>
      </w:pPr>
    </w:p>
    <w:p w14:paraId="613CA4C0">
      <w:pPr>
        <w:shd w:val="clear"/>
        <w:spacing w:line="360" w:lineRule="auto"/>
        <w:ind w:firstLine="480"/>
        <w:rPr>
          <w:rFonts w:hint="eastAsia" w:ascii="仿宋" w:hAnsi="仿宋" w:eastAsia="仿宋" w:cs="仿宋"/>
          <w:color w:val="auto"/>
          <w:kern w:val="0"/>
          <w:sz w:val="24"/>
          <w:szCs w:val="22"/>
          <w:highlight w:val="none"/>
        </w:rPr>
        <w:sectPr>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5C9B6A39">
      <w:pPr>
        <w:shd w:val="clear"/>
        <w:spacing w:line="360" w:lineRule="auto"/>
        <w:jc w:val="center"/>
        <w:outlineLvl w:val="2"/>
        <w:rPr>
          <w:rFonts w:hint="eastAsia" w:ascii="仿宋" w:hAnsi="仿宋" w:eastAsia="仿宋" w:cs="仿宋"/>
          <w:b/>
          <w:color w:val="auto"/>
          <w:sz w:val="28"/>
          <w:szCs w:val="28"/>
          <w:highlight w:val="none"/>
        </w:rPr>
      </w:pPr>
      <w:bookmarkStart w:id="10" w:name="_Toc24437"/>
      <w:bookmarkStart w:id="11" w:name="_Toc8139"/>
      <w:bookmarkStart w:id="12" w:name="_Toc17967"/>
      <w:r>
        <w:rPr>
          <w:rFonts w:hint="eastAsia" w:ascii="仿宋" w:hAnsi="仿宋" w:eastAsia="仿宋" w:cs="仿宋"/>
          <w:b/>
          <w:color w:val="auto"/>
          <w:sz w:val="28"/>
          <w:szCs w:val="28"/>
          <w:highlight w:val="none"/>
        </w:rPr>
        <w:t>（四）社会保障资金缴纳证明</w:t>
      </w:r>
      <w:bookmarkEnd w:id="10"/>
      <w:bookmarkEnd w:id="11"/>
      <w:bookmarkEnd w:id="12"/>
    </w:p>
    <w:p w14:paraId="182F67BD">
      <w:pPr>
        <w:pStyle w:val="5"/>
        <w:shd w:val="clear"/>
        <w:spacing w:line="360" w:lineRule="auto"/>
        <w:jc w:val="center"/>
        <w:rPr>
          <w:rFonts w:hint="eastAsia" w:ascii="仿宋" w:hAnsi="仿宋" w:eastAsia="仿宋" w:cs="仿宋"/>
          <w:color w:val="auto"/>
          <w:sz w:val="24"/>
          <w:szCs w:val="24"/>
          <w:highlight w:val="none"/>
        </w:rPr>
      </w:pPr>
      <w:bookmarkStart w:id="13" w:name="_Toc8586"/>
      <w:r>
        <w:rPr>
          <w:rFonts w:hint="eastAsia" w:ascii="仿宋" w:hAnsi="仿宋" w:eastAsia="仿宋" w:cs="仿宋"/>
          <w:color w:val="auto"/>
          <w:sz w:val="24"/>
          <w:szCs w:val="24"/>
          <w:highlight w:val="none"/>
        </w:rPr>
        <w:t>提供扫描件或复印件加盖单位公章</w:t>
      </w:r>
    </w:p>
    <w:p w14:paraId="1A716868">
      <w:pPr>
        <w:pageBreakBefore/>
        <w:shd w:val="clear"/>
        <w:spacing w:line="360" w:lineRule="auto"/>
        <w:jc w:val="center"/>
        <w:outlineLvl w:val="2"/>
        <w:rPr>
          <w:rFonts w:hint="eastAsia" w:ascii="仿宋" w:hAnsi="仿宋" w:eastAsia="仿宋" w:cs="仿宋"/>
          <w:b/>
          <w:color w:val="auto"/>
          <w:sz w:val="28"/>
          <w:szCs w:val="28"/>
          <w:highlight w:val="none"/>
        </w:rPr>
      </w:pPr>
      <w:bookmarkStart w:id="14" w:name="_Toc3577"/>
      <w:r>
        <w:rPr>
          <w:rFonts w:hint="eastAsia" w:ascii="仿宋" w:hAnsi="仿宋" w:eastAsia="仿宋" w:cs="仿宋"/>
          <w:b/>
          <w:bCs/>
          <w:color w:val="auto"/>
          <w:sz w:val="28"/>
          <w:szCs w:val="28"/>
          <w:highlight w:val="none"/>
        </w:rPr>
        <w:t>（五）出具履行合同所必需的设备和专业技术能力的书面声明</w:t>
      </w:r>
      <w:bookmarkEnd w:id="13"/>
      <w:bookmarkEnd w:id="14"/>
    </w:p>
    <w:p w14:paraId="7CA28D9C">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hd w:val="clea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hd w:val="clea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hd w:val="clea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hd w:val="clea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hd w:val="clea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hd w:val="clea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hd w:val="clea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hd w:val="clear"/>
        <w:spacing w:line="360" w:lineRule="auto"/>
        <w:rPr>
          <w:rFonts w:hint="eastAsia" w:ascii="仿宋" w:hAnsi="仿宋" w:eastAsia="仿宋" w:cs="仿宋"/>
          <w:bCs/>
          <w:color w:val="auto"/>
          <w:sz w:val="24"/>
          <w:szCs w:val="24"/>
          <w:highlight w:val="none"/>
        </w:rPr>
      </w:pPr>
    </w:p>
    <w:p w14:paraId="6378A320">
      <w:pPr>
        <w:shd w:val="clear"/>
        <w:spacing w:line="360" w:lineRule="auto"/>
        <w:rPr>
          <w:rFonts w:hint="eastAsia" w:ascii="仿宋" w:hAnsi="仿宋" w:eastAsia="仿宋" w:cs="仿宋"/>
          <w:color w:val="auto"/>
          <w:highlight w:val="none"/>
        </w:rPr>
      </w:pPr>
      <w:bookmarkStart w:id="15" w:name="_Toc19749"/>
      <w:bookmarkStart w:id="16" w:name="_Toc13657"/>
      <w:bookmarkStart w:id="17" w:name="_Toc1093"/>
      <w:r>
        <w:rPr>
          <w:rFonts w:hint="eastAsia" w:ascii="仿宋" w:hAnsi="仿宋" w:eastAsia="仿宋" w:cs="仿宋"/>
          <w:color w:val="auto"/>
          <w:highlight w:val="none"/>
        </w:rPr>
        <w:br w:type="page"/>
      </w:r>
    </w:p>
    <w:p w14:paraId="39C73800">
      <w:pPr>
        <w:pStyle w:val="3"/>
        <w:shd w:val="clear"/>
        <w:bidi w:val="0"/>
        <w:spacing w:line="360" w:lineRule="auto"/>
        <w:jc w:val="center"/>
        <w:rPr>
          <w:rFonts w:hint="eastAsia" w:ascii="仿宋" w:hAnsi="仿宋" w:eastAsia="仿宋" w:cs="仿宋"/>
          <w:b/>
          <w:color w:val="auto"/>
          <w:sz w:val="28"/>
          <w:szCs w:val="28"/>
          <w:highlight w:val="none"/>
          <w:lang w:val="zh-CN"/>
        </w:rPr>
      </w:pPr>
      <w:bookmarkStart w:id="18" w:name="_Toc2027"/>
      <w:r>
        <w:rPr>
          <w:rFonts w:hint="eastAsia" w:ascii="仿宋" w:hAnsi="仿宋" w:eastAsia="仿宋" w:cs="仿宋"/>
          <w:b/>
          <w:color w:val="auto"/>
          <w:sz w:val="28"/>
          <w:szCs w:val="28"/>
          <w:highlight w:val="none"/>
          <w:lang w:val="zh-CN"/>
        </w:rPr>
        <w:t>（六）参加</w:t>
      </w:r>
      <w:r>
        <w:rPr>
          <w:rFonts w:hint="eastAsia" w:cs="仿宋"/>
          <w:b/>
          <w:color w:val="auto"/>
          <w:sz w:val="28"/>
          <w:szCs w:val="28"/>
          <w:highlight w:val="none"/>
          <w:lang w:val="zh-CN"/>
        </w:rPr>
        <w:t>政府</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15"/>
      <w:bookmarkEnd w:id="16"/>
      <w:bookmarkEnd w:id="17"/>
      <w:bookmarkEnd w:id="18"/>
    </w:p>
    <w:p w14:paraId="40620AF9">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hd w:val="clea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hd w:val="clea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hd w:val="clea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shd w:val="clear"/>
        <w:spacing w:line="360" w:lineRule="auto"/>
        <w:rPr>
          <w:rFonts w:hint="eastAsia" w:ascii="仿宋" w:hAnsi="仿宋" w:eastAsia="仿宋" w:cs="仿宋"/>
          <w:b/>
          <w:color w:val="auto"/>
          <w:sz w:val="28"/>
          <w:szCs w:val="28"/>
          <w:highlight w:val="none"/>
          <w:lang w:val="en-US" w:eastAsia="zh-CN"/>
        </w:rPr>
      </w:pPr>
      <w:bookmarkStart w:id="19" w:name="_Toc22262"/>
      <w:bookmarkStart w:id="20" w:name="_Toc15006"/>
      <w:r>
        <w:rPr>
          <w:rFonts w:hint="eastAsia" w:ascii="仿宋" w:hAnsi="仿宋" w:eastAsia="仿宋" w:cs="仿宋"/>
          <w:b/>
          <w:color w:val="auto"/>
          <w:sz w:val="28"/>
          <w:szCs w:val="28"/>
          <w:highlight w:val="none"/>
          <w:lang w:val="en-US" w:eastAsia="zh-CN"/>
        </w:rPr>
        <w:br w:type="page"/>
      </w:r>
    </w:p>
    <w:p w14:paraId="694C2A84">
      <w:pPr>
        <w:pStyle w:val="3"/>
        <w:shd w:val="clear"/>
        <w:bidi w:val="0"/>
        <w:jc w:val="center"/>
        <w:rPr>
          <w:rFonts w:hint="eastAsia" w:ascii="仿宋" w:hAnsi="仿宋" w:eastAsia="仿宋" w:cs="仿宋"/>
          <w:b/>
          <w:color w:val="auto"/>
          <w:sz w:val="28"/>
          <w:szCs w:val="28"/>
          <w:highlight w:val="none"/>
        </w:rPr>
      </w:pPr>
      <w:bookmarkStart w:id="21"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3"/>
      <w:bookmarkEnd w:id="19"/>
      <w:bookmarkEnd w:id="20"/>
      <w:bookmarkEnd w:id="21"/>
    </w:p>
    <w:p w14:paraId="40F6C9A8">
      <w:pPr>
        <w:shd w:val="clear"/>
        <w:adjustRightInd w:val="0"/>
        <w:snapToGrid w:val="0"/>
        <w:spacing w:line="360" w:lineRule="auto"/>
        <w:jc w:val="center"/>
        <w:rPr>
          <w:rFonts w:hint="eastAsia" w:ascii="仿宋" w:hAnsi="仿宋" w:eastAsia="仿宋" w:cs="仿宋"/>
          <w:b/>
          <w:color w:val="auto"/>
          <w:sz w:val="24"/>
          <w:szCs w:val="24"/>
          <w:highlight w:val="none"/>
        </w:rPr>
      </w:pPr>
      <w:bookmarkStart w:id="22" w:name="_Toc495681406"/>
      <w:bookmarkStart w:id="23" w:name="_Toc495908048"/>
      <w:bookmarkStart w:id="24" w:name="_Toc495681252"/>
      <w:bookmarkStart w:id="25" w:name="_Toc1610"/>
      <w:bookmarkStart w:id="26" w:name="_Toc495671263"/>
      <w:bookmarkStart w:id="27" w:name="_Toc495681533"/>
      <w:r>
        <w:rPr>
          <w:rFonts w:hint="eastAsia" w:ascii="仿宋" w:hAnsi="仿宋" w:eastAsia="仿宋" w:cs="仿宋"/>
          <w:b/>
          <w:color w:val="auto"/>
          <w:sz w:val="24"/>
          <w:szCs w:val="24"/>
          <w:highlight w:val="none"/>
        </w:rPr>
        <w:t>（1）法定代表人身份证明</w:t>
      </w:r>
      <w:bookmarkEnd w:id="22"/>
      <w:bookmarkEnd w:id="23"/>
      <w:bookmarkEnd w:id="24"/>
      <w:bookmarkEnd w:id="25"/>
      <w:bookmarkEnd w:id="26"/>
      <w:bookmarkEnd w:id="27"/>
    </w:p>
    <w:p w14:paraId="2C45D401">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hd w:val="clea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hd w:val="clea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hd w:val="clea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hd w:val="clea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hd w:val="clea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hd w:val="clea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shd w:val="clea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8" w:name="_Toc18921"/>
      <w:bookmarkStart w:id="29" w:name="_Toc495671264"/>
      <w:bookmarkStart w:id="30" w:name="_Toc495908049"/>
      <w:bookmarkStart w:id="31" w:name="_Toc495681534"/>
      <w:bookmarkStart w:id="32" w:name="_Toc495681407"/>
      <w:bookmarkStart w:id="33" w:name="_Toc495681253"/>
      <w:r>
        <w:rPr>
          <w:rFonts w:hint="eastAsia" w:ascii="仿宋" w:hAnsi="仿宋" w:eastAsia="仿宋" w:cs="仿宋"/>
          <w:b/>
          <w:color w:val="auto"/>
          <w:sz w:val="24"/>
          <w:szCs w:val="24"/>
          <w:highlight w:val="none"/>
        </w:rPr>
        <w:t>（2）法定代表人授权书</w:t>
      </w:r>
      <w:bookmarkEnd w:id="28"/>
      <w:bookmarkEnd w:id="29"/>
      <w:bookmarkEnd w:id="30"/>
      <w:bookmarkEnd w:id="31"/>
      <w:bookmarkEnd w:id="32"/>
      <w:bookmarkEnd w:id="33"/>
    </w:p>
    <w:p w14:paraId="0EB82B50">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hd w:val="clea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hd w:val="clea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hd w:val="clea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4" w:name="_Toc20777"/>
      <w:bookmarkStart w:id="35"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bCs/>
          <w:color w:val="auto"/>
          <w:sz w:val="24"/>
          <w:szCs w:val="24"/>
          <w:highlight w:val="none"/>
          <w:lang w:val="en-US" w:eastAsia="zh-CN"/>
        </w:rPr>
        <w:t>投标截止前六个月内投标供应商为其缴纳的任意一个月的养老保险缴纳证明</w:t>
      </w:r>
      <w:r>
        <w:rPr>
          <w:rFonts w:hint="eastAsia" w:ascii="仿宋" w:hAnsi="仿宋" w:eastAsia="仿宋" w:cs="仿宋"/>
          <w:b/>
          <w:bCs/>
          <w:color w:val="auto"/>
          <w:sz w:val="24"/>
          <w:szCs w:val="24"/>
          <w:highlight w:val="none"/>
        </w:rPr>
        <w:t>。</w:t>
      </w:r>
    </w:p>
    <w:p w14:paraId="02A4E3E9">
      <w:pPr>
        <w:shd w:val="clear" w:color="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bookmarkEnd w:id="34"/>
    <w:bookmarkEnd w:id="35"/>
    <w:p w14:paraId="6673BFDE">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965B2D8">
      <w:pPr>
        <w:pStyle w:val="3"/>
        <w:shd w:val="clear"/>
        <w:bidi w:val="0"/>
        <w:spacing w:line="360" w:lineRule="auto"/>
        <w:jc w:val="center"/>
        <w:rPr>
          <w:rFonts w:hint="eastAsia" w:ascii="仿宋" w:hAnsi="仿宋" w:eastAsia="仿宋" w:cs="仿宋"/>
          <w:b/>
          <w:color w:val="auto"/>
          <w:sz w:val="28"/>
          <w:szCs w:val="28"/>
          <w:highlight w:val="none"/>
          <w:lang w:val="en-US" w:eastAsia="zh-CN"/>
        </w:rPr>
        <w:sectPr>
          <w:pgSz w:w="11905" w:h="16838"/>
          <w:pgMar w:top="1440" w:right="1803" w:bottom="1440" w:left="1803" w:header="850" w:footer="992" w:gutter="0"/>
          <w:pgNumType w:fmt="decimal"/>
          <w:cols w:space="0" w:num="1"/>
          <w:rtlGutter w:val="0"/>
          <w:docGrid w:type="lines" w:linePitch="317" w:charSpace="0"/>
        </w:sectPr>
      </w:pPr>
      <w:bookmarkStart w:id="36" w:name="_Toc16493"/>
    </w:p>
    <w:p w14:paraId="0EF74EB4">
      <w:pPr>
        <w:pStyle w:val="3"/>
        <w:bidi w:val="0"/>
        <w:jc w:val="center"/>
        <w:rPr>
          <w:rFonts w:hint="eastAsia"/>
          <w:highlight w:val="none"/>
        </w:rPr>
      </w:pPr>
      <w:bookmarkStart w:id="37" w:name="_Toc22883"/>
      <w:r>
        <w:rPr>
          <w:rFonts w:hint="eastAsia" w:ascii="仿宋" w:hAnsi="仿宋" w:eastAsia="仿宋" w:cs="仿宋"/>
          <w:b/>
          <w:bCs w:val="0"/>
          <w:color w:val="auto"/>
          <w:kern w:val="2"/>
          <w:sz w:val="28"/>
          <w:szCs w:val="28"/>
          <w:highlight w:val="none"/>
          <w:lang w:val="en-US" w:eastAsia="zh-CN" w:bidi="ar-SA"/>
        </w:rPr>
        <w:t>（八）</w:t>
      </w:r>
      <w:bookmarkEnd w:id="37"/>
      <w:r>
        <w:rPr>
          <w:highlight w:val="none"/>
        </w:rPr>
        <w:t>利益关系承诺函</w:t>
      </w:r>
    </w:p>
    <w:p w14:paraId="286019D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CA077FD">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我方作为</w:t>
      </w:r>
      <w:r>
        <w:rPr>
          <w:rFonts w:hint="eastAsia" w:ascii="仿宋" w:hAnsi="仿宋" w:eastAsia="仿宋" w:cs="仿宋"/>
          <w:kern w:val="0"/>
          <w:sz w:val="24"/>
          <w:szCs w:val="24"/>
          <w:highlight w:val="none"/>
          <w:u w:val="single"/>
        </w:rPr>
        <w:t xml:space="preserve">         （项目名称）         </w:t>
      </w:r>
      <w:r>
        <w:rPr>
          <w:rFonts w:hint="eastAsia" w:ascii="仿宋" w:hAnsi="仿宋" w:eastAsia="仿宋" w:cs="仿宋"/>
          <w:kern w:val="0"/>
          <w:sz w:val="24"/>
          <w:szCs w:val="24"/>
          <w:highlight w:val="none"/>
        </w:rPr>
        <w:t>（项目编号：）的供应商，在此郑重声明：</w:t>
      </w:r>
    </w:p>
    <w:p w14:paraId="24B47094">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1、我方不是西安市第五医院的职工及其亲属投资开办或控股企业;</w:t>
      </w:r>
    </w:p>
    <w:p w14:paraId="5EF3C502">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2、西安市第五医院的职工本人或其亲属未在我单位担任高管、独立董事等具有重大利益关系职务。</w:t>
      </w:r>
    </w:p>
    <w:p w14:paraId="59164284">
      <w:pPr>
        <w:widowControl/>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rPr>
        <w:t xml:space="preserve">如有不实，我方将无条件地退出本项目的采购活动，并遵照《中华人民共和国政府采购法》有关“提供虚假材料的规定”接受处罚。 </w:t>
      </w:r>
    </w:p>
    <w:p w14:paraId="32A517BF">
      <w:pPr>
        <w:widowControl/>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rPr>
        <w:t>特此声明。</w:t>
      </w:r>
    </w:p>
    <w:p w14:paraId="36DAFBDA">
      <w:pPr>
        <w:autoSpaceDE w:val="0"/>
        <w:autoSpaceDN w:val="0"/>
        <w:adjustRightInd w:val="0"/>
        <w:snapToGrid w:val="0"/>
        <w:spacing w:line="360" w:lineRule="auto"/>
        <w:ind w:firstLine="480" w:firstLineChars="200"/>
        <w:rPr>
          <w:rFonts w:hint="eastAsia" w:ascii="仿宋" w:hAnsi="仿宋" w:eastAsia="仿宋" w:cs="仿宋"/>
          <w:sz w:val="24"/>
          <w:szCs w:val="24"/>
          <w:highlight w:val="none"/>
        </w:rPr>
      </w:pPr>
    </w:p>
    <w:p w14:paraId="053D44B5">
      <w:pPr>
        <w:autoSpaceDE w:val="0"/>
        <w:autoSpaceDN w:val="0"/>
        <w:adjustRightInd w:val="0"/>
        <w:snapToGrid w:val="0"/>
        <w:spacing w:line="360" w:lineRule="auto"/>
        <w:rPr>
          <w:rFonts w:hint="eastAsia" w:ascii="仿宋" w:hAnsi="仿宋" w:eastAsia="仿宋" w:cs="仿宋"/>
          <w:sz w:val="24"/>
          <w:szCs w:val="24"/>
          <w:highlight w:val="none"/>
        </w:rPr>
      </w:pPr>
    </w:p>
    <w:p w14:paraId="604D287B">
      <w:pPr>
        <w:autoSpaceDE w:val="0"/>
        <w:autoSpaceDN w:val="0"/>
        <w:adjustRightInd w:val="0"/>
        <w:snapToGrid w:val="0"/>
        <w:spacing w:line="360" w:lineRule="auto"/>
        <w:jc w:val="center"/>
        <w:rPr>
          <w:rFonts w:hint="eastAsia" w:ascii="仿宋" w:hAnsi="仿宋" w:eastAsia="仿宋" w:cs="仿宋"/>
          <w:b/>
          <w:sz w:val="24"/>
          <w:szCs w:val="24"/>
          <w:highlight w:val="none"/>
        </w:rPr>
      </w:pPr>
    </w:p>
    <w:p w14:paraId="3F525747">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1A3F789C">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48F23BAC">
      <w:pPr>
        <w:shd w:val="clear"/>
        <w:spacing w:line="360" w:lineRule="auto"/>
        <w:ind w:firstLine="3468" w:firstLineChars="1700"/>
        <w:rPr>
          <w:rFonts w:hint="eastAsia" w:ascii="仿宋" w:hAnsi="仿宋" w:eastAsia="仿宋" w:cs="仿宋"/>
          <w:color w:val="auto"/>
          <w:sz w:val="22"/>
          <w:szCs w:val="28"/>
          <w:highlight w:val="none"/>
          <w:u w:val="singl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1A5FB310">
      <w:pPr>
        <w:pStyle w:val="3"/>
        <w:shd w:val="clear"/>
        <w:bidi w:val="0"/>
        <w:spacing w:line="360" w:lineRule="auto"/>
        <w:jc w:val="center"/>
        <w:rPr>
          <w:rFonts w:hint="eastAsia" w:ascii="仿宋" w:hAnsi="仿宋" w:eastAsia="仿宋" w:cs="仿宋"/>
          <w:b/>
          <w:color w:val="auto"/>
          <w:sz w:val="28"/>
          <w:szCs w:val="28"/>
          <w:highlight w:val="none"/>
          <w:lang w:val="en-US" w:eastAsia="zh-CN"/>
        </w:rPr>
        <w:sectPr>
          <w:pgSz w:w="11905" w:h="16838"/>
          <w:pgMar w:top="1440" w:right="1803" w:bottom="1440" w:left="1803" w:header="850" w:footer="992" w:gutter="0"/>
          <w:pgNumType w:fmt="decimal"/>
          <w:cols w:space="0" w:num="1"/>
          <w:rtlGutter w:val="0"/>
          <w:docGrid w:type="lines" w:linePitch="317" w:charSpace="0"/>
        </w:sectPr>
      </w:pPr>
    </w:p>
    <w:p w14:paraId="0DDDAB30">
      <w:pPr>
        <w:pStyle w:val="3"/>
        <w:shd w:val="clear"/>
        <w:bidi w:val="0"/>
        <w:spacing w:line="360" w:lineRule="auto"/>
        <w:outlineLvl w:val="2"/>
        <w:rPr>
          <w:rFonts w:hint="eastAsia" w:ascii="仿宋" w:hAnsi="仿宋" w:eastAsia="仿宋" w:cs="仿宋"/>
          <w:b w:val="0"/>
          <w:bCs w:val="0"/>
          <w:highlight w:val="none"/>
          <w:lang w:eastAsia="zh-CN"/>
        </w:rPr>
      </w:pPr>
      <w:r>
        <w:rPr>
          <w:rFonts w:hint="eastAsia" w:ascii="仿宋" w:hAnsi="仿宋" w:eastAsia="仿宋" w:cs="仿宋"/>
          <w:b/>
          <w:color w:val="auto"/>
          <w:sz w:val="28"/>
          <w:szCs w:val="28"/>
          <w:highlight w:val="none"/>
          <w:lang w:val="en-US" w:eastAsia="zh-CN"/>
        </w:rPr>
        <w:t>（九）</w:t>
      </w:r>
      <w:bookmarkEnd w:id="36"/>
      <w:r>
        <w:rPr>
          <w:rFonts w:hint="eastAsia" w:ascii="仿宋" w:hAnsi="仿宋" w:eastAsia="仿宋" w:cs="仿宋"/>
          <w:highlight w:val="none"/>
          <w:lang w:val="en-US" w:eastAsia="zh-CN"/>
        </w:rPr>
        <w:t>供应商须具有有效的《陕西省危险废物经营许可证》及有效的《道路运输经营许可证》</w:t>
      </w:r>
      <w:r>
        <w:rPr>
          <w:rFonts w:hint="eastAsia" w:cs="仿宋"/>
          <w:highlight w:val="none"/>
          <w:lang w:val="en-US" w:eastAsia="zh-CN"/>
        </w:rPr>
        <w:t>。</w:t>
      </w:r>
      <w:bookmarkStart w:id="38" w:name="_GoBack"/>
      <w:bookmarkEnd w:id="3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845160"/>
    <w:rsid w:val="553F319F"/>
    <w:rsid w:val="7FD6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autoRedefine/>
    <w:qFormat/>
    <w:uiPriority w:val="0"/>
    <w:pPr>
      <w:widowControl w:val="0"/>
      <w:jc w:val="both"/>
    </w:pPr>
    <w:rPr>
      <w:rFonts w:ascii="Arial" w:hAnsi="Arial" w:eastAsia="Arial" w:cs="Arial"/>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2336</Words>
  <Characters>2367</Characters>
  <Lines>0</Lines>
  <Paragraphs>0</Paragraphs>
  <TotalTime>0</TotalTime>
  <ScaleCrop>false</ScaleCrop>
  <LinksUpToDate>false</LinksUpToDate>
  <CharactersWithSpaces>3135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2026-08-11T07:33:00Z</dcterms:created>
  <dc:creator>Administrator</dc:creator>
  <cp:lastModifiedBy>陕西笃信招标有限公司</cp:lastModifiedBy>
  <dcterms:modified xsi:type="dcterms:W3CDTF">2026-08-11T07:35:22Z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1433EC1D1A4D48E1B11BFE8B9F766649_13</vt:lpwstr>
  </property>
</Properties>
</file>