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D9CA1">
      <w:pPr>
        <w:pStyle w:val="9"/>
        <w:keepNext w:val="0"/>
        <w:keepLines w:val="0"/>
        <w:pageBreakBefore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b/>
          <w:sz w:val="36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6"/>
          <w:highlight w:val="none"/>
          <w:lang w:val="en-US" w:eastAsia="zh-CN"/>
        </w:rPr>
        <w:t>第一次谈判报价表</w:t>
      </w:r>
    </w:p>
    <w:tbl>
      <w:tblPr>
        <w:tblStyle w:val="6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6D1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527694C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05C0E4D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923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B291F8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147A9E6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B06D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526AD08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单价</w:t>
            </w:r>
          </w:p>
          <w:p w14:paraId="0E0634F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/张/天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）</w:t>
            </w:r>
          </w:p>
        </w:tc>
        <w:tc>
          <w:tcPr>
            <w:tcW w:w="6496" w:type="dxa"/>
            <w:vAlign w:val="center"/>
          </w:tcPr>
          <w:p w14:paraId="12C62D89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</w:p>
          <w:p w14:paraId="5AFE6A3F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</w:p>
        </w:tc>
      </w:tr>
      <w:tr w14:paraId="0574F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25E2C4F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6496" w:type="dxa"/>
            <w:vAlign w:val="center"/>
          </w:tcPr>
          <w:p w14:paraId="45DE6D7A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35DCA237">
      <w:pPr>
        <w:widowControl/>
        <w:shd w:val="clear"/>
        <w:spacing w:line="360" w:lineRule="auto"/>
        <w:rPr>
          <w:rFonts w:hint="eastAsia" w:ascii="仿宋" w:hAnsi="仿宋" w:eastAsia="仿宋" w:cs="仿宋"/>
          <w:b/>
          <w:kern w:val="0"/>
          <w:sz w:val="24"/>
          <w:highlight w:val="none"/>
        </w:rPr>
      </w:pPr>
    </w:p>
    <w:p w14:paraId="2E2FC724">
      <w:pPr>
        <w:widowControl/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2AB2F2F4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1.本项目报单价，报价内容为每张床位每日收取的医疗废物处置费，结算按实际使用床位数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据实结算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476485F7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2.本表所列各项数据与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highlight w:val="none"/>
        </w:rPr>
        <w:t>文件其它地方表述不一致时，以本表为准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；</w:t>
      </w:r>
    </w:p>
    <w:p w14:paraId="1AE8D05C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3.单价</w:t>
      </w:r>
      <w:r>
        <w:rPr>
          <w:rFonts w:hint="eastAsia" w:ascii="仿宋" w:hAnsi="仿宋" w:eastAsia="仿宋" w:cs="仿宋"/>
          <w:sz w:val="24"/>
          <w:highlight w:val="none"/>
        </w:rPr>
        <w:t>不允许超过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单价</w:t>
      </w:r>
      <w:r>
        <w:rPr>
          <w:rFonts w:hint="eastAsia" w:ascii="仿宋" w:hAnsi="仿宋" w:eastAsia="仿宋" w:cs="仿宋"/>
          <w:sz w:val="24"/>
          <w:highlight w:val="none"/>
        </w:rPr>
        <w:t>最高限价，否则按无效投标处理。</w:t>
      </w:r>
    </w:p>
    <w:p w14:paraId="21889564">
      <w:pPr>
        <w:shd w:val="clear"/>
        <w:spacing w:line="360" w:lineRule="auto"/>
        <w:ind w:firstLine="1920" w:firstLineChars="800"/>
        <w:jc w:val="left"/>
        <w:rPr>
          <w:rFonts w:hint="eastAsia" w:ascii="仿宋" w:hAnsi="仿宋" w:eastAsia="仿宋" w:cs="仿宋"/>
          <w:sz w:val="24"/>
          <w:highlight w:val="none"/>
        </w:rPr>
      </w:pPr>
    </w:p>
    <w:p w14:paraId="7A147BE7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4BEA7AFC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01D6A217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0DDDAB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845160"/>
    <w:rsid w:val="43D4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样式 10 磅"/>
    <w:autoRedefine/>
    <w:qFormat/>
    <w:uiPriority w:val="0"/>
    <w:pPr>
      <w:widowControl w:val="0"/>
      <w:jc w:val="both"/>
    </w:pPr>
    <w:rPr>
      <w:rFonts w:ascii="Arial" w:hAnsi="Arial" w:eastAsia="Arial" w:cs="Arial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2026-08-11T07:33:00Z</dcterms:created>
  <dc:creator>Administrator</dc:creator>
  <cp:lastModifiedBy>陕西笃信招标有限公司</cp:lastModifiedBy>
  <dcterms:modified xsi:type="dcterms:W3CDTF">2026-08-11T07:34:18Z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E1D79F2F858E48169B39F6798DC21F08_13</vt:lpwstr>
  </property>
</Properties>
</file>