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版本号：SDZC2026-13020260814001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警用数字集群通信系统建设项目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SDZC2026-130</w:t>
      </w:r>
      <w:r>
        <w:br/>
      </w:r>
      <w:r>
        <w:br/>
      </w:r>
      <w:r>
        <w:br/>
      </w:r>
    </w:p>
    <w:p>
      <w:pPr>
        <w:pStyle w:val="null3"/>
        <w:jc w:val="center"/>
        <w:outlineLvl w:val="2"/>
      </w:pPr>
      <w:r>
        <w:rPr>
          <w:rFonts w:ascii="仿宋_GB2312" w:hAnsi="仿宋_GB2312" w:cs="仿宋_GB2312" w:eastAsia="仿宋_GB2312"/>
          <w:sz w:val="28"/>
          <w:b/>
        </w:rPr>
        <w:t>柞水县公安局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柞水县公安局</w:t>
      </w:r>
      <w:r>
        <w:rPr>
          <w:rFonts w:ascii="仿宋_GB2312" w:hAnsi="仿宋_GB2312" w:cs="仿宋_GB2312" w:eastAsia="仿宋_GB2312"/>
        </w:rPr>
        <w:t>委托，拟对</w:t>
      </w:r>
      <w:r>
        <w:rPr>
          <w:rFonts w:ascii="仿宋_GB2312" w:hAnsi="仿宋_GB2312" w:cs="仿宋_GB2312" w:eastAsia="仿宋_GB2312"/>
        </w:rPr>
        <w:t>警用数字集群通信系统建设项目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警用数字集群通信系统建设项目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警用数字集群通信系统建设项目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由采购人在“信用中国”网站和中国政府采购网站进行查询，截图留档；如网站无供应商信息的，供应商须提供相关证明资料或书面声明，且附在响应文件中）；</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磋商响应截止日当天由采购人在“国家企业信用信息公示系统”网站进行查询，截图留档；如网站无供应商信息的，供应商须提供相关证明资料或书面声明，且附在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柞水县公安局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柞水县乾佑镇石镇村二组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0914-4321059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曹幸（03号工位）、陈光、魏蕾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柞水县政府采购管理股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但正刚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0914-4323221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采购包1：1,430,600.00元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财务部联系电话： 029-86673953、86518381、89299829、89293231转814、813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柞水县公安局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柞水县公安局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柞水县公安局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如欲在项目实施过程中采用自有知识成果，需在竞争性磋商响应文件中声明，并提供相关知识产权证明文件。使用该知识成果后，供应商须提供开发接口和开发手册等技术文档，并承诺提供无限期技术支持，采购人享有永久使用权。如采用供应商所不拥有的知识产权，则在报价中必须包含合法获得该知识产权的相关费用。</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柞水县公安局警用数字集群通信系统建设项目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1,430,600.00</w:t>
      </w:r>
    </w:p>
    <w:p>
      <w:pPr>
        <w:pStyle w:val="null3"/>
      </w:pPr>
      <w:r>
        <w:rPr>
          <w:rFonts w:ascii="仿宋_GB2312" w:hAnsi="仿宋_GB2312" w:cs="仿宋_GB2312" w:eastAsia="仿宋_GB2312"/>
        </w:rPr>
        <w:t>采购包最高限价（元）: 1,430,600.00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实现警用数字集群通信跨层级指挥、跨地域通信，为重要警务工作提供安全、迅速、准确、不间断的通信保 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1,430,600.00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标的名称：实现警用数字集群通信跨层级指挥、跨地域通信，为重要警务工作提供安全、迅速、准确、不间断的通信保 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本项目核心产品为：</w:t>
            </w:r>
            <w:r>
              <w:rPr>
                <w:rFonts w:ascii="仿宋_GB2312" w:hAnsi="仿宋_GB2312" w:cs="仿宋_GB2312" w:eastAsia="仿宋_GB2312"/>
                <w:sz w:val="24"/>
                <w:b/>
              </w:rPr>
              <w:t>四载频固定基站</w:t>
            </w:r>
          </w:p>
          <w:tbl>
            <w:tblPr>
              <w:tblInd w:type="dxa" w:w="90"/>
              <w:tblBorders>
                <w:top w:val="none" w:color="000000" w:sz="4"/>
                <w:left w:val="none" w:color="000000" w:sz="4"/>
                <w:bottom w:val="none" w:color="000000" w:sz="4"/>
                <w:right w:val="none" w:color="000000" w:sz="4"/>
                <w:insideH w:val="none"/>
                <w:insideV w:val="none"/>
              </w:tblBorders>
            </w:tblPr>
            <w:tblGrid>
              <w:gridCol w:w="207"/>
              <w:gridCol w:w="199"/>
              <w:gridCol w:w="101"/>
              <w:gridCol w:w="1551"/>
              <w:gridCol w:w="175"/>
              <w:gridCol w:w="85"/>
              <w:gridCol w:w="150"/>
              <w:gridCol w:w="77"/>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一、室内固定式基站</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四载频固定基站</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一、无线通讯技术指标：</w:t>
                  </w:r>
                  <w:r>
                    <w:br/>
                  </w:r>
                  <w:r>
                    <w:rPr>
                      <w:rFonts w:ascii="仿宋_GB2312" w:hAnsi="仿宋_GB2312" w:cs="仿宋_GB2312" w:eastAsia="仿宋_GB2312"/>
                      <w:sz w:val="24"/>
                    </w:rPr>
                    <w:t>1.技术体制:PDT；</w:t>
                  </w:r>
                  <w:r>
                    <w:br/>
                  </w:r>
                  <w:r>
                    <w:rPr>
                      <w:rFonts w:ascii="仿宋_GB2312" w:hAnsi="仿宋_GB2312" w:cs="仿宋_GB2312" w:eastAsia="仿宋_GB2312"/>
                      <w:sz w:val="24"/>
                    </w:rPr>
                    <w:t>2.发射频段（下行）: 361～366MHz；</w:t>
                  </w:r>
                  <w:r>
                    <w:br/>
                  </w:r>
                  <w:r>
                    <w:rPr>
                      <w:rFonts w:ascii="仿宋_GB2312" w:hAnsi="仿宋_GB2312" w:cs="仿宋_GB2312" w:eastAsia="仿宋_GB2312"/>
                      <w:sz w:val="24"/>
                    </w:rPr>
                    <w:t>3.接收频段（上行）: 351～356MHz；</w:t>
                  </w:r>
                  <w:r>
                    <w:br/>
                  </w:r>
                  <w:r>
                    <w:rPr>
                      <w:rFonts w:ascii="仿宋_GB2312" w:hAnsi="仿宋_GB2312" w:cs="仿宋_GB2312" w:eastAsia="仿宋_GB2312"/>
                      <w:sz w:val="24"/>
                    </w:rPr>
                    <w:t>4.带宽: 5MHz；</w:t>
                  </w:r>
                  <w:r>
                    <w:br/>
                  </w:r>
                  <w:r>
                    <w:rPr>
                      <w:rFonts w:ascii="仿宋_GB2312" w:hAnsi="仿宋_GB2312" w:cs="仿宋_GB2312" w:eastAsia="仿宋_GB2312"/>
                      <w:sz w:val="24"/>
                    </w:rPr>
                    <w:t>5.载波间隔: 12.5KHz；</w:t>
                  </w:r>
                  <w:r>
                    <w:br/>
                  </w:r>
                  <w:r>
                    <w:rPr>
                      <w:rFonts w:ascii="仿宋_GB2312" w:hAnsi="仿宋_GB2312" w:cs="仿宋_GB2312" w:eastAsia="仿宋_GB2312"/>
                      <w:sz w:val="24"/>
                    </w:rPr>
                    <w:t>6.双工间隔: 10MHz；</w:t>
                  </w:r>
                  <w:r>
                    <w:br/>
                  </w:r>
                  <w:r>
                    <w:rPr>
                      <w:rFonts w:ascii="仿宋_GB2312" w:hAnsi="仿宋_GB2312" w:cs="仿宋_GB2312" w:eastAsia="仿宋_GB2312"/>
                      <w:sz w:val="24"/>
                    </w:rPr>
                    <w:t>7.调制方式: 4FSK；</w:t>
                  </w:r>
                  <w:r>
                    <w:br/>
                  </w:r>
                  <w:r>
                    <w:rPr>
                      <w:rFonts w:ascii="仿宋_GB2312" w:hAnsi="仿宋_GB2312" w:cs="仿宋_GB2312" w:eastAsia="仿宋_GB2312"/>
                      <w:sz w:val="24"/>
                    </w:rPr>
                    <w:t>8.调制速率: 9.6kbps；</w:t>
                  </w:r>
                  <w:r>
                    <w:br/>
                  </w:r>
                  <w:r>
                    <w:rPr>
                      <w:rFonts w:ascii="仿宋_GB2312" w:hAnsi="仿宋_GB2312" w:cs="仿宋_GB2312" w:eastAsia="仿宋_GB2312"/>
                      <w:sz w:val="24"/>
                    </w:rPr>
                    <w:t>9.频率稳定度: 2×10-6；</w:t>
                  </w:r>
                  <w:r>
                    <w:br/>
                  </w:r>
                  <w:r>
                    <w:rPr>
                      <w:rFonts w:ascii="仿宋_GB2312" w:hAnsi="仿宋_GB2312" w:cs="仿宋_GB2312" w:eastAsia="仿宋_GB2312"/>
                      <w:sz w:val="24"/>
                    </w:rPr>
                    <w:t>10.时限要求: ≤1.5ms（发射机起动从满额功率的10%上升到90%）；</w:t>
                  </w:r>
                  <w:r>
                    <w:br/>
                  </w:r>
                  <w:r>
                    <w:rPr>
                      <w:rFonts w:ascii="仿宋_GB2312" w:hAnsi="仿宋_GB2312" w:cs="仿宋_GB2312" w:eastAsia="仿宋_GB2312"/>
                      <w:sz w:val="24"/>
                    </w:rPr>
                    <w:t>11.发射机性能: 射频功率≤50W，邻道发射≤-60dBc，杂波发射≤-80dB，传导/辐射发射-36dBm≤1G、-30dBm时≥1G且≤4G，共址多信道发射隔离≥70dB（ES）；≥40dB（NIM，P≥25w）；≥30dB（NIM，P≤25W）；</w:t>
                  </w:r>
                  <w:r>
                    <w:br/>
                  </w:r>
                  <w:r>
                    <w:rPr>
                      <w:rFonts w:ascii="仿宋_GB2312" w:hAnsi="仿宋_GB2312" w:cs="仿宋_GB2312" w:eastAsia="仿宋_GB2312"/>
                      <w:sz w:val="24"/>
                    </w:rPr>
                    <w:t>12.接收机性能：数字灵敏度：≤-118dBm（≤5％误码率）；邻道选择性≥60dB；互调抗扰性≥65dB；杂散抑制≥70dB；</w:t>
                  </w:r>
                  <w:r>
                    <w:br/>
                  </w:r>
                  <w:r>
                    <w:rPr>
                      <w:rFonts w:ascii="仿宋_GB2312" w:hAnsi="仿宋_GB2312" w:cs="仿宋_GB2312" w:eastAsia="仿宋_GB2312"/>
                      <w:sz w:val="24"/>
                    </w:rPr>
                    <w:t>13.性能要求：</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1）PDT固定基站设备必须是公安系统专用设备，确保数字集群基站功能实现。</w:t>
                  </w:r>
                  <w:r>
                    <w:rPr>
                      <w:rFonts w:ascii="仿宋_GB2312" w:hAnsi="仿宋_GB2312" w:cs="仿宋_GB2312" w:eastAsia="仿宋_GB2312"/>
                      <w:sz w:val="24"/>
                    </w:rPr>
                    <w:t>基站必须</w:t>
                  </w:r>
                  <w:r>
                    <w:rPr>
                      <w:rFonts w:ascii="仿宋_GB2312" w:hAnsi="仿宋_GB2312" w:cs="仿宋_GB2312" w:eastAsia="仿宋_GB2312"/>
                      <w:sz w:val="24"/>
                    </w:rPr>
                    <w:t>直接有线接入商洛市公安局现有</w:t>
                  </w:r>
                  <w:r>
                    <w:rPr>
                      <w:rFonts w:ascii="仿宋_GB2312" w:hAnsi="仿宋_GB2312" w:cs="仿宋_GB2312" w:eastAsia="仿宋_GB2312"/>
                      <w:sz w:val="24"/>
                    </w:rPr>
                    <w:t>PDT交换中心</w:t>
                  </w:r>
                  <w:r>
                    <w:rPr>
                      <w:rFonts w:ascii="仿宋_GB2312" w:hAnsi="仿宋_GB2312" w:cs="仿宋_GB2312" w:eastAsia="仿宋_GB2312"/>
                      <w:sz w:val="24"/>
                    </w:rPr>
                    <w:t>（提供承诺书或相关证明材料）；</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2）PDT集群基站支持与商洛市局现有基站共享控制信道功能，以满足大话务量要求，在不中断业务情况下，临时解决载波快速扩容</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3）PDT基站设备要求符合国家电磁干扰影响有关规定，符合国家电磁干扰影响相关规定，在可预见的环境下，设备应不受周边其他系统的电磁干扰，同时也不对周边其他系统电磁干扰；</w:t>
                  </w:r>
                  <w:r>
                    <w:br/>
                  </w:r>
                  <w:r>
                    <w:rPr>
                      <w:rFonts w:ascii="仿宋_GB2312" w:hAnsi="仿宋_GB2312" w:cs="仿宋_GB2312" w:eastAsia="仿宋_GB2312"/>
                      <w:sz w:val="24"/>
                    </w:rPr>
                    <w:t>（</w:t>
                  </w:r>
                  <w:r>
                    <w:rPr>
                      <w:rFonts w:ascii="仿宋_GB2312" w:hAnsi="仿宋_GB2312" w:cs="仿宋_GB2312" w:eastAsia="仿宋_GB2312"/>
                      <w:sz w:val="24"/>
                    </w:rPr>
                    <w:t>4）此次项目建设的PDT集群基站设备应具有高可靠性，关键模块必须主备配置，主用模块发生故障时，系统能够自动实现无缝切换，不能影响业务；</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5）基站具有远程升级功能，实现从商洛市局现有网管终端对基站进行软件的远程升级</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6）在项目中标后15天内，须提供与投标型号一致的基站接入商洛市局现有交换中心完成相关功能测试，同时完成与省级交换中心的联网功能测试，实现省、市、县跨层级、跨地域指挥调度</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此次建设基站须与商洛市局所有现网基站无缝组成一张集群网，符合公安部要求的“一张网”建设需求，满足公安计划指挥调度、反恐维稳、应急处突等重点领域跨区域业务协通和异地调警等无线通信保障需求</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二、智能安全管控技术指标：</w:t>
                  </w:r>
                  <w:r>
                    <w:br/>
                  </w:r>
                  <w:r>
                    <w:rPr>
                      <w:rFonts w:ascii="仿宋_GB2312" w:hAnsi="仿宋_GB2312" w:cs="仿宋_GB2312" w:eastAsia="仿宋_GB2312"/>
                      <w:sz w:val="24"/>
                    </w:rPr>
                    <w:t>1.≥2880x1620分辨率，≥1400TVL分辨力，≥1/2.7英寸CMOS传感器；</w:t>
                  </w:r>
                  <w:r>
                    <w:br/>
                  </w:r>
                  <w:r>
                    <w:rPr>
                      <w:rFonts w:ascii="仿宋_GB2312" w:hAnsi="仿宋_GB2312" w:cs="仿宋_GB2312" w:eastAsia="仿宋_GB2312"/>
                      <w:sz w:val="24"/>
                    </w:rPr>
                    <w:t>▲2.最低照度：彩色：≤0.0005lx；黑白：≤0.0002lx；</w:t>
                  </w:r>
                  <w:r>
                    <w:br/>
                  </w:r>
                  <w:r>
                    <w:rPr>
                      <w:rFonts w:ascii="仿宋_GB2312" w:hAnsi="仿宋_GB2312" w:cs="仿宋_GB2312" w:eastAsia="仿宋_GB2312"/>
                      <w:sz w:val="24"/>
                    </w:rPr>
                    <w:t>3.应具有不少于2颗红外灯和2颗白光灯；具有红外补光和白光补光两种方式，亮度应支持自动和手动调节；</w:t>
                  </w:r>
                  <w:r>
                    <w:br/>
                  </w:r>
                  <w:r>
                    <w:rPr>
                      <w:rFonts w:ascii="仿宋_GB2312" w:hAnsi="仿宋_GB2312" w:cs="仿宋_GB2312" w:eastAsia="仿宋_GB2312"/>
                      <w:sz w:val="24"/>
                    </w:rPr>
                    <w:t>4.当环境照度低于一定值时，通过红外灯照射，可基本分辨距离不少于50米处所摄人体目标的轮廓；当环境照度低于一定值时，通过白光灯照射，可基本分辨距离不少于30米处所摄人体目标的轮廓及颜色；</w:t>
                  </w:r>
                  <w:r>
                    <w:br/>
                  </w:r>
                  <w:r>
                    <w:rPr>
                      <w:rFonts w:ascii="仿宋_GB2312" w:hAnsi="仿宋_GB2312" w:cs="仿宋_GB2312" w:eastAsia="仿宋_GB2312"/>
                      <w:sz w:val="24"/>
                    </w:rPr>
                    <w:t>5.支持不少于1个RJ45网口、1对音频输入／输出接口、1个TF卡槽、1个复位按钮、内置MIC、内置扬声器（支持双向语音对讲）；支持不少于1路报警输入、1路报警输出；</w:t>
                  </w:r>
                  <w:r>
                    <w:br/>
                  </w:r>
                  <w:r>
                    <w:rPr>
                      <w:rFonts w:ascii="仿宋_GB2312" w:hAnsi="仿宋_GB2312" w:cs="仿宋_GB2312" w:eastAsia="仿宋_GB2312"/>
                      <w:sz w:val="24"/>
                    </w:rPr>
                    <w:t>▲6.应具有红外模式、全彩模式、警戒模式以及自定义模式设置选项；自定义模式应支持自定义配置内同步／黑白／彩色／定时四种类型，应支持自定义配置补光灯控制方式及亮度；警戒模式下，当监控场景亮度低于一定值时，应能触发设备开启红外灯，当检测到监控区域有人员进入，应能自动开启白光警戒，人员离开时白光灯自动关闭；</w:t>
                  </w:r>
                  <w:r>
                    <w:br/>
                  </w:r>
                  <w:r>
                    <w:rPr>
                      <w:rFonts w:ascii="仿宋_GB2312" w:hAnsi="仿宋_GB2312" w:cs="仿宋_GB2312" w:eastAsia="仿宋_GB2312"/>
                      <w:sz w:val="24"/>
                    </w:rPr>
                    <w:t>▲7.应支持主动智能功能，应支持不少于四个智能场景设置，每个智能场景分别支持人员检测、区域颜色检测和声音检测多维度任意组合检测；</w:t>
                  </w:r>
                  <w:r>
                    <w:br/>
                  </w:r>
                  <w:r>
                    <w:rPr>
                      <w:rFonts w:ascii="仿宋_GB2312" w:hAnsi="仿宋_GB2312" w:cs="仿宋_GB2312" w:eastAsia="仿宋_GB2312"/>
                      <w:sz w:val="24"/>
                    </w:rPr>
                    <w:t>▲8.智能场景人员检测：应支持被检测人员进入检测区域、离开检测区域或滞留检测区域（滞留时间可设）时，触发报警联动声音、灯光、联动输出、联动录像和联动抓拍；人员衣服颜色可设置红、黄、蓝、绿、黑、白、紫或其他；</w:t>
                  </w:r>
                  <w:r>
                    <w:br/>
                  </w:r>
                  <w:r>
                    <w:rPr>
                      <w:rFonts w:ascii="仿宋_GB2312" w:hAnsi="仿宋_GB2312" w:cs="仿宋_GB2312" w:eastAsia="仿宋_GB2312"/>
                      <w:sz w:val="24"/>
                    </w:rPr>
                    <w:t>▲9.智能场景区域颜色检测：应支持被检测颜色滞留在检测区域超过设定时间后，触发报警联动声音、灯光、联动输出、联动录像和联动抓拍，颜色可设置红、黄、蓝、绿、黑、白和紫的某一个或多个，应支持在监控画面中取色；</w:t>
                  </w:r>
                  <w:r>
                    <w:br/>
                  </w:r>
                  <w:r>
                    <w:rPr>
                      <w:rFonts w:ascii="仿宋_GB2312" w:hAnsi="仿宋_GB2312" w:cs="仿宋_GB2312" w:eastAsia="仿宋_GB2312"/>
                      <w:sz w:val="24"/>
                    </w:rPr>
                    <w:t>▲10.智能场景声音检测：应支持高音量／低音量侦测，应能分别设置灵敏度阈值，当监控场景声音大小超过或低于设置的阈值，应能触发报警联动声音、灯光、联动输出、联动录像和联动抓拍；</w:t>
                  </w:r>
                  <w:r>
                    <w:br/>
                  </w:r>
                  <w:r>
                    <w:rPr>
                      <w:rFonts w:ascii="仿宋_GB2312" w:hAnsi="仿宋_GB2312" w:cs="仿宋_GB2312" w:eastAsia="仿宋_GB2312"/>
                      <w:sz w:val="24"/>
                    </w:rPr>
                    <w:t>▲11.应支持场景图像效果自适应，应能自动根据不同场景（如工频场景、反光场景、背光场景、强光场景、人形场景、夜景场景、飞尘场景等）对视频参数（如曝光、白平衡、亮度、饱和度、对比度、噪声、强光抑制、宽动态等）进行自动调整；</w:t>
                  </w:r>
                  <w:r>
                    <w:br/>
                  </w:r>
                  <w:r>
                    <w:rPr>
                      <w:rFonts w:ascii="仿宋_GB2312" w:hAnsi="仿宋_GB2312" w:cs="仿宋_GB2312" w:eastAsia="仿宋_GB2312"/>
                      <w:sz w:val="24"/>
                    </w:rPr>
                    <w:t>12.应能在DC（12V土30%）的供电条件下正常工作；支持POE供电；支持DC 12V反向输出，外壳防护等级≥IP67。</w:t>
                  </w:r>
                  <w:r>
                    <w:br/>
                  </w:r>
                  <w:r>
                    <w:rPr>
                      <w:rFonts w:ascii="仿宋_GB2312" w:hAnsi="仿宋_GB2312" w:cs="仿宋_GB2312" w:eastAsia="仿宋_GB2312"/>
                      <w:sz w:val="24"/>
                    </w:rPr>
                    <w:t>三、智能运行监测技术指标：</w:t>
                  </w:r>
                  <w:r>
                    <w:br/>
                  </w:r>
                  <w:r>
                    <w:rPr>
                      <w:rFonts w:ascii="仿宋_GB2312" w:hAnsi="仿宋_GB2312" w:cs="仿宋_GB2312" w:eastAsia="仿宋_GB2312"/>
                      <w:sz w:val="24"/>
                    </w:rPr>
                    <w:t>1.接口：≥1个USB-T设备配置口；</w:t>
                  </w:r>
                  <w:r>
                    <w:br/>
                  </w:r>
                  <w:r>
                    <w:rPr>
                      <w:rFonts w:ascii="仿宋_GB2312" w:hAnsi="仿宋_GB2312" w:cs="仿宋_GB2312" w:eastAsia="仿宋_GB2312"/>
                      <w:sz w:val="24"/>
                    </w:rPr>
                    <w:t>2.内置应急电源，市电中断后可保证设备箱通信模块工作时间≥10分钟；</w:t>
                  </w:r>
                  <w:r>
                    <w:br/>
                  </w:r>
                  <w:r>
                    <w:rPr>
                      <w:rFonts w:ascii="仿宋_GB2312" w:hAnsi="仿宋_GB2312" w:cs="仿宋_GB2312" w:eastAsia="仿宋_GB2312"/>
                      <w:sz w:val="24"/>
                    </w:rPr>
                    <w:t>3.配置≥1个4G天线接口；</w:t>
                  </w:r>
                  <w:r>
                    <w:br/>
                  </w:r>
                  <w:r>
                    <w:rPr>
                      <w:rFonts w:ascii="仿宋_GB2312" w:hAnsi="仿宋_GB2312" w:cs="仿宋_GB2312" w:eastAsia="仿宋_GB2312"/>
                      <w:sz w:val="24"/>
                    </w:rPr>
                    <w:t>4.配置≥1个ESIM卡接口，支持向下兼容至3G、2G；</w:t>
                  </w:r>
                  <w:r>
                    <w:br/>
                  </w:r>
                  <w:r>
                    <w:rPr>
                      <w:rFonts w:ascii="仿宋_GB2312" w:hAnsi="仿宋_GB2312" w:cs="仿宋_GB2312" w:eastAsia="仿宋_GB2312"/>
                      <w:sz w:val="24"/>
                    </w:rPr>
                    <w:t xml:space="preserve">5.配置≥8个自适应10/100M以太网接口； </w:t>
                  </w:r>
                  <w:r>
                    <w:br/>
                  </w:r>
                  <w:r>
                    <w:rPr>
                      <w:rFonts w:ascii="仿宋_GB2312" w:hAnsi="仿宋_GB2312" w:cs="仿宋_GB2312" w:eastAsia="仿宋_GB2312"/>
                      <w:sz w:val="24"/>
                    </w:rPr>
                    <w:t>▲6.支持任意网络协议端口的远程开启与关闭。支持隔离/恢复任意以太网接口，支持一键隔离/恢复整个点位网络；支持摄像机IP、摄像机MAC地址与以太网接口唯一绑定准入认证功能。</w:t>
                  </w:r>
                  <w:r>
                    <w:br/>
                  </w:r>
                  <w:r>
                    <w:rPr>
                      <w:rFonts w:ascii="仿宋_GB2312" w:hAnsi="仿宋_GB2312" w:cs="仿宋_GB2312" w:eastAsia="仿宋_GB2312"/>
                      <w:sz w:val="24"/>
                    </w:rPr>
                    <w:t>▲7.支持远程电源控制功能，可远程开启，关闭与重启对外供电；支持远程重启、远程升级功能；支持摄像头故障检测、网络故障检测、电力故障检测，箱门状态检测；管理平台支持弹窗告警、短信告警、邮件告警三种告警模式；</w:t>
                  </w:r>
                  <w:r>
                    <w:br/>
                  </w:r>
                  <w:r>
                    <w:rPr>
                      <w:rFonts w:ascii="仿宋_GB2312" w:hAnsi="仿宋_GB2312" w:cs="仿宋_GB2312" w:eastAsia="仿宋_GB2312"/>
                      <w:sz w:val="24"/>
                    </w:rPr>
                    <w:t>8.提供运维微信小程序与运维公众号服务</w:t>
                  </w:r>
                  <w:r>
                    <w:br/>
                  </w:r>
                  <w:r>
                    <w:rPr>
                      <w:rFonts w:ascii="仿宋_GB2312" w:hAnsi="仿宋_GB2312" w:cs="仿宋_GB2312" w:eastAsia="仿宋_GB2312"/>
                      <w:sz w:val="24"/>
                    </w:rPr>
                    <w:t>●8.1 点位故障信息可通过微信小程序通知到运维人员；</w:t>
                  </w:r>
                  <w:r>
                    <w:br/>
                  </w:r>
                  <w:r>
                    <w:rPr>
                      <w:rFonts w:ascii="仿宋_GB2312" w:hAnsi="仿宋_GB2312" w:cs="仿宋_GB2312" w:eastAsia="仿宋_GB2312"/>
                      <w:sz w:val="24"/>
                    </w:rPr>
                    <w:t>●8.2 微信小程序支持根据点位故障类型推送故障信息至不同的运维人员；</w:t>
                  </w:r>
                  <w:r>
                    <w:br/>
                  </w:r>
                  <w:r>
                    <w:rPr>
                      <w:rFonts w:ascii="仿宋_GB2312" w:hAnsi="仿宋_GB2312" w:cs="仿宋_GB2312" w:eastAsia="仿宋_GB2312"/>
                      <w:sz w:val="24"/>
                    </w:rPr>
                    <w:t>●8.3 微信小程序支持根据点位经纬度信息导航至故障点位；</w:t>
                  </w:r>
                  <w:r>
                    <w:br/>
                  </w:r>
                  <w:r>
                    <w:rPr>
                      <w:rFonts w:ascii="仿宋_GB2312" w:hAnsi="仿宋_GB2312" w:cs="仿宋_GB2312" w:eastAsia="仿宋_GB2312"/>
                      <w:sz w:val="24"/>
                    </w:rPr>
                    <w:t>●8.4 每个故障单支持维护统计等；</w:t>
                  </w:r>
                  <w:r>
                    <w:br/>
                  </w:r>
                  <w:r>
                    <w:rPr>
                      <w:rFonts w:ascii="仿宋_GB2312" w:hAnsi="仿宋_GB2312" w:cs="仿宋_GB2312" w:eastAsia="仿宋_GB2312"/>
                      <w:sz w:val="24"/>
                    </w:rPr>
                    <w:t>9.设备不占用IP地址；</w:t>
                  </w:r>
                  <w:r>
                    <w:br/>
                  </w:r>
                  <w:r>
                    <w:rPr>
                      <w:rFonts w:ascii="仿宋_GB2312" w:hAnsi="仿宋_GB2312" w:cs="仿宋_GB2312" w:eastAsia="仿宋_GB2312"/>
                      <w:sz w:val="24"/>
                    </w:rPr>
                    <w:t>10.故障信息应通过4G或5G通道独立传输，不占用视频通道。同时应能在电力中断和网络中断情况下正常回传故障信息；</w:t>
                  </w:r>
                  <w:r>
                    <w:br/>
                  </w:r>
                  <w:r>
                    <w:rPr>
                      <w:rFonts w:ascii="仿宋_GB2312" w:hAnsi="仿宋_GB2312" w:cs="仿宋_GB2312" w:eastAsia="仿宋_GB2312"/>
                      <w:sz w:val="24"/>
                    </w:rPr>
                    <w:t>注：每台包含</w:t>
                  </w:r>
                  <w:r>
                    <w:rPr>
                      <w:rFonts w:ascii="仿宋_GB2312" w:hAnsi="仿宋_GB2312" w:cs="仿宋_GB2312" w:eastAsia="仿宋_GB2312"/>
                      <w:sz w:val="24"/>
                    </w:rPr>
                    <w:t>3年4G或5G网络流量。</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vMerge/>
                  <w:tcBorders>
                    <w:top w:val="none" w:color="000000" w:sz="4"/>
                    <w:left w:val="single" w:color="000000" w:sz="4"/>
                    <w:bottom w:val="single" w:color="000000" w:sz="4"/>
                    <w:right w:val="single" w:color="000000" w:sz="4"/>
                  </w:tcBorders>
                </w:tcP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运输与安装调试服务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设备运输、安装调试、培训服务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二、车载移动式基站</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两载频移动基站</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1.技术体制：PDT；</w:t>
                  </w:r>
                  <w:r>
                    <w:br/>
                  </w:r>
                  <w:r>
                    <w:rPr>
                      <w:rFonts w:ascii="仿宋_GB2312" w:hAnsi="仿宋_GB2312" w:cs="仿宋_GB2312" w:eastAsia="仿宋_GB2312"/>
                      <w:sz w:val="24"/>
                    </w:rPr>
                    <w:t>2.发射频段：361～366MHz；</w:t>
                  </w:r>
                  <w:r>
                    <w:br/>
                  </w:r>
                  <w:r>
                    <w:rPr>
                      <w:rFonts w:ascii="仿宋_GB2312" w:hAnsi="仿宋_GB2312" w:cs="仿宋_GB2312" w:eastAsia="仿宋_GB2312"/>
                      <w:sz w:val="24"/>
                    </w:rPr>
                    <w:t>3.接收频段：351～356MHz；</w:t>
                  </w:r>
                  <w:r>
                    <w:br/>
                  </w:r>
                  <w:r>
                    <w:rPr>
                      <w:rFonts w:ascii="仿宋_GB2312" w:hAnsi="仿宋_GB2312" w:cs="仿宋_GB2312" w:eastAsia="仿宋_GB2312"/>
                      <w:sz w:val="24"/>
                    </w:rPr>
                    <w:t>4.双工间隔：10MHz；</w:t>
                  </w:r>
                  <w:r>
                    <w:br/>
                  </w:r>
                  <w:r>
                    <w:rPr>
                      <w:rFonts w:ascii="仿宋_GB2312" w:hAnsi="仿宋_GB2312" w:cs="仿宋_GB2312" w:eastAsia="仿宋_GB2312"/>
                      <w:sz w:val="24"/>
                    </w:rPr>
                    <w:t>5.载波间隔：12.5KHz；</w:t>
                  </w:r>
                  <w:r>
                    <w:br/>
                  </w:r>
                  <w:r>
                    <w:rPr>
                      <w:rFonts w:ascii="仿宋_GB2312" w:hAnsi="仿宋_GB2312" w:cs="仿宋_GB2312" w:eastAsia="仿宋_GB2312"/>
                      <w:sz w:val="24"/>
                    </w:rPr>
                    <w:t>6.调制方式：4FSK；</w:t>
                  </w:r>
                  <w:r>
                    <w:br/>
                  </w:r>
                  <w:r>
                    <w:rPr>
                      <w:rFonts w:ascii="仿宋_GB2312" w:hAnsi="仿宋_GB2312" w:cs="仿宋_GB2312" w:eastAsia="仿宋_GB2312"/>
                      <w:sz w:val="24"/>
                    </w:rPr>
                    <w:t>7.天线端口输出阻抗 ：50Ω；</w:t>
                  </w:r>
                  <w:r>
                    <w:br/>
                  </w:r>
                  <w:r>
                    <w:rPr>
                      <w:rFonts w:ascii="仿宋_GB2312" w:hAnsi="仿宋_GB2312" w:cs="仿宋_GB2312" w:eastAsia="仿宋_GB2312"/>
                      <w:sz w:val="24"/>
                    </w:rPr>
                    <w:t>8.载波数：两载波；</w:t>
                  </w:r>
                  <w:r>
                    <w:br/>
                  </w:r>
                  <w:r>
                    <w:rPr>
                      <w:rFonts w:ascii="仿宋_GB2312" w:hAnsi="仿宋_GB2312" w:cs="仿宋_GB2312" w:eastAsia="仿宋_GB2312"/>
                      <w:sz w:val="24"/>
                    </w:rPr>
                    <w:t>9.输出功率：≤50W；</w:t>
                  </w:r>
                  <w:r>
                    <w:br/>
                  </w:r>
                  <w:r>
                    <w:rPr>
                      <w:rFonts w:ascii="仿宋_GB2312" w:hAnsi="仿宋_GB2312" w:cs="仿宋_GB2312" w:eastAsia="仿宋_GB2312"/>
                      <w:sz w:val="24"/>
                    </w:rPr>
                    <w:t>10.驻波比：≤1.5；</w:t>
                  </w:r>
                  <w:r>
                    <w:br/>
                  </w:r>
                  <w:r>
                    <w:rPr>
                      <w:rFonts w:ascii="仿宋_GB2312" w:hAnsi="仿宋_GB2312" w:cs="仿宋_GB2312" w:eastAsia="仿宋_GB2312"/>
                      <w:sz w:val="24"/>
                    </w:rPr>
                    <w:t>11.载频容差：±0.2 x 10-6 （350MHz）；</w:t>
                  </w:r>
                  <w:r>
                    <w:br/>
                  </w:r>
                  <w:r>
                    <w:rPr>
                      <w:rFonts w:ascii="仿宋_GB2312" w:hAnsi="仿宋_GB2312" w:cs="仿宋_GB2312" w:eastAsia="仿宋_GB2312"/>
                      <w:sz w:val="24"/>
                    </w:rPr>
                    <w:t>12.灵敏度：≤-118dBm（静态）；</w:t>
                  </w:r>
                  <w:r>
                    <w:br/>
                  </w:r>
                  <w:r>
                    <w:rPr>
                      <w:rFonts w:ascii="仿宋_GB2312" w:hAnsi="仿宋_GB2312" w:cs="仿宋_GB2312" w:eastAsia="仿宋_GB2312"/>
                      <w:sz w:val="24"/>
                    </w:rPr>
                    <w:t>13.分集接收：两分集；</w:t>
                  </w:r>
                  <w:r>
                    <w:br/>
                  </w:r>
                  <w:r>
                    <w:rPr>
                      <w:rFonts w:ascii="仿宋_GB2312" w:hAnsi="仿宋_GB2312" w:cs="仿宋_GB2312" w:eastAsia="仿宋_GB2312"/>
                      <w:sz w:val="24"/>
                    </w:rPr>
                    <w:t>14.工作电源：100～240V AC，50/60Hz；</w:t>
                  </w:r>
                  <w:r>
                    <w:br/>
                  </w:r>
                  <w:r>
                    <w:rPr>
                      <w:rFonts w:ascii="仿宋_GB2312" w:hAnsi="仿宋_GB2312" w:cs="仿宋_GB2312" w:eastAsia="仿宋_GB2312"/>
                      <w:sz w:val="24"/>
                    </w:rPr>
                    <w:t>15.整机功耗：≤350W；</w:t>
                  </w:r>
                  <w:r>
                    <w:br/>
                  </w:r>
                  <w:r>
                    <w:rPr>
                      <w:rFonts w:ascii="仿宋_GB2312" w:hAnsi="仿宋_GB2312" w:cs="仿宋_GB2312" w:eastAsia="仿宋_GB2312"/>
                      <w:sz w:val="24"/>
                    </w:rPr>
                    <w:t>16.工作温度：-40℃～60℃；</w:t>
                  </w:r>
                  <w:r>
                    <w:br/>
                  </w:r>
                  <w:r>
                    <w:rPr>
                      <w:rFonts w:ascii="仿宋_GB2312" w:hAnsi="仿宋_GB2312" w:cs="仿宋_GB2312" w:eastAsia="仿宋_GB2312"/>
                      <w:sz w:val="24"/>
                    </w:rPr>
                    <w:t>17.防尘防水等级：≥IP67；</w:t>
                  </w:r>
                  <w:r>
                    <w:br/>
                  </w:r>
                  <w:r>
                    <w:rPr>
                      <w:rFonts w:ascii="仿宋_GB2312" w:hAnsi="仿宋_GB2312" w:cs="仿宋_GB2312" w:eastAsia="仿宋_GB2312"/>
                      <w:sz w:val="24"/>
                    </w:rPr>
                    <w:t>18.振动、冲击、湿热满足GJB 150.16A-2009、GJB 150.18A-2009、GJB 150.9A-2009、GJB367A-2001标准；</w:t>
                  </w:r>
                  <w:r>
                    <w:br/>
                  </w:r>
                  <w:r>
                    <w:rPr>
                      <w:rFonts w:ascii="仿宋_GB2312" w:hAnsi="仿宋_GB2312" w:cs="仿宋_GB2312" w:eastAsia="仿宋_GB2312"/>
                      <w:sz w:val="24"/>
                    </w:rPr>
                    <w:t>19.性能要求:</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1）PDT固定基站设备必须是公安系统专用设备，确保数字集群基站功能实现。基站必须直接有线接入商洛市公安局现有PDT交换中心</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2）PDT集群基站支持与商洛市局现有基站共享控制信道功能，以满足大话务量要求，在不中断业务情况下，临时解决载波快速扩容</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3）PDT基站设备要求符合国家电磁干扰影响有关规定，符合国家电磁干扰影响相关规定，在可预见的环境下，设备应不受周边其他系统的电磁干扰，同时也不对周边其他系统电磁干扰；</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4）基站具有远程升级功能，实现从现有商洛市局网管终端对基站进行软件的远程升级</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5）在项目中标后15天内，须提供与投标型号一致的基站接入商洛市局现有交换中心完成相关功能测试，同时完成与省级交换中心的联网功能测试，实现省、市、县跨层级、跨地域指挥调度</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此次建设基站须与商洛市局所有现网基站无缝组成一张集群网，符合公安部要求的“一张网”建设需求，满足公安计划指挥调度、反恐维稳、应急处突等重点领域跨区域业务协通和异地调警等无线通信保障需求</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定制支架</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定制固定支架</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逆变器</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2000W 12V转220V车两专用逆变器，含配套线材及配件。</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延长馈线</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配套专用延长馈线</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运输与安装调试服务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设备运输、安装调试、培训服务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三、车载台</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车载台</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1.工作频段：350-400MHz； </w:t>
                  </w:r>
                  <w:r>
                    <w:br/>
                  </w:r>
                  <w:r>
                    <w:rPr>
                      <w:rFonts w:ascii="仿宋_GB2312" w:hAnsi="仿宋_GB2312" w:cs="仿宋_GB2312" w:eastAsia="仿宋_GB2312"/>
                      <w:sz w:val="24"/>
                    </w:rPr>
                    <w:t>2.信道容量：≥1024；</w:t>
                  </w:r>
                  <w:r>
                    <w:br/>
                  </w:r>
                  <w:r>
                    <w:rPr>
                      <w:rFonts w:ascii="仿宋_GB2312" w:hAnsi="仿宋_GB2312" w:cs="仿宋_GB2312" w:eastAsia="仿宋_GB2312"/>
                      <w:sz w:val="24"/>
                    </w:rPr>
                    <w:t>3.信道间隔：12.5kHz/25KHz；</w:t>
                  </w:r>
                  <w:r>
                    <w:br/>
                  </w:r>
                  <w:r>
                    <w:rPr>
                      <w:rFonts w:ascii="仿宋_GB2312" w:hAnsi="仿宋_GB2312" w:cs="仿宋_GB2312" w:eastAsia="仿宋_GB2312"/>
                      <w:sz w:val="24"/>
                    </w:rPr>
                    <w:t>4.频率稳定度：±0.5ppm；</w:t>
                  </w:r>
                  <w:r>
                    <w:br/>
                  </w:r>
                  <w:r>
                    <w:rPr>
                      <w:rFonts w:ascii="仿宋_GB2312" w:hAnsi="仿宋_GB2312" w:cs="仿宋_GB2312" w:eastAsia="仿宋_GB2312"/>
                      <w:sz w:val="24"/>
                    </w:rPr>
                    <w:t>5.显示屏：≥2寸真彩屏，≥220*176分辨率；</w:t>
                  </w:r>
                  <w:r>
                    <w:br/>
                  </w:r>
                  <w:r>
                    <w:rPr>
                      <w:rFonts w:ascii="仿宋_GB2312" w:hAnsi="仿宋_GB2312" w:cs="仿宋_GB2312" w:eastAsia="仿宋_GB2312"/>
                      <w:sz w:val="24"/>
                    </w:rPr>
                    <w:t xml:space="preserve">6.输出功率：最大25W，可调；      </w:t>
                  </w:r>
                  <w:r>
                    <w:br/>
                  </w:r>
                  <w:r>
                    <w:rPr>
                      <w:rFonts w:ascii="仿宋_GB2312" w:hAnsi="仿宋_GB2312" w:cs="仿宋_GB2312" w:eastAsia="仿宋_GB2312"/>
                      <w:sz w:val="24"/>
                    </w:rPr>
                    <w:t>7.蓝牙版本：蓝牙4.0协议，可支持蓝牙音频和蓝牙PTT设备；</w:t>
                  </w:r>
                  <w:r>
                    <w:br/>
                  </w:r>
                  <w:r>
                    <w:rPr>
                      <w:rFonts w:ascii="仿宋_GB2312" w:hAnsi="仿宋_GB2312" w:cs="仿宋_GB2312" w:eastAsia="仿宋_GB2312"/>
                      <w:sz w:val="24"/>
                    </w:rPr>
                    <w:t>8.TIFF（首次定位时间）冷启动：≤60秒；</w:t>
                  </w:r>
                  <w:r>
                    <w:br/>
                  </w:r>
                  <w:r>
                    <w:rPr>
                      <w:rFonts w:ascii="仿宋_GB2312" w:hAnsi="仿宋_GB2312" w:cs="仿宋_GB2312" w:eastAsia="仿宋_GB2312"/>
                      <w:sz w:val="24"/>
                    </w:rPr>
                    <w:t>9.TIFF（首次定位时间）热启动：≤10秒；</w:t>
                  </w:r>
                  <w:r>
                    <w:br/>
                  </w:r>
                  <w:r>
                    <w:rPr>
                      <w:rFonts w:ascii="仿宋_GB2312" w:hAnsi="仿宋_GB2312" w:cs="仿宋_GB2312" w:eastAsia="仿宋_GB2312"/>
                      <w:sz w:val="24"/>
                    </w:rPr>
                    <w:t>10.定位精度：≤10米；</w:t>
                  </w:r>
                  <w:r>
                    <w:br/>
                  </w:r>
                  <w:r>
                    <w:rPr>
                      <w:rFonts w:ascii="仿宋_GB2312" w:hAnsi="仿宋_GB2312" w:cs="仿宋_GB2312" w:eastAsia="仿宋_GB2312"/>
                      <w:sz w:val="24"/>
                    </w:rPr>
                    <w:t>11.工作温度：-20℃～+55℃；</w:t>
                  </w:r>
                  <w:r>
                    <w:br/>
                  </w:r>
                  <w:r>
                    <w:rPr>
                      <w:rFonts w:ascii="仿宋_GB2312" w:hAnsi="仿宋_GB2312" w:cs="仿宋_GB2312" w:eastAsia="仿宋_GB2312"/>
                      <w:sz w:val="24"/>
                    </w:rPr>
                    <w:t>★</w:t>
                  </w:r>
                  <w:r>
                    <w:rPr>
                      <w:rFonts w:ascii="仿宋_GB2312" w:hAnsi="仿宋_GB2312" w:cs="仿宋_GB2312" w:eastAsia="仿宋_GB2312"/>
                      <w:sz w:val="24"/>
                    </w:rPr>
                    <w:t>12.产品须无缝接入商洛市公安局现有的警用数字集群通信系统</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定制支架</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定制固定支架</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延长馈线</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配套专用延长馈线</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运输与安装调试服务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设备运输、安装调试、培训服务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四、手持对讲机</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手持对讲机</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一、一般规格：</w:t>
                  </w:r>
                  <w:r>
                    <w:br/>
                  </w:r>
                  <w:r>
                    <w:rPr>
                      <w:rFonts w:ascii="仿宋_GB2312" w:hAnsi="仿宋_GB2312" w:cs="仿宋_GB2312" w:eastAsia="仿宋_GB2312"/>
                      <w:sz w:val="24"/>
                    </w:rPr>
                    <w:t>1.频率范围：350MHz-400MHz；</w:t>
                  </w:r>
                  <w:r>
                    <w:br/>
                  </w:r>
                  <w:r>
                    <w:rPr>
                      <w:rFonts w:ascii="仿宋_GB2312" w:hAnsi="仿宋_GB2312" w:cs="仿宋_GB2312" w:eastAsia="仿宋_GB2312"/>
                      <w:sz w:val="24"/>
                    </w:rPr>
                    <w:t>2.信道间隔：12.5kHz/25kHz；</w:t>
                  </w:r>
                  <w:r>
                    <w:br/>
                  </w:r>
                  <w:r>
                    <w:rPr>
                      <w:rFonts w:ascii="仿宋_GB2312" w:hAnsi="仿宋_GB2312" w:cs="仿宋_GB2312" w:eastAsia="仿宋_GB2312"/>
                      <w:sz w:val="24"/>
                    </w:rPr>
                    <w:t>3.频率稳定度：±1.5ppm；</w:t>
                  </w:r>
                  <w:r>
                    <w:br/>
                  </w:r>
                  <w:r>
                    <w:rPr>
                      <w:rFonts w:ascii="仿宋_GB2312" w:hAnsi="仿宋_GB2312" w:cs="仿宋_GB2312" w:eastAsia="仿宋_GB2312"/>
                      <w:sz w:val="24"/>
                    </w:rPr>
                    <w:t>4.尺寸（高×宽×厚）：130×55×40mm（±5mm）；</w:t>
                  </w:r>
                  <w:r>
                    <w:br/>
                  </w:r>
                  <w:r>
                    <w:rPr>
                      <w:rFonts w:ascii="仿宋_GB2312" w:hAnsi="仿宋_GB2312" w:cs="仿宋_GB2312" w:eastAsia="仿宋_GB2312"/>
                      <w:sz w:val="24"/>
                    </w:rPr>
                    <w:t>5.重量：≤370g（含电池，天线，背夹）；</w:t>
                  </w:r>
                  <w:r>
                    <w:br/>
                  </w:r>
                  <w:r>
                    <w:rPr>
                      <w:rFonts w:ascii="仿宋_GB2312" w:hAnsi="仿宋_GB2312" w:cs="仿宋_GB2312" w:eastAsia="仿宋_GB2312"/>
                      <w:sz w:val="24"/>
                    </w:rPr>
                    <w:t>6.电池容量：≥3350mAh 锂聚合物电池；</w:t>
                  </w:r>
                  <w:r>
                    <w:br/>
                  </w:r>
                  <w:r>
                    <w:rPr>
                      <w:rFonts w:ascii="仿宋_GB2312" w:hAnsi="仿宋_GB2312" w:cs="仿宋_GB2312" w:eastAsia="仿宋_GB2312"/>
                      <w:sz w:val="24"/>
                    </w:rPr>
                    <w:t>7.工作时长：模拟：≥12小时，数字：≥17小时；</w:t>
                  </w:r>
                  <w:r>
                    <w:br/>
                  </w:r>
                  <w:r>
                    <w:rPr>
                      <w:rFonts w:ascii="仿宋_GB2312" w:hAnsi="仿宋_GB2312" w:cs="仿宋_GB2312" w:eastAsia="仿宋_GB2312"/>
                      <w:sz w:val="24"/>
                    </w:rPr>
                    <w:t>8.屏幕：≥2.0吋半透彩色显示屏，≥240×320像素；</w:t>
                  </w:r>
                  <w:r>
                    <w:br/>
                  </w:r>
                  <w:r>
                    <w:rPr>
                      <w:rFonts w:ascii="仿宋_GB2312" w:hAnsi="仿宋_GB2312" w:cs="仿宋_GB2312" w:eastAsia="仿宋_GB2312"/>
                      <w:sz w:val="24"/>
                    </w:rPr>
                    <w:t>9.显示语言：支持中文、英文语言；</w:t>
                  </w:r>
                  <w:r>
                    <w:br/>
                  </w:r>
                  <w:r>
                    <w:rPr>
                      <w:rFonts w:ascii="仿宋_GB2312" w:hAnsi="仿宋_GB2312" w:cs="仿宋_GB2312" w:eastAsia="仿宋_GB2312"/>
                      <w:sz w:val="24"/>
                    </w:rPr>
                    <w:t>10.输出功率：1W/4W，功率自动控制；</w:t>
                  </w:r>
                  <w:r>
                    <w:br/>
                  </w:r>
                  <w:r>
                    <w:rPr>
                      <w:rFonts w:ascii="仿宋_GB2312" w:hAnsi="仿宋_GB2312" w:cs="仿宋_GB2312" w:eastAsia="仿宋_GB2312"/>
                      <w:sz w:val="24"/>
                    </w:rPr>
                    <w:t>11.接收灵敏度：≤-118dBm（误码率5%时）；</w:t>
                  </w:r>
                  <w:r>
                    <w:br/>
                  </w:r>
                  <w:r>
                    <w:rPr>
                      <w:rFonts w:ascii="仿宋_GB2312" w:hAnsi="仿宋_GB2312" w:cs="仿宋_GB2312" w:eastAsia="仿宋_GB2312"/>
                      <w:sz w:val="24"/>
                    </w:rPr>
                    <w:t>二、定位模块：</w:t>
                  </w:r>
                  <w:r>
                    <w:br/>
                  </w:r>
                  <w:r>
                    <w:rPr>
                      <w:rFonts w:ascii="仿宋_GB2312" w:hAnsi="仿宋_GB2312" w:cs="仿宋_GB2312" w:eastAsia="仿宋_GB2312"/>
                      <w:sz w:val="24"/>
                    </w:rPr>
                    <w:t>1.TTFF首次定位冷启动：≤1分钟；</w:t>
                  </w:r>
                  <w:r>
                    <w:br/>
                  </w:r>
                  <w:r>
                    <w:rPr>
                      <w:rFonts w:ascii="仿宋_GB2312" w:hAnsi="仿宋_GB2312" w:cs="仿宋_GB2312" w:eastAsia="仿宋_GB2312"/>
                      <w:sz w:val="24"/>
                    </w:rPr>
                    <w:t>2.TTFF首次定位热启动：≤10秒；</w:t>
                  </w:r>
                  <w:r>
                    <w:br/>
                  </w:r>
                  <w:r>
                    <w:rPr>
                      <w:rFonts w:ascii="仿宋_GB2312" w:hAnsi="仿宋_GB2312" w:cs="仿宋_GB2312" w:eastAsia="仿宋_GB2312"/>
                      <w:sz w:val="24"/>
                    </w:rPr>
                    <w:t>3.水平定位精度：≤5米；</w:t>
                  </w:r>
                  <w:r>
                    <w:br/>
                  </w:r>
                  <w:r>
                    <w:rPr>
                      <w:rFonts w:ascii="仿宋_GB2312" w:hAnsi="仿宋_GB2312" w:cs="仿宋_GB2312" w:eastAsia="仿宋_GB2312"/>
                      <w:sz w:val="24"/>
                    </w:rPr>
                    <w:t>4.GNSS系统：北斗定位。</w:t>
                  </w:r>
                  <w:r>
                    <w:br/>
                  </w:r>
                  <w:r>
                    <w:rPr>
                      <w:rFonts w:ascii="仿宋_GB2312" w:hAnsi="仿宋_GB2312" w:cs="仿宋_GB2312" w:eastAsia="仿宋_GB2312"/>
                      <w:sz w:val="24"/>
                    </w:rPr>
                    <w:t>三、内置蓝牙：</w:t>
                  </w:r>
                  <w:r>
                    <w:br/>
                  </w:r>
                  <w:r>
                    <w:rPr>
                      <w:rFonts w:ascii="仿宋_GB2312" w:hAnsi="仿宋_GB2312" w:cs="仿宋_GB2312" w:eastAsia="仿宋_GB2312"/>
                      <w:sz w:val="24"/>
                    </w:rPr>
                    <w:t>1、蓝牙版本不低于4.0，支持蓝牙语音和蓝牙PTT设备。</w:t>
                  </w:r>
                  <w:r>
                    <w:br/>
                  </w:r>
                  <w:r>
                    <w:rPr>
                      <w:rFonts w:ascii="仿宋_GB2312" w:hAnsi="仿宋_GB2312" w:cs="仿宋_GB2312" w:eastAsia="仿宋_GB2312"/>
                      <w:sz w:val="24"/>
                    </w:rPr>
                    <w:t>四、环境规格</w:t>
                  </w:r>
                  <w:r>
                    <w:br/>
                  </w:r>
                  <w:r>
                    <w:rPr>
                      <w:rFonts w:ascii="仿宋_GB2312" w:hAnsi="仿宋_GB2312" w:cs="仿宋_GB2312" w:eastAsia="仿宋_GB2312"/>
                      <w:sz w:val="24"/>
                    </w:rPr>
                    <w:t>1.工作温度：-30℃至+60℃；</w:t>
                  </w:r>
                  <w:r>
                    <w:br/>
                  </w:r>
                  <w:r>
                    <w:rPr>
                      <w:rFonts w:ascii="仿宋_GB2312" w:hAnsi="仿宋_GB2312" w:cs="仿宋_GB2312" w:eastAsia="仿宋_GB2312"/>
                      <w:sz w:val="24"/>
                    </w:rPr>
                    <w:t>2.存放温度：-40℃至+85℃；</w:t>
                  </w:r>
                  <w:r>
                    <w:br/>
                  </w:r>
                  <w:r>
                    <w:rPr>
                      <w:rFonts w:ascii="仿宋_GB2312" w:hAnsi="仿宋_GB2312" w:cs="仿宋_GB2312" w:eastAsia="仿宋_GB2312"/>
                      <w:sz w:val="24"/>
                    </w:rPr>
                    <w:t>3.防水防尘：≥IP68。</w:t>
                  </w:r>
                  <w:r>
                    <w:br/>
                  </w:r>
                  <w:r>
                    <w:rPr>
                      <w:rFonts w:ascii="仿宋_GB2312" w:hAnsi="仿宋_GB2312" w:cs="仿宋_GB2312" w:eastAsia="仿宋_GB2312"/>
                      <w:sz w:val="24"/>
                    </w:rPr>
                    <w:t>五、性能要求：</w:t>
                  </w:r>
                  <w:r>
                    <w:br/>
                  </w:r>
                  <w:r>
                    <w:rPr>
                      <w:rFonts w:ascii="仿宋_GB2312" w:hAnsi="仿宋_GB2312" w:cs="仿宋_GB2312" w:eastAsia="仿宋_GB2312"/>
                      <w:sz w:val="24"/>
                    </w:rPr>
                    <w:t>1.具有良好的环境适应性，湿热满足GJB 150.9A-2009、GJB 367A-2001标准，能够在各种恶劣的工作环境中发挥优异性能；</w:t>
                  </w:r>
                  <w:r>
                    <w:br/>
                  </w:r>
                  <w:r>
                    <w:rPr>
                      <w:rFonts w:ascii="仿宋_GB2312" w:hAnsi="仿宋_GB2312" w:cs="仿宋_GB2312" w:eastAsia="仿宋_GB2312"/>
                      <w:sz w:val="24"/>
                    </w:rPr>
                    <w:t>2.具有良好的环境适应性，抗随机振动能力满足GJB 150.16A-2009标准、冲击能力满足 GJB 150.18A-2009标准，能够在各种恶劣的工作环境中发挥优异性能；</w:t>
                  </w:r>
                  <w:r>
                    <w:br/>
                  </w:r>
                  <w:r>
                    <w:rPr>
                      <w:rFonts w:ascii="仿宋_GB2312" w:hAnsi="仿宋_GB2312" w:cs="仿宋_GB2312" w:eastAsia="仿宋_GB2312"/>
                      <w:sz w:val="24"/>
                    </w:rPr>
                    <w:t>3.支持单呼、组呼、广播呼叫、短数据等语音和数据功能，支持场强指示，上报场强和电池信息，支持省电模式、一键锁站，支持通过系统修改加密组开关，支持多个可编程按键。</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.产品须无缝接入商洛市公安局现有的警用数字集群通信系统，并可以向商洛市公安局现有警用数字集群系统发送终端场强和电量信息；支持通过市局现有系统远程修改终端的定位数据主动上报方式</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.终端支持商洛公安局已建 PDT 基站的辅控功能，自动适配基站辅控</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五、基地台</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基地台</w:t>
                  </w:r>
                </w:p>
              </w:tc>
              <w:tc>
                <w:tcPr>
                  <w:tcW w:type="dxa" w:w="16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1.工作频段：350-400MHz； </w:t>
                  </w:r>
                  <w:r>
                    <w:br/>
                  </w:r>
                  <w:r>
                    <w:rPr>
                      <w:rFonts w:ascii="仿宋_GB2312" w:hAnsi="仿宋_GB2312" w:cs="仿宋_GB2312" w:eastAsia="仿宋_GB2312"/>
                      <w:sz w:val="24"/>
                    </w:rPr>
                    <w:t>2.信道容量：≥1024；</w:t>
                  </w:r>
                  <w:r>
                    <w:br/>
                  </w:r>
                  <w:r>
                    <w:rPr>
                      <w:rFonts w:ascii="仿宋_GB2312" w:hAnsi="仿宋_GB2312" w:cs="仿宋_GB2312" w:eastAsia="仿宋_GB2312"/>
                      <w:sz w:val="24"/>
                    </w:rPr>
                    <w:t>3.信道间隔：12.5kHz/25KHz；</w:t>
                  </w:r>
                  <w:r>
                    <w:br/>
                  </w:r>
                  <w:r>
                    <w:rPr>
                      <w:rFonts w:ascii="仿宋_GB2312" w:hAnsi="仿宋_GB2312" w:cs="仿宋_GB2312" w:eastAsia="仿宋_GB2312"/>
                      <w:sz w:val="24"/>
                    </w:rPr>
                    <w:t>4.频率稳定度：±0.5ppm；</w:t>
                  </w:r>
                  <w:r>
                    <w:br/>
                  </w:r>
                  <w:r>
                    <w:rPr>
                      <w:rFonts w:ascii="仿宋_GB2312" w:hAnsi="仿宋_GB2312" w:cs="仿宋_GB2312" w:eastAsia="仿宋_GB2312"/>
                      <w:sz w:val="24"/>
                    </w:rPr>
                    <w:t>5.工作电压：100～240V AC，50～60Hz；</w:t>
                  </w:r>
                  <w:r>
                    <w:br/>
                  </w:r>
                  <w:r>
                    <w:rPr>
                      <w:rFonts w:ascii="仿宋_GB2312" w:hAnsi="仿宋_GB2312" w:cs="仿宋_GB2312" w:eastAsia="仿宋_GB2312"/>
                      <w:sz w:val="24"/>
                    </w:rPr>
                    <w:t>6.尺寸（高×宽×深）：110*200*230mm（±10mm）；</w:t>
                  </w:r>
                  <w:r>
                    <w:br/>
                  </w:r>
                  <w:r>
                    <w:rPr>
                      <w:rFonts w:ascii="仿宋_GB2312" w:hAnsi="仿宋_GB2312" w:cs="仿宋_GB2312" w:eastAsia="仿宋_GB2312"/>
                      <w:sz w:val="24"/>
                    </w:rPr>
                    <w:t>7.整机重量：≤4350g；</w:t>
                  </w:r>
                  <w:r>
                    <w:br/>
                  </w:r>
                  <w:r>
                    <w:rPr>
                      <w:rFonts w:ascii="仿宋_GB2312" w:hAnsi="仿宋_GB2312" w:cs="仿宋_GB2312" w:eastAsia="仿宋_GB2312"/>
                      <w:sz w:val="24"/>
                    </w:rPr>
                    <w:t>8.显示屏：≥2寸真彩屏，≥220*176分辨率；</w:t>
                  </w:r>
                  <w:r>
                    <w:br/>
                  </w:r>
                  <w:r>
                    <w:rPr>
                      <w:rFonts w:ascii="仿宋_GB2312" w:hAnsi="仿宋_GB2312" w:cs="仿宋_GB2312" w:eastAsia="仿宋_GB2312"/>
                      <w:sz w:val="24"/>
                    </w:rPr>
                    <w:t xml:space="preserve">9.输出功率：最大25W，可调；     </w:t>
                  </w:r>
                  <w:r>
                    <w:br/>
                  </w:r>
                  <w:r>
                    <w:rPr>
                      <w:rFonts w:ascii="仿宋_GB2312" w:hAnsi="仿宋_GB2312" w:cs="仿宋_GB2312" w:eastAsia="仿宋_GB2312"/>
                      <w:sz w:val="24"/>
                    </w:rPr>
                    <w:t>10.蓝牙：蓝牙版本不低于4.0协议，可支持蓝牙音频和蓝牙PTT设备；</w:t>
                  </w:r>
                  <w:r>
                    <w:br/>
                  </w:r>
                  <w:r>
                    <w:rPr>
                      <w:rFonts w:ascii="仿宋_GB2312" w:hAnsi="仿宋_GB2312" w:cs="仿宋_GB2312" w:eastAsia="仿宋_GB2312"/>
                      <w:sz w:val="24"/>
                    </w:rPr>
                    <w:t>11.TIFF（首次定位时间）冷启动：≤60秒；</w:t>
                  </w:r>
                  <w:r>
                    <w:br/>
                  </w:r>
                  <w:r>
                    <w:rPr>
                      <w:rFonts w:ascii="仿宋_GB2312" w:hAnsi="仿宋_GB2312" w:cs="仿宋_GB2312" w:eastAsia="仿宋_GB2312"/>
                      <w:sz w:val="24"/>
                    </w:rPr>
                    <w:t>12.TIFF（首次定位时间）热启动：≤10秒；</w:t>
                  </w:r>
                  <w:r>
                    <w:br/>
                  </w:r>
                  <w:r>
                    <w:rPr>
                      <w:rFonts w:ascii="仿宋_GB2312" w:hAnsi="仿宋_GB2312" w:cs="仿宋_GB2312" w:eastAsia="仿宋_GB2312"/>
                      <w:sz w:val="24"/>
                    </w:rPr>
                    <w:t>13.定位精度：≤10米；</w:t>
                  </w:r>
                  <w:r>
                    <w:br/>
                  </w:r>
                  <w:r>
                    <w:rPr>
                      <w:rFonts w:ascii="仿宋_GB2312" w:hAnsi="仿宋_GB2312" w:cs="仿宋_GB2312" w:eastAsia="仿宋_GB2312"/>
                      <w:sz w:val="24"/>
                    </w:rPr>
                    <w:t>14.工作温度：-20℃至+55℃；</w:t>
                  </w:r>
                  <w:r>
                    <w:br/>
                  </w:r>
                  <w:r>
                    <w:rPr>
                      <w:rFonts w:ascii="仿宋_GB2312" w:hAnsi="仿宋_GB2312" w:cs="仿宋_GB2312" w:eastAsia="仿宋_GB2312"/>
                      <w:sz w:val="24"/>
                    </w:rPr>
                    <w:t>★</w:t>
                  </w:r>
                  <w:r>
                    <w:rPr>
                      <w:rFonts w:ascii="仿宋_GB2312" w:hAnsi="仿宋_GB2312" w:cs="仿宋_GB2312" w:eastAsia="仿宋_GB2312"/>
                      <w:sz w:val="24"/>
                    </w:rPr>
                    <w:t>15.产品须无缝接入商洛市公安局现有的警用数字集群通信系统</w:t>
                  </w:r>
                  <w:r>
                    <w:rPr>
                      <w:rFonts w:ascii="仿宋_GB2312" w:hAnsi="仿宋_GB2312" w:cs="仿宋_GB2312" w:eastAsia="仿宋_GB2312"/>
                      <w:sz w:val="24"/>
                    </w:rPr>
                    <w:t>（提供承诺书或相关证明材料）</w:t>
                  </w:r>
                  <w:r>
                    <w:rPr>
                      <w:rFonts w:ascii="仿宋_GB2312" w:hAnsi="仿宋_GB2312" w:cs="仿宋_GB2312" w:eastAsia="仿宋_GB2312"/>
                      <w:sz w:val="24"/>
                    </w:rPr>
                    <w:t>。</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5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六、网络链路服务</w:t>
                  </w:r>
                </w:p>
              </w:tc>
              <w:tc>
                <w:tcPr>
                  <w:tcW w:type="dxa" w:w="2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专网传输链路服务</w:t>
                  </w:r>
                </w:p>
              </w:tc>
              <w:tc>
                <w:tcPr>
                  <w:tcW w:type="dxa" w:w="16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1、含1条≥2兆固定基站传输链路服务，服务期限自开通之日起有效期2年。</w:t>
                  </w:r>
                  <w:r>
                    <w:br/>
                  </w:r>
                  <w:r>
                    <w:rPr>
                      <w:rFonts w:ascii="仿宋_GB2312" w:hAnsi="仿宋_GB2312" w:cs="仿宋_GB2312" w:eastAsia="仿宋_GB2312"/>
                      <w:sz w:val="24"/>
                    </w:rPr>
                    <w:t>2、含租用运营商机房布放基站设备（含供电）。</w:t>
                  </w:r>
                </w:p>
              </w:tc>
              <w:tc>
                <w:tcPr>
                  <w:tcW w:type="dxa" w:w="26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自合同签订之日起45个日历日内交货安装调试完毕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柞水县公安局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进度款，合同签订后，乙方须向甲方提供对应发票，达到付款条件起30个工作日内，支付合同总金额的40.0%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进度款，终验合格后，乙方须向甲方提供对应发票，达到付款条件起30个工作日内，支付合同总金额的60.0%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终验：所有货物(设备)安装、调试完毕，由采购人进行终验（最终验收），合格后签发《终验合格单》。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3.3竞争性磋商文件。 3.4成交供应商的竞争性磋商响应文件。 3.5合同货物清单。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1.质保期：终验合格后质保期不少于 24 个月（参数中有具体要求的，按参数要求提供质保）。成交人承诺的质保时间超过磋商文件要求的，按其承诺时间质保。 2.成交人承诺的质保期起始时间为终验合格之日。 3.所有货物质量必须符合国家有关规范和相关政策。 4.质保期出现的质量问题由成交人负责解决并承担所有费用。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货物或货物质量不能满足技术要求，采购人有权终止合同，并对供方违约行为进行追究，同时按《中华人民共和国政府采购法》的有关规定进行处罚。3、争议解决方法：双方应友好协商，协商不成的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3.4商务要求”为实质性要求，不得负偏离。2、磋商保证金交纳及退还：2.1.磋商担保递交截止时间：同磋商响应文件递交截止时间，若采购代理机构未在磋商担保递交截止时间收到足额磋商保证金或者有效担保函的，其磋商将被拒绝。 2.2磋商担保应当按照法定形式提交。以电汇、转账等形式交纳保证金的供应商，磋商保证金仅限于通过基本户以转账形式交纳，磋商结束后以转账形式退至供应商基本户内。磋商保证金交纳凭证以银行凭证及基本账户证明资料为准。2.3供应商参加磋商时，必须以竞争性磋商文件规定的方式提交磋商担保，并作为其磋商响应的一部分。若采购代理机构未在磋商担保递交截止时间收到足额磋商保证金或有效担保函的，或未在磋商响应文件中附磋商凭证的，其磋商响应文件无效。2.4所有未成交供应商的磋商保证金，将在成交通知书发出后5个工作日内退还；成交的供应商的磋商保证金在签订合同后，执合同予以5个工作日内退还。3、成交人领取成交通知书时，向代理机构提供一正二副纸质响应文件（应为与在线响应文件一致的签字盖章完整版文件，双面打印并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供应商需在项目电子化交易系统中按要求填写《响应函》完成承诺并进行电子签章。本项与特殊资格要求中“控股关系查询”为同一审查内容。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中国执行信息公开网http://zxgk.court.gov.cn/shixin/）、重大税收违法失信主体、政府采购严重违法失信行为记录名单”的供应商；不得为中国政府采购网(http://www.ccgp.gov.cn)“政府采购严重违法失信行为记录名单”中的供应商；(此项在磋商响应截止日当天由采购人在“信用中国”网站和中国政府采购网站进行查询，截图留档；如网站无供应商信息的，供应商须提供相关证明资料或书面声明，且附在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响应截止日当天由采购人在“国家企业信用信息公示系统”网站进行查询，截图留档；如网站无供应商信息的，供应商须提供相关证明资料或书面声明，且附在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除明确允许供应商可以自行编写的外，竞争性磋商响应文件是否按照竞争性磋商文件给定的格式编制</w:t>
            </w:r>
          </w:p>
        </w:tc>
        <w:tc>
          <w:tcPr>
            <w:tcW w:type="dxa" w:w="1661"/>
          </w:tcPr>
          <w:p>
            <w:pPr>
              <w:pStyle w:val="null3"/>
            </w:pPr>
            <w:r>
              <w:rPr>
                <w:rFonts w:ascii="仿宋_GB2312" w:hAnsi="仿宋_GB2312" w:cs="仿宋_GB2312" w:eastAsia="仿宋_GB2312"/>
              </w:rPr>
              <w:t>中小企业声明函 承诺书.docx 报价表 商务条款响应偏离表.docx 法定代表人授权书.docx 响应文件封面 技术规格响应偏离表.docx 投标分项报价表.docx 选配件报价表.docx 残疾人福利性单位声明函 拒绝政府采购领域商业贿赂承诺书.docx 产品合法来源渠道.docx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竞争性磋商响应文件是否按照竞争性磋商文件的要求盖章签字</w:t>
            </w:r>
          </w:p>
        </w:tc>
        <w:tc>
          <w:tcPr>
            <w:tcW w:type="dxa" w:w="1661"/>
          </w:tcPr>
          <w:p>
            <w:pPr>
              <w:pStyle w:val="null3"/>
            </w:pPr>
            <w:r>
              <w:rPr>
                <w:rFonts w:ascii="仿宋_GB2312" w:hAnsi="仿宋_GB2312" w:cs="仿宋_GB2312" w:eastAsia="仿宋_GB2312"/>
              </w:rPr>
              <w:t>中小企业声明函 承诺书.docx 报价表 商务条款响应偏离表.docx 法定代表人授权书.docx 响应文件封面 技术规格响应偏离表.docx 投标分项报价表.docx 选配件报价表.docx 残疾人福利性单位声明函 拒绝政府采购领域商业贿赂承诺书.docx 产品合法来源渠道.docx 标的清单 关于符合本国产品标准的声明函 响应函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对竞争性磋商文件商务要求是否作出明确且实质性响应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对竞争性磋商文件技术要求是否作出明确响应，对不得偏离的要求是否作出实质性响应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 技术指标佐证材料.docx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竞争性磋商响应文件未含有采购人不能接受的附加条件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法律、法规和竞争性磋商文件规定的其他无效响应情形</w:t>
            </w:r>
          </w:p>
        </w:tc>
        <w:tc>
          <w:tcPr>
            <w:tcW w:type="dxa" w:w="3322"/>
          </w:tcPr>
          <w:p>
            <w:pPr>
              <w:pStyle w:val="null3"/>
            </w:pPr>
            <w:r>
              <w:rPr>
                <w:rFonts w:ascii="仿宋_GB2312" w:hAnsi="仿宋_GB2312" w:cs="仿宋_GB2312" w:eastAsia="仿宋_GB2312"/>
              </w:rPr>
              <w:t>无法律、法规和竞争性磋商文件规定的其他无效响应情形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评审得分相同的，按照最后报价由低到高的顺序推荐。评审得分且最后报价相同的，按照技术指标优劣顺序推荐。评审得分且最后报价且技术指标得分均相同的，总体实施方案得分高者为第一成交候选供应商。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每有一项为节能产品政府采购清单中优先采购的节能产品的计0.5分，每有一项为环境标志产品政府采购清单中的产品的计0.5分，满分1分（提供认证机构出具的、处于有效期之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符合、满足磋商文件技术要求的，计24分；其中“★”参数为实质性参数，不得负偏离，否则视为无效响应；“▲”参数为重要参数每有一条参数负偏离扣2分；其他参数为一般参数，每有一条参数负偏离扣1分，扣完为止。 注：标注“★”、“▲”须提供相关证明材料（参数有要求佐证材料形式的按参数要求提供，其余佐证材料形式包括但不限于检验报告、官网功能截图、彩页、技术白皮书等任意一种），参数不满足磋商文件要求或未提供相关证明材料或提供的证明材料不能佐证该项参数的均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技术指标佐证材料.docx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供应商根据竞争性磋商文件第三部分“采购内容及技术要求”中的●项逐一进行系统演示。 评审标准： ①全部功能演示完整、流畅，得8分；②每缺一项演示或每有一项演示功能不完整，扣2分，扣完为止；③未演示不得分。 备注：供应商自备演示环境及设备，开标时以腾讯会议形式演示正式的软件产品及对应功能，演示方式须为真实系统搭建，演示时间不超过15分钟，否则不计分。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以合同形式提供投标人2023年07月至今类似项目业绩，每提供1份计1分，满分2分。（提供完整合同复印件，时间以合同签订时间为准）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能提供所投产品【四载频固定基站、两载频移动基站、车载台、手持对讲机】的合法来源渠道证明文件（包括但不限于产品制造商授权、销售协议、代理协议、原厂授权等任意一种），提供一个产品得1分，共计4分，不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产品合法来源渠道.docx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1、投标供应商具有通信施工总承包资质，并提供有效期内的证书复印件，一级资质得2分，二级资质得1分，三级资质得0.5分。不提供不得分。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2、投标供应商具有电子与智能化工程专业承包资质，并提供有效期内的证书复印件，一级资质得2分，二级资质得1分，不提供不得分。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3、工程设计电子通信广电行业（无线通信）专业乙级及以上，得2分，不提供不得分。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企业实力4</w:t>
            </w:r>
          </w:p>
        </w:tc>
        <w:tc>
          <w:tcPr>
            <w:tcW w:type="dxa" w:w="2492"/>
          </w:tcPr>
          <w:p>
            <w:pPr>
              <w:pStyle w:val="null3"/>
            </w:pPr>
            <w:r>
              <w:rPr>
                <w:rFonts w:ascii="仿宋_GB2312" w:hAnsi="仿宋_GB2312" w:cs="仿宋_GB2312" w:eastAsia="仿宋_GB2312"/>
              </w:rPr>
              <w:t>4、投标供应商拟派项目团队人员具有以下资格证书，每个计1分，满分5分。（注：1、同一人员具有多个证书不重复计分。2、须同时提供该人员2026年2月至今在本单位连续缴纳3个月社保缴纳证明，否则不计分。） ①通信工程专业中级及以上工程师 ②无线通信专业中级及以上工程师 ③通信工程师（设备环境方向）专业中级及以上工程师 ④系统集成项目管理工程师（中级及以上） ⑤信息系统项目管理师（高级）</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总体实施方案：内容包括但不限于：①供货实施方案、实施进度计划及保证措施；②设备安装、检测、调试方案及措施；③设备运维方案等；④验收方案；⑤人员安排计划、岗位划分及责任制度等。 评审标准： 方案各项内容全面详细、阐述条理清晰、能有效保障本项目实施得10分；方案中每有一项内容缺失扣2分，方案内容要素中每存在一处缺陷扣0.5分，该分项分值扣完为止。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评审标准：方案各项内容全面详细、阐述条理清晰、能有效保障本项目实施得3分；方案中每有一项内容缺失扣1.5分，方案内容要素中每存在一处缺陷扣0.5分，该分项分值扣完为止。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内容包括但不限于：①售后服务保障承诺及措施；②售后人员安排（配置、分工等）；③项目交付用户后出现故障响应时间及措施；④培训方案（培训计划、方式、内容、培训反馈及总结等）。 评审标准：方案各项内容全面详细、阐述条理清晰、能有效保障本项目实施得4分；方案中每有一项内容缺失扣1分，方案内容要素中每存在一处缺陷扣0.5分，该分项分值扣完为止。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报价得分=（磋商基准价/最终磋商报价）×价格权值（即30%）×100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详见附件：产品合法来源渠道.docx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详见附件：技术指标佐证材料.docx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